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4B" w:rsidRPr="006A194B" w:rsidRDefault="00D96B76" w:rsidP="006A194B">
      <w:pPr>
        <w:pStyle w:val="CoverTitle"/>
        <w:spacing w:after="360"/>
        <w:rPr>
          <w:sz w:val="76"/>
          <w:szCs w:val="76"/>
        </w:rPr>
      </w:pPr>
      <w:r>
        <w:rPr>
          <w:sz w:val="76"/>
          <w:szCs w:val="76"/>
        </w:rPr>
        <w:t xml:space="preserve">Round 17 </w:t>
      </w:r>
      <w:r w:rsidR="00EA2B42" w:rsidRPr="006A194B">
        <w:rPr>
          <w:sz w:val="76"/>
          <w:szCs w:val="76"/>
        </w:rPr>
        <w:t>Independent Financial Review of the National Hospital Cost Data Collection</w:t>
      </w:r>
    </w:p>
    <w:p w:rsidR="00E27E5B" w:rsidRPr="0025240E" w:rsidRDefault="00E27E5B" w:rsidP="008E7A3D">
      <w:pPr>
        <w:pStyle w:val="Coverpulloutframe"/>
        <w:framePr w:w="9390" w:wrap="notBeside" w:x="976" w:y="1832"/>
      </w:pPr>
    </w:p>
    <w:p w:rsidR="00CD17C4" w:rsidRPr="006A194B" w:rsidRDefault="00CD17C4" w:rsidP="006A194B">
      <w:pPr>
        <w:pStyle w:val="CoverSubtitle"/>
        <w:spacing w:before="6120"/>
        <w:rPr>
          <w:sz w:val="60"/>
          <w:szCs w:val="60"/>
        </w:rPr>
      </w:pPr>
    </w:p>
    <w:p w:rsidR="009B3E02" w:rsidRDefault="00A94B51" w:rsidP="0025240E">
      <w:pPr>
        <w:pStyle w:val="PwCNormal"/>
        <w:numPr>
          <w:ilvl w:val="0"/>
          <w:numId w:val="0"/>
        </w:numPr>
        <w:jc w:val="right"/>
      </w:pPr>
      <w:r>
        <w:t>January</w:t>
      </w:r>
      <w:r w:rsidR="009E64DF">
        <w:t xml:space="preserve"> </w:t>
      </w:r>
      <w:r>
        <w:t>2015</w:t>
      </w:r>
    </w:p>
    <w:p w:rsidR="0025240E" w:rsidRDefault="00EA2B42" w:rsidP="0025240E">
      <w:pPr>
        <w:pStyle w:val="PwCNormal"/>
        <w:jc w:val="right"/>
      </w:pPr>
      <w:r>
        <w:t>Independent Hospital Pricing Authority</w:t>
      </w:r>
    </w:p>
    <w:p w:rsidR="00695B02" w:rsidRDefault="00695B02" w:rsidP="0025240E">
      <w:pPr>
        <w:pStyle w:val="PwCNormal"/>
        <w:numPr>
          <w:ilvl w:val="0"/>
          <w:numId w:val="0"/>
        </w:numPr>
      </w:pPr>
    </w:p>
    <w:p w:rsidR="008E7A3D" w:rsidRPr="00514109" w:rsidRDefault="008E7A3D" w:rsidP="0025240E">
      <w:pPr>
        <w:pStyle w:val="PwCNormal"/>
        <w:numPr>
          <w:ilvl w:val="0"/>
          <w:numId w:val="0"/>
        </w:numPr>
        <w:sectPr w:rsidR="008E7A3D" w:rsidRPr="00514109" w:rsidSect="0025240E">
          <w:headerReference w:type="even" r:id="rId9"/>
          <w:headerReference w:type="default" r:id="rId10"/>
          <w:headerReference w:type="first" r:id="rId11"/>
          <w:footerReference w:type="first" r:id="rId12"/>
          <w:pgSz w:w="11907" w:h="16840" w:code="9"/>
          <w:pgMar w:top="2552" w:right="1021" w:bottom="1134" w:left="907" w:header="397" w:footer="567" w:gutter="227"/>
          <w:pgNumType w:start="1"/>
          <w:cols w:space="708"/>
          <w:titlePg/>
          <w:docGrid w:linePitch="360"/>
        </w:sectPr>
      </w:pPr>
    </w:p>
    <w:p w:rsidR="00694858" w:rsidRDefault="00694858" w:rsidP="00694858">
      <w:pPr>
        <w:pStyle w:val="PrefaceTitle"/>
        <w:ind w:left="142" w:hanging="142"/>
      </w:pPr>
      <w:bookmarkStart w:id="1" w:name="_Toc404355499"/>
      <w:r>
        <w:lastRenderedPageBreak/>
        <w:t>Executive summary</w:t>
      </w:r>
      <w:bookmarkEnd w:id="1"/>
    </w:p>
    <w:p w:rsidR="00694858" w:rsidRPr="00694858" w:rsidRDefault="00694858" w:rsidP="008E76C9">
      <w:pPr>
        <w:pStyle w:val="BlockText"/>
        <w:spacing w:after="160"/>
        <w:rPr>
          <w:sz w:val="28"/>
          <w:szCs w:val="28"/>
        </w:rPr>
      </w:pPr>
      <w:r w:rsidRPr="00694858">
        <w:rPr>
          <w:sz w:val="28"/>
          <w:szCs w:val="28"/>
        </w:rPr>
        <w:t>The independent financial review</w:t>
      </w:r>
    </w:p>
    <w:p w:rsidR="00694858" w:rsidRDefault="00694858" w:rsidP="00694858">
      <w:pPr>
        <w:kinsoku/>
        <w:overflowPunct/>
        <w:autoSpaceDE/>
        <w:autoSpaceDN/>
        <w:adjustRightInd/>
        <w:snapToGrid/>
        <w:spacing w:after="160"/>
      </w:pPr>
      <w:r>
        <w:t>The</w:t>
      </w:r>
      <w:r w:rsidR="0080451D">
        <w:t xml:space="preserve"> Independent Hospital Pricing Authority (IHPA) commissioned </w:t>
      </w:r>
      <w:r w:rsidR="00691F15">
        <w:t xml:space="preserve">PwC to conduct </w:t>
      </w:r>
      <w:r w:rsidR="0080451D">
        <w:t>an</w:t>
      </w:r>
      <w:r>
        <w:t xml:space="preserve"> </w:t>
      </w:r>
      <w:r w:rsidR="0080451D">
        <w:t xml:space="preserve">independent financial review </w:t>
      </w:r>
      <w:r>
        <w:t xml:space="preserve">of the </w:t>
      </w:r>
      <w:r w:rsidR="00691F15" w:rsidRPr="00C464FE">
        <w:t>Public Sector</w:t>
      </w:r>
      <w:r w:rsidR="00691F15">
        <w:rPr>
          <w:i/>
        </w:rPr>
        <w:t xml:space="preserve"> </w:t>
      </w:r>
      <w:r w:rsidR="006A194B">
        <w:t>Round 17</w:t>
      </w:r>
      <w:r>
        <w:t xml:space="preserve"> National Hospital Cost Data Collection (NHCDC) </w:t>
      </w:r>
      <w:r w:rsidR="00C31906">
        <w:t>to</w:t>
      </w:r>
      <w:r>
        <w:t xml:space="preserve"> assess the accuracy and completeness of the data provided by jurisdictions, with</w:t>
      </w:r>
      <w:r w:rsidR="0080451D">
        <w:t xml:space="preserve"> a</w:t>
      </w:r>
      <w:r>
        <w:t xml:space="preserve"> specific focus on hospital</w:t>
      </w:r>
      <w:r w:rsidR="0080451D">
        <w:t>s’</w:t>
      </w:r>
      <w:r>
        <w:t xml:space="preserve"> financial reconciliations and </w:t>
      </w:r>
      <w:r w:rsidR="00C464FE">
        <w:t xml:space="preserve">consistency </w:t>
      </w:r>
      <w:r>
        <w:t xml:space="preserve">with </w:t>
      </w:r>
      <w:r w:rsidR="0073759E">
        <w:t>V</w:t>
      </w:r>
      <w:r>
        <w:t>ersion 2 of the Australian Hospital Patient Costing Standards (AHPCS).</w:t>
      </w:r>
    </w:p>
    <w:p w:rsidR="00694858" w:rsidRDefault="0080451D" w:rsidP="00694858">
      <w:pPr>
        <w:kinsoku/>
        <w:overflowPunct/>
        <w:autoSpaceDE/>
        <w:autoSpaceDN/>
        <w:adjustRightInd/>
        <w:snapToGrid/>
        <w:spacing w:after="160"/>
      </w:pPr>
      <w:r>
        <w:t xml:space="preserve">The IHPA asked jurisdictions </w:t>
      </w:r>
      <w:r w:rsidR="00694858">
        <w:t>to nominate hospitals or Local Health Networks (LHNs</w:t>
      </w:r>
      <w:r w:rsidR="00C464FE">
        <w:t>)</w:t>
      </w:r>
      <w:r w:rsidR="00694858">
        <w:t xml:space="preserve"> </w:t>
      </w:r>
      <w:r w:rsidR="00C464FE">
        <w:t xml:space="preserve">to </w:t>
      </w:r>
      <w:r w:rsidR="00694858">
        <w:t>participate in the review, in line with a sampling framework provided by PwC. A total of 15 hospitals or LHNs</w:t>
      </w:r>
      <w:r w:rsidR="00C464FE">
        <w:t xml:space="preserve"> were </w:t>
      </w:r>
      <w:r w:rsidR="00694858">
        <w:t>nominated across the eight jurisdictions</w:t>
      </w:r>
      <w:r w:rsidR="008E76C9">
        <w:t xml:space="preserve"> participated in the review</w:t>
      </w:r>
      <w:r w:rsidR="00694858">
        <w:t>.</w:t>
      </w:r>
    </w:p>
    <w:p w:rsidR="00694858" w:rsidRDefault="00694858" w:rsidP="00694858">
      <w:pPr>
        <w:kinsoku/>
        <w:overflowPunct/>
        <w:autoSpaceDE/>
        <w:autoSpaceDN/>
        <w:adjustRightInd/>
        <w:snapToGrid/>
        <w:spacing w:after="160"/>
      </w:pPr>
      <w:r>
        <w:t xml:space="preserve">A data collection template was prepared </w:t>
      </w:r>
      <w:r w:rsidR="0080451D">
        <w:t>for</w:t>
      </w:r>
      <w:r>
        <w:t xml:space="preserve"> collect</w:t>
      </w:r>
      <w:r w:rsidR="0080451D">
        <w:t>ing</w:t>
      </w:r>
      <w:r>
        <w:t xml:space="preserve"> data at the hospital and jurisdiction level</w:t>
      </w:r>
      <w:r w:rsidR="0080451D">
        <w:t xml:space="preserve">. The template </w:t>
      </w:r>
      <w:r>
        <w:t xml:space="preserve">aimed to reconcile the costs from the audited financial statements through to the final costing output. </w:t>
      </w:r>
      <w:r w:rsidR="0080451D">
        <w:t>Participants also received a</w:t>
      </w:r>
      <w:r w:rsidR="008E76C9">
        <w:t xml:space="preserve"> questionnaire ask</w:t>
      </w:r>
      <w:r w:rsidR="00406B31">
        <w:t>ing</w:t>
      </w:r>
      <w:r w:rsidR="008E76C9">
        <w:t xml:space="preserve"> for information on their quality assurance procedures and how</w:t>
      </w:r>
      <w:r w:rsidR="0080451D">
        <w:t xml:space="preserve"> they captured</w:t>
      </w:r>
      <w:r w:rsidR="008E76C9">
        <w:t xml:space="preserve"> specific costs in the</w:t>
      </w:r>
      <w:r w:rsidR="0080451D">
        <w:t xml:space="preserve"> General Ledger (</w:t>
      </w:r>
      <w:r w:rsidR="00FA2945">
        <w:t>GL</w:t>
      </w:r>
      <w:r w:rsidR="0080451D">
        <w:t>)</w:t>
      </w:r>
      <w:r w:rsidR="008E76C9">
        <w:t xml:space="preserve">. </w:t>
      </w:r>
      <w:r>
        <w:t xml:space="preserve">Jurisdictions </w:t>
      </w:r>
      <w:r w:rsidR="008E76C9">
        <w:t>return</w:t>
      </w:r>
      <w:r w:rsidR="0080451D">
        <w:t>ed</w:t>
      </w:r>
      <w:r w:rsidR="008E76C9">
        <w:t xml:space="preserve"> the completed template</w:t>
      </w:r>
      <w:r w:rsidR="0080451D">
        <w:t>s</w:t>
      </w:r>
      <w:r w:rsidR="008E76C9">
        <w:t xml:space="preserve"> and questionnaire</w:t>
      </w:r>
      <w:r w:rsidR="0080451D">
        <w:t>s</w:t>
      </w:r>
      <w:r>
        <w:t xml:space="preserve"> in advance of site visits.</w:t>
      </w:r>
    </w:p>
    <w:p w:rsidR="00694858" w:rsidRDefault="00694858" w:rsidP="00694858">
      <w:pPr>
        <w:kinsoku/>
        <w:overflowPunct/>
        <w:autoSpaceDE/>
        <w:autoSpaceDN/>
        <w:adjustRightInd/>
        <w:snapToGrid/>
        <w:spacing w:after="160"/>
      </w:pPr>
      <w:r>
        <w:t xml:space="preserve">A </w:t>
      </w:r>
      <w:r w:rsidRPr="00C464FE">
        <w:t>peer review</w:t>
      </w:r>
      <w:r>
        <w:t xml:space="preserve"> process was </w:t>
      </w:r>
      <w:r w:rsidR="00C464FE">
        <w:t xml:space="preserve">also </w:t>
      </w:r>
      <w:r>
        <w:t>designed</w:t>
      </w:r>
      <w:r w:rsidR="00C464FE">
        <w:t xml:space="preserve"> and conducted</w:t>
      </w:r>
      <w:r>
        <w:t>, with jurisdictions nominating representatives to participate in the site visits</w:t>
      </w:r>
      <w:r w:rsidR="00C464FE">
        <w:t>.</w:t>
      </w:r>
      <w:r>
        <w:t xml:space="preserve"> </w:t>
      </w:r>
      <w:r w:rsidR="00C464FE">
        <w:t>The</w:t>
      </w:r>
      <w:r>
        <w:t xml:space="preserve"> aim </w:t>
      </w:r>
      <w:r w:rsidR="00C464FE">
        <w:t>of this process was to</w:t>
      </w:r>
      <w:r>
        <w:t xml:space="preserve"> shar</w:t>
      </w:r>
      <w:r w:rsidR="00C464FE">
        <w:t>e</w:t>
      </w:r>
      <w:r>
        <w:t xml:space="preserve"> information, processes, challenges and solutions</w:t>
      </w:r>
      <w:r w:rsidR="00C464FE">
        <w:t xml:space="preserve"> in hospital costing</w:t>
      </w:r>
      <w:r>
        <w:t>.</w:t>
      </w:r>
    </w:p>
    <w:p w:rsidR="00694858" w:rsidRDefault="00694858" w:rsidP="00694858">
      <w:pPr>
        <w:kinsoku/>
        <w:overflowPunct/>
        <w:autoSpaceDE/>
        <w:autoSpaceDN/>
        <w:adjustRightInd/>
        <w:snapToGrid/>
        <w:spacing w:after="160"/>
      </w:pPr>
      <w:r>
        <w:t xml:space="preserve">Focusing on transparency, the review extended to </w:t>
      </w:r>
      <w:r w:rsidR="00C31906">
        <w:t>include a review of IHPA’s process of receiving and storing the data</w:t>
      </w:r>
      <w:r>
        <w:t>, which included reviewing the nominated hospitals</w:t>
      </w:r>
      <w:r w:rsidR="00564358">
        <w:t>’</w:t>
      </w:r>
      <w:r>
        <w:t xml:space="preserve"> data through to submission in the national database.</w:t>
      </w:r>
    </w:p>
    <w:p w:rsidR="00694858" w:rsidRDefault="00694858" w:rsidP="00694858">
      <w:pPr>
        <w:kinsoku/>
        <w:overflowPunct/>
        <w:autoSpaceDE/>
        <w:autoSpaceDN/>
        <w:adjustRightInd/>
        <w:snapToGrid/>
        <w:spacing w:after="160"/>
      </w:pPr>
      <w:r>
        <w:t xml:space="preserve">The review took place in </w:t>
      </w:r>
      <w:r w:rsidR="008E76C9">
        <w:t>July</w:t>
      </w:r>
      <w:r>
        <w:t xml:space="preserve"> and </w:t>
      </w:r>
      <w:r w:rsidR="008E76C9">
        <w:t>August 2014</w:t>
      </w:r>
      <w:r w:rsidR="0080451D">
        <w:t>. Each</w:t>
      </w:r>
      <w:r>
        <w:t xml:space="preserve"> jurisdiction and nominated hospital</w:t>
      </w:r>
      <w:r w:rsidR="00C464FE">
        <w:t xml:space="preserve"> or LHN</w:t>
      </w:r>
      <w:r>
        <w:t xml:space="preserve"> </w:t>
      </w:r>
      <w:r w:rsidR="0080451D">
        <w:t>underwent a site visit, attended</w:t>
      </w:r>
      <w:r>
        <w:t xml:space="preserve"> by </w:t>
      </w:r>
      <w:r w:rsidR="00C31906">
        <w:t xml:space="preserve">members of </w:t>
      </w:r>
      <w:r>
        <w:t>the PwC team, an IHPA representative and</w:t>
      </w:r>
      <w:r w:rsidR="00564358">
        <w:t>,</w:t>
      </w:r>
      <w:r>
        <w:t xml:space="preserve"> where possible</w:t>
      </w:r>
      <w:r w:rsidR="00564358">
        <w:t>,</w:t>
      </w:r>
      <w:r>
        <w:t xml:space="preserve"> a peer review representative. </w:t>
      </w:r>
      <w:r w:rsidR="0080451D">
        <w:t xml:space="preserve">The review’s </w:t>
      </w:r>
      <w:r>
        <w:t xml:space="preserve">observations </w:t>
      </w:r>
      <w:r w:rsidR="0080451D">
        <w:t>are based on</w:t>
      </w:r>
      <w:r>
        <w:t xml:space="preserve"> </w:t>
      </w:r>
      <w:r w:rsidR="0080451D">
        <w:t xml:space="preserve">a combination </w:t>
      </w:r>
      <w:r>
        <w:t>of the submitted data</w:t>
      </w:r>
      <w:r w:rsidR="0080451D">
        <w:t xml:space="preserve"> </w:t>
      </w:r>
      <w:r>
        <w:t>and the site visits.</w:t>
      </w:r>
    </w:p>
    <w:p w:rsidR="008E76C9" w:rsidRPr="008E76C9" w:rsidRDefault="0040372E" w:rsidP="008E76C9">
      <w:pPr>
        <w:pStyle w:val="BlockText"/>
        <w:spacing w:before="240"/>
        <w:rPr>
          <w:sz w:val="28"/>
          <w:szCs w:val="28"/>
        </w:rPr>
      </w:pPr>
      <w:r>
        <w:rPr>
          <w:sz w:val="28"/>
          <w:szCs w:val="28"/>
        </w:rPr>
        <w:t>Focus for this review</w:t>
      </w:r>
    </w:p>
    <w:p w:rsidR="008E76C9" w:rsidRDefault="009900B4" w:rsidP="008E76C9">
      <w:pPr>
        <w:pStyle w:val="PwCNormal"/>
        <w:spacing w:after="160"/>
      </w:pPr>
      <w:r>
        <w:t>In addition to the financial and activity reconciliations mentioned above, t</w:t>
      </w:r>
      <w:r w:rsidR="0040372E">
        <w:t xml:space="preserve">he </w:t>
      </w:r>
      <w:r w:rsidR="006A194B">
        <w:t>Round 17</w:t>
      </w:r>
      <w:r>
        <w:t xml:space="preserve"> review</w:t>
      </w:r>
      <w:r w:rsidR="00AA2B13">
        <w:t xml:space="preserve"> focused on </w:t>
      </w:r>
      <w:r w:rsidR="0040372E">
        <w:t>understand</w:t>
      </w:r>
      <w:r w:rsidR="00AA2B13">
        <w:t>ing</w:t>
      </w:r>
      <w:r w:rsidR="0040372E">
        <w:t xml:space="preserve"> the </w:t>
      </w:r>
      <w:r w:rsidR="00CF4992">
        <w:t xml:space="preserve">allocation methodologies </w:t>
      </w:r>
      <w:r w:rsidR="0040372E">
        <w:t>for three selected feeder systems</w:t>
      </w:r>
      <w:r w:rsidR="0080451D">
        <w:t xml:space="preserve"> – pharmacies, theatres and ward nursing –</w:t>
      </w:r>
      <w:r>
        <w:t xml:space="preserve"> exploring how </w:t>
      </w:r>
      <w:r w:rsidR="0080451D">
        <w:t xml:space="preserve">they allocated </w:t>
      </w:r>
      <w:r>
        <w:t xml:space="preserve">costs </w:t>
      </w:r>
      <w:r w:rsidR="00AA2B13">
        <w:t>to patients and wh</w:t>
      </w:r>
      <w:r>
        <w:t>ich</w:t>
      </w:r>
      <w:r w:rsidR="00AA2B13">
        <w:t xml:space="preserve"> linking rules </w:t>
      </w:r>
      <w:r w:rsidR="0080451D">
        <w:t xml:space="preserve">they </w:t>
      </w:r>
      <w:r w:rsidR="00AA2B13">
        <w:t xml:space="preserve">used. Each jurisdiction’s chapter summarises the methodology </w:t>
      </w:r>
      <w:r w:rsidR="0080451D">
        <w:t xml:space="preserve">the Round 17 review </w:t>
      </w:r>
      <w:r w:rsidR="00AA2B13">
        <w:t xml:space="preserve">used, and the findings section outlines the consistency of </w:t>
      </w:r>
      <w:r w:rsidR="00692642">
        <w:t xml:space="preserve">feeder </w:t>
      </w:r>
      <w:r w:rsidR="005C4914">
        <w:t xml:space="preserve">allocation </w:t>
      </w:r>
      <w:r w:rsidR="00692642">
        <w:t xml:space="preserve">methodologies across </w:t>
      </w:r>
      <w:r w:rsidR="005C4914">
        <w:t>all participating jurisdictions, hospitals and LHNs/LHDs</w:t>
      </w:r>
      <w:r w:rsidR="00692642">
        <w:t>.</w:t>
      </w:r>
    </w:p>
    <w:p w:rsidR="00CF4992" w:rsidRPr="00CF4992" w:rsidRDefault="00CF4992" w:rsidP="00CF4992">
      <w:pPr>
        <w:pStyle w:val="BlockText"/>
        <w:spacing w:before="240"/>
        <w:rPr>
          <w:sz w:val="28"/>
          <w:szCs w:val="28"/>
        </w:rPr>
      </w:pPr>
      <w:r>
        <w:rPr>
          <w:sz w:val="28"/>
          <w:szCs w:val="28"/>
        </w:rPr>
        <w:t>Summary of findings</w:t>
      </w:r>
    </w:p>
    <w:p w:rsidR="00CF4992" w:rsidRDefault="005C4914" w:rsidP="00CF4992">
      <w:pPr>
        <w:kinsoku/>
        <w:overflowPunct/>
        <w:autoSpaceDE/>
        <w:autoSpaceDN/>
        <w:adjustRightInd/>
        <w:snapToGrid/>
        <w:spacing w:after="240"/>
      </w:pPr>
      <w:r>
        <w:t>The project team observed that</w:t>
      </w:r>
      <w:r w:rsidR="009900B4">
        <w:t xml:space="preserve"> </w:t>
      </w:r>
      <w:r>
        <w:t xml:space="preserve">jurisdiction-wide </w:t>
      </w:r>
      <w:r w:rsidR="00CF4992" w:rsidRPr="00CF4992">
        <w:t xml:space="preserve">methodologies and control procedures </w:t>
      </w:r>
      <w:r>
        <w:t>had improved compared to the Round 16</w:t>
      </w:r>
      <w:r w:rsidR="009900B4">
        <w:t xml:space="preserve">, </w:t>
      </w:r>
      <w:r w:rsidR="00CF4992">
        <w:t xml:space="preserve">as hospital managers </w:t>
      </w:r>
      <w:r w:rsidR="009900B4">
        <w:t>are now using</w:t>
      </w:r>
      <w:r w:rsidR="00CF4992">
        <w:t xml:space="preserve"> the data to inform hospital operations, rather than </w:t>
      </w:r>
      <w:r w:rsidR="009900B4">
        <w:t xml:space="preserve">purely for </w:t>
      </w:r>
      <w:r w:rsidR="00CF4992">
        <w:t>NHCDC submissions.</w:t>
      </w:r>
    </w:p>
    <w:p w:rsidR="00CF4992" w:rsidRDefault="005C4914" w:rsidP="006135BB">
      <w:pPr>
        <w:pStyle w:val="PwCNormal"/>
        <w:numPr>
          <w:ilvl w:val="0"/>
          <w:numId w:val="0"/>
        </w:numPr>
        <w:spacing w:after="120"/>
      </w:pPr>
      <w:r>
        <w:t>In particular, the team noticed</w:t>
      </w:r>
      <w:r w:rsidR="009F2BCA">
        <w:t>:</w:t>
      </w:r>
    </w:p>
    <w:p w:rsidR="009F2BCA" w:rsidRDefault="005C4914" w:rsidP="009C4A5D">
      <w:pPr>
        <w:pStyle w:val="PwCNormal"/>
        <w:numPr>
          <w:ilvl w:val="0"/>
          <w:numId w:val="42"/>
        </w:numPr>
        <w:spacing w:after="120"/>
      </w:pPr>
      <w:r>
        <w:t xml:space="preserve">changes </w:t>
      </w:r>
      <w:r w:rsidR="009F2BCA">
        <w:t>to the work in progress (WIP) costing for W</w:t>
      </w:r>
      <w:r>
        <w:t xml:space="preserve">estern </w:t>
      </w:r>
      <w:r w:rsidR="009F2BCA">
        <w:t>A</w:t>
      </w:r>
      <w:r>
        <w:t>ustralia</w:t>
      </w:r>
      <w:r w:rsidR="009F2BCA">
        <w:t xml:space="preserve"> and N</w:t>
      </w:r>
      <w:r w:rsidR="003149FF">
        <w:t>SW</w:t>
      </w:r>
      <w:r w:rsidR="009F2BCA">
        <w:t xml:space="preserve"> hospitals, </w:t>
      </w:r>
      <w:r w:rsidR="00406B31">
        <w:t xml:space="preserve">resulting in </w:t>
      </w:r>
      <w:r w:rsidR="009F2BCA">
        <w:t>better align</w:t>
      </w:r>
      <w:r w:rsidR="00406B31">
        <w:t>ment</w:t>
      </w:r>
      <w:r w:rsidR="009F2BCA">
        <w:t xml:space="preserve"> </w:t>
      </w:r>
      <w:r>
        <w:t xml:space="preserve">with </w:t>
      </w:r>
      <w:r w:rsidR="009F2BCA">
        <w:t>the AHPCS</w:t>
      </w:r>
    </w:p>
    <w:p w:rsidR="00CF4992" w:rsidRDefault="00652A8F" w:rsidP="009C4A5D">
      <w:pPr>
        <w:pStyle w:val="PwCNormal"/>
        <w:numPr>
          <w:ilvl w:val="0"/>
          <w:numId w:val="42"/>
        </w:numPr>
        <w:spacing w:after="120"/>
      </w:pPr>
      <w:r>
        <w:t xml:space="preserve">improved </w:t>
      </w:r>
      <w:r w:rsidR="009F2BCA">
        <w:t>Emergency Department (ED) and Outpatient (OP) costing methodologies in S</w:t>
      </w:r>
      <w:r w:rsidR="005C4914">
        <w:t>outh Australia</w:t>
      </w:r>
      <w:r w:rsidR="009F2BCA">
        <w:t xml:space="preserve"> and NSW respectively</w:t>
      </w:r>
    </w:p>
    <w:p w:rsidR="009F2BCA" w:rsidRDefault="00652A8F" w:rsidP="009C4A5D">
      <w:pPr>
        <w:pStyle w:val="PwCNormal"/>
        <w:numPr>
          <w:ilvl w:val="0"/>
          <w:numId w:val="42"/>
        </w:numPr>
        <w:spacing w:after="120"/>
      </w:pPr>
      <w:r>
        <w:t>i</w:t>
      </w:r>
      <w:r w:rsidRPr="009F2BCA">
        <w:t xml:space="preserve">ncreased </w:t>
      </w:r>
      <w:r w:rsidR="009F2BCA" w:rsidRPr="009F2BCA">
        <w:t xml:space="preserve">quality assurance procedures in SA, NSW and </w:t>
      </w:r>
      <w:r w:rsidR="005C4914">
        <w:t>Tasmania</w:t>
      </w:r>
    </w:p>
    <w:p w:rsidR="006135BB" w:rsidRDefault="00652A8F" w:rsidP="009C4A5D">
      <w:pPr>
        <w:pStyle w:val="PwCNormal"/>
        <w:numPr>
          <w:ilvl w:val="0"/>
          <w:numId w:val="42"/>
        </w:numPr>
        <w:spacing w:after="120"/>
      </w:pPr>
      <w:r>
        <w:lastRenderedPageBreak/>
        <w:t xml:space="preserve">a </w:t>
      </w:r>
      <w:r w:rsidR="00C31906">
        <w:t>n</w:t>
      </w:r>
      <w:r w:rsidR="006135BB">
        <w:t xml:space="preserve">ew GL structure in </w:t>
      </w:r>
      <w:r w:rsidR="005C4914">
        <w:t xml:space="preserve">Tasmania, </w:t>
      </w:r>
      <w:r w:rsidR="006135BB" w:rsidRPr="006135BB">
        <w:t xml:space="preserve">better </w:t>
      </w:r>
      <w:r w:rsidR="005C4914" w:rsidRPr="006135BB">
        <w:t>align</w:t>
      </w:r>
      <w:r>
        <w:t>ing</w:t>
      </w:r>
      <w:r w:rsidR="005C4914" w:rsidRPr="006135BB">
        <w:t xml:space="preserve"> </w:t>
      </w:r>
      <w:r w:rsidR="006135BB" w:rsidRPr="006135BB">
        <w:t>th</w:t>
      </w:r>
      <w:r w:rsidR="009900B4">
        <w:t>e cost centre structure</w:t>
      </w:r>
      <w:r w:rsidR="006135BB" w:rsidRPr="006135BB">
        <w:t xml:space="preserve"> </w:t>
      </w:r>
      <w:r w:rsidR="005C4914">
        <w:t>with</w:t>
      </w:r>
      <w:r w:rsidR="005C4914" w:rsidRPr="006135BB">
        <w:t xml:space="preserve"> </w:t>
      </w:r>
      <w:r w:rsidR="006135BB" w:rsidRPr="006135BB">
        <w:t>clinical departments</w:t>
      </w:r>
      <w:r w:rsidR="006135BB">
        <w:t>,</w:t>
      </w:r>
      <w:r w:rsidR="006135BB" w:rsidRPr="006135BB">
        <w:t xml:space="preserve"> </w:t>
      </w:r>
      <w:r w:rsidR="005C4914">
        <w:t>making it easier to identify</w:t>
      </w:r>
      <w:r w:rsidR="006135BB">
        <w:t xml:space="preserve"> cost pools </w:t>
      </w:r>
      <w:r w:rsidR="005C4914">
        <w:t>that can</w:t>
      </w:r>
      <w:r w:rsidR="006135BB">
        <w:t xml:space="preserve"> be allocated to specific group</w:t>
      </w:r>
      <w:r w:rsidR="005C4914">
        <w:t>s</w:t>
      </w:r>
      <w:r w:rsidR="006135BB">
        <w:t xml:space="preserve"> of patients</w:t>
      </w:r>
    </w:p>
    <w:p w:rsidR="009E64DF" w:rsidRDefault="00652A8F" w:rsidP="009C4A5D">
      <w:pPr>
        <w:pStyle w:val="PwCNormal"/>
        <w:numPr>
          <w:ilvl w:val="0"/>
          <w:numId w:val="42"/>
        </w:numPr>
        <w:spacing w:after="120"/>
      </w:pPr>
      <w:r>
        <w:t xml:space="preserve">greater </w:t>
      </w:r>
      <w:r w:rsidR="009E64DF">
        <w:t xml:space="preserve">involvement of </w:t>
      </w:r>
      <w:r>
        <w:t>N</w:t>
      </w:r>
      <w:r w:rsidR="00DC5EB9">
        <w:t xml:space="preserve">orthern </w:t>
      </w:r>
      <w:r>
        <w:t>T</w:t>
      </w:r>
      <w:r w:rsidR="00DC5EB9">
        <w:t>erritory</w:t>
      </w:r>
      <w:r>
        <w:t xml:space="preserve"> </w:t>
      </w:r>
      <w:r w:rsidR="009E64DF">
        <w:t xml:space="preserve">hospital staff in the costing process, which has improved the quality of data </w:t>
      </w:r>
      <w:r>
        <w:t xml:space="preserve">that goes </w:t>
      </w:r>
      <w:r w:rsidR="009E64DF">
        <w:t>into costing</w:t>
      </w:r>
    </w:p>
    <w:p w:rsidR="006135BB" w:rsidRDefault="00652A8F" w:rsidP="009C4A5D">
      <w:pPr>
        <w:pStyle w:val="PwCNormal"/>
        <w:numPr>
          <w:ilvl w:val="0"/>
          <w:numId w:val="42"/>
        </w:numPr>
        <w:spacing w:after="120"/>
      </w:pPr>
      <w:r>
        <w:t xml:space="preserve">improved </w:t>
      </w:r>
      <w:r w:rsidR="006135BB">
        <w:t xml:space="preserve">feeder data linking rules in </w:t>
      </w:r>
      <w:r w:rsidR="00DC5EB9">
        <w:t xml:space="preserve">the </w:t>
      </w:r>
      <w:r w:rsidR="006135BB">
        <w:t>A</w:t>
      </w:r>
      <w:r w:rsidR="00DC5EB9">
        <w:t xml:space="preserve">ustralian </w:t>
      </w:r>
      <w:r w:rsidR="006135BB">
        <w:t>C</w:t>
      </w:r>
      <w:r w:rsidR="00DC5EB9">
        <w:t xml:space="preserve">apital </w:t>
      </w:r>
      <w:r w:rsidR="006135BB">
        <w:t>T</w:t>
      </w:r>
      <w:r w:rsidR="00DC5EB9">
        <w:t>erritory</w:t>
      </w:r>
      <w:r>
        <w:t>,</w:t>
      </w:r>
      <w:r w:rsidR="006135BB">
        <w:t xml:space="preserve"> and a formalising of the cost file specifications</w:t>
      </w:r>
    </w:p>
    <w:p w:rsidR="009E64DF" w:rsidRDefault="00652A8F" w:rsidP="009C4A5D">
      <w:pPr>
        <w:pStyle w:val="PwCNormal"/>
        <w:numPr>
          <w:ilvl w:val="0"/>
          <w:numId w:val="42"/>
        </w:numPr>
        <w:spacing w:after="120"/>
      </w:pPr>
      <w:r>
        <w:t>the</w:t>
      </w:r>
      <w:r w:rsidR="006135BB">
        <w:t xml:space="preserve"> </w:t>
      </w:r>
      <w:proofErr w:type="spellStart"/>
      <w:r w:rsidR="006135BB">
        <w:t>IPACost</w:t>
      </w:r>
      <w:proofErr w:type="spellEnd"/>
      <w:r w:rsidR="006135BB">
        <w:t xml:space="preserve"> </w:t>
      </w:r>
      <w:r w:rsidR="00576E03">
        <w:t xml:space="preserve">tool </w:t>
      </w:r>
      <w:r>
        <w:t xml:space="preserve">has been removed </w:t>
      </w:r>
      <w:r w:rsidR="006135BB">
        <w:t>from</w:t>
      </w:r>
      <w:r w:rsidR="00576E03">
        <w:t xml:space="preserve"> jurisdictional</w:t>
      </w:r>
      <w:r w:rsidR="006135BB">
        <w:t xml:space="preserve"> submi</w:t>
      </w:r>
      <w:r w:rsidR="009E64DF">
        <w:t>ssion process</w:t>
      </w:r>
      <w:r>
        <w:t>,</w:t>
      </w:r>
      <w:r w:rsidR="009E64DF">
        <w:t xml:space="preserve"> in line with </w:t>
      </w:r>
      <w:r>
        <w:t xml:space="preserve">jurisdiction </w:t>
      </w:r>
      <w:r w:rsidR="009E64DF">
        <w:t xml:space="preserve">feedback </w:t>
      </w:r>
      <w:r>
        <w:t>from</w:t>
      </w:r>
      <w:r w:rsidR="009E64DF">
        <w:t xml:space="preserve"> the Round 16 submission process</w:t>
      </w:r>
    </w:p>
    <w:p w:rsidR="006135BB" w:rsidRDefault="00652A8F" w:rsidP="009C4A5D">
      <w:pPr>
        <w:pStyle w:val="PwCNormal"/>
        <w:numPr>
          <w:ilvl w:val="0"/>
          <w:numId w:val="42"/>
        </w:numPr>
        <w:spacing w:after="120"/>
      </w:pPr>
      <w:r>
        <w:t xml:space="preserve">an increase </w:t>
      </w:r>
      <w:r w:rsidR="006135BB">
        <w:t xml:space="preserve">in quality assurance checks and </w:t>
      </w:r>
      <w:r>
        <w:t xml:space="preserve">IHPA </w:t>
      </w:r>
      <w:r w:rsidR="006135BB">
        <w:t xml:space="preserve">feedback to jurisdictions </w:t>
      </w:r>
      <w:r>
        <w:t>after the jurisdictions submit</w:t>
      </w:r>
      <w:r w:rsidR="006135BB">
        <w:t xml:space="preserve"> </w:t>
      </w:r>
      <w:r>
        <w:t>their data as part of the review</w:t>
      </w:r>
      <w:r w:rsidR="009E64DF">
        <w:t>, including detailed spreadsheets identifying records that failed critical or warning tests</w:t>
      </w:r>
    </w:p>
    <w:p w:rsidR="006135BB" w:rsidRDefault="00652A8F" w:rsidP="009C4A5D">
      <w:pPr>
        <w:pStyle w:val="PwCNormal"/>
        <w:numPr>
          <w:ilvl w:val="0"/>
          <w:numId w:val="42"/>
        </w:numPr>
      </w:pPr>
      <w:r>
        <w:t>i</w:t>
      </w:r>
      <w:r w:rsidR="006135BB">
        <w:t xml:space="preserve">mproved reconciliations </w:t>
      </w:r>
      <w:r>
        <w:t xml:space="preserve">against jurisdictions’ </w:t>
      </w:r>
      <w:r w:rsidR="006135BB">
        <w:t>publicly released audited Financial Statements</w:t>
      </w:r>
      <w:r>
        <w:t xml:space="preserve"> compared to Round 16;</w:t>
      </w:r>
      <w:r w:rsidR="006135BB">
        <w:t xml:space="preserve"> </w:t>
      </w:r>
      <w:r>
        <w:t xml:space="preserve">in Round 17 </w:t>
      </w:r>
      <w:r w:rsidR="006135BB">
        <w:t>all jurisdictions were able to provide reconciliations back to the</w:t>
      </w:r>
      <w:r>
        <w:t>ir</w:t>
      </w:r>
      <w:r w:rsidR="006135BB">
        <w:t xml:space="preserve"> audited Financial Statements</w:t>
      </w:r>
    </w:p>
    <w:p w:rsidR="000E72AF" w:rsidRDefault="00652A8F" w:rsidP="009C4A5D">
      <w:pPr>
        <w:pStyle w:val="PwCNormal"/>
        <w:numPr>
          <w:ilvl w:val="0"/>
          <w:numId w:val="42"/>
        </w:numPr>
      </w:pPr>
      <w:proofErr w:type="gramStart"/>
      <w:r>
        <w:t>the</w:t>
      </w:r>
      <w:proofErr w:type="gramEnd"/>
      <w:r>
        <w:t xml:space="preserve"> </w:t>
      </w:r>
      <w:r w:rsidR="000E72AF">
        <w:t>IHPA’s updated process when entering data into the national database was clear and well documented</w:t>
      </w:r>
      <w:r w:rsidR="00DC5EB9">
        <w:t>, and the</w:t>
      </w:r>
      <w:r w:rsidR="000E72AF">
        <w:t xml:space="preserve"> IHPA was able to provide </w:t>
      </w:r>
      <w:r w:rsidR="003727C5">
        <w:t>a greater level of</w:t>
      </w:r>
      <w:r w:rsidR="00DC5EB9">
        <w:t xml:space="preserve"> </w:t>
      </w:r>
      <w:r w:rsidR="000E72AF">
        <w:t xml:space="preserve">feedback to jurisdictions on the results of the data quality checks </w:t>
      </w:r>
      <w:r w:rsidR="00DC5EB9">
        <w:t xml:space="preserve">it </w:t>
      </w:r>
      <w:r w:rsidR="000E72AF">
        <w:t xml:space="preserve">performed on </w:t>
      </w:r>
      <w:r w:rsidR="00DC5EB9">
        <w:t xml:space="preserve">their </w:t>
      </w:r>
      <w:r w:rsidR="000E72AF">
        <w:t>submitted data.</w:t>
      </w:r>
    </w:p>
    <w:p w:rsidR="007E4E66" w:rsidRDefault="006135BB" w:rsidP="00CF4992">
      <w:pPr>
        <w:pStyle w:val="PwCNormal"/>
        <w:numPr>
          <w:ilvl w:val="0"/>
          <w:numId w:val="0"/>
        </w:numPr>
      </w:pPr>
      <w:r>
        <w:t>The</w:t>
      </w:r>
      <w:r w:rsidR="00DC5EB9">
        <w:t xml:space="preserve"> review’s</w:t>
      </w:r>
      <w:r>
        <w:t xml:space="preserve"> </w:t>
      </w:r>
      <w:r w:rsidR="007E4E66">
        <w:t xml:space="preserve">findings </w:t>
      </w:r>
      <w:r w:rsidR="009900B4">
        <w:t xml:space="preserve">around the three sample feeder systems </w:t>
      </w:r>
      <w:r w:rsidR="00DC5EB9">
        <w:t>are summarised below.</w:t>
      </w:r>
    </w:p>
    <w:p w:rsidR="00022D9D" w:rsidRDefault="007E4E66" w:rsidP="009C4A5D">
      <w:pPr>
        <w:pStyle w:val="PwCNormal"/>
        <w:numPr>
          <w:ilvl w:val="0"/>
          <w:numId w:val="43"/>
        </w:numPr>
      </w:pPr>
      <w:r>
        <w:rPr>
          <w:b/>
        </w:rPr>
        <w:t xml:space="preserve">Pharmacy: </w:t>
      </w:r>
      <w:r w:rsidR="00DC5EB9">
        <w:t xml:space="preserve">The review participants allocated </w:t>
      </w:r>
      <w:r>
        <w:t>pharmacy costs to patients</w:t>
      </w:r>
      <w:r w:rsidR="00DC5EB9">
        <w:t xml:space="preserve"> in a generally consistent manner</w:t>
      </w:r>
      <w:r>
        <w:t xml:space="preserve">. </w:t>
      </w:r>
      <w:r w:rsidR="009900B4">
        <w:t>Out of</w:t>
      </w:r>
      <w:r w:rsidR="00C31906">
        <w:t xml:space="preserve"> the 15 sites reviewed, a</w:t>
      </w:r>
      <w:r w:rsidR="00DB5B82">
        <w:t xml:space="preserve">ll but two NSW and two </w:t>
      </w:r>
      <w:r w:rsidR="00DC5EB9">
        <w:t xml:space="preserve">Queensland </w:t>
      </w:r>
      <w:r w:rsidR="00DB5B82">
        <w:t xml:space="preserve">sites allocated </w:t>
      </w:r>
      <w:proofErr w:type="spellStart"/>
      <w:r w:rsidR="00DB5B82">
        <w:t>imprest</w:t>
      </w:r>
      <w:proofErr w:type="spellEnd"/>
      <w:r w:rsidR="00DB5B82">
        <w:t xml:space="preserve"> drugs to wards and then onto patients and linked dispensed drugs directly to patients. There was some variation in the rules</w:t>
      </w:r>
      <w:r w:rsidR="00DC5EB9">
        <w:t xml:space="preserve"> participants</w:t>
      </w:r>
      <w:r w:rsidR="00DB5B82">
        <w:t xml:space="preserve"> used to link dispensed drugs to patients</w:t>
      </w:r>
      <w:r w:rsidR="00DC5EB9">
        <w:t xml:space="preserve">; </w:t>
      </w:r>
      <w:r w:rsidR="00DB5B82">
        <w:t>however</w:t>
      </w:r>
      <w:r w:rsidR="00DC5EB9">
        <w:t>,</w:t>
      </w:r>
      <w:r w:rsidR="00DB5B82">
        <w:t xml:space="preserve"> the general </w:t>
      </w:r>
      <w:r w:rsidR="00022D9D">
        <w:t>practice</w:t>
      </w:r>
      <w:r w:rsidR="00DB5B82">
        <w:t xml:space="preserve"> was to have a short deviation in service date time for inpatients and ED patients, and a large deviation</w:t>
      </w:r>
      <w:r w:rsidR="00C31906">
        <w:t xml:space="preserve"> window</w:t>
      </w:r>
      <w:r w:rsidR="00DB5B82">
        <w:t xml:space="preserve"> for outpatients.</w:t>
      </w:r>
    </w:p>
    <w:p w:rsidR="00022D9D" w:rsidRDefault="006359D6" w:rsidP="00022D9D">
      <w:pPr>
        <w:pStyle w:val="PwCNormal"/>
        <w:numPr>
          <w:ilvl w:val="0"/>
          <w:numId w:val="0"/>
        </w:numPr>
        <w:ind w:left="720"/>
      </w:pPr>
      <w:r>
        <w:t xml:space="preserve">There was some variation </w:t>
      </w:r>
      <w:r w:rsidR="00C31906">
        <w:t xml:space="preserve">in </w:t>
      </w:r>
      <w:r>
        <w:t xml:space="preserve">the proportion of unlinked pharmacy costs </w:t>
      </w:r>
      <w:r w:rsidR="00DC5EB9">
        <w:t xml:space="preserve">among </w:t>
      </w:r>
      <w:r>
        <w:t xml:space="preserve">the participants, ranging from 2.1% to 15.5%. </w:t>
      </w:r>
      <w:r w:rsidR="00DC5EB9">
        <w:t>Most</w:t>
      </w:r>
      <w:r>
        <w:t xml:space="preserve"> participants </w:t>
      </w:r>
      <w:r w:rsidR="00DC5EB9">
        <w:t>allocated</w:t>
      </w:r>
      <w:r>
        <w:t xml:space="preserve"> these records to a ‘virtual patient’ and remove</w:t>
      </w:r>
      <w:r w:rsidR="00DC5EB9">
        <w:t>d</w:t>
      </w:r>
      <w:r>
        <w:t xml:space="preserve"> the costs from the</w:t>
      </w:r>
      <w:r w:rsidR="00DC5EB9">
        <w:t>ir</w:t>
      </w:r>
      <w:r>
        <w:t xml:space="preserve"> submission to </w:t>
      </w:r>
      <w:r w:rsidR="00DC5EB9">
        <w:t xml:space="preserve">the </w:t>
      </w:r>
      <w:r>
        <w:t>IHPA.</w:t>
      </w:r>
    </w:p>
    <w:p w:rsidR="009F2BCA" w:rsidRDefault="00DB5B82" w:rsidP="00022D9D">
      <w:pPr>
        <w:pStyle w:val="PwCNormal"/>
        <w:numPr>
          <w:ilvl w:val="0"/>
          <w:numId w:val="0"/>
        </w:numPr>
        <w:ind w:left="720"/>
      </w:pPr>
      <w:r>
        <w:t>Where relevant, most of the participating sites noted that the split between the ‘</w:t>
      </w:r>
      <w:proofErr w:type="spellStart"/>
      <w:r>
        <w:t>PharmPBS</w:t>
      </w:r>
      <w:proofErr w:type="spellEnd"/>
      <w:r>
        <w:t>’ and ‘</w:t>
      </w:r>
      <w:proofErr w:type="spellStart"/>
      <w:r>
        <w:t>PharmNPBS</w:t>
      </w:r>
      <w:proofErr w:type="spellEnd"/>
      <w:r>
        <w:t>’</w:t>
      </w:r>
      <w:r w:rsidR="00022D9D">
        <w:t xml:space="preserve"> line items were a ‘best effort’ split given that the </w:t>
      </w:r>
      <w:r w:rsidR="00C47FD2">
        <w:t>GL</w:t>
      </w:r>
      <w:r w:rsidR="00576E03">
        <w:t xml:space="preserve"> and/or pharmacy systems</w:t>
      </w:r>
      <w:r w:rsidR="00022D9D">
        <w:t xml:space="preserve"> may not have been established to differentiate between the funding </w:t>
      </w:r>
      <w:proofErr w:type="gramStart"/>
      <w:r w:rsidR="00022D9D">
        <w:t>source</w:t>
      </w:r>
      <w:proofErr w:type="gramEnd"/>
      <w:r w:rsidR="00022D9D">
        <w:t xml:space="preserve"> of the drugs.</w:t>
      </w:r>
    </w:p>
    <w:p w:rsidR="007E4E66" w:rsidRDefault="007E4E66" w:rsidP="009C4A5D">
      <w:pPr>
        <w:pStyle w:val="PwCNormal"/>
        <w:numPr>
          <w:ilvl w:val="0"/>
          <w:numId w:val="43"/>
        </w:numPr>
      </w:pPr>
      <w:r>
        <w:rPr>
          <w:b/>
        </w:rPr>
        <w:t>Theatre:</w:t>
      </w:r>
      <w:r w:rsidR="00022D9D">
        <w:rPr>
          <w:b/>
        </w:rPr>
        <w:t xml:space="preserve"> </w:t>
      </w:r>
      <w:r w:rsidR="00DC5EB9">
        <w:t>Participating sites allocated theatre costs to patients in a generally consistent manner.</w:t>
      </w:r>
      <w:r w:rsidR="00022D9D">
        <w:t xml:space="preserve"> </w:t>
      </w:r>
      <w:r w:rsidR="00DC5EB9">
        <w:t>Twelve</w:t>
      </w:r>
      <w:r w:rsidR="00022D9D">
        <w:t xml:space="preserve"> of the 15 participants split theatre costs into several intermediate products and </w:t>
      </w:r>
      <w:r w:rsidR="00DC5EB9">
        <w:t xml:space="preserve">allocated </w:t>
      </w:r>
      <w:r w:rsidR="00022D9D">
        <w:t>those cost pools using different time</w:t>
      </w:r>
      <w:r w:rsidR="00C31906">
        <w:t>-based units</w:t>
      </w:r>
      <w:r w:rsidR="00022D9D">
        <w:t xml:space="preserve"> (such as transfer in/out times of the recovery unit</w:t>
      </w:r>
      <w:r w:rsidR="00DC5EB9">
        <w:t>)</w:t>
      </w:r>
      <w:r w:rsidR="00703E06">
        <w:t xml:space="preserve">. Two sites in NSW </w:t>
      </w:r>
      <w:r w:rsidR="00DC5EB9">
        <w:t xml:space="preserve">used </w:t>
      </w:r>
      <w:r w:rsidR="00022D9D">
        <w:t xml:space="preserve">service weights </w:t>
      </w:r>
      <w:r w:rsidR="00DC5EB9">
        <w:t>because</w:t>
      </w:r>
      <w:r w:rsidR="00703E06">
        <w:t xml:space="preserve"> </w:t>
      </w:r>
      <w:r w:rsidR="00DC5EB9">
        <w:t>an</w:t>
      </w:r>
      <w:r w:rsidR="00022D9D">
        <w:t xml:space="preserve"> issue with the</w:t>
      </w:r>
      <w:r w:rsidR="00703E06">
        <w:t>ir</w:t>
      </w:r>
      <w:r w:rsidR="00022D9D">
        <w:t xml:space="preserve"> theatre management system </w:t>
      </w:r>
      <w:r w:rsidR="00DC5EB9">
        <w:t xml:space="preserve">caused </w:t>
      </w:r>
      <w:r w:rsidR="00022D9D">
        <w:t>data quality issues</w:t>
      </w:r>
      <w:r w:rsidR="00703E06">
        <w:t>, and one WA site used total time to allocate all theatre costs</w:t>
      </w:r>
      <w:r w:rsidR="006359D6">
        <w:t>.</w:t>
      </w:r>
    </w:p>
    <w:p w:rsidR="006359D6" w:rsidRDefault="006359D6" w:rsidP="006359D6">
      <w:pPr>
        <w:pStyle w:val="PwCNormal"/>
        <w:numPr>
          <w:ilvl w:val="0"/>
          <w:numId w:val="0"/>
        </w:numPr>
        <w:ind w:left="720"/>
      </w:pPr>
      <w:r>
        <w:t xml:space="preserve">Given that most patients entering the theatre are admitted patients, unlinked proportions were very low for most participants (less than 0.2%). One participant </w:t>
      </w:r>
      <w:r w:rsidR="00703E06">
        <w:t xml:space="preserve">in NSW </w:t>
      </w:r>
      <w:r>
        <w:t xml:space="preserve">had 32% of theatre </w:t>
      </w:r>
      <w:r w:rsidR="00703E06">
        <w:t>activity</w:t>
      </w:r>
      <w:r>
        <w:t xml:space="preserve"> unlinked, </w:t>
      </w:r>
      <w:r w:rsidR="00DC5EB9">
        <w:t xml:space="preserve">but </w:t>
      </w:r>
      <w:r>
        <w:t>this was due to data quality issues with the feeder system.</w:t>
      </w:r>
    </w:p>
    <w:p w:rsidR="00027213" w:rsidRDefault="005C7380" w:rsidP="003727C5">
      <w:pPr>
        <w:pStyle w:val="PwCNormal"/>
        <w:numPr>
          <w:ilvl w:val="0"/>
          <w:numId w:val="43"/>
        </w:numPr>
      </w:pPr>
      <w:r>
        <w:rPr>
          <w:b/>
        </w:rPr>
        <w:t xml:space="preserve">Ward nursing: </w:t>
      </w:r>
      <w:r w:rsidR="00DC5EB9">
        <w:t>Participants allocated</w:t>
      </w:r>
      <w:r w:rsidR="00C31906">
        <w:rPr>
          <w:b/>
        </w:rPr>
        <w:t xml:space="preserve"> </w:t>
      </w:r>
      <w:r w:rsidR="00DC5EB9">
        <w:t>ward nursing costs to patients in a generally consistent manner</w:t>
      </w:r>
      <w:r>
        <w:t xml:space="preserve">. </w:t>
      </w:r>
      <w:r w:rsidR="00C31906">
        <w:t xml:space="preserve">Four </w:t>
      </w:r>
      <w:r>
        <w:t xml:space="preserve">of the 15 participants </w:t>
      </w:r>
      <w:r w:rsidR="00703E06">
        <w:t>(</w:t>
      </w:r>
      <w:r w:rsidR="00DC5EB9">
        <w:t xml:space="preserve">three </w:t>
      </w:r>
      <w:r w:rsidR="00703E06">
        <w:t xml:space="preserve">in QLD and </w:t>
      </w:r>
      <w:r w:rsidR="00DC5EB9">
        <w:t xml:space="preserve">one </w:t>
      </w:r>
      <w:r w:rsidR="00703E06">
        <w:t xml:space="preserve">in SA) </w:t>
      </w:r>
      <w:r w:rsidR="00DC5EB9">
        <w:t>used</w:t>
      </w:r>
      <w:r>
        <w:t xml:space="preserve"> a nursing dependency system </w:t>
      </w:r>
      <w:r w:rsidR="00875246">
        <w:t xml:space="preserve">and the remaining 11 participants </w:t>
      </w:r>
      <w:r w:rsidR="00DC5EB9">
        <w:t xml:space="preserve">allocated </w:t>
      </w:r>
      <w:r w:rsidR="00875246">
        <w:t xml:space="preserve">ward nursing costs using fractional bed days calculated </w:t>
      </w:r>
      <w:r w:rsidR="00DC5EB9">
        <w:t xml:space="preserve">using </w:t>
      </w:r>
      <w:r w:rsidR="00875246">
        <w:t xml:space="preserve">patient transfer files. </w:t>
      </w:r>
      <w:r w:rsidR="00576E03">
        <w:t>Only</w:t>
      </w:r>
      <w:r w:rsidR="00DC5EB9">
        <w:t xml:space="preserve"> participants in</w:t>
      </w:r>
      <w:r w:rsidR="00576E03">
        <w:t xml:space="preserve"> </w:t>
      </w:r>
      <w:r w:rsidR="00DC5EB9">
        <w:t>SA</w:t>
      </w:r>
      <w:r w:rsidR="00875246">
        <w:t xml:space="preserve"> </w:t>
      </w:r>
      <w:r w:rsidR="00215E7C">
        <w:t>noted any unlinked records for ward nursing costs.</w:t>
      </w:r>
      <w:r w:rsidR="00027213">
        <w:br w:type="page"/>
      </w:r>
    </w:p>
    <w:p w:rsidR="00CF4992" w:rsidRDefault="00DC5EB9" w:rsidP="00027213">
      <w:pPr>
        <w:pStyle w:val="PwCNormal"/>
        <w:numPr>
          <w:ilvl w:val="0"/>
          <w:numId w:val="0"/>
        </w:numPr>
        <w:spacing w:after="120"/>
      </w:pPr>
      <w:r>
        <w:lastRenderedPageBreak/>
        <w:t>The noted a number of other observations, summarised below.</w:t>
      </w:r>
    </w:p>
    <w:p w:rsidR="00215E7C" w:rsidRDefault="00DC5EB9" w:rsidP="00027213">
      <w:pPr>
        <w:pStyle w:val="PwCNormal"/>
        <w:numPr>
          <w:ilvl w:val="0"/>
          <w:numId w:val="43"/>
        </w:numPr>
        <w:spacing w:after="120"/>
      </w:pPr>
      <w:r w:rsidRPr="003727C5">
        <w:rPr>
          <w:b/>
        </w:rPr>
        <w:t>Participants used</w:t>
      </w:r>
      <w:r w:rsidR="00215E7C">
        <w:t xml:space="preserve"> </w:t>
      </w:r>
      <w:r w:rsidR="00215E7C" w:rsidRPr="00672C59">
        <w:rPr>
          <w:b/>
        </w:rPr>
        <w:t>a range of costing methodologies</w:t>
      </w:r>
      <w:r w:rsidR="00215E7C">
        <w:t xml:space="preserve"> </w:t>
      </w:r>
      <w:r>
        <w:rPr>
          <w:b/>
        </w:rPr>
        <w:t>to allocate</w:t>
      </w:r>
      <w:r w:rsidR="00215E7C">
        <w:rPr>
          <w:b/>
        </w:rPr>
        <w:t xml:space="preserve"> ED and OP costs to patients. </w:t>
      </w:r>
      <w:r w:rsidR="00215E7C">
        <w:t>Many</w:t>
      </w:r>
      <w:r w:rsidR="00703E06">
        <w:t xml:space="preserve"> jurisdictions </w:t>
      </w:r>
      <w:r w:rsidR="004D48FD">
        <w:t>plan to</w:t>
      </w:r>
      <w:r w:rsidR="00703E06">
        <w:t xml:space="preserve"> </w:t>
      </w:r>
      <w:r w:rsidR="004D48FD">
        <w:t>improve</w:t>
      </w:r>
      <w:r w:rsidR="00215E7C">
        <w:t xml:space="preserve"> these methodologies in future rounds</w:t>
      </w:r>
      <w:r w:rsidR="00F45FB4">
        <w:t xml:space="preserve"> of review;</w:t>
      </w:r>
      <w:r w:rsidR="00215E7C">
        <w:t xml:space="preserve"> however</w:t>
      </w:r>
      <w:r w:rsidR="00F45FB4">
        <w:t>,</w:t>
      </w:r>
      <w:r w:rsidR="00215E7C">
        <w:t xml:space="preserve"> the difficulty often arises from </w:t>
      </w:r>
      <w:r w:rsidR="00F45FB4">
        <w:t xml:space="preserve">a </w:t>
      </w:r>
      <w:r w:rsidR="00215E7C">
        <w:t>lack of quality</w:t>
      </w:r>
      <w:r w:rsidR="00672C59">
        <w:t xml:space="preserve"> data that </w:t>
      </w:r>
      <w:r w:rsidR="00C31906">
        <w:t>appropriately</w:t>
      </w:r>
      <w:r w:rsidR="00215E7C">
        <w:t xml:space="preserve"> differentiates resource consumption between patients. We recommend that </w:t>
      </w:r>
      <w:r w:rsidR="00F45FB4">
        <w:t xml:space="preserve">the </w:t>
      </w:r>
      <w:r w:rsidR="00215E7C">
        <w:t>IHPA</w:t>
      </w:r>
      <w:r w:rsidR="00C47FD2">
        <w:t xml:space="preserve"> identify </w:t>
      </w:r>
      <w:r w:rsidR="00215E7C">
        <w:t xml:space="preserve">acceptable </w:t>
      </w:r>
      <w:r w:rsidR="008D568E">
        <w:t xml:space="preserve">allocation </w:t>
      </w:r>
      <w:r w:rsidR="00215E7C">
        <w:t>method</w:t>
      </w:r>
      <w:r w:rsidR="008D568E">
        <w:t>ologies</w:t>
      </w:r>
      <w:r w:rsidR="00215E7C">
        <w:t xml:space="preserve"> for costing these products</w:t>
      </w:r>
      <w:r w:rsidR="00F45FB4">
        <w:t>,</w:t>
      </w:r>
      <w:r w:rsidR="008D568E">
        <w:t xml:space="preserve"> </w:t>
      </w:r>
      <w:r w:rsidR="00F45FB4">
        <w:t xml:space="preserve">taking </w:t>
      </w:r>
      <w:r w:rsidR="008D568E">
        <w:t xml:space="preserve">feeder </w:t>
      </w:r>
      <w:r w:rsidR="00215E7C">
        <w:t>data</w:t>
      </w:r>
      <w:r w:rsidR="00C31906">
        <w:t xml:space="preserve"> r</w:t>
      </w:r>
      <w:r w:rsidR="008D568E">
        <w:t>equirements</w:t>
      </w:r>
      <w:r w:rsidR="00F45FB4">
        <w:t xml:space="preserve"> into consideration</w:t>
      </w:r>
      <w:r w:rsidR="00215E7C">
        <w:t>. These</w:t>
      </w:r>
      <w:r w:rsidR="004D48FD">
        <w:t xml:space="preserve"> recommended</w:t>
      </w:r>
      <w:r w:rsidR="00215E7C">
        <w:t xml:space="preserve"> methods could be documented in future versions of the AHPCS</w:t>
      </w:r>
      <w:r w:rsidR="00F45FB4">
        <w:t>, providing guidance to</w:t>
      </w:r>
      <w:r w:rsidR="00215E7C">
        <w:t xml:space="preserve"> </w:t>
      </w:r>
      <w:r w:rsidR="00C47FD2">
        <w:t xml:space="preserve">jurisdictions </w:t>
      </w:r>
      <w:r w:rsidR="004D48FD">
        <w:t>in their efforts</w:t>
      </w:r>
      <w:r w:rsidR="00215E7C">
        <w:t xml:space="preserve"> to improve </w:t>
      </w:r>
      <w:r w:rsidR="004D48FD">
        <w:t>data capture</w:t>
      </w:r>
      <w:r w:rsidR="00215E7C">
        <w:t xml:space="preserve"> and</w:t>
      </w:r>
      <w:r w:rsidR="00F45FB4">
        <w:t xml:space="preserve"> </w:t>
      </w:r>
      <w:r w:rsidR="00215E7C">
        <w:t xml:space="preserve">costing </w:t>
      </w:r>
      <w:r w:rsidR="004D48FD">
        <w:t>methodologies</w:t>
      </w:r>
      <w:r w:rsidR="00215E7C">
        <w:t>.</w:t>
      </w:r>
    </w:p>
    <w:p w:rsidR="00672C59" w:rsidRDefault="00672C59" w:rsidP="00027213">
      <w:pPr>
        <w:pStyle w:val="PwCNormal"/>
        <w:numPr>
          <w:ilvl w:val="0"/>
          <w:numId w:val="43"/>
        </w:numPr>
        <w:spacing w:after="120"/>
      </w:pPr>
      <w:r w:rsidRPr="003727C5">
        <w:rPr>
          <w:b/>
        </w:rPr>
        <w:t>Some participants noted</w:t>
      </w:r>
      <w:r>
        <w:t xml:space="preserve"> </w:t>
      </w:r>
      <w:r>
        <w:rPr>
          <w:b/>
        </w:rPr>
        <w:t>incorrect line item allocations</w:t>
      </w:r>
      <w:r>
        <w:t>, particularly in areas such as ‘Corp costs’ and the split between</w:t>
      </w:r>
      <w:r w:rsidR="004D48FD">
        <w:t xml:space="preserve"> Pharmaceutical benefits scheme (</w:t>
      </w:r>
      <w:r>
        <w:t>PBS</w:t>
      </w:r>
      <w:r w:rsidR="004D48FD">
        <w:t>)</w:t>
      </w:r>
      <w:r>
        <w:t xml:space="preserve"> and Non-PBS pharmacy costs. We recommend that </w:t>
      </w:r>
      <w:r w:rsidR="004D48FD">
        <w:t xml:space="preserve">the AHPCS include </w:t>
      </w:r>
      <w:r>
        <w:t xml:space="preserve">additional guidance on what types of costs </w:t>
      </w:r>
      <w:r w:rsidR="004D48FD">
        <w:t>should be recorded against which</w:t>
      </w:r>
      <w:r>
        <w:t xml:space="preserve"> line </w:t>
      </w:r>
      <w:r w:rsidR="00C47FD2">
        <w:t>items</w:t>
      </w:r>
      <w:r w:rsidR="004D48FD">
        <w:t xml:space="preserve">, </w:t>
      </w:r>
      <w:r>
        <w:t xml:space="preserve">including scenarios </w:t>
      </w:r>
      <w:r w:rsidR="004D48FD">
        <w:t>where</w:t>
      </w:r>
      <w:r w:rsidR="008D568E">
        <w:t xml:space="preserve"> some costs are already incorporate</w:t>
      </w:r>
      <w:r>
        <w:t xml:space="preserve">d in the GL and </w:t>
      </w:r>
      <w:r w:rsidR="004D48FD">
        <w:t xml:space="preserve">others </w:t>
      </w:r>
      <w:r>
        <w:t>where they are allocated to the GL during the costing process.</w:t>
      </w:r>
    </w:p>
    <w:p w:rsidR="00672C59" w:rsidRDefault="00672C59" w:rsidP="00027213">
      <w:pPr>
        <w:pStyle w:val="PwCNormal"/>
        <w:numPr>
          <w:ilvl w:val="0"/>
          <w:numId w:val="43"/>
        </w:numPr>
        <w:spacing w:after="120"/>
      </w:pPr>
      <w:r>
        <w:rPr>
          <w:b/>
        </w:rPr>
        <w:t>Teaching, training and research</w:t>
      </w:r>
      <w:r w:rsidR="006E219F">
        <w:rPr>
          <w:b/>
        </w:rPr>
        <w:t xml:space="preserve"> (TTR)</w:t>
      </w:r>
      <w:r w:rsidR="004D48FD">
        <w:rPr>
          <w:b/>
        </w:rPr>
        <w:t xml:space="preserve"> costs</w:t>
      </w:r>
      <w:r w:rsidR="008D568E">
        <w:t xml:space="preserve"> </w:t>
      </w:r>
      <w:r w:rsidR="008D568E" w:rsidRPr="003727C5">
        <w:rPr>
          <w:b/>
        </w:rPr>
        <w:t>continue to represent a fair portion of hospital costs</w:t>
      </w:r>
      <w:r w:rsidR="008D568E">
        <w:t xml:space="preserve">, </w:t>
      </w:r>
      <w:r w:rsidR="004D48FD">
        <w:t xml:space="preserve">but </w:t>
      </w:r>
      <w:r w:rsidR="008D568E">
        <w:t>are currently not allocated to any hospital activity</w:t>
      </w:r>
      <w:r w:rsidR="00B47687">
        <w:t xml:space="preserve"> and </w:t>
      </w:r>
      <w:r w:rsidR="004D48FD">
        <w:t xml:space="preserve">are </w:t>
      </w:r>
      <w:r w:rsidR="00B47687">
        <w:t xml:space="preserve">not consistently identified across </w:t>
      </w:r>
      <w:r w:rsidR="00564358">
        <w:t>hospitals</w:t>
      </w:r>
      <w:r w:rsidR="008D568E">
        <w:t xml:space="preserve">. As a result, there is limited visibility </w:t>
      </w:r>
      <w:r w:rsidR="004D48FD">
        <w:t xml:space="preserve">regarding </w:t>
      </w:r>
      <w:r w:rsidR="008D568E">
        <w:t xml:space="preserve">the </w:t>
      </w:r>
      <w:r w:rsidR="004D48FD">
        <w:t xml:space="preserve">overall </w:t>
      </w:r>
      <w:r w:rsidR="00B47687">
        <w:t xml:space="preserve">proportion of these costs and the </w:t>
      </w:r>
      <w:r w:rsidR="008D568E">
        <w:t xml:space="preserve">costing of this product. </w:t>
      </w:r>
      <w:r w:rsidR="006E219F">
        <w:t xml:space="preserve">We </w:t>
      </w:r>
      <w:r w:rsidR="008D568E">
        <w:t>understand that</w:t>
      </w:r>
      <w:r w:rsidR="006E219F">
        <w:t xml:space="preserve"> </w:t>
      </w:r>
      <w:r w:rsidR="004D48FD">
        <w:t xml:space="preserve">the </w:t>
      </w:r>
      <w:r w:rsidR="006E219F">
        <w:t xml:space="preserve">IHPA </w:t>
      </w:r>
      <w:r w:rsidR="004D48FD">
        <w:t>is</w:t>
      </w:r>
      <w:r w:rsidR="008D568E">
        <w:t xml:space="preserve"> currently </w:t>
      </w:r>
      <w:r w:rsidR="006E219F">
        <w:t xml:space="preserve">developing a </w:t>
      </w:r>
      <w:r w:rsidR="004D48FD">
        <w:t xml:space="preserve">costing </w:t>
      </w:r>
      <w:r w:rsidR="006E219F">
        <w:t>classification system</w:t>
      </w:r>
      <w:r w:rsidR="008D568E">
        <w:t xml:space="preserve">, and we recommend that future versions of the AHPCS include guidance on how to separate out and allocate </w:t>
      </w:r>
      <w:r w:rsidR="004D48FD">
        <w:t xml:space="preserve">TTR </w:t>
      </w:r>
      <w:r w:rsidR="008D568E">
        <w:t>costs</w:t>
      </w:r>
      <w:r w:rsidR="006E219F">
        <w:t>.</w:t>
      </w:r>
    </w:p>
    <w:p w:rsidR="006E219F" w:rsidRDefault="004D48FD" w:rsidP="00027213">
      <w:pPr>
        <w:pStyle w:val="PwCNormal"/>
        <w:numPr>
          <w:ilvl w:val="0"/>
          <w:numId w:val="43"/>
        </w:numPr>
        <w:spacing w:after="120"/>
      </w:pPr>
      <w:r>
        <w:rPr>
          <w:b/>
        </w:rPr>
        <w:t>Hospitals continue to use p</w:t>
      </w:r>
      <w:r w:rsidR="00C47FD2">
        <w:rPr>
          <w:b/>
        </w:rPr>
        <w:t xml:space="preserve">roduct </w:t>
      </w:r>
      <w:r w:rsidR="006E219F">
        <w:rPr>
          <w:b/>
        </w:rPr>
        <w:t>fractions (PFRACs)</w:t>
      </w:r>
      <w:r>
        <w:t xml:space="preserve"> – </w:t>
      </w:r>
      <w:r w:rsidR="006E219F">
        <w:t>11 of the 15 participants use</w:t>
      </w:r>
      <w:r>
        <w:t>d them</w:t>
      </w:r>
      <w:r w:rsidR="006E219F">
        <w:t xml:space="preserve"> for the</w:t>
      </w:r>
      <w:r>
        <w:t>ir</w:t>
      </w:r>
      <w:r w:rsidR="006E219F">
        <w:t xml:space="preserve"> </w:t>
      </w:r>
      <w:r w:rsidR="006A194B">
        <w:t>Round 17</w:t>
      </w:r>
      <w:r w:rsidR="006E219F">
        <w:t xml:space="preserve"> submission</w:t>
      </w:r>
      <w:r w:rsidR="006B55E1">
        <w:t xml:space="preserve"> </w:t>
      </w:r>
      <w:r>
        <w:t xml:space="preserve">– </w:t>
      </w:r>
      <w:r w:rsidR="006B55E1">
        <w:t xml:space="preserve">and variable practices </w:t>
      </w:r>
      <w:r>
        <w:t xml:space="preserve">for </w:t>
      </w:r>
      <w:r w:rsidR="006B55E1">
        <w:t xml:space="preserve">reviewing </w:t>
      </w:r>
      <w:r>
        <w:t>them</w:t>
      </w:r>
      <w:r w:rsidR="006E219F">
        <w:t xml:space="preserve">. We recommend that the </w:t>
      </w:r>
      <w:r w:rsidR="00C47FD2">
        <w:t xml:space="preserve">IHPA </w:t>
      </w:r>
      <w:r w:rsidR="006E219F">
        <w:t>discuss best practice processes for developin</w:t>
      </w:r>
      <w:r w:rsidR="00BD66D7">
        <w:t>g, reviewing and updating PFRACs</w:t>
      </w:r>
      <w:r w:rsidR="006E219F">
        <w:t xml:space="preserve">, and </w:t>
      </w:r>
      <w:r>
        <w:t>include this as</w:t>
      </w:r>
      <w:r w:rsidR="006E219F">
        <w:t xml:space="preserve"> guidance</w:t>
      </w:r>
      <w:r w:rsidR="00BD66D7">
        <w:t xml:space="preserve"> </w:t>
      </w:r>
      <w:r w:rsidR="006E219F">
        <w:t>in the next version of the AHPCS.</w:t>
      </w:r>
    </w:p>
    <w:p w:rsidR="00B614C1" w:rsidRPr="00CF4992" w:rsidRDefault="00B614C1" w:rsidP="00B614C1">
      <w:pPr>
        <w:pStyle w:val="BlockText"/>
        <w:spacing w:before="240"/>
        <w:rPr>
          <w:sz w:val="28"/>
          <w:szCs w:val="28"/>
        </w:rPr>
      </w:pPr>
      <w:r>
        <w:rPr>
          <w:sz w:val="28"/>
          <w:szCs w:val="28"/>
        </w:rPr>
        <w:t>Structure of the report</w:t>
      </w:r>
    </w:p>
    <w:p w:rsidR="00B614C1" w:rsidRDefault="00B614C1" w:rsidP="00B614C1">
      <w:pPr>
        <w:pStyle w:val="PwCNormal"/>
        <w:numPr>
          <w:ilvl w:val="0"/>
          <w:numId w:val="0"/>
        </w:numPr>
      </w:pPr>
      <w:r>
        <w:t>This</w:t>
      </w:r>
      <w:r w:rsidRPr="00B614C1">
        <w:t xml:space="preserve"> report provides </w:t>
      </w:r>
      <w:r w:rsidR="006B55E1">
        <w:t>an overall summary and findings by</w:t>
      </w:r>
      <w:r w:rsidRPr="00B614C1">
        <w:t xml:space="preserve"> jurisdiction</w:t>
      </w:r>
      <w:r w:rsidR="004D48FD">
        <w:t>,</w:t>
      </w:r>
      <w:r w:rsidRPr="00B614C1">
        <w:t xml:space="preserve"> and includes a number of recommendations for </w:t>
      </w:r>
      <w:r w:rsidR="004D48FD">
        <w:t xml:space="preserve">the </w:t>
      </w:r>
      <w:r w:rsidRPr="00B614C1">
        <w:t xml:space="preserve">IHPA and the jurisdictions to consider in future rounds </w:t>
      </w:r>
      <w:r w:rsidR="0063507F">
        <w:t>of review, with the aim of</w:t>
      </w:r>
      <w:r w:rsidRPr="00B614C1">
        <w:t xml:space="preserve"> </w:t>
      </w:r>
      <w:r w:rsidR="0063507F" w:rsidRPr="00B614C1">
        <w:t>improv</w:t>
      </w:r>
      <w:r w:rsidR="0063507F">
        <w:t>ing</w:t>
      </w:r>
      <w:r w:rsidR="0063507F" w:rsidRPr="00B614C1">
        <w:t xml:space="preserve"> </w:t>
      </w:r>
      <w:r w:rsidRPr="00B614C1">
        <w:t xml:space="preserve">the consistency and transparency of </w:t>
      </w:r>
      <w:r>
        <w:t>NHCDC submissions</w:t>
      </w:r>
      <w:r w:rsidRPr="00B614C1">
        <w:t>.</w:t>
      </w:r>
    </w:p>
    <w:tbl>
      <w:tblPr>
        <w:tblStyle w:val="Tables-APBase"/>
        <w:tblW w:w="9180" w:type="dxa"/>
        <w:tblLook w:val="04A0" w:firstRow="1" w:lastRow="0" w:firstColumn="1" w:lastColumn="0" w:noHBand="0" w:noVBand="1"/>
        <w:tblCaption w:val="Structure of the report"/>
        <w:tblDescription w:val="This table outlines the structure of the report, including the following sections: Introduction, Findings, Hospital Chapters, IHPA process review, Peer review and Appendix A."/>
      </w:tblPr>
      <w:tblGrid>
        <w:gridCol w:w="3227"/>
        <w:gridCol w:w="5953"/>
      </w:tblGrid>
      <w:tr w:rsidR="00B614C1" w:rsidTr="00B614C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27" w:type="dxa"/>
          </w:tcPr>
          <w:p w:rsidR="00B614C1" w:rsidRPr="00B614C1" w:rsidRDefault="00B614C1" w:rsidP="00B614C1">
            <w:pPr>
              <w:pStyle w:val="PwCNormal"/>
              <w:numPr>
                <w:ilvl w:val="0"/>
                <w:numId w:val="0"/>
              </w:numPr>
              <w:rPr>
                <w:b/>
              </w:rPr>
            </w:pPr>
            <w:r w:rsidRPr="00B614C1">
              <w:rPr>
                <w:b/>
              </w:rPr>
              <w:t>Report sections</w:t>
            </w:r>
          </w:p>
        </w:tc>
        <w:tc>
          <w:tcPr>
            <w:tcW w:w="5953" w:type="dxa"/>
          </w:tcPr>
          <w:p w:rsidR="00B614C1" w:rsidRPr="00B614C1" w:rsidRDefault="00B614C1" w:rsidP="00B614C1">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B614C1">
              <w:rPr>
                <w:b/>
              </w:rPr>
              <w:t>Details</w:t>
            </w:r>
          </w:p>
        </w:tc>
      </w:tr>
      <w:tr w:rsidR="00B614C1" w:rsidTr="00B614C1">
        <w:tc>
          <w:tcPr>
            <w:tcW w:w="3227" w:type="dxa"/>
          </w:tcPr>
          <w:p w:rsidR="00B614C1" w:rsidRDefault="00B614C1" w:rsidP="00B614C1">
            <w:pPr>
              <w:pStyle w:val="PwCNormal"/>
              <w:numPr>
                <w:ilvl w:val="0"/>
                <w:numId w:val="0"/>
              </w:numPr>
              <w:spacing w:after="0"/>
            </w:pPr>
            <w:r>
              <w:t>Introduction</w:t>
            </w:r>
          </w:p>
        </w:tc>
        <w:tc>
          <w:tcPr>
            <w:tcW w:w="5953" w:type="dxa"/>
          </w:tcPr>
          <w:p w:rsidR="00B614C1" w:rsidRDefault="0063507F" w:rsidP="003A79B9">
            <w:pPr>
              <w:pStyle w:val="PwCNormal"/>
              <w:numPr>
                <w:ilvl w:val="0"/>
                <w:numId w:val="0"/>
              </w:numPr>
              <w:spacing w:after="0"/>
            </w:pPr>
            <w:r>
              <w:t>O</w:t>
            </w:r>
            <w:r w:rsidR="00B614C1" w:rsidRPr="00B614C1">
              <w:t xml:space="preserve">utlines the purpose, scope and methodology of this </w:t>
            </w:r>
            <w:r w:rsidR="003A79B9" w:rsidRPr="00B614C1">
              <w:t>financial</w:t>
            </w:r>
            <w:r w:rsidR="003A79B9">
              <w:t xml:space="preserve"> </w:t>
            </w:r>
            <w:r w:rsidR="00B614C1" w:rsidRPr="00B614C1">
              <w:t>review</w:t>
            </w:r>
          </w:p>
        </w:tc>
      </w:tr>
      <w:tr w:rsidR="00B614C1" w:rsidTr="00B614C1">
        <w:tc>
          <w:tcPr>
            <w:tcW w:w="3227" w:type="dxa"/>
          </w:tcPr>
          <w:p w:rsidR="00B614C1" w:rsidRDefault="00B614C1" w:rsidP="00B614C1">
            <w:pPr>
              <w:pStyle w:val="PwCNormal"/>
              <w:numPr>
                <w:ilvl w:val="0"/>
                <w:numId w:val="0"/>
              </w:numPr>
              <w:spacing w:after="0"/>
            </w:pPr>
            <w:r>
              <w:t>Findings of the review</w:t>
            </w:r>
          </w:p>
        </w:tc>
        <w:tc>
          <w:tcPr>
            <w:tcW w:w="5953" w:type="dxa"/>
          </w:tcPr>
          <w:p w:rsidR="00B614C1" w:rsidRDefault="0063507F">
            <w:pPr>
              <w:pStyle w:val="PwCNormal"/>
              <w:numPr>
                <w:ilvl w:val="0"/>
                <w:numId w:val="0"/>
              </w:numPr>
              <w:spacing w:after="0"/>
            </w:pPr>
            <w:r>
              <w:t>P</w:t>
            </w:r>
            <w:r w:rsidR="00B614C1" w:rsidRPr="00B614C1">
              <w:t xml:space="preserve">rovides </w:t>
            </w:r>
            <w:r>
              <w:t>a</w:t>
            </w:r>
            <w:r w:rsidRPr="00B614C1">
              <w:t xml:space="preserve"> </w:t>
            </w:r>
            <w:r w:rsidR="00B614C1" w:rsidRPr="00B614C1">
              <w:t>summary of findings from this review</w:t>
            </w:r>
            <w:r>
              <w:t>,</w:t>
            </w:r>
            <w:r w:rsidR="00B614C1" w:rsidRPr="00B614C1">
              <w:t xml:space="preserve"> along with recommendations for improvements in future rounds</w:t>
            </w:r>
          </w:p>
        </w:tc>
      </w:tr>
      <w:tr w:rsidR="00B614C1" w:rsidTr="00B614C1">
        <w:tc>
          <w:tcPr>
            <w:tcW w:w="3227" w:type="dxa"/>
          </w:tcPr>
          <w:p w:rsidR="00B614C1" w:rsidRDefault="00B614C1" w:rsidP="00B614C1">
            <w:pPr>
              <w:pStyle w:val="PwCNormal"/>
              <w:numPr>
                <w:ilvl w:val="0"/>
                <w:numId w:val="0"/>
              </w:numPr>
              <w:spacing w:after="0"/>
            </w:pPr>
            <w:r>
              <w:t>Hospital chapters</w:t>
            </w:r>
          </w:p>
        </w:tc>
        <w:tc>
          <w:tcPr>
            <w:tcW w:w="5953" w:type="dxa"/>
          </w:tcPr>
          <w:p w:rsidR="00B614C1" w:rsidRDefault="0063507F" w:rsidP="003A79B9">
            <w:pPr>
              <w:pStyle w:val="PwCNormal"/>
              <w:numPr>
                <w:ilvl w:val="0"/>
                <w:numId w:val="0"/>
              </w:numPr>
              <w:spacing w:after="0"/>
            </w:pPr>
            <w:r>
              <w:t>E</w:t>
            </w:r>
            <w:r w:rsidR="00B614C1" w:rsidRPr="00B614C1">
              <w:t>xplore</w:t>
            </w:r>
            <w:r w:rsidR="003727C5">
              <w:t>s</w:t>
            </w:r>
            <w:r w:rsidR="00B614C1" w:rsidRPr="00B614C1">
              <w:t xml:space="preserve"> the costing process of participating hospitals and </w:t>
            </w:r>
            <w:r w:rsidR="003A79B9" w:rsidRPr="00B614C1">
              <w:t>the</w:t>
            </w:r>
            <w:r w:rsidR="003A79B9">
              <w:t xml:space="preserve"> </w:t>
            </w:r>
            <w:r w:rsidR="00B614C1" w:rsidRPr="00B614C1">
              <w:t>jurisdictions</w:t>
            </w:r>
          </w:p>
        </w:tc>
      </w:tr>
      <w:tr w:rsidR="00B614C1" w:rsidTr="00B614C1">
        <w:tc>
          <w:tcPr>
            <w:tcW w:w="3227" w:type="dxa"/>
          </w:tcPr>
          <w:p w:rsidR="00B614C1" w:rsidRDefault="00B614C1" w:rsidP="003727C5">
            <w:pPr>
              <w:pStyle w:val="PwCNormal"/>
              <w:numPr>
                <w:ilvl w:val="0"/>
                <w:numId w:val="0"/>
              </w:numPr>
              <w:spacing w:after="0"/>
              <w:rPr>
                <w:rFonts w:asciiTheme="majorHAnsi" w:hAnsiTheme="majorHAnsi"/>
                <w:b/>
                <w:i/>
                <w:iCs/>
                <w:snapToGrid/>
                <w:color w:val="A32020" w:themeColor="text2"/>
                <w:sz w:val="32"/>
                <w:szCs w:val="36"/>
              </w:rPr>
            </w:pPr>
            <w:r>
              <w:t xml:space="preserve">IHPA </w:t>
            </w:r>
            <w:r w:rsidR="0063507F">
              <w:t>process review</w:t>
            </w:r>
          </w:p>
        </w:tc>
        <w:tc>
          <w:tcPr>
            <w:tcW w:w="5953" w:type="dxa"/>
          </w:tcPr>
          <w:p w:rsidR="00B614C1" w:rsidRPr="00B614C1" w:rsidRDefault="0063507F">
            <w:pPr>
              <w:pStyle w:val="PwCNormal"/>
              <w:numPr>
                <w:ilvl w:val="0"/>
                <w:numId w:val="0"/>
              </w:numPr>
              <w:spacing w:after="0"/>
            </w:pPr>
            <w:r>
              <w:t>D</w:t>
            </w:r>
            <w:r w:rsidR="00B614C1" w:rsidRPr="00B614C1">
              <w:t>iscusses the</w:t>
            </w:r>
            <w:r>
              <w:t xml:space="preserve"> IHPA’s</w:t>
            </w:r>
            <w:r w:rsidR="00B614C1" w:rsidRPr="00B614C1">
              <w:t xml:space="preserve"> process </w:t>
            </w:r>
            <w:r>
              <w:t>for</w:t>
            </w:r>
            <w:r w:rsidR="00B614C1" w:rsidRPr="00B614C1">
              <w:t xml:space="preserve"> receiving</w:t>
            </w:r>
            <w:r>
              <w:t xml:space="preserve"> and</w:t>
            </w:r>
            <w:r w:rsidR="00B614C1" w:rsidRPr="00B614C1">
              <w:t xml:space="preserve"> reviewing</w:t>
            </w:r>
            <w:r>
              <w:t xml:space="preserve"> data,</w:t>
            </w:r>
            <w:r w:rsidR="00B614C1" w:rsidRPr="00B614C1">
              <w:t xml:space="preserve"> and storing the costed dataset in the national database</w:t>
            </w:r>
          </w:p>
        </w:tc>
      </w:tr>
      <w:tr w:rsidR="00B614C1" w:rsidTr="00B614C1">
        <w:tc>
          <w:tcPr>
            <w:tcW w:w="3227" w:type="dxa"/>
          </w:tcPr>
          <w:p w:rsidR="00B614C1" w:rsidRDefault="00B614C1" w:rsidP="00B614C1">
            <w:pPr>
              <w:pStyle w:val="PwCNormal"/>
              <w:numPr>
                <w:ilvl w:val="0"/>
                <w:numId w:val="0"/>
              </w:numPr>
              <w:spacing w:after="0"/>
            </w:pPr>
            <w:r>
              <w:t>Peer review</w:t>
            </w:r>
          </w:p>
        </w:tc>
        <w:tc>
          <w:tcPr>
            <w:tcW w:w="5953" w:type="dxa"/>
          </w:tcPr>
          <w:p w:rsidR="00B614C1" w:rsidRDefault="0063507F">
            <w:pPr>
              <w:pStyle w:val="PwCNormal"/>
              <w:numPr>
                <w:ilvl w:val="0"/>
                <w:numId w:val="0"/>
              </w:numPr>
              <w:spacing w:after="0"/>
            </w:pPr>
            <w:r>
              <w:t>O</w:t>
            </w:r>
            <w:r w:rsidR="00B614C1" w:rsidRPr="00B614C1">
              <w:t xml:space="preserve">utlines the peer review process, </w:t>
            </w:r>
            <w:r w:rsidR="006E144C" w:rsidRPr="00B614C1">
              <w:t>its</w:t>
            </w:r>
            <w:r w:rsidR="00B614C1" w:rsidRPr="00B614C1">
              <w:t xml:space="preserve"> purpose and the learnings </w:t>
            </w:r>
            <w:r>
              <w:t>it produced</w:t>
            </w:r>
          </w:p>
        </w:tc>
      </w:tr>
      <w:tr w:rsidR="00B614C1" w:rsidTr="00B614C1">
        <w:tc>
          <w:tcPr>
            <w:tcW w:w="3227" w:type="dxa"/>
          </w:tcPr>
          <w:p w:rsidR="00B614C1" w:rsidRDefault="00B614C1" w:rsidP="00B614C1">
            <w:pPr>
              <w:pStyle w:val="PwCNormal"/>
              <w:numPr>
                <w:ilvl w:val="0"/>
                <w:numId w:val="0"/>
              </w:numPr>
              <w:spacing w:after="0"/>
            </w:pPr>
            <w:r>
              <w:t>Appendix A</w:t>
            </w:r>
          </w:p>
        </w:tc>
        <w:tc>
          <w:tcPr>
            <w:tcW w:w="5953" w:type="dxa"/>
          </w:tcPr>
          <w:p w:rsidR="00B614C1" w:rsidRDefault="0063507F">
            <w:pPr>
              <w:pStyle w:val="PwCNormal"/>
              <w:numPr>
                <w:ilvl w:val="0"/>
                <w:numId w:val="0"/>
              </w:numPr>
              <w:spacing w:after="0"/>
            </w:pPr>
            <w:r>
              <w:t>C</w:t>
            </w:r>
            <w:r w:rsidR="00B614C1" w:rsidRPr="00B614C1">
              <w:t xml:space="preserve">ontains </w:t>
            </w:r>
            <w:r>
              <w:t>a</w:t>
            </w:r>
            <w:r w:rsidRPr="00B614C1">
              <w:t xml:space="preserve"> </w:t>
            </w:r>
            <w:r w:rsidR="00B614C1" w:rsidRPr="00B614C1">
              <w:t>list of attendees at the hospital site visits</w:t>
            </w:r>
          </w:p>
        </w:tc>
      </w:tr>
    </w:tbl>
    <w:p w:rsidR="00694858" w:rsidRDefault="00B614C1" w:rsidP="000E72AF">
      <w:pPr>
        <w:pStyle w:val="PwCNormal"/>
        <w:numPr>
          <w:ilvl w:val="0"/>
          <w:numId w:val="0"/>
        </w:numPr>
        <w:spacing w:before="240"/>
        <w:rPr>
          <w:rFonts w:asciiTheme="majorHAnsi" w:hAnsiTheme="majorHAnsi"/>
          <w:b/>
          <w:bCs/>
          <w:i/>
          <w:iCs/>
          <w:sz w:val="56"/>
          <w:szCs w:val="36"/>
        </w:rPr>
      </w:pPr>
      <w:r w:rsidRPr="00B614C1">
        <w:t>The chapters for each hospital are structured to explain how costs</w:t>
      </w:r>
      <w:r w:rsidR="00AB1E47">
        <w:t xml:space="preserve"> recorded</w:t>
      </w:r>
      <w:r w:rsidRPr="00B614C1">
        <w:t xml:space="preserve"> in the </w:t>
      </w:r>
      <w:r w:rsidR="00C47FD2">
        <w:t>GL</w:t>
      </w:r>
      <w:r w:rsidRPr="00B614C1">
        <w:t xml:space="preserve"> move through the costing process, setting out all included and excluded amounts</w:t>
      </w:r>
      <w:r w:rsidR="00AB1E47">
        <w:t>,</w:t>
      </w:r>
      <w:r w:rsidRPr="00B614C1">
        <w:t xml:space="preserve"> and the allocation of overheads. </w:t>
      </w:r>
      <w:r w:rsidR="00AB1E47">
        <w:t xml:space="preserve">These chapters discuss each hospital’s </w:t>
      </w:r>
      <w:r>
        <w:t xml:space="preserve">methodologies </w:t>
      </w:r>
      <w:r w:rsidR="00AB1E47">
        <w:t xml:space="preserve">for allocating </w:t>
      </w:r>
      <w:r>
        <w:t xml:space="preserve">products, along with details of the three sample feeders. </w:t>
      </w:r>
      <w:r w:rsidR="00AB1E47">
        <w:t>They also include information about</w:t>
      </w:r>
      <w:r w:rsidR="006E144C">
        <w:t xml:space="preserve"> the </w:t>
      </w:r>
      <w:r w:rsidRPr="00B614C1">
        <w:t xml:space="preserve">quality assurance procedures </w:t>
      </w:r>
      <w:r w:rsidR="00AB1E47">
        <w:t xml:space="preserve">participants </w:t>
      </w:r>
      <w:r w:rsidRPr="00B614C1">
        <w:t>perform to review the</w:t>
      </w:r>
      <w:r w:rsidR="00AB1E47">
        <w:t>ir</w:t>
      </w:r>
      <w:r w:rsidRPr="00B614C1">
        <w:t xml:space="preserve"> </w:t>
      </w:r>
      <w:proofErr w:type="spellStart"/>
      <w:r w:rsidRPr="00B614C1">
        <w:t>costing</w:t>
      </w:r>
      <w:r w:rsidR="00AB1E47">
        <w:t>s</w:t>
      </w:r>
      <w:proofErr w:type="spellEnd"/>
      <w:r w:rsidR="006E144C">
        <w:t xml:space="preserve"> and the role jurisdiction</w:t>
      </w:r>
      <w:r w:rsidR="00AB1E47">
        <w:t>s</w:t>
      </w:r>
      <w:r w:rsidR="006E144C">
        <w:t xml:space="preserve"> play before </w:t>
      </w:r>
      <w:r w:rsidR="00AB1E47">
        <w:t xml:space="preserve">submitting </w:t>
      </w:r>
      <w:r w:rsidR="006E144C">
        <w:t>data to</w:t>
      </w:r>
      <w:r w:rsidR="00AB1E47">
        <w:t xml:space="preserve"> the</w:t>
      </w:r>
      <w:r w:rsidR="006E144C">
        <w:t xml:space="preserve"> IHPA</w:t>
      </w:r>
      <w:r w:rsidRPr="00B614C1">
        <w:t xml:space="preserve">. </w:t>
      </w:r>
      <w:r w:rsidR="00AB1E47">
        <w:t>Finally, the hospital</w:t>
      </w:r>
      <w:r w:rsidR="00AB1E47" w:rsidRPr="00B614C1">
        <w:t xml:space="preserve"> </w:t>
      </w:r>
      <w:r w:rsidRPr="00B614C1">
        <w:t>chapters also include a reconciliation of sample encounters between</w:t>
      </w:r>
      <w:r w:rsidR="00AB1E47">
        <w:t xml:space="preserve"> the</w:t>
      </w:r>
      <w:r w:rsidRPr="00B614C1">
        <w:t xml:space="preserve"> </w:t>
      </w:r>
      <w:r w:rsidR="00AB1E47">
        <w:t>IHPA’s</w:t>
      </w:r>
      <w:r>
        <w:t xml:space="preserve"> </w:t>
      </w:r>
      <w:r w:rsidR="00AB1E47">
        <w:t>receipt of data</w:t>
      </w:r>
      <w:r w:rsidRPr="00B614C1">
        <w:t xml:space="preserve"> and </w:t>
      </w:r>
      <w:r w:rsidR="00AB1E47">
        <w:t>each</w:t>
      </w:r>
      <w:r w:rsidR="00AB1E47" w:rsidRPr="00B614C1">
        <w:t xml:space="preserve"> </w:t>
      </w:r>
      <w:r w:rsidRPr="00B614C1">
        <w:t>hospital</w:t>
      </w:r>
      <w:r w:rsidR="00AB1E47">
        <w:t>’s</w:t>
      </w:r>
      <w:r w:rsidRPr="00B614C1">
        <w:t xml:space="preserve"> costing software.</w:t>
      </w:r>
      <w:r w:rsidR="00694858">
        <w:br w:type="page"/>
      </w:r>
    </w:p>
    <w:p w:rsidR="004F0878" w:rsidRPr="004F0878" w:rsidRDefault="004F0878" w:rsidP="004F0878">
      <w:pPr>
        <w:pStyle w:val="TOCtitle"/>
      </w:pPr>
      <w:r w:rsidRPr="00FC2C77">
        <w:lastRenderedPageBreak/>
        <w:t>Conten</w:t>
      </w:r>
      <w:bookmarkStart w:id="2" w:name="TOC"/>
      <w:bookmarkEnd w:id="2"/>
      <w:r w:rsidRPr="00FC2C77">
        <w:t>ts</w:t>
      </w:r>
      <w:bookmarkStart w:id="3" w:name="SmallDoc"/>
      <w:bookmarkEnd w:id="3"/>
    </w:p>
    <w:p w:rsidR="00F213EA" w:rsidRPr="00F213EA" w:rsidRDefault="008379DC">
      <w:pPr>
        <w:pStyle w:val="TOC2"/>
        <w:rPr>
          <w:noProof/>
        </w:rPr>
      </w:pPr>
      <w:r>
        <w:fldChar w:fldCharType="begin"/>
      </w:r>
      <w:r w:rsidR="00BE1656">
        <w:instrText xml:space="preserve"> TOC \h \t "Heading 6,1,Heading 1 No spacing,2,Heading 1,2,Heading 7,3,Heading 8,4,Preface Title,2" \*Charformat </w:instrText>
      </w:r>
      <w:r>
        <w:fldChar w:fldCharType="separate"/>
      </w:r>
      <w:hyperlink w:anchor="_Toc404355499" w:history="1">
        <w:r w:rsidR="00F213EA" w:rsidRPr="00F213EA">
          <w:rPr>
            <w:noProof/>
          </w:rPr>
          <w:t>Executive summary</w:t>
        </w:r>
        <w:r w:rsidR="00F213EA">
          <w:rPr>
            <w:noProof/>
          </w:rPr>
          <w:tab/>
        </w:r>
        <w:r w:rsidR="00F213EA">
          <w:rPr>
            <w:noProof/>
          </w:rPr>
          <w:fldChar w:fldCharType="begin"/>
        </w:r>
        <w:r w:rsidR="00F213EA">
          <w:rPr>
            <w:noProof/>
          </w:rPr>
          <w:instrText xml:space="preserve"> PAGEREF _Toc404355499 \h </w:instrText>
        </w:r>
        <w:r w:rsidR="00F213EA">
          <w:rPr>
            <w:noProof/>
          </w:rPr>
        </w:r>
        <w:r w:rsidR="00F213EA">
          <w:rPr>
            <w:noProof/>
          </w:rPr>
          <w:fldChar w:fldCharType="separate"/>
        </w:r>
        <w:r w:rsidR="00575DFC">
          <w:rPr>
            <w:noProof/>
          </w:rPr>
          <w:t>i</w:t>
        </w:r>
        <w:r w:rsidR="00F213EA">
          <w:rPr>
            <w:noProof/>
          </w:rPr>
          <w:fldChar w:fldCharType="end"/>
        </w:r>
      </w:hyperlink>
    </w:p>
    <w:p w:rsidR="00F213EA" w:rsidRPr="00F213EA" w:rsidRDefault="004A0183">
      <w:pPr>
        <w:pStyle w:val="TOC2"/>
        <w:rPr>
          <w:noProof/>
        </w:rPr>
      </w:pPr>
      <w:hyperlink w:anchor="_Toc404355500" w:history="1">
        <w:r w:rsidR="00F213EA" w:rsidRPr="00F213EA">
          <w:rPr>
            <w:noProof/>
          </w:rPr>
          <w:t>Acronyms and abbreviations</w:t>
        </w:r>
        <w:r w:rsidR="00F213EA">
          <w:rPr>
            <w:noProof/>
          </w:rPr>
          <w:tab/>
        </w:r>
        <w:r w:rsidR="00F213EA">
          <w:rPr>
            <w:noProof/>
          </w:rPr>
          <w:fldChar w:fldCharType="begin"/>
        </w:r>
        <w:r w:rsidR="00F213EA">
          <w:rPr>
            <w:noProof/>
          </w:rPr>
          <w:instrText xml:space="preserve"> PAGEREF _Toc404355500 \h </w:instrText>
        </w:r>
        <w:r w:rsidR="00F213EA">
          <w:rPr>
            <w:noProof/>
          </w:rPr>
        </w:r>
        <w:r w:rsidR="00F213EA">
          <w:rPr>
            <w:noProof/>
          </w:rPr>
          <w:fldChar w:fldCharType="separate"/>
        </w:r>
        <w:r w:rsidR="00575DFC">
          <w:rPr>
            <w:noProof/>
          </w:rPr>
          <w:t>5</w:t>
        </w:r>
        <w:r w:rsidR="00F213EA">
          <w:rPr>
            <w:noProof/>
          </w:rPr>
          <w:fldChar w:fldCharType="end"/>
        </w:r>
      </w:hyperlink>
    </w:p>
    <w:p w:rsidR="00F213EA" w:rsidRPr="00F213EA" w:rsidRDefault="004A0183">
      <w:pPr>
        <w:pStyle w:val="TOC2"/>
        <w:rPr>
          <w:noProof/>
        </w:rPr>
      </w:pPr>
      <w:hyperlink w:anchor="_Toc404355501" w:history="1">
        <w:r w:rsidR="00F213EA" w:rsidRPr="00F213EA">
          <w:rPr>
            <w:noProof/>
          </w:rPr>
          <w:t>1</w:t>
        </w:r>
        <w:r w:rsidR="00F213EA" w:rsidRPr="00F213EA">
          <w:rPr>
            <w:noProof/>
          </w:rPr>
          <w:tab/>
          <w:t>Introduction</w:t>
        </w:r>
        <w:r w:rsidR="00F213EA">
          <w:rPr>
            <w:noProof/>
          </w:rPr>
          <w:tab/>
        </w:r>
        <w:r w:rsidR="00F213EA">
          <w:rPr>
            <w:noProof/>
          </w:rPr>
          <w:fldChar w:fldCharType="begin"/>
        </w:r>
        <w:r w:rsidR="00F213EA">
          <w:rPr>
            <w:noProof/>
          </w:rPr>
          <w:instrText xml:space="preserve"> PAGEREF _Toc404355501 \h </w:instrText>
        </w:r>
        <w:r w:rsidR="00F213EA">
          <w:rPr>
            <w:noProof/>
          </w:rPr>
        </w:r>
        <w:r w:rsidR="00F213EA">
          <w:rPr>
            <w:noProof/>
          </w:rPr>
          <w:fldChar w:fldCharType="separate"/>
        </w:r>
        <w:r w:rsidR="00575DFC">
          <w:rPr>
            <w:noProof/>
          </w:rPr>
          <w:t>6</w:t>
        </w:r>
        <w:r w:rsidR="00F213EA">
          <w:rPr>
            <w:noProof/>
          </w:rPr>
          <w:fldChar w:fldCharType="end"/>
        </w:r>
      </w:hyperlink>
    </w:p>
    <w:p w:rsidR="00F213EA" w:rsidRPr="00F213EA" w:rsidRDefault="004A0183">
      <w:pPr>
        <w:pStyle w:val="TOC2"/>
        <w:rPr>
          <w:noProof/>
        </w:rPr>
      </w:pPr>
      <w:hyperlink w:anchor="_Toc404355502" w:history="1">
        <w:r w:rsidR="00F213EA" w:rsidRPr="00F213EA">
          <w:rPr>
            <w:noProof/>
          </w:rPr>
          <w:t>2</w:t>
        </w:r>
        <w:r w:rsidR="00F213EA" w:rsidRPr="00F213EA">
          <w:rPr>
            <w:noProof/>
          </w:rPr>
          <w:tab/>
          <w:t>Findings of the review</w:t>
        </w:r>
        <w:r w:rsidR="00F213EA">
          <w:rPr>
            <w:noProof/>
          </w:rPr>
          <w:tab/>
        </w:r>
        <w:r w:rsidR="00F213EA">
          <w:rPr>
            <w:noProof/>
          </w:rPr>
          <w:fldChar w:fldCharType="begin"/>
        </w:r>
        <w:r w:rsidR="00F213EA">
          <w:rPr>
            <w:noProof/>
          </w:rPr>
          <w:instrText xml:space="preserve"> PAGEREF _Toc404355502 \h </w:instrText>
        </w:r>
        <w:r w:rsidR="00F213EA">
          <w:rPr>
            <w:noProof/>
          </w:rPr>
        </w:r>
        <w:r w:rsidR="00F213EA">
          <w:rPr>
            <w:noProof/>
          </w:rPr>
          <w:fldChar w:fldCharType="separate"/>
        </w:r>
        <w:r w:rsidR="00575DFC">
          <w:rPr>
            <w:noProof/>
          </w:rPr>
          <w:t>11</w:t>
        </w:r>
        <w:r w:rsidR="00F213EA">
          <w:rPr>
            <w:noProof/>
          </w:rPr>
          <w:fldChar w:fldCharType="end"/>
        </w:r>
      </w:hyperlink>
    </w:p>
    <w:p w:rsidR="00F213EA" w:rsidRPr="00F213EA" w:rsidRDefault="004A0183">
      <w:pPr>
        <w:pStyle w:val="TOC2"/>
        <w:rPr>
          <w:noProof/>
        </w:rPr>
      </w:pPr>
      <w:hyperlink w:anchor="_Toc404355503" w:history="1">
        <w:r w:rsidR="00F213EA" w:rsidRPr="00F213EA">
          <w:rPr>
            <w:noProof/>
          </w:rPr>
          <w:t>3</w:t>
        </w:r>
        <w:r w:rsidR="00F213EA" w:rsidRPr="00F213EA">
          <w:rPr>
            <w:noProof/>
          </w:rPr>
          <w:tab/>
          <w:t>Australian Capital Territory</w:t>
        </w:r>
        <w:r w:rsidR="00F213EA">
          <w:rPr>
            <w:noProof/>
          </w:rPr>
          <w:tab/>
        </w:r>
        <w:r w:rsidR="00F213EA">
          <w:rPr>
            <w:noProof/>
          </w:rPr>
          <w:fldChar w:fldCharType="begin"/>
        </w:r>
        <w:r w:rsidR="00F213EA">
          <w:rPr>
            <w:noProof/>
          </w:rPr>
          <w:instrText xml:space="preserve"> PAGEREF _Toc404355503 \h </w:instrText>
        </w:r>
        <w:r w:rsidR="00F213EA">
          <w:rPr>
            <w:noProof/>
          </w:rPr>
        </w:r>
        <w:r w:rsidR="00F213EA">
          <w:rPr>
            <w:noProof/>
          </w:rPr>
          <w:fldChar w:fldCharType="separate"/>
        </w:r>
        <w:r w:rsidR="00575DFC">
          <w:rPr>
            <w:noProof/>
          </w:rPr>
          <w:t>18</w:t>
        </w:r>
        <w:r w:rsidR="00F213EA">
          <w:rPr>
            <w:noProof/>
          </w:rPr>
          <w:fldChar w:fldCharType="end"/>
        </w:r>
      </w:hyperlink>
    </w:p>
    <w:p w:rsidR="00F213EA" w:rsidRPr="00F213EA" w:rsidRDefault="004A0183">
      <w:pPr>
        <w:pStyle w:val="TOC2"/>
        <w:rPr>
          <w:noProof/>
        </w:rPr>
      </w:pPr>
      <w:hyperlink w:anchor="_Toc404355504" w:history="1">
        <w:r w:rsidR="00F213EA" w:rsidRPr="00F213EA">
          <w:rPr>
            <w:noProof/>
          </w:rPr>
          <w:t>4</w:t>
        </w:r>
        <w:r w:rsidR="00F213EA" w:rsidRPr="00F213EA">
          <w:rPr>
            <w:noProof/>
          </w:rPr>
          <w:tab/>
          <w:t>New South Wales</w:t>
        </w:r>
        <w:r w:rsidR="00F213EA">
          <w:rPr>
            <w:noProof/>
          </w:rPr>
          <w:tab/>
        </w:r>
        <w:r w:rsidR="00F213EA">
          <w:rPr>
            <w:noProof/>
          </w:rPr>
          <w:fldChar w:fldCharType="begin"/>
        </w:r>
        <w:r w:rsidR="00F213EA">
          <w:rPr>
            <w:noProof/>
          </w:rPr>
          <w:instrText xml:space="preserve"> PAGEREF _Toc404355504 \h </w:instrText>
        </w:r>
        <w:r w:rsidR="00F213EA">
          <w:rPr>
            <w:noProof/>
          </w:rPr>
        </w:r>
        <w:r w:rsidR="00F213EA">
          <w:rPr>
            <w:noProof/>
          </w:rPr>
          <w:fldChar w:fldCharType="separate"/>
        </w:r>
        <w:r w:rsidR="00575DFC">
          <w:rPr>
            <w:noProof/>
          </w:rPr>
          <w:t>28</w:t>
        </w:r>
        <w:r w:rsidR="00F213EA">
          <w:rPr>
            <w:noProof/>
          </w:rPr>
          <w:fldChar w:fldCharType="end"/>
        </w:r>
      </w:hyperlink>
    </w:p>
    <w:p w:rsidR="00F213EA" w:rsidRPr="00F213EA" w:rsidRDefault="004A0183">
      <w:pPr>
        <w:pStyle w:val="TOC2"/>
        <w:rPr>
          <w:noProof/>
        </w:rPr>
      </w:pPr>
      <w:hyperlink w:anchor="_Toc404355505" w:history="1">
        <w:r w:rsidR="00F213EA" w:rsidRPr="00F213EA">
          <w:rPr>
            <w:noProof/>
          </w:rPr>
          <w:t>5</w:t>
        </w:r>
        <w:r w:rsidR="00F213EA" w:rsidRPr="00F213EA">
          <w:rPr>
            <w:noProof/>
          </w:rPr>
          <w:tab/>
          <w:t>Northern Territory</w:t>
        </w:r>
        <w:r w:rsidR="00F213EA">
          <w:rPr>
            <w:noProof/>
          </w:rPr>
          <w:tab/>
        </w:r>
        <w:r w:rsidR="00F213EA">
          <w:rPr>
            <w:noProof/>
          </w:rPr>
          <w:fldChar w:fldCharType="begin"/>
        </w:r>
        <w:r w:rsidR="00F213EA">
          <w:rPr>
            <w:noProof/>
          </w:rPr>
          <w:instrText xml:space="preserve"> PAGEREF _Toc404355505 \h </w:instrText>
        </w:r>
        <w:r w:rsidR="00F213EA">
          <w:rPr>
            <w:noProof/>
          </w:rPr>
        </w:r>
        <w:r w:rsidR="00F213EA">
          <w:rPr>
            <w:noProof/>
          </w:rPr>
          <w:fldChar w:fldCharType="separate"/>
        </w:r>
        <w:r w:rsidR="00575DFC">
          <w:rPr>
            <w:noProof/>
          </w:rPr>
          <w:t>49</w:t>
        </w:r>
        <w:r w:rsidR="00F213EA">
          <w:rPr>
            <w:noProof/>
          </w:rPr>
          <w:fldChar w:fldCharType="end"/>
        </w:r>
      </w:hyperlink>
    </w:p>
    <w:p w:rsidR="00F213EA" w:rsidRPr="00F213EA" w:rsidRDefault="004A0183">
      <w:pPr>
        <w:pStyle w:val="TOC2"/>
        <w:rPr>
          <w:noProof/>
        </w:rPr>
      </w:pPr>
      <w:hyperlink w:anchor="_Toc404355506" w:history="1">
        <w:r w:rsidR="00F213EA" w:rsidRPr="00F213EA">
          <w:rPr>
            <w:noProof/>
          </w:rPr>
          <w:t>6</w:t>
        </w:r>
        <w:r w:rsidR="00F213EA" w:rsidRPr="00F213EA">
          <w:rPr>
            <w:noProof/>
          </w:rPr>
          <w:tab/>
          <w:t>Queensland</w:t>
        </w:r>
        <w:r w:rsidR="00F213EA">
          <w:rPr>
            <w:noProof/>
          </w:rPr>
          <w:tab/>
        </w:r>
        <w:r w:rsidR="00F213EA">
          <w:rPr>
            <w:noProof/>
          </w:rPr>
          <w:fldChar w:fldCharType="begin"/>
        </w:r>
        <w:r w:rsidR="00F213EA">
          <w:rPr>
            <w:noProof/>
          </w:rPr>
          <w:instrText xml:space="preserve"> PAGEREF _Toc404355506 \h </w:instrText>
        </w:r>
        <w:r w:rsidR="00F213EA">
          <w:rPr>
            <w:noProof/>
          </w:rPr>
        </w:r>
        <w:r w:rsidR="00F213EA">
          <w:rPr>
            <w:noProof/>
          </w:rPr>
          <w:fldChar w:fldCharType="separate"/>
        </w:r>
        <w:r w:rsidR="00575DFC">
          <w:rPr>
            <w:noProof/>
          </w:rPr>
          <w:t>58</w:t>
        </w:r>
        <w:r w:rsidR="00F213EA">
          <w:rPr>
            <w:noProof/>
          </w:rPr>
          <w:fldChar w:fldCharType="end"/>
        </w:r>
      </w:hyperlink>
    </w:p>
    <w:p w:rsidR="00F213EA" w:rsidRPr="00F213EA" w:rsidRDefault="004A0183">
      <w:pPr>
        <w:pStyle w:val="TOC2"/>
        <w:rPr>
          <w:noProof/>
        </w:rPr>
      </w:pPr>
      <w:hyperlink w:anchor="_Toc404355507" w:history="1">
        <w:r w:rsidR="00F213EA" w:rsidRPr="00F213EA">
          <w:rPr>
            <w:noProof/>
          </w:rPr>
          <w:t>7</w:t>
        </w:r>
        <w:r w:rsidR="00F213EA" w:rsidRPr="00F213EA">
          <w:rPr>
            <w:noProof/>
          </w:rPr>
          <w:tab/>
          <w:t>South Australia</w:t>
        </w:r>
        <w:r w:rsidR="00F213EA">
          <w:rPr>
            <w:noProof/>
          </w:rPr>
          <w:tab/>
        </w:r>
        <w:r w:rsidR="00F213EA">
          <w:rPr>
            <w:noProof/>
          </w:rPr>
          <w:fldChar w:fldCharType="begin"/>
        </w:r>
        <w:r w:rsidR="00F213EA">
          <w:rPr>
            <w:noProof/>
          </w:rPr>
          <w:instrText xml:space="preserve"> PAGEREF _Toc404355507 \h </w:instrText>
        </w:r>
        <w:r w:rsidR="00F213EA">
          <w:rPr>
            <w:noProof/>
          </w:rPr>
        </w:r>
        <w:r w:rsidR="00F213EA">
          <w:rPr>
            <w:noProof/>
          </w:rPr>
          <w:fldChar w:fldCharType="separate"/>
        </w:r>
        <w:r w:rsidR="00575DFC">
          <w:rPr>
            <w:noProof/>
          </w:rPr>
          <w:t>79</w:t>
        </w:r>
        <w:r w:rsidR="00F213EA">
          <w:rPr>
            <w:noProof/>
          </w:rPr>
          <w:fldChar w:fldCharType="end"/>
        </w:r>
      </w:hyperlink>
    </w:p>
    <w:p w:rsidR="00F213EA" w:rsidRPr="00F213EA" w:rsidRDefault="004A0183">
      <w:pPr>
        <w:pStyle w:val="TOC2"/>
        <w:rPr>
          <w:noProof/>
        </w:rPr>
      </w:pPr>
      <w:hyperlink w:anchor="_Toc404355508" w:history="1">
        <w:r w:rsidR="00F213EA" w:rsidRPr="00F213EA">
          <w:rPr>
            <w:noProof/>
          </w:rPr>
          <w:t>8</w:t>
        </w:r>
        <w:r w:rsidR="00F213EA" w:rsidRPr="00F213EA">
          <w:rPr>
            <w:noProof/>
          </w:rPr>
          <w:tab/>
          <w:t>Tasmania</w:t>
        </w:r>
        <w:r w:rsidR="00F213EA">
          <w:rPr>
            <w:noProof/>
          </w:rPr>
          <w:tab/>
        </w:r>
        <w:r w:rsidR="00F213EA">
          <w:rPr>
            <w:noProof/>
          </w:rPr>
          <w:fldChar w:fldCharType="begin"/>
        </w:r>
        <w:r w:rsidR="00F213EA">
          <w:rPr>
            <w:noProof/>
          </w:rPr>
          <w:instrText xml:space="preserve"> PAGEREF _Toc404355508 \h </w:instrText>
        </w:r>
        <w:r w:rsidR="00F213EA">
          <w:rPr>
            <w:noProof/>
          </w:rPr>
        </w:r>
        <w:r w:rsidR="00F213EA">
          <w:rPr>
            <w:noProof/>
          </w:rPr>
          <w:fldChar w:fldCharType="separate"/>
        </w:r>
        <w:r w:rsidR="00575DFC">
          <w:rPr>
            <w:noProof/>
          </w:rPr>
          <w:t>96</w:t>
        </w:r>
        <w:r w:rsidR="00F213EA">
          <w:rPr>
            <w:noProof/>
          </w:rPr>
          <w:fldChar w:fldCharType="end"/>
        </w:r>
      </w:hyperlink>
    </w:p>
    <w:p w:rsidR="00F213EA" w:rsidRPr="00F213EA" w:rsidRDefault="004A0183">
      <w:pPr>
        <w:pStyle w:val="TOC2"/>
        <w:rPr>
          <w:noProof/>
        </w:rPr>
      </w:pPr>
      <w:hyperlink w:anchor="_Toc404355509" w:history="1">
        <w:r w:rsidR="00F213EA" w:rsidRPr="00F213EA">
          <w:rPr>
            <w:noProof/>
          </w:rPr>
          <w:t>9</w:t>
        </w:r>
        <w:r w:rsidR="00F213EA" w:rsidRPr="00F213EA">
          <w:rPr>
            <w:noProof/>
          </w:rPr>
          <w:tab/>
          <w:t>Victoria</w:t>
        </w:r>
        <w:r w:rsidR="00F213EA">
          <w:rPr>
            <w:noProof/>
          </w:rPr>
          <w:tab/>
        </w:r>
        <w:r w:rsidR="00F213EA">
          <w:rPr>
            <w:noProof/>
          </w:rPr>
          <w:fldChar w:fldCharType="begin"/>
        </w:r>
        <w:r w:rsidR="00F213EA">
          <w:rPr>
            <w:noProof/>
          </w:rPr>
          <w:instrText xml:space="preserve"> PAGEREF _Toc404355509 \h </w:instrText>
        </w:r>
        <w:r w:rsidR="00F213EA">
          <w:rPr>
            <w:noProof/>
          </w:rPr>
        </w:r>
        <w:r w:rsidR="00F213EA">
          <w:rPr>
            <w:noProof/>
          </w:rPr>
          <w:fldChar w:fldCharType="separate"/>
        </w:r>
        <w:r w:rsidR="00575DFC">
          <w:rPr>
            <w:noProof/>
          </w:rPr>
          <w:t>105</w:t>
        </w:r>
        <w:r w:rsidR="00F213EA">
          <w:rPr>
            <w:noProof/>
          </w:rPr>
          <w:fldChar w:fldCharType="end"/>
        </w:r>
      </w:hyperlink>
    </w:p>
    <w:p w:rsidR="00F213EA" w:rsidRPr="00F213EA" w:rsidRDefault="004A0183">
      <w:pPr>
        <w:pStyle w:val="TOC2"/>
        <w:rPr>
          <w:noProof/>
        </w:rPr>
      </w:pPr>
      <w:hyperlink w:anchor="_Toc404355510" w:history="1">
        <w:r w:rsidR="00F213EA" w:rsidRPr="00F213EA">
          <w:rPr>
            <w:noProof/>
          </w:rPr>
          <w:t>10</w:t>
        </w:r>
        <w:r w:rsidR="00F213EA" w:rsidRPr="00F213EA">
          <w:rPr>
            <w:noProof/>
          </w:rPr>
          <w:tab/>
          <w:t>Western Australia</w:t>
        </w:r>
        <w:r w:rsidR="00F213EA">
          <w:rPr>
            <w:noProof/>
          </w:rPr>
          <w:tab/>
        </w:r>
        <w:r w:rsidR="00F213EA">
          <w:rPr>
            <w:noProof/>
          </w:rPr>
          <w:fldChar w:fldCharType="begin"/>
        </w:r>
        <w:r w:rsidR="00F213EA">
          <w:rPr>
            <w:noProof/>
          </w:rPr>
          <w:instrText xml:space="preserve"> PAGEREF _Toc404355510 \h </w:instrText>
        </w:r>
        <w:r w:rsidR="00F213EA">
          <w:rPr>
            <w:noProof/>
          </w:rPr>
        </w:r>
        <w:r w:rsidR="00F213EA">
          <w:rPr>
            <w:noProof/>
          </w:rPr>
          <w:fldChar w:fldCharType="separate"/>
        </w:r>
        <w:r w:rsidR="00575DFC">
          <w:rPr>
            <w:noProof/>
          </w:rPr>
          <w:t>123</w:t>
        </w:r>
        <w:r w:rsidR="00F213EA">
          <w:rPr>
            <w:noProof/>
          </w:rPr>
          <w:fldChar w:fldCharType="end"/>
        </w:r>
      </w:hyperlink>
    </w:p>
    <w:p w:rsidR="00F213EA" w:rsidRPr="00F213EA" w:rsidRDefault="004A0183">
      <w:pPr>
        <w:pStyle w:val="TOC2"/>
        <w:rPr>
          <w:noProof/>
        </w:rPr>
      </w:pPr>
      <w:hyperlink w:anchor="_Toc404355511" w:history="1">
        <w:r w:rsidR="00F213EA" w:rsidRPr="00F213EA">
          <w:rPr>
            <w:noProof/>
          </w:rPr>
          <w:t>11</w:t>
        </w:r>
        <w:r w:rsidR="00F213EA" w:rsidRPr="00F213EA">
          <w:rPr>
            <w:noProof/>
          </w:rPr>
          <w:tab/>
          <w:t>IHPA process review</w:t>
        </w:r>
        <w:r w:rsidR="00F213EA">
          <w:rPr>
            <w:noProof/>
          </w:rPr>
          <w:tab/>
        </w:r>
        <w:r w:rsidR="00F213EA">
          <w:rPr>
            <w:noProof/>
          </w:rPr>
          <w:fldChar w:fldCharType="begin"/>
        </w:r>
        <w:r w:rsidR="00F213EA">
          <w:rPr>
            <w:noProof/>
          </w:rPr>
          <w:instrText xml:space="preserve"> PAGEREF _Toc404355511 \h </w:instrText>
        </w:r>
        <w:r w:rsidR="00F213EA">
          <w:rPr>
            <w:noProof/>
          </w:rPr>
        </w:r>
        <w:r w:rsidR="00F213EA">
          <w:rPr>
            <w:noProof/>
          </w:rPr>
          <w:fldChar w:fldCharType="separate"/>
        </w:r>
        <w:r w:rsidR="00575DFC">
          <w:rPr>
            <w:noProof/>
          </w:rPr>
          <w:t>140</w:t>
        </w:r>
        <w:r w:rsidR="00F213EA">
          <w:rPr>
            <w:noProof/>
          </w:rPr>
          <w:fldChar w:fldCharType="end"/>
        </w:r>
      </w:hyperlink>
    </w:p>
    <w:p w:rsidR="00F213EA" w:rsidRPr="00F213EA" w:rsidRDefault="004A0183">
      <w:pPr>
        <w:pStyle w:val="TOC2"/>
        <w:rPr>
          <w:noProof/>
        </w:rPr>
      </w:pPr>
      <w:hyperlink w:anchor="_Toc404355512" w:history="1">
        <w:r w:rsidR="00F213EA" w:rsidRPr="00F213EA">
          <w:rPr>
            <w:noProof/>
          </w:rPr>
          <w:t>12</w:t>
        </w:r>
        <w:r w:rsidR="00F213EA" w:rsidRPr="00F213EA">
          <w:rPr>
            <w:noProof/>
          </w:rPr>
          <w:tab/>
          <w:t>Peer review outcomes</w:t>
        </w:r>
        <w:r w:rsidR="00F213EA">
          <w:rPr>
            <w:noProof/>
          </w:rPr>
          <w:tab/>
        </w:r>
        <w:r w:rsidR="00F213EA">
          <w:rPr>
            <w:noProof/>
          </w:rPr>
          <w:fldChar w:fldCharType="begin"/>
        </w:r>
        <w:r w:rsidR="00F213EA">
          <w:rPr>
            <w:noProof/>
          </w:rPr>
          <w:instrText xml:space="preserve"> PAGEREF _Toc404355512 \h </w:instrText>
        </w:r>
        <w:r w:rsidR="00F213EA">
          <w:rPr>
            <w:noProof/>
          </w:rPr>
        </w:r>
        <w:r w:rsidR="00F213EA">
          <w:rPr>
            <w:noProof/>
          </w:rPr>
          <w:fldChar w:fldCharType="separate"/>
        </w:r>
        <w:r w:rsidR="00575DFC">
          <w:rPr>
            <w:noProof/>
          </w:rPr>
          <w:t>143</w:t>
        </w:r>
        <w:r w:rsidR="00F213EA">
          <w:rPr>
            <w:noProof/>
          </w:rPr>
          <w:fldChar w:fldCharType="end"/>
        </w:r>
      </w:hyperlink>
    </w:p>
    <w:p w:rsidR="00F213EA" w:rsidRPr="00F213EA" w:rsidRDefault="004A0183">
      <w:pPr>
        <w:pStyle w:val="TOC4"/>
        <w:rPr>
          <w:noProof/>
        </w:rPr>
      </w:pPr>
      <w:hyperlink w:anchor="_Toc404355513" w:history="1">
        <w:r w:rsidR="00F213EA" w:rsidRPr="00F213EA">
          <w:rPr>
            <w:noProof/>
          </w:rPr>
          <w:t>Appendix A</w:t>
        </w:r>
        <w:r w:rsidR="00F213EA" w:rsidRPr="00F213EA">
          <w:rPr>
            <w:noProof/>
          </w:rPr>
          <w:tab/>
          <w:t>Site visit attendees</w:t>
        </w:r>
        <w:r w:rsidR="00F213EA">
          <w:rPr>
            <w:noProof/>
          </w:rPr>
          <w:tab/>
        </w:r>
        <w:r w:rsidR="00F213EA">
          <w:rPr>
            <w:noProof/>
          </w:rPr>
          <w:fldChar w:fldCharType="begin"/>
        </w:r>
        <w:r w:rsidR="00F213EA">
          <w:rPr>
            <w:noProof/>
          </w:rPr>
          <w:instrText xml:space="preserve"> PAGEREF _Toc404355513 \h </w:instrText>
        </w:r>
        <w:r w:rsidR="00F213EA">
          <w:rPr>
            <w:noProof/>
          </w:rPr>
        </w:r>
        <w:r w:rsidR="00F213EA">
          <w:rPr>
            <w:noProof/>
          </w:rPr>
          <w:fldChar w:fldCharType="separate"/>
        </w:r>
        <w:r w:rsidR="00575DFC">
          <w:rPr>
            <w:noProof/>
          </w:rPr>
          <w:t>146</w:t>
        </w:r>
        <w:r w:rsidR="00F213EA">
          <w:rPr>
            <w:noProof/>
          </w:rPr>
          <w:fldChar w:fldCharType="end"/>
        </w:r>
      </w:hyperlink>
    </w:p>
    <w:p w:rsidR="00B74437" w:rsidRPr="00B74437" w:rsidRDefault="008379DC" w:rsidP="00B74437">
      <w:pPr>
        <w:pStyle w:val="PwCNormal"/>
        <w:kinsoku/>
        <w:overflowPunct/>
        <w:autoSpaceDE/>
        <w:autoSpaceDN/>
        <w:adjustRightInd/>
        <w:snapToGrid/>
        <w:spacing w:before="3000"/>
        <w:rPr>
          <w:sz w:val="18"/>
          <w:szCs w:val="18"/>
        </w:rPr>
      </w:pPr>
      <w:r>
        <w:fldChar w:fldCharType="end"/>
      </w:r>
      <w:r w:rsidR="00B74437" w:rsidRPr="00B74437">
        <w:rPr>
          <w:sz w:val="18"/>
          <w:szCs w:val="18"/>
        </w:rPr>
        <w:t xml:space="preserve">This report is prepared for our client (Independent Hospital Pricing Authority) from research, interviews and materials provided to us by the client; we have not audited or verified the information provided. </w:t>
      </w:r>
    </w:p>
    <w:p w:rsidR="00B74437" w:rsidRPr="00B74437" w:rsidRDefault="00B74437" w:rsidP="00B74437">
      <w:pPr>
        <w:pStyle w:val="PwCNormal"/>
        <w:kinsoku/>
        <w:overflowPunct/>
        <w:autoSpaceDE/>
        <w:autoSpaceDN/>
        <w:adjustRightInd/>
        <w:snapToGrid/>
        <w:rPr>
          <w:sz w:val="18"/>
          <w:szCs w:val="18"/>
        </w:rPr>
      </w:pPr>
      <w:r w:rsidRPr="00B74437">
        <w:rPr>
          <w:sz w:val="18"/>
          <w:szCs w:val="18"/>
        </w:rPr>
        <w:t>We accept no responsibility to any other party, or for any other use of this report other than for the purpose it was commissioned.</w:t>
      </w:r>
    </w:p>
    <w:p w:rsidR="00B74437" w:rsidRPr="00B74437" w:rsidRDefault="00B74437" w:rsidP="00B74437">
      <w:pPr>
        <w:pStyle w:val="PwCNormal"/>
        <w:kinsoku/>
        <w:overflowPunct/>
        <w:autoSpaceDE/>
        <w:autoSpaceDN/>
        <w:adjustRightInd/>
        <w:snapToGrid/>
        <w:rPr>
          <w:sz w:val="18"/>
          <w:szCs w:val="18"/>
        </w:rPr>
      </w:pPr>
      <w:r w:rsidRPr="00B74437">
        <w:rPr>
          <w:sz w:val="18"/>
          <w:szCs w:val="18"/>
        </w:rPr>
        <w:t>The report should not be relied upon by any party other than our client, and should not be distributed to any other party without our written consent.</w:t>
      </w:r>
    </w:p>
    <w:p w:rsidR="00B74437" w:rsidRPr="00B74437" w:rsidRDefault="00B74437" w:rsidP="00B74437">
      <w:pPr>
        <w:pStyle w:val="PwCNormal"/>
        <w:numPr>
          <w:ilvl w:val="0"/>
          <w:numId w:val="0"/>
        </w:numPr>
        <w:kinsoku/>
        <w:overflowPunct/>
        <w:autoSpaceDE/>
        <w:autoSpaceDN/>
        <w:adjustRightInd/>
        <w:snapToGrid/>
        <w:rPr>
          <w:sz w:val="14"/>
          <w:szCs w:val="14"/>
        </w:rPr>
      </w:pPr>
      <w:r w:rsidRPr="00B74437">
        <w:rPr>
          <w:sz w:val="14"/>
          <w:szCs w:val="14"/>
        </w:rPr>
        <w:t>Liability limited by a scheme approved under Professional Standards Legislation</w:t>
      </w:r>
    </w:p>
    <w:p w:rsidR="00245C02" w:rsidRDefault="00245C02" w:rsidP="00245C02">
      <w:pPr>
        <w:pStyle w:val="PwCNormal"/>
        <w:numPr>
          <w:ilvl w:val="0"/>
          <w:numId w:val="0"/>
        </w:numPr>
        <w:kinsoku/>
        <w:overflowPunct/>
        <w:autoSpaceDE/>
        <w:autoSpaceDN/>
        <w:adjustRightInd/>
        <w:snapToGrid/>
      </w:pPr>
    </w:p>
    <w:p w:rsidR="004F0878" w:rsidRPr="00FC2C77" w:rsidRDefault="004F0878" w:rsidP="007625E6">
      <w:pPr>
        <w:pStyle w:val="Coverpulloutframe"/>
        <w:framePr w:wrap="notBeside"/>
        <w:sectPr w:rsidR="004F0878" w:rsidRPr="00FC2C77" w:rsidSect="00694858">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588" w:right="1559" w:bottom="1418" w:left="1560" w:header="567" w:footer="567" w:gutter="0"/>
          <w:pgNumType w:fmt="lowerRoman" w:start="1"/>
          <w:cols w:space="720"/>
          <w:titlePg/>
          <w:docGrid w:linePitch="286"/>
        </w:sectPr>
      </w:pPr>
    </w:p>
    <w:p w:rsidR="00EA2B42" w:rsidRDefault="00EA2B42" w:rsidP="00EA2B42">
      <w:pPr>
        <w:pStyle w:val="PrefaceTitle"/>
        <w:spacing w:after="120"/>
      </w:pPr>
      <w:bookmarkStart w:id="4" w:name="_Toc369004151"/>
      <w:bookmarkStart w:id="5" w:name="_Toc404355500"/>
      <w:bookmarkStart w:id="6" w:name="_Toc290460141"/>
      <w:bookmarkStart w:id="7" w:name="_Toc292795890"/>
      <w:bookmarkStart w:id="8" w:name="_Toc292795900"/>
      <w:bookmarkStart w:id="9" w:name="_Toc292795947"/>
      <w:bookmarkStart w:id="10" w:name="_Toc292795954"/>
      <w:bookmarkStart w:id="11" w:name="_Toc294534323"/>
      <w:bookmarkStart w:id="12" w:name="_Toc326144379"/>
      <w:bookmarkStart w:id="13" w:name="_Toc326144425"/>
      <w:bookmarkStart w:id="14" w:name="_Toc326144496"/>
      <w:bookmarkStart w:id="15" w:name="_Toc326144518"/>
      <w:bookmarkStart w:id="16" w:name="_Toc326144577"/>
      <w:bookmarkStart w:id="17" w:name="_Toc326144612"/>
      <w:bookmarkStart w:id="18" w:name="_Toc326144706"/>
      <w:bookmarkStart w:id="19" w:name="_Toc290024755"/>
      <w:bookmarkStart w:id="20" w:name="_Toc292795891"/>
      <w:bookmarkStart w:id="21" w:name="_Toc292795901"/>
      <w:bookmarkStart w:id="22" w:name="_Toc292795948"/>
      <w:bookmarkStart w:id="23" w:name="_Toc292795955"/>
      <w:bookmarkStart w:id="24" w:name="_Toc294534324"/>
      <w:bookmarkStart w:id="25" w:name="_Toc326144380"/>
      <w:bookmarkStart w:id="26" w:name="_Toc326144426"/>
      <w:bookmarkStart w:id="27" w:name="_Toc326144497"/>
      <w:bookmarkStart w:id="28" w:name="_Toc326144519"/>
      <w:bookmarkStart w:id="29" w:name="_Toc326144578"/>
      <w:bookmarkStart w:id="30" w:name="_Toc326144613"/>
      <w:bookmarkStart w:id="31" w:name="_Toc326144707"/>
      <w:r w:rsidRPr="000205B6">
        <w:lastRenderedPageBreak/>
        <w:t>Acronyms and abbreviations</w:t>
      </w:r>
      <w:bookmarkEnd w:id="4"/>
      <w:bookmarkEnd w:id="5"/>
    </w:p>
    <w:tbl>
      <w:tblPr>
        <w:tblW w:w="0" w:type="auto"/>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Look w:val="04A0" w:firstRow="1" w:lastRow="0" w:firstColumn="1" w:lastColumn="0" w:noHBand="0" w:noVBand="1"/>
        <w:tblCaption w:val="Acronyms and abbreviations"/>
        <w:tblDescription w:val="This table lists a range of abbrevations used throughout the report."/>
      </w:tblPr>
      <w:tblGrid>
        <w:gridCol w:w="2376"/>
        <w:gridCol w:w="6629"/>
      </w:tblGrid>
      <w:tr w:rsidR="00EA2B42" w:rsidRPr="003D1BBF" w:rsidTr="00142AFF">
        <w:trPr>
          <w:trHeight w:val="324"/>
        </w:trPr>
        <w:tc>
          <w:tcPr>
            <w:tcW w:w="2376" w:type="dxa"/>
            <w:shd w:val="clear" w:color="auto" w:fill="A32020" w:themeFill="text2"/>
            <w:tcMar>
              <w:top w:w="0" w:type="dxa"/>
              <w:left w:w="108" w:type="dxa"/>
              <w:bottom w:w="0" w:type="dxa"/>
              <w:right w:w="108" w:type="dxa"/>
            </w:tcMar>
          </w:tcPr>
          <w:p w:rsidR="00EA2B42" w:rsidRPr="009523B2" w:rsidRDefault="00EA2B42" w:rsidP="00142AFF">
            <w:pPr>
              <w:pStyle w:val="TableColumnHeadingNormal"/>
              <w:spacing w:after="0"/>
              <w:rPr>
                <w:b w:val="0"/>
                <w:bCs/>
                <w:i/>
                <w:iCs/>
                <w:color w:val="FFFFFF" w:themeColor="background1"/>
                <w:lang w:val="en-GB"/>
              </w:rPr>
            </w:pPr>
            <w:r w:rsidRPr="009523B2">
              <w:rPr>
                <w:b w:val="0"/>
                <w:color w:val="FFFFFF" w:themeColor="background1"/>
                <w:lang w:val="en-GB"/>
              </w:rPr>
              <w:t>Acronym/abbreviation</w:t>
            </w:r>
          </w:p>
        </w:tc>
        <w:tc>
          <w:tcPr>
            <w:tcW w:w="6629" w:type="dxa"/>
            <w:shd w:val="clear" w:color="auto" w:fill="A32020" w:themeFill="text2"/>
            <w:tcMar>
              <w:top w:w="0" w:type="dxa"/>
              <w:left w:w="108" w:type="dxa"/>
              <w:bottom w:w="0" w:type="dxa"/>
              <w:right w:w="108" w:type="dxa"/>
            </w:tcMar>
          </w:tcPr>
          <w:p w:rsidR="00EA2B42" w:rsidRPr="009523B2" w:rsidRDefault="00EA2B42" w:rsidP="00142AFF">
            <w:pPr>
              <w:pStyle w:val="TableColumnHeadingNormal"/>
              <w:rPr>
                <w:b w:val="0"/>
                <w:bCs/>
                <w:i/>
                <w:iCs/>
                <w:color w:val="FFFFFF" w:themeColor="background1"/>
                <w:lang w:val="en-GB"/>
              </w:rPr>
            </w:pPr>
            <w:r w:rsidRPr="009523B2">
              <w:rPr>
                <w:b w:val="0"/>
                <w:color w:val="FFFFFF" w:themeColor="background1"/>
                <w:lang w:val="en-GB"/>
              </w:rPr>
              <w:t>Description</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sidRPr="003D1BBF">
              <w:rPr>
                <w:lang w:val="en-GB"/>
              </w:rPr>
              <w:t>ABF</w:t>
            </w:r>
            <w:r w:rsidR="003E2562">
              <w:rPr>
                <w:lang w:val="en-GB"/>
              </w:rPr>
              <w:t>/ABM</w:t>
            </w:r>
          </w:p>
        </w:tc>
        <w:tc>
          <w:tcPr>
            <w:tcW w:w="6629" w:type="dxa"/>
            <w:shd w:val="clear" w:color="auto" w:fill="auto"/>
            <w:tcMar>
              <w:top w:w="0" w:type="dxa"/>
              <w:left w:w="108" w:type="dxa"/>
              <w:bottom w:w="0" w:type="dxa"/>
              <w:right w:w="108" w:type="dxa"/>
            </w:tcMar>
          </w:tcPr>
          <w:p w:rsidR="00EA2B42" w:rsidRPr="003D1BBF" w:rsidRDefault="003727C5" w:rsidP="001F3F6D">
            <w:pPr>
              <w:pStyle w:val="TableTextNormal"/>
              <w:rPr>
                <w:lang w:val="en-GB"/>
              </w:rPr>
            </w:pPr>
            <w:r>
              <w:rPr>
                <w:lang w:val="en-GB"/>
              </w:rPr>
              <w:t>A</w:t>
            </w:r>
            <w:r w:rsidR="00AA65AB" w:rsidRPr="003D1BBF">
              <w:rPr>
                <w:lang w:val="en-GB"/>
              </w:rPr>
              <w:t>ctivity</w:t>
            </w:r>
            <w:r w:rsidR="00AA65AB">
              <w:rPr>
                <w:lang w:val="en-GB"/>
              </w:rPr>
              <w:t>-</w:t>
            </w:r>
            <w:r w:rsidR="001F3F6D">
              <w:rPr>
                <w:lang w:val="en-GB"/>
              </w:rPr>
              <w:t>B</w:t>
            </w:r>
            <w:r w:rsidR="001F3F6D" w:rsidRPr="003D1BBF">
              <w:rPr>
                <w:lang w:val="en-GB"/>
              </w:rPr>
              <w:t xml:space="preserve">ased </w:t>
            </w:r>
            <w:r w:rsidR="001F3F6D">
              <w:rPr>
                <w:lang w:val="en-GB"/>
              </w:rPr>
              <w:t>F</w:t>
            </w:r>
            <w:r w:rsidR="001F3F6D" w:rsidRPr="003D1BBF">
              <w:rPr>
                <w:lang w:val="en-GB"/>
              </w:rPr>
              <w:t>unding</w:t>
            </w:r>
            <w:r w:rsidR="003E2562">
              <w:rPr>
                <w:lang w:val="en-GB"/>
              </w:rPr>
              <w:t>/</w:t>
            </w:r>
            <w:r>
              <w:rPr>
                <w:lang w:val="en-GB"/>
              </w:rPr>
              <w:t>A</w:t>
            </w:r>
            <w:r w:rsidR="003E2562">
              <w:rPr>
                <w:lang w:val="en-GB"/>
              </w:rPr>
              <w:t>ctivity</w:t>
            </w:r>
            <w:r w:rsidR="00AA65AB">
              <w:rPr>
                <w:lang w:val="en-GB"/>
              </w:rPr>
              <w:t>-</w:t>
            </w:r>
            <w:r w:rsidR="001F3F6D">
              <w:rPr>
                <w:lang w:val="en-GB"/>
              </w:rPr>
              <w:t>Based Management</w:t>
            </w:r>
          </w:p>
        </w:tc>
      </w:tr>
      <w:tr w:rsidR="00EA2B42" w:rsidTr="00142AFF">
        <w:tc>
          <w:tcPr>
            <w:tcW w:w="2376" w:type="dxa"/>
            <w:shd w:val="clear" w:color="auto" w:fill="auto"/>
            <w:tcMar>
              <w:top w:w="0" w:type="dxa"/>
              <w:left w:w="108" w:type="dxa"/>
              <w:bottom w:w="0" w:type="dxa"/>
              <w:right w:w="108" w:type="dxa"/>
            </w:tcMar>
          </w:tcPr>
          <w:p w:rsidR="00EA2B42" w:rsidRPr="00054C96" w:rsidRDefault="00EA2B42" w:rsidP="00142AFF">
            <w:pPr>
              <w:pStyle w:val="TableTextNormal"/>
            </w:pPr>
            <w:r>
              <w:t>AHPCS</w:t>
            </w:r>
          </w:p>
        </w:tc>
        <w:tc>
          <w:tcPr>
            <w:tcW w:w="6629" w:type="dxa"/>
            <w:shd w:val="clear" w:color="auto" w:fill="auto"/>
            <w:tcMar>
              <w:top w:w="0" w:type="dxa"/>
              <w:left w:w="108" w:type="dxa"/>
              <w:bottom w:w="0" w:type="dxa"/>
              <w:right w:w="108" w:type="dxa"/>
            </w:tcMar>
          </w:tcPr>
          <w:p w:rsidR="00EA2B42" w:rsidRDefault="00EA2B42" w:rsidP="00142AFF">
            <w:pPr>
              <w:pStyle w:val="TableTextNormal"/>
              <w:rPr>
                <w:lang w:val="en-GB"/>
              </w:rPr>
            </w:pPr>
            <w:r>
              <w:rPr>
                <w:lang w:val="en-GB"/>
              </w:rPr>
              <w:t>Australian Hospital Patient Costing Standards</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AHS</w:t>
            </w:r>
          </w:p>
        </w:tc>
        <w:tc>
          <w:tcPr>
            <w:tcW w:w="6629"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Area Health Service</w:t>
            </w:r>
          </w:p>
        </w:tc>
      </w:tr>
      <w:tr w:rsidR="00EA2B42" w:rsidTr="00142AFF">
        <w:tc>
          <w:tcPr>
            <w:tcW w:w="2376" w:type="dxa"/>
            <w:shd w:val="clear" w:color="auto" w:fill="auto"/>
            <w:tcMar>
              <w:top w:w="0" w:type="dxa"/>
              <w:left w:w="108" w:type="dxa"/>
              <w:bottom w:w="0" w:type="dxa"/>
              <w:right w:w="108" w:type="dxa"/>
            </w:tcMar>
          </w:tcPr>
          <w:p w:rsidR="00EA2B42" w:rsidRPr="00054C96" w:rsidRDefault="00EA2B42" w:rsidP="00142AFF">
            <w:pPr>
              <w:pStyle w:val="TableTextNormal"/>
            </w:pPr>
            <w:r>
              <w:t>AR-DRG</w:t>
            </w:r>
            <w:r w:rsidR="00367B9F">
              <w:t>/DRG</w:t>
            </w:r>
          </w:p>
        </w:tc>
        <w:tc>
          <w:tcPr>
            <w:tcW w:w="6629" w:type="dxa"/>
            <w:shd w:val="clear" w:color="auto" w:fill="auto"/>
            <w:tcMar>
              <w:top w:w="0" w:type="dxa"/>
              <w:left w:w="108" w:type="dxa"/>
              <w:bottom w:w="0" w:type="dxa"/>
              <w:right w:w="108" w:type="dxa"/>
            </w:tcMar>
          </w:tcPr>
          <w:p w:rsidR="00EA2B42" w:rsidRDefault="00EA2B42" w:rsidP="00142AFF">
            <w:pPr>
              <w:pStyle w:val="TableTextNormal"/>
              <w:rPr>
                <w:lang w:val="en-GB"/>
              </w:rPr>
            </w:pPr>
            <w:r>
              <w:rPr>
                <w:lang w:val="en-GB"/>
              </w:rPr>
              <w:t>Australia Refined Diagnostic Related Group</w:t>
            </w:r>
          </w:p>
        </w:tc>
      </w:tr>
      <w:tr w:rsidR="00367B9F" w:rsidTr="00142AFF">
        <w:tc>
          <w:tcPr>
            <w:tcW w:w="2376" w:type="dxa"/>
            <w:shd w:val="clear" w:color="auto" w:fill="auto"/>
            <w:tcMar>
              <w:top w:w="0" w:type="dxa"/>
              <w:left w:w="108" w:type="dxa"/>
              <w:bottom w:w="0" w:type="dxa"/>
              <w:right w:w="108" w:type="dxa"/>
            </w:tcMar>
          </w:tcPr>
          <w:p w:rsidR="00367B9F" w:rsidRDefault="00367B9F" w:rsidP="00142AFF">
            <w:pPr>
              <w:pStyle w:val="TableTextNormal"/>
            </w:pPr>
            <w:r>
              <w:t>CCU/ICU</w:t>
            </w:r>
          </w:p>
        </w:tc>
        <w:tc>
          <w:tcPr>
            <w:tcW w:w="6629" w:type="dxa"/>
            <w:shd w:val="clear" w:color="auto" w:fill="auto"/>
            <w:tcMar>
              <w:top w:w="0" w:type="dxa"/>
              <w:left w:w="108" w:type="dxa"/>
              <w:bottom w:w="0" w:type="dxa"/>
              <w:right w:w="108" w:type="dxa"/>
            </w:tcMar>
          </w:tcPr>
          <w:p w:rsidR="00367B9F" w:rsidRDefault="00367B9F" w:rsidP="00142AFF">
            <w:pPr>
              <w:pStyle w:val="TableTextNormal"/>
              <w:rPr>
                <w:lang w:val="en-GB"/>
              </w:rPr>
            </w:pPr>
            <w:r>
              <w:rPr>
                <w:lang w:val="en-GB"/>
              </w:rPr>
              <w:t>Critical Care Unit/Intensive Care Unit</w:t>
            </w:r>
          </w:p>
        </w:tc>
      </w:tr>
      <w:tr w:rsidR="00EA2B42" w:rsidTr="00142AFF">
        <w:tc>
          <w:tcPr>
            <w:tcW w:w="2376" w:type="dxa"/>
            <w:shd w:val="clear" w:color="auto" w:fill="auto"/>
            <w:tcMar>
              <w:top w:w="0" w:type="dxa"/>
              <w:left w:w="108" w:type="dxa"/>
              <w:bottom w:w="0" w:type="dxa"/>
              <w:right w:w="108" w:type="dxa"/>
            </w:tcMar>
          </w:tcPr>
          <w:p w:rsidR="00EA2B42" w:rsidRPr="00054C96" w:rsidRDefault="00EA2B42" w:rsidP="00142AFF">
            <w:pPr>
              <w:pStyle w:val="TableTextNormal"/>
            </w:pPr>
            <w:r>
              <w:t>ED</w:t>
            </w:r>
          </w:p>
        </w:tc>
        <w:tc>
          <w:tcPr>
            <w:tcW w:w="6629" w:type="dxa"/>
            <w:shd w:val="clear" w:color="auto" w:fill="auto"/>
            <w:tcMar>
              <w:top w:w="0" w:type="dxa"/>
              <w:left w:w="108" w:type="dxa"/>
              <w:bottom w:w="0" w:type="dxa"/>
              <w:right w:w="108" w:type="dxa"/>
            </w:tcMar>
          </w:tcPr>
          <w:p w:rsidR="00EA2B42" w:rsidRDefault="00EA2B42" w:rsidP="00142AFF">
            <w:pPr>
              <w:pStyle w:val="TableTextNormal"/>
              <w:rPr>
                <w:lang w:val="en-GB"/>
              </w:rPr>
            </w:pPr>
            <w:r>
              <w:rPr>
                <w:lang w:val="en-GB"/>
              </w:rPr>
              <w:t>Emergency Department</w:t>
            </w:r>
          </w:p>
        </w:tc>
      </w:tr>
      <w:tr w:rsidR="003E2562" w:rsidRPr="003D1BBF" w:rsidTr="00142AFF">
        <w:tc>
          <w:tcPr>
            <w:tcW w:w="2376" w:type="dxa"/>
            <w:shd w:val="clear" w:color="auto" w:fill="auto"/>
            <w:tcMar>
              <w:top w:w="0" w:type="dxa"/>
              <w:left w:w="108" w:type="dxa"/>
              <w:bottom w:w="0" w:type="dxa"/>
              <w:right w:w="108" w:type="dxa"/>
            </w:tcMar>
          </w:tcPr>
          <w:p w:rsidR="003E2562" w:rsidRDefault="003E2562" w:rsidP="00142AFF">
            <w:pPr>
              <w:pStyle w:val="TableTextNormal"/>
              <w:rPr>
                <w:lang w:val="en-GB"/>
              </w:rPr>
            </w:pPr>
            <w:r>
              <w:rPr>
                <w:lang w:val="en-GB"/>
              </w:rPr>
              <w:t>FTE</w:t>
            </w:r>
          </w:p>
        </w:tc>
        <w:tc>
          <w:tcPr>
            <w:tcW w:w="6629" w:type="dxa"/>
            <w:shd w:val="clear" w:color="auto" w:fill="auto"/>
            <w:tcMar>
              <w:top w:w="0" w:type="dxa"/>
              <w:left w:w="108" w:type="dxa"/>
              <w:bottom w:w="0" w:type="dxa"/>
              <w:right w:w="108" w:type="dxa"/>
            </w:tcMar>
          </w:tcPr>
          <w:p w:rsidR="003E2562" w:rsidRDefault="003727C5" w:rsidP="001F3F6D">
            <w:pPr>
              <w:pStyle w:val="TableTextNormal"/>
              <w:rPr>
                <w:lang w:val="en-GB"/>
              </w:rPr>
            </w:pPr>
            <w:r>
              <w:rPr>
                <w:lang w:val="en-GB"/>
              </w:rPr>
              <w:t>F</w:t>
            </w:r>
            <w:r w:rsidR="00AA65AB">
              <w:rPr>
                <w:lang w:val="en-GB"/>
              </w:rPr>
              <w:t>ull</w:t>
            </w:r>
            <w:r w:rsidR="0011443A">
              <w:rPr>
                <w:lang w:val="en-GB"/>
              </w:rPr>
              <w:t>-</w:t>
            </w:r>
            <w:r w:rsidR="00AA65AB">
              <w:rPr>
                <w:lang w:val="en-GB"/>
              </w:rPr>
              <w:t>t</w:t>
            </w:r>
            <w:r w:rsidR="003E2562">
              <w:rPr>
                <w:lang w:val="en-GB"/>
              </w:rPr>
              <w:t>ime</w:t>
            </w:r>
            <w:r>
              <w:rPr>
                <w:lang w:val="en-GB"/>
              </w:rPr>
              <w:t xml:space="preserve"> </w:t>
            </w:r>
            <w:r w:rsidR="00AA65AB">
              <w:rPr>
                <w:lang w:val="en-GB"/>
              </w:rPr>
              <w:t xml:space="preserve">equivalent </w:t>
            </w:r>
            <w:r w:rsidR="001F3F6D">
              <w:rPr>
                <w:lang w:val="en-GB"/>
              </w:rPr>
              <w:t>(</w:t>
            </w:r>
            <w:r w:rsidR="003E2562">
              <w:rPr>
                <w:lang w:val="en-GB"/>
              </w:rPr>
              <w:t>employee</w:t>
            </w:r>
            <w:r w:rsidR="001F3F6D">
              <w:rPr>
                <w:lang w:val="en-GB"/>
              </w:rPr>
              <w:t>)</w:t>
            </w:r>
          </w:p>
        </w:tc>
      </w:tr>
      <w:tr w:rsidR="0072206D" w:rsidRPr="003D1BBF" w:rsidTr="00142AFF">
        <w:tc>
          <w:tcPr>
            <w:tcW w:w="2376" w:type="dxa"/>
            <w:shd w:val="clear" w:color="auto" w:fill="auto"/>
            <w:tcMar>
              <w:top w:w="0" w:type="dxa"/>
              <w:left w:w="108" w:type="dxa"/>
              <w:bottom w:w="0" w:type="dxa"/>
              <w:right w:w="108" w:type="dxa"/>
            </w:tcMar>
          </w:tcPr>
          <w:p w:rsidR="0072206D" w:rsidRDefault="0072206D" w:rsidP="00142AFF">
            <w:pPr>
              <w:pStyle w:val="TableTextNormal"/>
              <w:rPr>
                <w:lang w:val="en-GB"/>
              </w:rPr>
            </w:pPr>
            <w:r>
              <w:rPr>
                <w:lang w:val="en-GB"/>
              </w:rPr>
              <w:t>GL</w:t>
            </w:r>
          </w:p>
        </w:tc>
        <w:tc>
          <w:tcPr>
            <w:tcW w:w="6629" w:type="dxa"/>
            <w:shd w:val="clear" w:color="auto" w:fill="auto"/>
            <w:tcMar>
              <w:top w:w="0" w:type="dxa"/>
              <w:left w:w="108" w:type="dxa"/>
              <w:bottom w:w="0" w:type="dxa"/>
              <w:right w:w="108" w:type="dxa"/>
            </w:tcMar>
          </w:tcPr>
          <w:p w:rsidR="0072206D" w:rsidRDefault="0072206D" w:rsidP="00142AFF">
            <w:pPr>
              <w:pStyle w:val="TableTextNormal"/>
              <w:rPr>
                <w:lang w:val="en-GB"/>
              </w:rPr>
            </w:pPr>
            <w:r>
              <w:rPr>
                <w:lang w:val="en-GB"/>
              </w:rPr>
              <w:t>General Ledger</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HHS</w:t>
            </w:r>
          </w:p>
        </w:tc>
        <w:tc>
          <w:tcPr>
            <w:tcW w:w="6629"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Hospital and Health Service</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t>HIE</w:t>
            </w:r>
          </w:p>
        </w:tc>
        <w:tc>
          <w:tcPr>
            <w:tcW w:w="6629"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Health Information Exchange (NSW database for storing clinical data)</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sidRPr="003D1BBF">
              <w:rPr>
                <w:lang w:val="en-GB"/>
              </w:rPr>
              <w:t>IHPA</w:t>
            </w:r>
          </w:p>
        </w:tc>
        <w:tc>
          <w:tcPr>
            <w:tcW w:w="6629"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sidRPr="003D1BBF">
              <w:rPr>
                <w:lang w:val="en-GB"/>
              </w:rPr>
              <w:t xml:space="preserve">Independent Hospital Pricing Authority </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LHD/LHN</w:t>
            </w:r>
          </w:p>
        </w:tc>
        <w:tc>
          <w:tcPr>
            <w:tcW w:w="6629"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Local Health District/Local Health Network</w:t>
            </w:r>
          </w:p>
        </w:tc>
      </w:tr>
      <w:tr w:rsidR="00367B9F" w:rsidRPr="003D1BBF" w:rsidTr="00142AFF">
        <w:tc>
          <w:tcPr>
            <w:tcW w:w="2376" w:type="dxa"/>
            <w:shd w:val="clear" w:color="auto" w:fill="auto"/>
            <w:tcMar>
              <w:top w:w="0" w:type="dxa"/>
              <w:left w:w="108" w:type="dxa"/>
              <w:bottom w:w="0" w:type="dxa"/>
              <w:right w:w="108" w:type="dxa"/>
            </w:tcMar>
          </w:tcPr>
          <w:p w:rsidR="00367B9F" w:rsidRPr="003D1BBF" w:rsidRDefault="00367B9F" w:rsidP="00142AFF">
            <w:pPr>
              <w:pStyle w:val="TableTextNormal"/>
              <w:rPr>
                <w:lang w:val="en-GB"/>
              </w:rPr>
            </w:pPr>
            <w:r>
              <w:rPr>
                <w:lang w:val="en-GB"/>
              </w:rPr>
              <w:t>LOS</w:t>
            </w:r>
          </w:p>
        </w:tc>
        <w:tc>
          <w:tcPr>
            <w:tcW w:w="6629" w:type="dxa"/>
            <w:shd w:val="clear" w:color="auto" w:fill="auto"/>
            <w:tcMar>
              <w:top w:w="0" w:type="dxa"/>
              <w:left w:w="108" w:type="dxa"/>
              <w:bottom w:w="0" w:type="dxa"/>
              <w:right w:w="108" w:type="dxa"/>
            </w:tcMar>
          </w:tcPr>
          <w:p w:rsidR="00367B9F" w:rsidRPr="003D1BBF" w:rsidRDefault="00367B9F" w:rsidP="00142AFF">
            <w:pPr>
              <w:pStyle w:val="TableTextNormal"/>
              <w:rPr>
                <w:lang w:val="en-GB"/>
              </w:rPr>
            </w:pPr>
            <w:r>
              <w:rPr>
                <w:lang w:val="en-GB"/>
              </w:rPr>
              <w:t>Length of stay</w:t>
            </w:r>
          </w:p>
        </w:tc>
      </w:tr>
      <w:tr w:rsidR="003E2562" w:rsidRPr="003D1BBF" w:rsidTr="00142AFF">
        <w:tc>
          <w:tcPr>
            <w:tcW w:w="2376" w:type="dxa"/>
            <w:shd w:val="clear" w:color="auto" w:fill="auto"/>
            <w:tcMar>
              <w:top w:w="0" w:type="dxa"/>
              <w:left w:w="108" w:type="dxa"/>
              <w:bottom w:w="0" w:type="dxa"/>
              <w:right w:w="108" w:type="dxa"/>
            </w:tcMar>
          </w:tcPr>
          <w:p w:rsidR="003E2562" w:rsidRDefault="003E2562" w:rsidP="00142AFF">
            <w:pPr>
              <w:pStyle w:val="TableTextNormal"/>
              <w:rPr>
                <w:lang w:val="en-GB"/>
              </w:rPr>
            </w:pPr>
            <w:r>
              <w:rPr>
                <w:lang w:val="en-GB"/>
              </w:rPr>
              <w:t>MBS</w:t>
            </w:r>
          </w:p>
        </w:tc>
        <w:tc>
          <w:tcPr>
            <w:tcW w:w="6629" w:type="dxa"/>
            <w:shd w:val="clear" w:color="auto" w:fill="auto"/>
            <w:tcMar>
              <w:top w:w="0" w:type="dxa"/>
              <w:left w:w="108" w:type="dxa"/>
              <w:bottom w:w="0" w:type="dxa"/>
              <w:right w:w="108" w:type="dxa"/>
            </w:tcMar>
          </w:tcPr>
          <w:p w:rsidR="003E2562" w:rsidRDefault="003E2562" w:rsidP="00142AFF">
            <w:pPr>
              <w:pStyle w:val="TableTextNormal"/>
              <w:rPr>
                <w:lang w:val="en-GB"/>
              </w:rPr>
            </w:pPr>
            <w:r>
              <w:rPr>
                <w:lang w:val="en-GB"/>
              </w:rPr>
              <w:t>Medicare Benefits Scheme</w:t>
            </w:r>
          </w:p>
        </w:tc>
      </w:tr>
      <w:tr w:rsidR="00367B9F" w:rsidRPr="003D1BBF" w:rsidTr="00142AFF">
        <w:tc>
          <w:tcPr>
            <w:tcW w:w="2376" w:type="dxa"/>
            <w:shd w:val="clear" w:color="auto" w:fill="auto"/>
            <w:tcMar>
              <w:top w:w="0" w:type="dxa"/>
              <w:left w:w="108" w:type="dxa"/>
              <w:bottom w:w="0" w:type="dxa"/>
              <w:right w:w="108" w:type="dxa"/>
            </w:tcMar>
          </w:tcPr>
          <w:p w:rsidR="00367B9F" w:rsidRPr="003D1BBF" w:rsidRDefault="00367B9F" w:rsidP="00142AFF">
            <w:pPr>
              <w:pStyle w:val="TableTextNormal"/>
              <w:rPr>
                <w:lang w:val="en-GB"/>
              </w:rPr>
            </w:pPr>
            <w:r>
              <w:rPr>
                <w:lang w:val="en-GB"/>
              </w:rPr>
              <w:t>NBA</w:t>
            </w:r>
          </w:p>
        </w:tc>
        <w:tc>
          <w:tcPr>
            <w:tcW w:w="6629" w:type="dxa"/>
            <w:shd w:val="clear" w:color="auto" w:fill="auto"/>
            <w:tcMar>
              <w:top w:w="0" w:type="dxa"/>
              <w:left w:w="108" w:type="dxa"/>
              <w:bottom w:w="0" w:type="dxa"/>
              <w:right w:w="108" w:type="dxa"/>
            </w:tcMar>
          </w:tcPr>
          <w:p w:rsidR="00367B9F" w:rsidRPr="003D1BBF" w:rsidRDefault="00367B9F" w:rsidP="00142AFF">
            <w:pPr>
              <w:pStyle w:val="TableTextNormal"/>
              <w:rPr>
                <w:lang w:val="en-GB"/>
              </w:rPr>
            </w:pPr>
            <w:r>
              <w:rPr>
                <w:lang w:val="en-GB"/>
              </w:rPr>
              <w:t>National Blood Authority</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sidRPr="003D1BBF">
              <w:rPr>
                <w:lang w:val="en-GB"/>
              </w:rPr>
              <w:t>NHCDC</w:t>
            </w:r>
          </w:p>
        </w:tc>
        <w:tc>
          <w:tcPr>
            <w:tcW w:w="6629"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sidRPr="003D1BBF">
              <w:rPr>
                <w:lang w:val="en-GB"/>
              </w:rPr>
              <w:t xml:space="preserve">National Hospital Cost Data Collection </w:t>
            </w:r>
          </w:p>
        </w:tc>
      </w:tr>
      <w:tr w:rsidR="00EA2B42" w:rsidTr="00142AFF">
        <w:tc>
          <w:tcPr>
            <w:tcW w:w="2376" w:type="dxa"/>
            <w:shd w:val="clear" w:color="auto" w:fill="auto"/>
            <w:tcMar>
              <w:top w:w="0" w:type="dxa"/>
              <w:left w:w="108" w:type="dxa"/>
              <w:bottom w:w="0" w:type="dxa"/>
              <w:right w:w="108" w:type="dxa"/>
            </w:tcMar>
          </w:tcPr>
          <w:p w:rsidR="00EA2B42" w:rsidRPr="00054C96" w:rsidRDefault="00EA2B42" w:rsidP="00142AFF">
            <w:pPr>
              <w:pStyle w:val="TableTextNormal"/>
            </w:pPr>
            <w:r>
              <w:t>OP</w:t>
            </w:r>
          </w:p>
        </w:tc>
        <w:tc>
          <w:tcPr>
            <w:tcW w:w="6629" w:type="dxa"/>
            <w:shd w:val="clear" w:color="auto" w:fill="auto"/>
            <w:tcMar>
              <w:top w:w="0" w:type="dxa"/>
              <w:left w:w="108" w:type="dxa"/>
              <w:bottom w:w="0" w:type="dxa"/>
              <w:right w:w="108" w:type="dxa"/>
            </w:tcMar>
          </w:tcPr>
          <w:p w:rsidR="00EA2B42" w:rsidRDefault="00EA2B42" w:rsidP="00142AFF">
            <w:pPr>
              <w:pStyle w:val="TableTextNormal"/>
              <w:rPr>
                <w:lang w:val="en-GB"/>
              </w:rPr>
            </w:pPr>
            <w:r>
              <w:rPr>
                <w:lang w:val="en-GB"/>
              </w:rPr>
              <w:t>Outpatients</w:t>
            </w:r>
          </w:p>
        </w:tc>
      </w:tr>
      <w:tr w:rsidR="00EA2B42" w:rsidTr="00142AFF">
        <w:tc>
          <w:tcPr>
            <w:tcW w:w="2376" w:type="dxa"/>
            <w:shd w:val="clear" w:color="auto" w:fill="auto"/>
            <w:tcMar>
              <w:top w:w="0" w:type="dxa"/>
              <w:left w:w="108" w:type="dxa"/>
              <w:bottom w:w="0" w:type="dxa"/>
              <w:right w:w="108" w:type="dxa"/>
            </w:tcMar>
          </w:tcPr>
          <w:p w:rsidR="00EA2B42" w:rsidRPr="00054C96" w:rsidRDefault="00EA2B42" w:rsidP="00142AFF">
            <w:pPr>
              <w:pStyle w:val="TableTextNormal"/>
            </w:pPr>
            <w:r>
              <w:t>PAS</w:t>
            </w:r>
          </w:p>
        </w:tc>
        <w:tc>
          <w:tcPr>
            <w:tcW w:w="6629" w:type="dxa"/>
            <w:shd w:val="clear" w:color="auto" w:fill="auto"/>
            <w:tcMar>
              <w:top w:w="0" w:type="dxa"/>
              <w:left w:w="108" w:type="dxa"/>
              <w:bottom w:w="0" w:type="dxa"/>
              <w:right w:w="108" w:type="dxa"/>
            </w:tcMar>
          </w:tcPr>
          <w:p w:rsidR="00EA2B42" w:rsidRDefault="00EA2B42" w:rsidP="00142AFF">
            <w:pPr>
              <w:pStyle w:val="TableTextNormal"/>
              <w:rPr>
                <w:lang w:val="en-GB"/>
              </w:rPr>
            </w:pPr>
            <w:r>
              <w:rPr>
                <w:lang w:val="en-GB"/>
              </w:rPr>
              <w:t>Patient Administration System</w:t>
            </w:r>
          </w:p>
        </w:tc>
      </w:tr>
      <w:tr w:rsidR="00B10765" w:rsidRPr="003D1BBF" w:rsidTr="00142AFF">
        <w:tc>
          <w:tcPr>
            <w:tcW w:w="2376" w:type="dxa"/>
            <w:shd w:val="clear" w:color="auto" w:fill="auto"/>
            <w:tcMar>
              <w:top w:w="0" w:type="dxa"/>
              <w:left w:w="108" w:type="dxa"/>
              <w:bottom w:w="0" w:type="dxa"/>
              <w:right w:w="108" w:type="dxa"/>
            </w:tcMar>
          </w:tcPr>
          <w:p w:rsidR="00B10765" w:rsidRPr="00054C96" w:rsidRDefault="00B10765" w:rsidP="00142AFF">
            <w:pPr>
              <w:pStyle w:val="TableTextNormal"/>
            </w:pPr>
            <w:r>
              <w:t>PBS</w:t>
            </w:r>
          </w:p>
        </w:tc>
        <w:tc>
          <w:tcPr>
            <w:tcW w:w="6629" w:type="dxa"/>
            <w:shd w:val="clear" w:color="auto" w:fill="auto"/>
            <w:tcMar>
              <w:top w:w="0" w:type="dxa"/>
              <w:left w:w="108" w:type="dxa"/>
              <w:bottom w:w="0" w:type="dxa"/>
              <w:right w:w="108" w:type="dxa"/>
            </w:tcMar>
          </w:tcPr>
          <w:p w:rsidR="00B10765" w:rsidRDefault="00B10765" w:rsidP="00142AFF">
            <w:pPr>
              <w:pStyle w:val="TableTextNormal"/>
              <w:rPr>
                <w:lang w:val="en-GB"/>
              </w:rPr>
            </w:pPr>
            <w:r>
              <w:rPr>
                <w:lang w:val="en-GB"/>
              </w:rPr>
              <w:t>Pharmaceutical Benefits Scheme</w:t>
            </w:r>
          </w:p>
        </w:tc>
      </w:tr>
      <w:tr w:rsidR="00367B9F" w:rsidRPr="003D1BBF" w:rsidTr="00142AFF">
        <w:tc>
          <w:tcPr>
            <w:tcW w:w="2376" w:type="dxa"/>
            <w:shd w:val="clear" w:color="auto" w:fill="auto"/>
            <w:tcMar>
              <w:top w:w="0" w:type="dxa"/>
              <w:left w:w="108" w:type="dxa"/>
              <w:bottom w:w="0" w:type="dxa"/>
              <w:right w:w="108" w:type="dxa"/>
            </w:tcMar>
          </w:tcPr>
          <w:p w:rsidR="00367B9F" w:rsidRPr="00054C96" w:rsidRDefault="00367B9F" w:rsidP="00142AFF">
            <w:pPr>
              <w:pStyle w:val="TableTextNormal"/>
            </w:pPr>
            <w:r>
              <w:t>PCCL</w:t>
            </w:r>
          </w:p>
        </w:tc>
        <w:tc>
          <w:tcPr>
            <w:tcW w:w="6629" w:type="dxa"/>
            <w:shd w:val="clear" w:color="auto" w:fill="auto"/>
            <w:tcMar>
              <w:top w:w="0" w:type="dxa"/>
              <w:left w:w="108" w:type="dxa"/>
              <w:bottom w:w="0" w:type="dxa"/>
              <w:right w:w="108" w:type="dxa"/>
            </w:tcMar>
          </w:tcPr>
          <w:p w:rsidR="00367B9F" w:rsidRDefault="00367B9F" w:rsidP="00142AFF">
            <w:pPr>
              <w:pStyle w:val="TableTextNormal"/>
              <w:rPr>
                <w:lang w:val="en-GB"/>
              </w:rPr>
            </w:pPr>
            <w:r>
              <w:rPr>
                <w:lang w:val="en-GB"/>
              </w:rPr>
              <w:t>Patient Clinical Complexity Loading</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sidRPr="00054C96">
              <w:t>PFRAC</w:t>
            </w:r>
            <w:r w:rsidR="00367B9F">
              <w:t>/IFRAC</w:t>
            </w:r>
          </w:p>
        </w:tc>
        <w:tc>
          <w:tcPr>
            <w:tcW w:w="6629" w:type="dxa"/>
            <w:shd w:val="clear" w:color="auto" w:fill="auto"/>
            <w:tcMar>
              <w:top w:w="0" w:type="dxa"/>
              <w:left w:w="108" w:type="dxa"/>
              <w:bottom w:w="0" w:type="dxa"/>
              <w:right w:w="108" w:type="dxa"/>
            </w:tcMar>
          </w:tcPr>
          <w:p w:rsidR="00EA2B42" w:rsidRPr="003D1BBF" w:rsidRDefault="00151E39" w:rsidP="003727C5">
            <w:pPr>
              <w:pStyle w:val="TableTextNormal"/>
              <w:rPr>
                <w:lang w:val="en-GB"/>
              </w:rPr>
            </w:pPr>
            <w:r>
              <w:rPr>
                <w:lang w:val="en-GB"/>
              </w:rPr>
              <w:t>Product</w:t>
            </w:r>
            <w:r w:rsidR="00EA2B42">
              <w:rPr>
                <w:lang w:val="en-GB"/>
              </w:rPr>
              <w:t xml:space="preserve"> fraction</w:t>
            </w:r>
            <w:r w:rsidR="00367B9F">
              <w:rPr>
                <w:lang w:val="en-GB"/>
              </w:rPr>
              <w:t xml:space="preserve"> / Inpatient fraction</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t>PPM2</w:t>
            </w:r>
          </w:p>
        </w:tc>
        <w:tc>
          <w:tcPr>
            <w:tcW w:w="6629"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proofErr w:type="spellStart"/>
            <w:r>
              <w:t>PowerPerformance</w:t>
            </w:r>
            <w:proofErr w:type="spellEnd"/>
            <w:r>
              <w:t xml:space="preserve"> Management Version 2 (Hospital costing software)</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sidRPr="003D1BBF">
              <w:rPr>
                <w:lang w:val="en-GB"/>
              </w:rPr>
              <w:t>PwC</w:t>
            </w:r>
          </w:p>
        </w:tc>
        <w:tc>
          <w:tcPr>
            <w:tcW w:w="6629"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sidRPr="003D1BBF">
              <w:rPr>
                <w:lang w:val="en-GB"/>
              </w:rPr>
              <w:t xml:space="preserve">PricewaterhouseCoopers </w:t>
            </w:r>
          </w:p>
        </w:tc>
      </w:tr>
      <w:tr w:rsidR="00EA2B42" w:rsidTr="00142AFF">
        <w:tc>
          <w:tcPr>
            <w:tcW w:w="2376" w:type="dxa"/>
            <w:shd w:val="clear" w:color="auto" w:fill="auto"/>
            <w:tcMar>
              <w:top w:w="0" w:type="dxa"/>
              <w:left w:w="108" w:type="dxa"/>
              <w:bottom w:w="0" w:type="dxa"/>
              <w:right w:w="108" w:type="dxa"/>
            </w:tcMar>
          </w:tcPr>
          <w:p w:rsidR="00EA2B42" w:rsidRPr="00054C96" w:rsidRDefault="00EA2B42" w:rsidP="00142AFF">
            <w:pPr>
              <w:pStyle w:val="TableTextNormal"/>
            </w:pPr>
            <w:r>
              <w:t>QA</w:t>
            </w:r>
          </w:p>
        </w:tc>
        <w:tc>
          <w:tcPr>
            <w:tcW w:w="6629" w:type="dxa"/>
            <w:shd w:val="clear" w:color="auto" w:fill="auto"/>
            <w:tcMar>
              <w:top w:w="0" w:type="dxa"/>
              <w:left w:w="108" w:type="dxa"/>
              <w:bottom w:w="0" w:type="dxa"/>
              <w:right w:w="108" w:type="dxa"/>
            </w:tcMar>
          </w:tcPr>
          <w:p w:rsidR="00EA2B42" w:rsidRDefault="00EA2B42">
            <w:pPr>
              <w:pStyle w:val="TableTextNormal"/>
              <w:rPr>
                <w:lang w:val="en-GB"/>
              </w:rPr>
            </w:pPr>
            <w:r>
              <w:rPr>
                <w:lang w:val="en-GB"/>
              </w:rPr>
              <w:t>Quality Assurance</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RVU</w:t>
            </w:r>
          </w:p>
        </w:tc>
        <w:tc>
          <w:tcPr>
            <w:tcW w:w="6629" w:type="dxa"/>
            <w:shd w:val="clear" w:color="auto" w:fill="auto"/>
            <w:tcMar>
              <w:top w:w="0" w:type="dxa"/>
              <w:left w:w="108" w:type="dxa"/>
              <w:bottom w:w="0" w:type="dxa"/>
              <w:right w:w="108" w:type="dxa"/>
            </w:tcMar>
          </w:tcPr>
          <w:p w:rsidR="00EA2B42" w:rsidRPr="003D1BBF" w:rsidRDefault="00367B9F">
            <w:pPr>
              <w:pStyle w:val="TableTextNormal"/>
              <w:rPr>
                <w:lang w:val="en-GB"/>
              </w:rPr>
            </w:pPr>
            <w:r>
              <w:rPr>
                <w:lang w:val="en-GB"/>
              </w:rPr>
              <w:t>Relative Value U</w:t>
            </w:r>
            <w:r w:rsidR="00EA2B42">
              <w:rPr>
                <w:lang w:val="en-GB"/>
              </w:rPr>
              <w:t>nit</w:t>
            </w:r>
          </w:p>
        </w:tc>
      </w:tr>
      <w:tr w:rsidR="00EA2B42" w:rsidTr="00142AFF">
        <w:tc>
          <w:tcPr>
            <w:tcW w:w="2376" w:type="dxa"/>
            <w:shd w:val="clear" w:color="auto" w:fill="auto"/>
            <w:tcMar>
              <w:top w:w="0" w:type="dxa"/>
              <w:left w:w="108" w:type="dxa"/>
              <w:bottom w:w="0" w:type="dxa"/>
              <w:right w:w="108" w:type="dxa"/>
            </w:tcMar>
          </w:tcPr>
          <w:p w:rsidR="00EA2B42" w:rsidRPr="00054C96" w:rsidRDefault="00EA2B42" w:rsidP="00142AFF">
            <w:pPr>
              <w:pStyle w:val="TableTextNormal"/>
            </w:pPr>
            <w:r>
              <w:t>THO</w:t>
            </w:r>
          </w:p>
        </w:tc>
        <w:tc>
          <w:tcPr>
            <w:tcW w:w="6629" w:type="dxa"/>
            <w:shd w:val="clear" w:color="auto" w:fill="auto"/>
            <w:tcMar>
              <w:top w:w="0" w:type="dxa"/>
              <w:left w:w="108" w:type="dxa"/>
              <w:bottom w:w="0" w:type="dxa"/>
              <w:right w:w="108" w:type="dxa"/>
            </w:tcMar>
          </w:tcPr>
          <w:p w:rsidR="00EA2B42" w:rsidRDefault="00EA2B42" w:rsidP="00142AFF">
            <w:pPr>
              <w:pStyle w:val="TableTextNormal"/>
              <w:rPr>
                <w:lang w:val="en-GB"/>
              </w:rPr>
            </w:pPr>
            <w:r>
              <w:rPr>
                <w:lang w:val="en-GB"/>
              </w:rPr>
              <w:t>Tasmanian Health Office</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rPr>
                <w:lang w:val="en-GB"/>
              </w:rPr>
              <w:t>TTR</w:t>
            </w:r>
          </w:p>
        </w:tc>
        <w:tc>
          <w:tcPr>
            <w:tcW w:w="6629" w:type="dxa"/>
            <w:shd w:val="clear" w:color="auto" w:fill="auto"/>
            <w:tcMar>
              <w:top w:w="0" w:type="dxa"/>
              <w:left w:w="108" w:type="dxa"/>
              <w:bottom w:w="0" w:type="dxa"/>
              <w:right w:w="108" w:type="dxa"/>
            </w:tcMar>
          </w:tcPr>
          <w:p w:rsidR="00EA2B42" w:rsidRPr="003D1BBF" w:rsidRDefault="00EA2B42">
            <w:pPr>
              <w:pStyle w:val="TableTextNormal"/>
              <w:rPr>
                <w:lang w:val="en-GB"/>
              </w:rPr>
            </w:pPr>
            <w:r>
              <w:rPr>
                <w:lang w:val="en-GB"/>
              </w:rPr>
              <w:t>Teaching</w:t>
            </w:r>
            <w:r w:rsidR="003E2562">
              <w:rPr>
                <w:lang w:val="en-GB"/>
              </w:rPr>
              <w:t>,</w:t>
            </w:r>
            <w:r>
              <w:rPr>
                <w:lang w:val="en-GB"/>
              </w:rPr>
              <w:t xml:space="preserve"> Training and Research</w:t>
            </w:r>
          </w:p>
        </w:tc>
      </w:tr>
      <w:tr w:rsidR="00EA2B42" w:rsidTr="00142AFF">
        <w:tc>
          <w:tcPr>
            <w:tcW w:w="2376" w:type="dxa"/>
            <w:shd w:val="clear" w:color="auto" w:fill="auto"/>
            <w:tcMar>
              <w:top w:w="0" w:type="dxa"/>
              <w:left w:w="108" w:type="dxa"/>
              <w:bottom w:w="0" w:type="dxa"/>
              <w:right w:w="108" w:type="dxa"/>
            </w:tcMar>
          </w:tcPr>
          <w:p w:rsidR="00EA2B42" w:rsidRPr="00054C96" w:rsidRDefault="00EA2B42" w:rsidP="00142AFF">
            <w:pPr>
              <w:pStyle w:val="TableTextNormal"/>
            </w:pPr>
            <w:r>
              <w:t>UQB</w:t>
            </w:r>
          </w:p>
        </w:tc>
        <w:tc>
          <w:tcPr>
            <w:tcW w:w="6629" w:type="dxa"/>
            <w:shd w:val="clear" w:color="auto" w:fill="auto"/>
            <w:tcMar>
              <w:top w:w="0" w:type="dxa"/>
              <w:left w:w="108" w:type="dxa"/>
              <w:bottom w:w="0" w:type="dxa"/>
              <w:right w:w="108" w:type="dxa"/>
            </w:tcMar>
          </w:tcPr>
          <w:p w:rsidR="00EA2B42" w:rsidRDefault="00EA2B42">
            <w:pPr>
              <w:pStyle w:val="TableTextNormal"/>
              <w:rPr>
                <w:lang w:val="en-GB"/>
              </w:rPr>
            </w:pPr>
            <w:r>
              <w:rPr>
                <w:lang w:val="en-GB"/>
              </w:rPr>
              <w:t>Unqualified babies</w:t>
            </w:r>
          </w:p>
        </w:tc>
      </w:tr>
      <w:tr w:rsidR="00367B9F" w:rsidRPr="003D1BBF" w:rsidTr="00142AFF">
        <w:tc>
          <w:tcPr>
            <w:tcW w:w="2376" w:type="dxa"/>
            <w:shd w:val="clear" w:color="auto" w:fill="auto"/>
            <w:tcMar>
              <w:top w:w="0" w:type="dxa"/>
              <w:left w:w="108" w:type="dxa"/>
              <w:bottom w:w="0" w:type="dxa"/>
              <w:right w:w="108" w:type="dxa"/>
            </w:tcMar>
          </w:tcPr>
          <w:p w:rsidR="00367B9F" w:rsidRDefault="00367B9F" w:rsidP="00142AFF">
            <w:pPr>
              <w:pStyle w:val="TableTextNormal"/>
            </w:pPr>
            <w:r>
              <w:t>URG</w:t>
            </w:r>
          </w:p>
        </w:tc>
        <w:tc>
          <w:tcPr>
            <w:tcW w:w="6629" w:type="dxa"/>
            <w:shd w:val="clear" w:color="auto" w:fill="auto"/>
            <w:tcMar>
              <w:top w:w="0" w:type="dxa"/>
              <w:left w:w="108" w:type="dxa"/>
              <w:bottom w:w="0" w:type="dxa"/>
              <w:right w:w="108" w:type="dxa"/>
            </w:tcMar>
          </w:tcPr>
          <w:p w:rsidR="00367B9F" w:rsidRDefault="00367B9F" w:rsidP="00142AFF">
            <w:pPr>
              <w:pStyle w:val="TableTextNormal"/>
              <w:rPr>
                <w:lang w:val="en-GB"/>
              </w:rPr>
            </w:pPr>
            <w:r>
              <w:rPr>
                <w:lang w:val="en-GB"/>
              </w:rPr>
              <w:t>Urgency Related Group</w:t>
            </w:r>
          </w:p>
        </w:tc>
      </w:tr>
      <w:tr w:rsidR="00EA2B42" w:rsidRPr="003D1BBF" w:rsidTr="00142AFF">
        <w:tc>
          <w:tcPr>
            <w:tcW w:w="2376" w:type="dxa"/>
            <w:shd w:val="clear" w:color="auto" w:fill="auto"/>
            <w:tcMar>
              <w:top w:w="0" w:type="dxa"/>
              <w:left w:w="108" w:type="dxa"/>
              <w:bottom w:w="0" w:type="dxa"/>
              <w:right w:w="108" w:type="dxa"/>
            </w:tcMar>
          </w:tcPr>
          <w:p w:rsidR="00EA2B42" w:rsidRPr="003D1BBF" w:rsidRDefault="00EA2B42" w:rsidP="00142AFF">
            <w:pPr>
              <w:pStyle w:val="TableTextNormal"/>
              <w:rPr>
                <w:lang w:val="en-GB"/>
              </w:rPr>
            </w:pPr>
            <w:r>
              <w:t>WIP</w:t>
            </w:r>
          </w:p>
        </w:tc>
        <w:tc>
          <w:tcPr>
            <w:tcW w:w="6629" w:type="dxa"/>
            <w:shd w:val="clear" w:color="auto" w:fill="auto"/>
            <w:tcMar>
              <w:top w:w="0" w:type="dxa"/>
              <w:left w:w="108" w:type="dxa"/>
              <w:bottom w:w="0" w:type="dxa"/>
              <w:right w:w="108" w:type="dxa"/>
            </w:tcMar>
          </w:tcPr>
          <w:p w:rsidR="00EA2B42" w:rsidRPr="003D1BBF" w:rsidRDefault="00EA2B42">
            <w:pPr>
              <w:pStyle w:val="TableTextNormal"/>
              <w:rPr>
                <w:lang w:val="en-GB"/>
              </w:rPr>
            </w:pPr>
            <w:r>
              <w:rPr>
                <w:lang w:val="en-GB"/>
              </w:rPr>
              <w:t>Work In Progress</w:t>
            </w:r>
          </w:p>
        </w:tc>
      </w:tr>
    </w:tbl>
    <w:p w:rsidR="00EA2B42" w:rsidRDefault="00EA2B42" w:rsidP="003E2562">
      <w:r>
        <w:br w:type="page"/>
      </w:r>
    </w:p>
    <w:p w:rsidR="00247954" w:rsidRDefault="00EA2B42" w:rsidP="00930AB8">
      <w:pPr>
        <w:pStyle w:val="Heading1"/>
      </w:pPr>
      <w:bookmarkStart w:id="32" w:name="_Toc40435550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lastRenderedPageBreak/>
        <w:t>Introduction</w:t>
      </w:r>
      <w:bookmarkEnd w:id="32"/>
    </w:p>
    <w:p w:rsidR="004F0878" w:rsidRPr="00972C26" w:rsidRDefault="00EA2B42" w:rsidP="00142AFF">
      <w:pPr>
        <w:pStyle w:val="Heading2"/>
      </w:pPr>
      <w:r>
        <w:t>Overview and scope</w:t>
      </w:r>
    </w:p>
    <w:p w:rsidR="00EA2B42" w:rsidRPr="00EA2B42" w:rsidRDefault="00691F15" w:rsidP="00EA2B42">
      <w:pPr>
        <w:pStyle w:val="KeySentence"/>
        <w:rPr>
          <w:i w:val="0"/>
          <w:color w:val="auto"/>
          <w:sz w:val="20"/>
          <w:szCs w:val="20"/>
        </w:rPr>
      </w:pPr>
      <w:r>
        <w:rPr>
          <w:i w:val="0"/>
          <w:color w:val="auto"/>
          <w:sz w:val="20"/>
          <w:szCs w:val="20"/>
        </w:rPr>
        <w:t xml:space="preserve">The Independent Hospital Pricing Authority (IHPA) commissioned </w:t>
      </w:r>
      <w:r w:rsidR="00EA2B42" w:rsidRPr="00EA2B42">
        <w:rPr>
          <w:i w:val="0"/>
          <w:color w:val="auto"/>
          <w:sz w:val="20"/>
          <w:szCs w:val="20"/>
        </w:rPr>
        <w:t xml:space="preserve">PwC to conduct an </w:t>
      </w:r>
      <w:r>
        <w:rPr>
          <w:i w:val="0"/>
          <w:color w:val="auto"/>
          <w:sz w:val="20"/>
          <w:szCs w:val="20"/>
        </w:rPr>
        <w:t>i</w:t>
      </w:r>
      <w:r w:rsidR="00EA2B42" w:rsidRPr="00EA2B42">
        <w:rPr>
          <w:i w:val="0"/>
          <w:color w:val="auto"/>
          <w:sz w:val="20"/>
          <w:szCs w:val="20"/>
        </w:rPr>
        <w:t xml:space="preserve">ndependent </w:t>
      </w:r>
      <w:r>
        <w:rPr>
          <w:i w:val="0"/>
          <w:color w:val="auto"/>
          <w:sz w:val="20"/>
          <w:szCs w:val="20"/>
        </w:rPr>
        <w:t>f</w:t>
      </w:r>
      <w:r w:rsidRPr="00EA2B42">
        <w:rPr>
          <w:i w:val="0"/>
          <w:color w:val="auto"/>
          <w:sz w:val="20"/>
          <w:szCs w:val="20"/>
        </w:rPr>
        <w:t xml:space="preserve">inancial </w:t>
      </w:r>
      <w:r>
        <w:rPr>
          <w:i w:val="0"/>
          <w:color w:val="auto"/>
          <w:sz w:val="20"/>
          <w:szCs w:val="20"/>
        </w:rPr>
        <w:t>r</w:t>
      </w:r>
      <w:r w:rsidRPr="00EA2B42">
        <w:rPr>
          <w:i w:val="0"/>
          <w:color w:val="auto"/>
          <w:sz w:val="20"/>
          <w:szCs w:val="20"/>
        </w:rPr>
        <w:t xml:space="preserve">eview </w:t>
      </w:r>
      <w:r w:rsidR="00EA2B42" w:rsidRPr="00EA2B42">
        <w:rPr>
          <w:i w:val="0"/>
          <w:color w:val="auto"/>
          <w:sz w:val="20"/>
          <w:szCs w:val="20"/>
        </w:rPr>
        <w:t>(</w:t>
      </w:r>
      <w:r>
        <w:rPr>
          <w:i w:val="0"/>
          <w:color w:val="auto"/>
          <w:sz w:val="20"/>
          <w:szCs w:val="20"/>
        </w:rPr>
        <w:t xml:space="preserve">‘the </w:t>
      </w:r>
      <w:r w:rsidRPr="00EA2B42">
        <w:rPr>
          <w:i w:val="0"/>
          <w:color w:val="auto"/>
          <w:sz w:val="20"/>
          <w:szCs w:val="20"/>
        </w:rPr>
        <w:t xml:space="preserve">financial </w:t>
      </w:r>
      <w:r w:rsidR="00EA2B42" w:rsidRPr="00EA2B42">
        <w:rPr>
          <w:i w:val="0"/>
          <w:color w:val="auto"/>
          <w:sz w:val="20"/>
          <w:szCs w:val="20"/>
        </w:rPr>
        <w:t>review</w:t>
      </w:r>
      <w:r>
        <w:rPr>
          <w:i w:val="0"/>
          <w:color w:val="auto"/>
          <w:sz w:val="20"/>
          <w:szCs w:val="20"/>
        </w:rPr>
        <w:t>’</w:t>
      </w:r>
      <w:r w:rsidR="00EA2B42" w:rsidRPr="00EA2B42">
        <w:rPr>
          <w:i w:val="0"/>
          <w:color w:val="auto"/>
          <w:sz w:val="20"/>
          <w:szCs w:val="20"/>
        </w:rPr>
        <w:t xml:space="preserve"> or </w:t>
      </w:r>
      <w:r>
        <w:rPr>
          <w:i w:val="0"/>
          <w:color w:val="auto"/>
          <w:sz w:val="20"/>
          <w:szCs w:val="20"/>
        </w:rPr>
        <w:t xml:space="preserve">‘the </w:t>
      </w:r>
      <w:r w:rsidR="00EA2B42" w:rsidRPr="00EA2B42">
        <w:rPr>
          <w:i w:val="0"/>
          <w:color w:val="auto"/>
          <w:sz w:val="20"/>
          <w:szCs w:val="20"/>
        </w:rPr>
        <w:t>review</w:t>
      </w:r>
      <w:r>
        <w:rPr>
          <w:i w:val="0"/>
          <w:color w:val="auto"/>
          <w:sz w:val="20"/>
          <w:szCs w:val="20"/>
        </w:rPr>
        <w:t>’</w:t>
      </w:r>
      <w:r w:rsidR="00EA2B42">
        <w:rPr>
          <w:i w:val="0"/>
          <w:color w:val="auto"/>
          <w:sz w:val="20"/>
          <w:szCs w:val="20"/>
        </w:rPr>
        <w:t xml:space="preserve">) of the Public Sector </w:t>
      </w:r>
      <w:r w:rsidR="006A194B">
        <w:rPr>
          <w:i w:val="0"/>
          <w:color w:val="auto"/>
          <w:sz w:val="20"/>
          <w:szCs w:val="20"/>
        </w:rPr>
        <w:t>Round 17</w:t>
      </w:r>
      <w:r w:rsidR="00EA2B42" w:rsidRPr="00EA2B42">
        <w:rPr>
          <w:i w:val="0"/>
          <w:color w:val="auto"/>
          <w:sz w:val="20"/>
          <w:szCs w:val="20"/>
        </w:rPr>
        <w:t xml:space="preserve"> National Hospital Cost Data Collection (NHCDC) for the 201</w:t>
      </w:r>
      <w:r w:rsidR="00EA2B42">
        <w:rPr>
          <w:i w:val="0"/>
          <w:color w:val="auto"/>
          <w:sz w:val="20"/>
          <w:szCs w:val="20"/>
        </w:rPr>
        <w:t>2/13</w:t>
      </w:r>
      <w:r w:rsidR="00283DEC">
        <w:rPr>
          <w:i w:val="0"/>
          <w:color w:val="auto"/>
          <w:sz w:val="20"/>
          <w:szCs w:val="20"/>
        </w:rPr>
        <w:t xml:space="preserve"> financial</w:t>
      </w:r>
      <w:r w:rsidR="00EA2B42" w:rsidRPr="00EA2B42">
        <w:rPr>
          <w:i w:val="0"/>
          <w:color w:val="auto"/>
          <w:sz w:val="20"/>
          <w:szCs w:val="20"/>
        </w:rPr>
        <w:t xml:space="preserve"> year.</w:t>
      </w:r>
    </w:p>
    <w:p w:rsidR="00EA2B42" w:rsidRPr="00EA2B42" w:rsidRDefault="00EA2B42" w:rsidP="00EA2B42">
      <w:pPr>
        <w:pStyle w:val="KeySentence"/>
        <w:rPr>
          <w:i w:val="0"/>
          <w:color w:val="auto"/>
          <w:sz w:val="20"/>
          <w:szCs w:val="20"/>
        </w:rPr>
      </w:pPr>
      <w:r w:rsidRPr="00EA2B42">
        <w:rPr>
          <w:i w:val="0"/>
          <w:color w:val="auto"/>
          <w:sz w:val="20"/>
          <w:szCs w:val="20"/>
        </w:rPr>
        <w:t>The scope of the financial review was</w:t>
      </w:r>
      <w:r w:rsidR="00691F15">
        <w:rPr>
          <w:i w:val="0"/>
          <w:color w:val="auto"/>
          <w:sz w:val="20"/>
          <w:szCs w:val="20"/>
        </w:rPr>
        <w:t xml:space="preserve"> to</w:t>
      </w:r>
      <w:r w:rsidRPr="00EA2B42">
        <w:rPr>
          <w:i w:val="0"/>
          <w:color w:val="auto"/>
          <w:sz w:val="20"/>
          <w:szCs w:val="20"/>
        </w:rPr>
        <w:t>:</w:t>
      </w:r>
    </w:p>
    <w:p w:rsidR="00EA2B42" w:rsidRPr="00EA2B42" w:rsidRDefault="00EA2B42" w:rsidP="001940C8">
      <w:pPr>
        <w:pStyle w:val="KeySentence"/>
        <w:numPr>
          <w:ilvl w:val="0"/>
          <w:numId w:val="28"/>
        </w:numPr>
        <w:rPr>
          <w:i w:val="0"/>
          <w:color w:val="auto"/>
          <w:sz w:val="20"/>
          <w:szCs w:val="20"/>
        </w:rPr>
      </w:pPr>
      <w:r w:rsidRPr="00EA2B42">
        <w:rPr>
          <w:i w:val="0"/>
          <w:color w:val="auto"/>
          <w:sz w:val="20"/>
          <w:szCs w:val="20"/>
        </w:rPr>
        <w:t>assess the accuracy and completeness of hospital</w:t>
      </w:r>
      <w:r w:rsidR="00691F15">
        <w:rPr>
          <w:i w:val="0"/>
          <w:color w:val="auto"/>
          <w:sz w:val="20"/>
          <w:szCs w:val="20"/>
        </w:rPr>
        <w:t>s’</w:t>
      </w:r>
      <w:r w:rsidRPr="00EA2B42">
        <w:rPr>
          <w:i w:val="0"/>
          <w:color w:val="auto"/>
          <w:sz w:val="20"/>
          <w:szCs w:val="20"/>
        </w:rPr>
        <w:t xml:space="preserve"> financial reconciliations </w:t>
      </w:r>
      <w:r w:rsidR="00691F15">
        <w:rPr>
          <w:i w:val="0"/>
          <w:color w:val="auto"/>
          <w:sz w:val="20"/>
          <w:szCs w:val="20"/>
        </w:rPr>
        <w:t>a</w:t>
      </w:r>
      <w:r w:rsidRPr="00EA2B42">
        <w:rPr>
          <w:i w:val="0"/>
          <w:color w:val="auto"/>
          <w:sz w:val="20"/>
          <w:szCs w:val="20"/>
        </w:rPr>
        <w:t>nd compare the data from the financial system to the costing system</w:t>
      </w:r>
    </w:p>
    <w:p w:rsidR="00EA2B42" w:rsidRPr="00EA2B42" w:rsidRDefault="00EA2B42" w:rsidP="001940C8">
      <w:pPr>
        <w:pStyle w:val="KeySentence"/>
        <w:numPr>
          <w:ilvl w:val="0"/>
          <w:numId w:val="28"/>
        </w:numPr>
        <w:rPr>
          <w:i w:val="0"/>
          <w:color w:val="auto"/>
          <w:sz w:val="20"/>
          <w:szCs w:val="20"/>
        </w:rPr>
      </w:pPr>
      <w:r w:rsidRPr="00EA2B42">
        <w:rPr>
          <w:i w:val="0"/>
          <w:color w:val="auto"/>
          <w:sz w:val="20"/>
          <w:szCs w:val="20"/>
        </w:rPr>
        <w:t xml:space="preserve">assess consistency </w:t>
      </w:r>
      <w:r w:rsidR="003727C5">
        <w:rPr>
          <w:i w:val="0"/>
          <w:color w:val="auto"/>
          <w:sz w:val="20"/>
          <w:szCs w:val="20"/>
        </w:rPr>
        <w:t xml:space="preserve">between the jurisdictions of the application of </w:t>
      </w:r>
      <w:r w:rsidRPr="00EA2B42">
        <w:rPr>
          <w:i w:val="0"/>
          <w:color w:val="auto"/>
          <w:sz w:val="20"/>
          <w:szCs w:val="20"/>
        </w:rPr>
        <w:t>Version 2 of the Australian Hospital Patient Costing Standards (AHPCS) in the following areas:</w:t>
      </w:r>
    </w:p>
    <w:p w:rsidR="00EA2B42" w:rsidRPr="00EA2B42" w:rsidRDefault="00EA2B42" w:rsidP="001940C8">
      <w:pPr>
        <w:pStyle w:val="KeySentence"/>
        <w:numPr>
          <w:ilvl w:val="1"/>
          <w:numId w:val="28"/>
        </w:numPr>
        <w:rPr>
          <w:i w:val="0"/>
          <w:color w:val="auto"/>
          <w:sz w:val="20"/>
          <w:szCs w:val="20"/>
        </w:rPr>
      </w:pPr>
      <w:r w:rsidRPr="00EA2B42">
        <w:rPr>
          <w:i w:val="0"/>
          <w:color w:val="auto"/>
          <w:sz w:val="20"/>
          <w:szCs w:val="20"/>
        </w:rPr>
        <w:t xml:space="preserve">SCP1.003 </w:t>
      </w:r>
      <w:r w:rsidR="00691F15">
        <w:rPr>
          <w:i w:val="0"/>
          <w:color w:val="auto"/>
          <w:sz w:val="20"/>
          <w:szCs w:val="20"/>
        </w:rPr>
        <w:t>–</w:t>
      </w:r>
      <w:r w:rsidRPr="00EA2B42">
        <w:rPr>
          <w:i w:val="0"/>
          <w:color w:val="auto"/>
          <w:sz w:val="20"/>
          <w:szCs w:val="20"/>
        </w:rPr>
        <w:t xml:space="preserve"> Scope of hospital activity</w:t>
      </w:r>
    </w:p>
    <w:p w:rsidR="00EA2B42" w:rsidRPr="00EA2B42" w:rsidRDefault="00EA2B42" w:rsidP="001940C8">
      <w:pPr>
        <w:pStyle w:val="KeySentence"/>
        <w:numPr>
          <w:ilvl w:val="1"/>
          <w:numId w:val="28"/>
        </w:numPr>
        <w:rPr>
          <w:i w:val="0"/>
          <w:color w:val="auto"/>
          <w:sz w:val="20"/>
          <w:szCs w:val="20"/>
        </w:rPr>
      </w:pPr>
      <w:r w:rsidRPr="00EA2B42">
        <w:rPr>
          <w:i w:val="0"/>
          <w:color w:val="auto"/>
          <w:sz w:val="20"/>
          <w:szCs w:val="20"/>
        </w:rPr>
        <w:t xml:space="preserve">SCP2.002 </w:t>
      </w:r>
      <w:r w:rsidR="00691F15">
        <w:rPr>
          <w:i w:val="0"/>
          <w:color w:val="auto"/>
          <w:sz w:val="20"/>
          <w:szCs w:val="20"/>
        </w:rPr>
        <w:t>–</w:t>
      </w:r>
      <w:r w:rsidRPr="00EA2B42">
        <w:rPr>
          <w:i w:val="0"/>
          <w:color w:val="auto"/>
          <w:sz w:val="20"/>
          <w:szCs w:val="20"/>
        </w:rPr>
        <w:t xml:space="preserve"> Expenditure in scope</w:t>
      </w:r>
    </w:p>
    <w:p w:rsidR="00EA2B42" w:rsidRPr="00EA2B42" w:rsidRDefault="00EA2B42" w:rsidP="001940C8">
      <w:pPr>
        <w:pStyle w:val="KeySentence"/>
        <w:numPr>
          <w:ilvl w:val="1"/>
          <w:numId w:val="28"/>
        </w:numPr>
        <w:rPr>
          <w:i w:val="0"/>
          <w:color w:val="auto"/>
          <w:sz w:val="20"/>
          <w:szCs w:val="20"/>
        </w:rPr>
      </w:pPr>
      <w:r w:rsidRPr="00EA2B42">
        <w:rPr>
          <w:i w:val="0"/>
          <w:color w:val="auto"/>
          <w:sz w:val="20"/>
          <w:szCs w:val="20"/>
        </w:rPr>
        <w:t xml:space="preserve">SCP2A.002 </w:t>
      </w:r>
      <w:r w:rsidR="00691F15">
        <w:rPr>
          <w:i w:val="0"/>
          <w:color w:val="auto"/>
          <w:sz w:val="20"/>
          <w:szCs w:val="20"/>
        </w:rPr>
        <w:t xml:space="preserve">– </w:t>
      </w:r>
      <w:r w:rsidRPr="00EA2B42">
        <w:rPr>
          <w:i w:val="0"/>
          <w:color w:val="auto"/>
          <w:sz w:val="20"/>
          <w:szCs w:val="20"/>
        </w:rPr>
        <w:t>Teaching costs</w:t>
      </w:r>
    </w:p>
    <w:p w:rsidR="00EA2B42" w:rsidRDefault="00EA2B42" w:rsidP="001940C8">
      <w:pPr>
        <w:pStyle w:val="KeySentence"/>
        <w:numPr>
          <w:ilvl w:val="1"/>
          <w:numId w:val="28"/>
        </w:numPr>
        <w:rPr>
          <w:i w:val="0"/>
          <w:color w:val="auto"/>
          <w:sz w:val="20"/>
          <w:szCs w:val="20"/>
        </w:rPr>
      </w:pPr>
      <w:r w:rsidRPr="00EA2B42">
        <w:rPr>
          <w:i w:val="0"/>
          <w:color w:val="auto"/>
          <w:sz w:val="20"/>
          <w:szCs w:val="20"/>
        </w:rPr>
        <w:t xml:space="preserve">SCP2B.001 </w:t>
      </w:r>
      <w:r w:rsidR="00691F15">
        <w:rPr>
          <w:i w:val="0"/>
          <w:color w:val="auto"/>
          <w:sz w:val="20"/>
          <w:szCs w:val="20"/>
        </w:rPr>
        <w:t>–</w:t>
      </w:r>
      <w:r w:rsidRPr="00EA2B42">
        <w:rPr>
          <w:i w:val="0"/>
          <w:color w:val="auto"/>
          <w:sz w:val="20"/>
          <w:szCs w:val="20"/>
        </w:rPr>
        <w:t xml:space="preserve"> Research costs</w:t>
      </w:r>
    </w:p>
    <w:p w:rsidR="00EA2B42" w:rsidRDefault="00EA2B42" w:rsidP="001940C8">
      <w:pPr>
        <w:pStyle w:val="KeySentence"/>
        <w:numPr>
          <w:ilvl w:val="0"/>
          <w:numId w:val="28"/>
        </w:numPr>
        <w:rPr>
          <w:i w:val="0"/>
          <w:color w:val="auto"/>
          <w:sz w:val="20"/>
          <w:szCs w:val="20"/>
        </w:rPr>
      </w:pPr>
      <w:proofErr w:type="gramStart"/>
      <w:r w:rsidRPr="00EA2B42">
        <w:rPr>
          <w:i w:val="0"/>
          <w:color w:val="auto"/>
          <w:sz w:val="20"/>
          <w:szCs w:val="20"/>
        </w:rPr>
        <w:t>review</w:t>
      </w:r>
      <w:proofErr w:type="gramEnd"/>
      <w:r w:rsidRPr="00EA2B42">
        <w:rPr>
          <w:i w:val="0"/>
          <w:color w:val="auto"/>
          <w:sz w:val="20"/>
          <w:szCs w:val="20"/>
        </w:rPr>
        <w:t xml:space="preserve"> the data flow</w:t>
      </w:r>
      <w:r w:rsidR="00691F15">
        <w:rPr>
          <w:i w:val="0"/>
          <w:color w:val="auto"/>
          <w:sz w:val="20"/>
          <w:szCs w:val="20"/>
        </w:rPr>
        <w:t xml:space="preserve"> </w:t>
      </w:r>
      <w:r w:rsidRPr="00EA2B42">
        <w:rPr>
          <w:i w:val="0"/>
          <w:color w:val="auto"/>
          <w:sz w:val="20"/>
          <w:szCs w:val="20"/>
        </w:rPr>
        <w:t xml:space="preserve">from the time </w:t>
      </w:r>
      <w:r w:rsidR="00691F15">
        <w:rPr>
          <w:i w:val="0"/>
          <w:color w:val="auto"/>
          <w:sz w:val="20"/>
          <w:szCs w:val="20"/>
        </w:rPr>
        <w:t xml:space="preserve">the </w:t>
      </w:r>
      <w:r w:rsidR="00E328DB">
        <w:rPr>
          <w:i w:val="0"/>
          <w:color w:val="auto"/>
          <w:sz w:val="20"/>
          <w:szCs w:val="20"/>
        </w:rPr>
        <w:t>jurisdiction’s</w:t>
      </w:r>
      <w:r w:rsidRPr="00EA2B42">
        <w:rPr>
          <w:i w:val="0"/>
          <w:color w:val="auto"/>
          <w:sz w:val="20"/>
          <w:szCs w:val="20"/>
        </w:rPr>
        <w:t xml:space="preserve"> upload</w:t>
      </w:r>
      <w:r w:rsidR="00691F15">
        <w:rPr>
          <w:i w:val="0"/>
          <w:color w:val="auto"/>
          <w:sz w:val="20"/>
          <w:szCs w:val="20"/>
        </w:rPr>
        <w:t>s participating hospitals’ information</w:t>
      </w:r>
      <w:r w:rsidRPr="00EA2B42">
        <w:rPr>
          <w:i w:val="0"/>
          <w:color w:val="auto"/>
          <w:sz w:val="20"/>
          <w:szCs w:val="20"/>
        </w:rPr>
        <w:t xml:space="preserve"> to the </w:t>
      </w:r>
      <w:r w:rsidR="00691F15">
        <w:rPr>
          <w:i w:val="0"/>
          <w:color w:val="auto"/>
          <w:sz w:val="20"/>
          <w:szCs w:val="20"/>
        </w:rPr>
        <w:t>d</w:t>
      </w:r>
      <w:r w:rsidR="00691F15" w:rsidRPr="00EA2B42">
        <w:rPr>
          <w:i w:val="0"/>
          <w:color w:val="auto"/>
          <w:sz w:val="20"/>
          <w:szCs w:val="20"/>
        </w:rPr>
        <w:t xml:space="preserve">ata </w:t>
      </w:r>
      <w:r w:rsidR="00691F15">
        <w:rPr>
          <w:i w:val="0"/>
          <w:color w:val="auto"/>
          <w:sz w:val="20"/>
          <w:szCs w:val="20"/>
        </w:rPr>
        <w:t>s</w:t>
      </w:r>
      <w:r w:rsidR="00691F15" w:rsidRPr="00EA2B42">
        <w:rPr>
          <w:i w:val="0"/>
          <w:color w:val="auto"/>
          <w:sz w:val="20"/>
          <w:szCs w:val="20"/>
        </w:rPr>
        <w:t xml:space="preserve">ubmission </w:t>
      </w:r>
      <w:r w:rsidR="00691F15">
        <w:rPr>
          <w:i w:val="0"/>
          <w:color w:val="auto"/>
          <w:sz w:val="20"/>
          <w:szCs w:val="20"/>
        </w:rPr>
        <w:t>p</w:t>
      </w:r>
      <w:r w:rsidR="00691F15" w:rsidRPr="00EA2B42">
        <w:rPr>
          <w:i w:val="0"/>
          <w:color w:val="auto"/>
          <w:sz w:val="20"/>
          <w:szCs w:val="20"/>
        </w:rPr>
        <w:t>ortal</w:t>
      </w:r>
      <w:r w:rsidR="00691F15">
        <w:rPr>
          <w:i w:val="0"/>
          <w:color w:val="auto"/>
          <w:sz w:val="20"/>
          <w:szCs w:val="20"/>
        </w:rPr>
        <w:t>,</w:t>
      </w:r>
      <w:r w:rsidR="00691F15" w:rsidRPr="00EA2B42">
        <w:rPr>
          <w:i w:val="0"/>
          <w:color w:val="auto"/>
          <w:sz w:val="20"/>
          <w:szCs w:val="20"/>
        </w:rPr>
        <w:t xml:space="preserve"> </w:t>
      </w:r>
      <w:r w:rsidRPr="00EA2B42">
        <w:rPr>
          <w:i w:val="0"/>
          <w:color w:val="auto"/>
          <w:sz w:val="20"/>
          <w:szCs w:val="20"/>
        </w:rPr>
        <w:t xml:space="preserve">through to </w:t>
      </w:r>
      <w:r w:rsidR="00691F15">
        <w:rPr>
          <w:i w:val="0"/>
          <w:color w:val="auto"/>
          <w:sz w:val="20"/>
          <w:szCs w:val="20"/>
        </w:rPr>
        <w:t xml:space="preserve">that data being stored </w:t>
      </w:r>
      <w:r w:rsidRPr="00EA2B42">
        <w:rPr>
          <w:i w:val="0"/>
          <w:color w:val="auto"/>
          <w:sz w:val="20"/>
          <w:szCs w:val="20"/>
        </w:rPr>
        <w:t>in the IHPA</w:t>
      </w:r>
      <w:r w:rsidR="00691F15">
        <w:rPr>
          <w:i w:val="0"/>
          <w:color w:val="auto"/>
          <w:sz w:val="20"/>
          <w:szCs w:val="20"/>
        </w:rPr>
        <w:t>’s</w:t>
      </w:r>
      <w:r w:rsidRPr="00EA2B42">
        <w:rPr>
          <w:i w:val="0"/>
          <w:color w:val="auto"/>
          <w:sz w:val="20"/>
          <w:szCs w:val="20"/>
        </w:rPr>
        <w:t xml:space="preserve"> national database.</w:t>
      </w:r>
    </w:p>
    <w:p w:rsidR="00EA2B42" w:rsidRPr="00EA2B42" w:rsidRDefault="00691F15" w:rsidP="00EA2B42">
      <w:pPr>
        <w:pStyle w:val="KeySentence"/>
        <w:rPr>
          <w:i w:val="0"/>
          <w:color w:val="auto"/>
          <w:sz w:val="20"/>
          <w:szCs w:val="20"/>
        </w:rPr>
      </w:pPr>
      <w:r>
        <w:rPr>
          <w:i w:val="0"/>
          <w:color w:val="auto"/>
          <w:sz w:val="20"/>
          <w:szCs w:val="20"/>
        </w:rPr>
        <w:t>The project team developed s</w:t>
      </w:r>
      <w:r w:rsidRPr="00EA2B42">
        <w:rPr>
          <w:i w:val="0"/>
          <w:color w:val="auto"/>
          <w:sz w:val="20"/>
          <w:szCs w:val="20"/>
        </w:rPr>
        <w:t xml:space="preserve">ome </w:t>
      </w:r>
      <w:r w:rsidR="00EA2B42" w:rsidRPr="00EA2B42">
        <w:rPr>
          <w:i w:val="0"/>
          <w:color w:val="auto"/>
          <w:sz w:val="20"/>
          <w:szCs w:val="20"/>
        </w:rPr>
        <w:t xml:space="preserve">key reconciliations and tests to reconcile costs as they move through the costing process, and to </w:t>
      </w:r>
      <w:r>
        <w:rPr>
          <w:i w:val="0"/>
          <w:color w:val="auto"/>
          <w:sz w:val="20"/>
          <w:szCs w:val="20"/>
        </w:rPr>
        <w:t>match</w:t>
      </w:r>
      <w:r w:rsidRPr="00EA2B42">
        <w:rPr>
          <w:i w:val="0"/>
          <w:color w:val="auto"/>
          <w:sz w:val="20"/>
          <w:szCs w:val="20"/>
        </w:rPr>
        <w:t xml:space="preserve"> </w:t>
      </w:r>
      <w:r w:rsidR="00EA2B42" w:rsidRPr="00EA2B42">
        <w:rPr>
          <w:i w:val="0"/>
          <w:color w:val="auto"/>
          <w:sz w:val="20"/>
          <w:szCs w:val="20"/>
        </w:rPr>
        <w:t xml:space="preserve">the data sets in the national database to the </w:t>
      </w:r>
      <w:r>
        <w:rPr>
          <w:i w:val="0"/>
          <w:color w:val="auto"/>
          <w:sz w:val="20"/>
          <w:szCs w:val="20"/>
        </w:rPr>
        <w:t xml:space="preserve">participating jurisdictions’ and hospitals’ </w:t>
      </w:r>
      <w:r w:rsidR="00EA2B42" w:rsidRPr="00EA2B42">
        <w:rPr>
          <w:i w:val="0"/>
          <w:color w:val="auto"/>
          <w:sz w:val="20"/>
          <w:szCs w:val="20"/>
        </w:rPr>
        <w:t>records. These key tests are:</w:t>
      </w:r>
    </w:p>
    <w:p w:rsidR="00EA2B42" w:rsidRPr="00EA2B42" w:rsidRDefault="00EA2B42" w:rsidP="001940C8">
      <w:pPr>
        <w:pStyle w:val="KeySentence"/>
        <w:numPr>
          <w:ilvl w:val="0"/>
          <w:numId w:val="29"/>
        </w:numPr>
        <w:rPr>
          <w:i w:val="0"/>
          <w:color w:val="auto"/>
          <w:sz w:val="20"/>
          <w:szCs w:val="20"/>
        </w:rPr>
      </w:pPr>
      <w:r w:rsidRPr="00EA2B42">
        <w:rPr>
          <w:i w:val="0"/>
          <w:color w:val="auto"/>
          <w:sz w:val="20"/>
          <w:szCs w:val="20"/>
        </w:rPr>
        <w:t xml:space="preserve">Test 1: Agree the costing </w:t>
      </w:r>
      <w:r w:rsidR="00691F15">
        <w:rPr>
          <w:i w:val="0"/>
          <w:color w:val="auto"/>
          <w:sz w:val="20"/>
          <w:szCs w:val="20"/>
        </w:rPr>
        <w:t>G</w:t>
      </w:r>
      <w:r w:rsidR="00691F15" w:rsidRPr="00EA2B42">
        <w:rPr>
          <w:i w:val="0"/>
          <w:color w:val="auto"/>
          <w:sz w:val="20"/>
          <w:szCs w:val="20"/>
        </w:rPr>
        <w:t xml:space="preserve">eneral </w:t>
      </w:r>
      <w:r w:rsidR="00691F15">
        <w:rPr>
          <w:i w:val="0"/>
          <w:color w:val="auto"/>
          <w:sz w:val="20"/>
          <w:szCs w:val="20"/>
        </w:rPr>
        <w:t>L</w:t>
      </w:r>
      <w:r w:rsidRPr="00EA2B42">
        <w:rPr>
          <w:i w:val="0"/>
          <w:color w:val="auto"/>
          <w:sz w:val="20"/>
          <w:szCs w:val="20"/>
        </w:rPr>
        <w:t>edger</w:t>
      </w:r>
      <w:r w:rsidR="00FA2945">
        <w:rPr>
          <w:i w:val="0"/>
          <w:color w:val="auto"/>
          <w:sz w:val="20"/>
          <w:szCs w:val="20"/>
        </w:rPr>
        <w:t xml:space="preserve"> (GL)</w:t>
      </w:r>
      <w:r w:rsidRPr="00EA2B42">
        <w:rPr>
          <w:i w:val="0"/>
          <w:color w:val="auto"/>
          <w:sz w:val="20"/>
          <w:szCs w:val="20"/>
        </w:rPr>
        <w:t xml:space="preserve"> to the audited financial statements</w:t>
      </w:r>
      <w:r w:rsidR="00691F15">
        <w:rPr>
          <w:i w:val="0"/>
          <w:color w:val="auto"/>
          <w:sz w:val="20"/>
          <w:szCs w:val="20"/>
        </w:rPr>
        <w:t>.</w:t>
      </w:r>
    </w:p>
    <w:p w:rsidR="00EA2B42" w:rsidRPr="00EA2B42" w:rsidRDefault="00EA2B42" w:rsidP="001940C8">
      <w:pPr>
        <w:pStyle w:val="KeySentence"/>
        <w:numPr>
          <w:ilvl w:val="0"/>
          <w:numId w:val="29"/>
        </w:numPr>
        <w:rPr>
          <w:i w:val="0"/>
          <w:color w:val="auto"/>
          <w:sz w:val="20"/>
          <w:szCs w:val="20"/>
        </w:rPr>
      </w:pPr>
      <w:r w:rsidRPr="00EA2B42">
        <w:rPr>
          <w:i w:val="0"/>
          <w:color w:val="auto"/>
          <w:sz w:val="20"/>
          <w:szCs w:val="20"/>
        </w:rPr>
        <w:t xml:space="preserve">Test 2: Agree and understand how the costing </w:t>
      </w:r>
      <w:r w:rsidR="00FA2945">
        <w:rPr>
          <w:i w:val="0"/>
          <w:color w:val="auto"/>
          <w:sz w:val="20"/>
          <w:szCs w:val="20"/>
        </w:rPr>
        <w:t>GL</w:t>
      </w:r>
      <w:r w:rsidRPr="00EA2B42">
        <w:rPr>
          <w:i w:val="0"/>
          <w:color w:val="auto"/>
          <w:sz w:val="20"/>
          <w:szCs w:val="20"/>
        </w:rPr>
        <w:t xml:space="preserve"> is allocated to hospital products</w:t>
      </w:r>
      <w:r w:rsidR="00691F15">
        <w:rPr>
          <w:i w:val="0"/>
          <w:color w:val="auto"/>
          <w:sz w:val="20"/>
          <w:szCs w:val="20"/>
        </w:rPr>
        <w:t>,</w:t>
      </w:r>
      <w:r w:rsidRPr="00EA2B42">
        <w:rPr>
          <w:i w:val="0"/>
          <w:color w:val="auto"/>
          <w:sz w:val="20"/>
          <w:szCs w:val="20"/>
        </w:rPr>
        <w:t xml:space="preserve"> and agree to the total costed hospital products</w:t>
      </w:r>
      <w:r w:rsidR="00691F15">
        <w:rPr>
          <w:i w:val="0"/>
          <w:color w:val="auto"/>
          <w:sz w:val="20"/>
          <w:szCs w:val="20"/>
        </w:rPr>
        <w:t>.</w:t>
      </w:r>
    </w:p>
    <w:p w:rsidR="00EA2B42" w:rsidRPr="00EA2B42" w:rsidRDefault="00EA2B42" w:rsidP="001940C8">
      <w:pPr>
        <w:pStyle w:val="KeySentence"/>
        <w:numPr>
          <w:ilvl w:val="0"/>
          <w:numId w:val="29"/>
        </w:numPr>
        <w:rPr>
          <w:i w:val="0"/>
          <w:color w:val="auto"/>
          <w:sz w:val="20"/>
          <w:szCs w:val="20"/>
        </w:rPr>
      </w:pPr>
      <w:r w:rsidRPr="00EA2B42">
        <w:rPr>
          <w:i w:val="0"/>
          <w:color w:val="auto"/>
          <w:sz w:val="20"/>
          <w:szCs w:val="20"/>
        </w:rPr>
        <w:t>Test 3: Agree the total costed hospital products</w:t>
      </w:r>
      <w:r w:rsidR="00DB652A">
        <w:rPr>
          <w:i w:val="0"/>
          <w:color w:val="auto"/>
          <w:sz w:val="20"/>
          <w:szCs w:val="20"/>
        </w:rPr>
        <w:t xml:space="preserve"> the jurisdiction</w:t>
      </w:r>
      <w:r w:rsidRPr="00EA2B42">
        <w:rPr>
          <w:i w:val="0"/>
          <w:color w:val="auto"/>
          <w:sz w:val="20"/>
          <w:szCs w:val="20"/>
        </w:rPr>
        <w:t xml:space="preserve"> submitted </w:t>
      </w:r>
      <w:r w:rsidR="00DB652A">
        <w:rPr>
          <w:i w:val="0"/>
          <w:color w:val="auto"/>
          <w:sz w:val="20"/>
          <w:szCs w:val="20"/>
        </w:rPr>
        <w:t>against</w:t>
      </w:r>
      <w:r w:rsidRPr="00EA2B42">
        <w:rPr>
          <w:i w:val="0"/>
          <w:color w:val="auto"/>
          <w:sz w:val="20"/>
          <w:szCs w:val="20"/>
        </w:rPr>
        <w:t xml:space="preserve"> the dataset in the national database</w:t>
      </w:r>
      <w:r w:rsidR="00DB652A">
        <w:rPr>
          <w:i w:val="0"/>
          <w:color w:val="auto"/>
          <w:sz w:val="20"/>
          <w:szCs w:val="20"/>
        </w:rPr>
        <w:t>.</w:t>
      </w:r>
    </w:p>
    <w:p w:rsidR="00EA2B42" w:rsidRPr="00EA2B42" w:rsidRDefault="00EA2B42" w:rsidP="001940C8">
      <w:pPr>
        <w:pStyle w:val="KeySentence"/>
        <w:numPr>
          <w:ilvl w:val="0"/>
          <w:numId w:val="29"/>
        </w:numPr>
        <w:rPr>
          <w:i w:val="0"/>
          <w:color w:val="auto"/>
          <w:sz w:val="20"/>
          <w:szCs w:val="20"/>
        </w:rPr>
      </w:pPr>
      <w:r w:rsidRPr="00EA2B42">
        <w:rPr>
          <w:i w:val="0"/>
          <w:color w:val="auto"/>
          <w:sz w:val="20"/>
          <w:szCs w:val="20"/>
        </w:rPr>
        <w:t xml:space="preserve">Test 4: Agree five sample patients from the </w:t>
      </w:r>
      <w:r w:rsidR="00DB652A">
        <w:rPr>
          <w:i w:val="0"/>
          <w:color w:val="auto"/>
          <w:sz w:val="20"/>
          <w:szCs w:val="20"/>
        </w:rPr>
        <w:t>IHPA against the</w:t>
      </w:r>
      <w:r w:rsidRPr="00EA2B42">
        <w:rPr>
          <w:i w:val="0"/>
          <w:color w:val="auto"/>
          <w:sz w:val="20"/>
          <w:szCs w:val="20"/>
        </w:rPr>
        <w:t xml:space="preserve"> total costs to the hospital’s costing system.</w:t>
      </w:r>
      <w:r w:rsidR="00DB652A">
        <w:rPr>
          <w:i w:val="0"/>
          <w:color w:val="auto"/>
          <w:sz w:val="20"/>
          <w:szCs w:val="20"/>
        </w:rPr>
        <w:t xml:space="preserve"> </w:t>
      </w:r>
    </w:p>
    <w:p w:rsidR="00EA2B42" w:rsidRPr="00EA2B42" w:rsidRDefault="00EA2B42" w:rsidP="00EA2B42">
      <w:pPr>
        <w:pStyle w:val="KeySentence"/>
        <w:rPr>
          <w:i w:val="0"/>
          <w:color w:val="auto"/>
          <w:sz w:val="20"/>
          <w:szCs w:val="20"/>
        </w:rPr>
      </w:pPr>
      <w:r w:rsidRPr="00EA2B42">
        <w:rPr>
          <w:i w:val="0"/>
          <w:color w:val="auto"/>
          <w:sz w:val="20"/>
          <w:szCs w:val="20"/>
        </w:rPr>
        <w:t xml:space="preserve">As this is not an audit, no assurance on the completeness </w:t>
      </w:r>
      <w:r w:rsidR="00564358">
        <w:rPr>
          <w:i w:val="0"/>
          <w:color w:val="auto"/>
          <w:sz w:val="20"/>
          <w:szCs w:val="20"/>
        </w:rPr>
        <w:t>or</w:t>
      </w:r>
      <w:r w:rsidR="00564358" w:rsidRPr="00EA2B42">
        <w:rPr>
          <w:i w:val="0"/>
          <w:color w:val="auto"/>
          <w:sz w:val="20"/>
          <w:szCs w:val="20"/>
        </w:rPr>
        <w:t xml:space="preserve"> </w:t>
      </w:r>
      <w:r w:rsidRPr="00EA2B42">
        <w:rPr>
          <w:i w:val="0"/>
          <w:color w:val="auto"/>
          <w:sz w:val="20"/>
          <w:szCs w:val="20"/>
        </w:rPr>
        <w:t xml:space="preserve">accuracy of the costing has been provided. The outcomes and results </w:t>
      </w:r>
      <w:r w:rsidR="00DB652A">
        <w:rPr>
          <w:i w:val="0"/>
          <w:color w:val="auto"/>
          <w:sz w:val="20"/>
          <w:szCs w:val="20"/>
        </w:rPr>
        <w:t>rely heavily</w:t>
      </w:r>
      <w:r w:rsidRPr="00EA2B42">
        <w:rPr>
          <w:i w:val="0"/>
          <w:color w:val="auto"/>
          <w:sz w:val="20"/>
          <w:szCs w:val="20"/>
        </w:rPr>
        <w:t xml:space="preserve"> on the representations </w:t>
      </w:r>
      <w:r>
        <w:rPr>
          <w:i w:val="0"/>
          <w:color w:val="auto"/>
          <w:sz w:val="20"/>
          <w:szCs w:val="20"/>
        </w:rPr>
        <w:t xml:space="preserve">and data submissions </w:t>
      </w:r>
      <w:r w:rsidRPr="00EA2B42">
        <w:rPr>
          <w:i w:val="0"/>
          <w:color w:val="auto"/>
          <w:sz w:val="20"/>
          <w:szCs w:val="20"/>
        </w:rPr>
        <w:t>made by hospital costing teams and jurisdiction representatives.</w:t>
      </w:r>
    </w:p>
    <w:p w:rsidR="00EA2B42" w:rsidRPr="00EA2B42" w:rsidRDefault="00EA2B42" w:rsidP="00EA2B42">
      <w:pPr>
        <w:pStyle w:val="KeySentence"/>
        <w:rPr>
          <w:i w:val="0"/>
          <w:color w:val="auto"/>
          <w:sz w:val="20"/>
          <w:szCs w:val="20"/>
        </w:rPr>
      </w:pPr>
      <w:r w:rsidRPr="00EA2B42">
        <w:rPr>
          <w:i w:val="0"/>
          <w:color w:val="auto"/>
          <w:sz w:val="20"/>
          <w:szCs w:val="20"/>
        </w:rPr>
        <w:t>Procedures performed were limited to reviewing supporting schedules, agreeing to financial statements, discussions with costing teams and obtaining extracts from costing systems.</w:t>
      </w:r>
    </w:p>
    <w:p w:rsidR="00564358" w:rsidRDefault="00564358">
      <w:pPr>
        <w:kinsoku/>
        <w:overflowPunct/>
        <w:autoSpaceDE/>
        <w:autoSpaceDN/>
        <w:adjustRightInd/>
        <w:snapToGrid/>
        <w:rPr>
          <w:rFonts w:asciiTheme="majorHAnsi" w:hAnsiTheme="majorHAnsi"/>
          <w:b/>
          <w:i/>
          <w:iCs/>
          <w:color w:val="A32020" w:themeColor="text2"/>
          <w:sz w:val="32"/>
          <w:szCs w:val="36"/>
        </w:rPr>
      </w:pPr>
      <w:r>
        <w:br w:type="page"/>
      </w:r>
    </w:p>
    <w:p w:rsidR="00142AFF" w:rsidRPr="00972C26" w:rsidRDefault="00142AFF" w:rsidP="00142AFF">
      <w:pPr>
        <w:pStyle w:val="Heading2"/>
      </w:pPr>
      <w:r w:rsidRPr="00142AFF">
        <w:lastRenderedPageBreak/>
        <w:t>Participating</w:t>
      </w:r>
      <w:r>
        <w:t xml:space="preserve"> hospitals</w:t>
      </w:r>
    </w:p>
    <w:p w:rsidR="00142AFF" w:rsidRDefault="00142AFF" w:rsidP="00142AFF">
      <w:pPr>
        <w:pStyle w:val="PwCNormal"/>
        <w:numPr>
          <w:ilvl w:val="0"/>
          <w:numId w:val="0"/>
        </w:numPr>
      </w:pPr>
      <w:r w:rsidRPr="00142AFF">
        <w:t xml:space="preserve">Each of the </w:t>
      </w:r>
      <w:r w:rsidR="00DB652A">
        <w:t>eight</w:t>
      </w:r>
      <w:r w:rsidRPr="00142AFF">
        <w:t xml:space="preserve"> jurisdictions </w:t>
      </w:r>
      <w:proofErr w:type="gramStart"/>
      <w:r w:rsidRPr="00142AFF">
        <w:t>w</w:t>
      </w:r>
      <w:r w:rsidR="00433E84">
        <w:t>ere</w:t>
      </w:r>
      <w:proofErr w:type="gramEnd"/>
      <w:r w:rsidRPr="00142AFF">
        <w:t xml:space="preserve"> asked to participate and nominate hospitals or local health networks (LHNs</w:t>
      </w:r>
      <w:r w:rsidR="00E328DB">
        <w:t>)</w:t>
      </w:r>
      <w:r w:rsidRPr="00142AFF">
        <w:t xml:space="preserve"> according to the following sampling frame</w:t>
      </w:r>
      <w:r w:rsidR="00405F0B">
        <w:t>:</w:t>
      </w:r>
    </w:p>
    <w:p w:rsidR="00142AFF" w:rsidRDefault="00142AFF" w:rsidP="001940C8">
      <w:pPr>
        <w:pStyle w:val="PwCNormal"/>
        <w:numPr>
          <w:ilvl w:val="0"/>
          <w:numId w:val="30"/>
        </w:numPr>
      </w:pPr>
      <w:r>
        <w:t>Queensland (</w:t>
      </w:r>
      <w:r w:rsidR="003F7B76">
        <w:t>QLD</w:t>
      </w:r>
      <w:r>
        <w:t>), New South Wales (NSW) and Victoria (</w:t>
      </w:r>
      <w:r w:rsidR="003F7B76">
        <w:t>VIC</w:t>
      </w:r>
      <w:r>
        <w:t>) were asked to nominate three hospitals based on the following criteria:</w:t>
      </w:r>
    </w:p>
    <w:p w:rsidR="00142AFF" w:rsidRDefault="00017E94" w:rsidP="001940C8">
      <w:pPr>
        <w:pStyle w:val="PwCNormal"/>
        <w:numPr>
          <w:ilvl w:val="1"/>
          <w:numId w:val="30"/>
        </w:numPr>
      </w:pPr>
      <w:r>
        <w:t xml:space="preserve">one </w:t>
      </w:r>
      <w:r w:rsidR="00142AFF">
        <w:t>large or medium metropolitan hospital with a teaching capacity</w:t>
      </w:r>
    </w:p>
    <w:p w:rsidR="00142AFF" w:rsidRDefault="00017E94" w:rsidP="001940C8">
      <w:pPr>
        <w:pStyle w:val="PwCNormal"/>
        <w:numPr>
          <w:ilvl w:val="1"/>
          <w:numId w:val="30"/>
        </w:numPr>
      </w:pPr>
      <w:r>
        <w:t>o</w:t>
      </w:r>
      <w:r w:rsidR="00701227">
        <w:t xml:space="preserve">ne regional </w:t>
      </w:r>
      <w:r>
        <w:t>or</w:t>
      </w:r>
      <w:r w:rsidR="00701227">
        <w:t xml:space="preserve"> remote</w:t>
      </w:r>
      <w:r w:rsidR="00142AFF">
        <w:t xml:space="preserve"> hospital</w:t>
      </w:r>
    </w:p>
    <w:p w:rsidR="00142AFF" w:rsidRDefault="00017E94" w:rsidP="001940C8">
      <w:pPr>
        <w:pStyle w:val="PwCNormal"/>
        <w:numPr>
          <w:ilvl w:val="1"/>
          <w:numId w:val="30"/>
        </w:numPr>
      </w:pPr>
      <w:proofErr w:type="gramStart"/>
      <w:r>
        <w:t>o</w:t>
      </w:r>
      <w:r w:rsidR="00142AFF">
        <w:t>ne</w:t>
      </w:r>
      <w:proofErr w:type="gramEnd"/>
      <w:r w:rsidR="00142AFF">
        <w:t xml:space="preserve"> specialist hospital </w:t>
      </w:r>
      <w:r w:rsidRPr="001430DE">
        <w:rPr>
          <w:i/>
        </w:rPr>
        <w:t>or</w:t>
      </w:r>
      <w:r>
        <w:t xml:space="preserve"> </w:t>
      </w:r>
      <w:r w:rsidR="00142AFF">
        <w:t xml:space="preserve">one hospital </w:t>
      </w:r>
      <w:r>
        <w:t xml:space="preserve">that </w:t>
      </w:r>
      <w:r w:rsidR="00142AFF">
        <w:t>ha</w:t>
      </w:r>
      <w:r>
        <w:t>d</w:t>
      </w:r>
      <w:r w:rsidR="00142AFF">
        <w:t xml:space="preserve"> demonstrated improvements since the Round 15 or Round 16 NHCDC </w:t>
      </w:r>
      <w:r>
        <w:t>financial review.</w:t>
      </w:r>
    </w:p>
    <w:p w:rsidR="00142AFF" w:rsidRDefault="00142AFF" w:rsidP="001940C8">
      <w:pPr>
        <w:pStyle w:val="PwCNormal"/>
        <w:numPr>
          <w:ilvl w:val="0"/>
          <w:numId w:val="30"/>
        </w:numPr>
      </w:pPr>
      <w:r>
        <w:t xml:space="preserve">South Australia (SA) and Western Australia (WA) were </w:t>
      </w:r>
      <w:r w:rsidR="00017E94">
        <w:t xml:space="preserve">each </w:t>
      </w:r>
      <w:r>
        <w:t xml:space="preserve">asked to nominate two hospitals </w:t>
      </w:r>
      <w:r w:rsidR="001430DE">
        <w:t>based on</w:t>
      </w:r>
      <w:r>
        <w:t xml:space="preserve"> the following criteria:</w:t>
      </w:r>
    </w:p>
    <w:p w:rsidR="00142AFF" w:rsidRDefault="00017E94" w:rsidP="001940C8">
      <w:pPr>
        <w:pStyle w:val="PwCNormal"/>
        <w:numPr>
          <w:ilvl w:val="1"/>
          <w:numId w:val="30"/>
        </w:numPr>
      </w:pPr>
      <w:r>
        <w:t>o</w:t>
      </w:r>
      <w:r w:rsidR="00142AFF">
        <w:t>ne large or medium metropolitan hospital</w:t>
      </w:r>
    </w:p>
    <w:p w:rsidR="00142AFF" w:rsidRDefault="00017E94" w:rsidP="001940C8">
      <w:pPr>
        <w:pStyle w:val="PwCNormal"/>
        <w:numPr>
          <w:ilvl w:val="1"/>
          <w:numId w:val="30"/>
        </w:numPr>
      </w:pPr>
      <w:proofErr w:type="gramStart"/>
      <w:r>
        <w:t>o</w:t>
      </w:r>
      <w:r w:rsidR="00142AFF">
        <w:t>ne</w:t>
      </w:r>
      <w:proofErr w:type="gramEnd"/>
      <w:r w:rsidR="00142AFF">
        <w:t xml:space="preserve"> r</w:t>
      </w:r>
      <w:r w:rsidR="00701227">
        <w:t>egional</w:t>
      </w:r>
      <w:r>
        <w:t>/</w:t>
      </w:r>
      <w:r w:rsidR="00701227">
        <w:t>remote</w:t>
      </w:r>
      <w:r w:rsidR="00142AFF">
        <w:t xml:space="preserve"> or specialist hospital </w:t>
      </w:r>
      <w:r w:rsidRPr="001430DE">
        <w:rPr>
          <w:i/>
        </w:rPr>
        <w:t>or</w:t>
      </w:r>
      <w:r w:rsidR="00142AFF">
        <w:t xml:space="preserve"> one hospital </w:t>
      </w:r>
      <w:r>
        <w:t xml:space="preserve">that </w:t>
      </w:r>
      <w:r w:rsidR="00142AFF">
        <w:t>ha</w:t>
      </w:r>
      <w:r>
        <w:t>d</w:t>
      </w:r>
      <w:r w:rsidR="00142AFF">
        <w:t xml:space="preserve"> demonstrated improvements since the Round 15 NHCDC </w:t>
      </w:r>
      <w:r>
        <w:t>f</w:t>
      </w:r>
      <w:r w:rsidR="00142AFF">
        <w:t xml:space="preserve">inancial </w:t>
      </w:r>
      <w:r>
        <w:t>review.</w:t>
      </w:r>
    </w:p>
    <w:p w:rsidR="00142AFF" w:rsidRDefault="00017E94" w:rsidP="001940C8">
      <w:pPr>
        <w:pStyle w:val="PwCNormal"/>
        <w:numPr>
          <w:ilvl w:val="0"/>
          <w:numId w:val="30"/>
        </w:numPr>
      </w:pPr>
      <w:r>
        <w:t xml:space="preserve">The </w:t>
      </w:r>
      <w:r w:rsidR="00142AFF">
        <w:t xml:space="preserve">Australian Capital Territory (ACT), </w:t>
      </w:r>
      <w:r>
        <w:t xml:space="preserve">the </w:t>
      </w:r>
      <w:r w:rsidR="00142AFF">
        <w:t>Northern Territory (NT) and Tasmania (</w:t>
      </w:r>
      <w:r w:rsidR="008E66A2">
        <w:t>T</w:t>
      </w:r>
      <w:r w:rsidR="00C158B0">
        <w:t>AS</w:t>
      </w:r>
      <w:r w:rsidR="00142AFF">
        <w:t xml:space="preserve">) were </w:t>
      </w:r>
      <w:r>
        <w:t xml:space="preserve">each </w:t>
      </w:r>
      <w:r w:rsidR="00142AFF">
        <w:t>asked to nominate one hospital meeting any of the criteria listed above.</w:t>
      </w:r>
    </w:p>
    <w:p w:rsidR="00142AFF" w:rsidRDefault="00142AFF" w:rsidP="00142AFF">
      <w:pPr>
        <w:pStyle w:val="PwCNormal"/>
        <w:numPr>
          <w:ilvl w:val="0"/>
          <w:numId w:val="0"/>
        </w:numPr>
      </w:pPr>
      <w:r>
        <w:t xml:space="preserve">In total, a sample of </w:t>
      </w:r>
      <w:r w:rsidR="001F3F6D">
        <w:t>15</w:t>
      </w:r>
      <w:r w:rsidR="001F3F6D" w:rsidRPr="00142AFF">
        <w:t xml:space="preserve"> sites</w:t>
      </w:r>
      <w:r>
        <w:t xml:space="preserve"> (hospitals or LHNs)</w:t>
      </w:r>
      <w:r w:rsidRPr="00142AFF">
        <w:t xml:space="preserve"> was selected to participate in the financial review</w:t>
      </w:r>
      <w:r w:rsidR="00AC2E03">
        <w:t>. VIC was only able to nominate two participating sites instead of the three requested</w:t>
      </w:r>
      <w:r w:rsidRPr="00142AFF">
        <w:t>. Table 1 below sets out the nominated hospitals within each jurisdiction</w:t>
      </w:r>
      <w:r w:rsidR="00017E94">
        <w:t>,</w:t>
      </w:r>
      <w:r w:rsidRPr="00142AFF">
        <w:t xml:space="preserve"> and </w:t>
      </w:r>
      <w:r w:rsidR="00017E94">
        <w:t>how</w:t>
      </w:r>
      <w:r w:rsidR="00017E94" w:rsidRPr="00142AFF">
        <w:t xml:space="preserve"> </w:t>
      </w:r>
      <w:r w:rsidRPr="00142AFF">
        <w:t>the</w:t>
      </w:r>
      <w:r w:rsidR="00017E94">
        <w:t>y</w:t>
      </w:r>
      <w:r w:rsidRPr="00142AFF">
        <w:t xml:space="preserve"> addressed the sampling </w:t>
      </w:r>
      <w:r w:rsidR="00017E94">
        <w:t>criteria</w:t>
      </w:r>
      <w:r w:rsidRPr="00142AFF">
        <w:t>.</w:t>
      </w:r>
    </w:p>
    <w:p w:rsidR="005D501E" w:rsidRDefault="005D501E" w:rsidP="005D501E">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1</w:t>
      </w:r>
      <w:r w:rsidR="008379DC">
        <w:rPr>
          <w:noProof/>
        </w:rPr>
        <w:fldChar w:fldCharType="end"/>
      </w:r>
      <w:r>
        <w:t>: List of participating sites</w:t>
      </w:r>
    </w:p>
    <w:tbl>
      <w:tblPr>
        <w:tblStyle w:val="PwCTableText"/>
        <w:tblW w:w="8364" w:type="dxa"/>
        <w:tblInd w:w="-34" w:type="dxa"/>
        <w:tblLook w:val="04A0" w:firstRow="1" w:lastRow="0" w:firstColumn="1" w:lastColumn="0" w:noHBand="0" w:noVBand="1"/>
        <w:tblDescription w:val="This table outlines the list of participants for the review and how the selected participants align to the selection criteria."/>
      </w:tblPr>
      <w:tblGrid>
        <w:gridCol w:w="1812"/>
        <w:gridCol w:w="1948"/>
        <w:gridCol w:w="4604"/>
      </w:tblGrid>
      <w:tr w:rsidR="00142AFF" w:rsidRPr="00420025" w:rsidTr="0047710A">
        <w:trPr>
          <w:cnfStyle w:val="100000000000" w:firstRow="1" w:lastRow="0" w:firstColumn="0" w:lastColumn="0" w:oddVBand="0" w:evenVBand="0" w:oddHBand="0" w:evenHBand="0" w:firstRowFirstColumn="0" w:firstRowLastColumn="0" w:lastRowFirstColumn="0" w:lastRowLastColumn="0"/>
          <w:trHeight w:val="485"/>
          <w:tblHeader/>
        </w:trPr>
        <w:tc>
          <w:tcPr>
            <w:tcW w:w="1812" w:type="dxa"/>
          </w:tcPr>
          <w:p w:rsidR="00142AFF" w:rsidRPr="001430DE" w:rsidRDefault="00142AFF" w:rsidP="00142AFF">
            <w:pPr>
              <w:pStyle w:val="PwCNormal"/>
              <w:numPr>
                <w:ilvl w:val="0"/>
                <w:numId w:val="0"/>
              </w:numPr>
              <w:spacing w:before="0"/>
              <w:rPr>
                <w:b w:val="0"/>
                <w:sz w:val="20"/>
              </w:rPr>
            </w:pPr>
            <w:r w:rsidRPr="00017E94">
              <w:t>Jurisdiction</w:t>
            </w:r>
          </w:p>
        </w:tc>
        <w:tc>
          <w:tcPr>
            <w:tcW w:w="1948" w:type="dxa"/>
          </w:tcPr>
          <w:p w:rsidR="00142AFF" w:rsidRPr="001430DE" w:rsidRDefault="00142AFF" w:rsidP="00142AFF">
            <w:pPr>
              <w:pStyle w:val="PwCNormal"/>
              <w:numPr>
                <w:ilvl w:val="0"/>
                <w:numId w:val="0"/>
              </w:numPr>
              <w:spacing w:before="0"/>
              <w:rPr>
                <w:b w:val="0"/>
                <w:sz w:val="20"/>
              </w:rPr>
            </w:pPr>
            <w:r w:rsidRPr="00017E94">
              <w:t>Participating hospital</w:t>
            </w:r>
          </w:p>
        </w:tc>
        <w:tc>
          <w:tcPr>
            <w:tcW w:w="4604" w:type="dxa"/>
          </w:tcPr>
          <w:p w:rsidR="00142AFF" w:rsidRPr="001430DE" w:rsidRDefault="00142AFF" w:rsidP="00142AFF">
            <w:pPr>
              <w:pStyle w:val="PwCNormal"/>
              <w:numPr>
                <w:ilvl w:val="0"/>
                <w:numId w:val="0"/>
              </w:numPr>
              <w:spacing w:before="0"/>
              <w:rPr>
                <w:b w:val="0"/>
                <w:sz w:val="20"/>
              </w:rPr>
            </w:pPr>
            <w:r w:rsidRPr="00017E94">
              <w:t>Criteria within sampling framework</w:t>
            </w:r>
          </w:p>
        </w:tc>
      </w:tr>
      <w:tr w:rsidR="00142AFF" w:rsidTr="00142AFF">
        <w:tc>
          <w:tcPr>
            <w:tcW w:w="1812" w:type="dxa"/>
          </w:tcPr>
          <w:p w:rsidR="00142AFF" w:rsidRDefault="00017E94" w:rsidP="00142AFF">
            <w:pPr>
              <w:pStyle w:val="PwCNormal"/>
              <w:numPr>
                <w:ilvl w:val="0"/>
                <w:numId w:val="0"/>
              </w:numPr>
            </w:pPr>
            <w:r>
              <w:t>ACT</w:t>
            </w:r>
          </w:p>
        </w:tc>
        <w:tc>
          <w:tcPr>
            <w:tcW w:w="1948" w:type="dxa"/>
          </w:tcPr>
          <w:p w:rsidR="00142AFF" w:rsidRDefault="00142AFF" w:rsidP="00142AFF">
            <w:pPr>
              <w:pStyle w:val="PwCNormal"/>
              <w:numPr>
                <w:ilvl w:val="0"/>
                <w:numId w:val="0"/>
              </w:numPr>
              <w:spacing w:after="0"/>
            </w:pPr>
            <w:r>
              <w:t>Canberra Hospital</w:t>
            </w:r>
          </w:p>
        </w:tc>
        <w:tc>
          <w:tcPr>
            <w:tcW w:w="4604" w:type="dxa"/>
          </w:tcPr>
          <w:p w:rsidR="00142AFF" w:rsidRDefault="00017E94"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142AFF" w:rsidP="001940C8">
            <w:pPr>
              <w:pStyle w:val="PwCNormal"/>
              <w:numPr>
                <w:ilvl w:val="0"/>
                <w:numId w:val="31"/>
              </w:numPr>
              <w:spacing w:after="0"/>
              <w:ind w:left="317" w:hanging="317"/>
            </w:pPr>
            <w:r>
              <w:t>Major urban hospital</w:t>
            </w:r>
          </w:p>
          <w:p w:rsidR="00142AFF" w:rsidRDefault="00142AFF" w:rsidP="001940C8">
            <w:pPr>
              <w:pStyle w:val="PwCNormal"/>
              <w:numPr>
                <w:ilvl w:val="0"/>
                <w:numId w:val="31"/>
              </w:numPr>
              <w:spacing w:after="0"/>
              <w:ind w:left="317" w:hanging="317"/>
            </w:pPr>
            <w:r>
              <w:t>Costing system</w:t>
            </w:r>
            <w:r w:rsidR="00017E94">
              <w:t xml:space="preserve">: </w:t>
            </w:r>
            <w:proofErr w:type="spellStart"/>
            <w:r>
              <w:t>PowerPerformance</w:t>
            </w:r>
            <w:proofErr w:type="spellEnd"/>
            <w:r>
              <w:t xml:space="preserve"> Management</w:t>
            </w:r>
            <w:r w:rsidR="00017E94">
              <w:t xml:space="preserve"> Version </w:t>
            </w:r>
            <w:r>
              <w:t>2 (PPM2)</w:t>
            </w:r>
          </w:p>
        </w:tc>
      </w:tr>
      <w:tr w:rsidR="00142AFF" w:rsidTr="00B618E7">
        <w:tc>
          <w:tcPr>
            <w:tcW w:w="1812" w:type="dxa"/>
            <w:tcBorders>
              <w:bottom w:val="dotted" w:sz="6" w:space="0" w:color="A32020" w:themeColor="accent1"/>
            </w:tcBorders>
          </w:tcPr>
          <w:p w:rsidR="00142AFF" w:rsidRDefault="00017E94" w:rsidP="00142AFF">
            <w:pPr>
              <w:pStyle w:val="PwCNormal"/>
              <w:numPr>
                <w:ilvl w:val="0"/>
                <w:numId w:val="0"/>
              </w:numPr>
            </w:pPr>
            <w:r>
              <w:t>NT</w:t>
            </w:r>
          </w:p>
        </w:tc>
        <w:tc>
          <w:tcPr>
            <w:tcW w:w="1948" w:type="dxa"/>
          </w:tcPr>
          <w:p w:rsidR="00142AFF" w:rsidRDefault="00142AFF" w:rsidP="00142AFF">
            <w:pPr>
              <w:pStyle w:val="PwCNormal"/>
              <w:numPr>
                <w:ilvl w:val="0"/>
                <w:numId w:val="0"/>
              </w:numPr>
              <w:spacing w:after="0"/>
            </w:pPr>
            <w:r>
              <w:t>Katherine Hospital</w:t>
            </w:r>
          </w:p>
        </w:tc>
        <w:tc>
          <w:tcPr>
            <w:tcW w:w="4604" w:type="dxa"/>
          </w:tcPr>
          <w:p w:rsidR="00142AFF" w:rsidRDefault="00017E94"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701227" w:rsidP="001940C8">
            <w:pPr>
              <w:pStyle w:val="PwCNormal"/>
              <w:numPr>
                <w:ilvl w:val="0"/>
                <w:numId w:val="31"/>
              </w:numPr>
              <w:spacing w:after="0"/>
              <w:ind w:left="317" w:hanging="317"/>
            </w:pPr>
            <w:r>
              <w:t>Non-m</w:t>
            </w:r>
            <w:r w:rsidR="00142AFF" w:rsidRPr="004E0F95">
              <w:t xml:space="preserve">ajor </w:t>
            </w:r>
            <w:r>
              <w:t>rural</w:t>
            </w:r>
            <w:r w:rsidR="00142AFF">
              <w:t xml:space="preserve"> hospital</w:t>
            </w:r>
          </w:p>
          <w:p w:rsidR="00142AFF" w:rsidRDefault="00142AFF" w:rsidP="001940C8">
            <w:pPr>
              <w:pStyle w:val="PwCNormal"/>
              <w:numPr>
                <w:ilvl w:val="0"/>
                <w:numId w:val="31"/>
              </w:numPr>
              <w:spacing w:after="0"/>
              <w:ind w:left="317" w:hanging="317"/>
            </w:pPr>
            <w:r>
              <w:t>Costing system</w:t>
            </w:r>
            <w:r w:rsidR="00017E94">
              <w:t xml:space="preserve">: </w:t>
            </w:r>
            <w:r>
              <w:t>Combo CC</w:t>
            </w:r>
          </w:p>
        </w:tc>
      </w:tr>
      <w:tr w:rsidR="00142AFF" w:rsidTr="00B618E7">
        <w:tc>
          <w:tcPr>
            <w:tcW w:w="1812" w:type="dxa"/>
            <w:tcBorders>
              <w:top w:val="dotted" w:sz="6" w:space="0" w:color="A32020" w:themeColor="accent1"/>
              <w:bottom w:val="nil"/>
            </w:tcBorders>
          </w:tcPr>
          <w:p w:rsidR="00142AFF" w:rsidRDefault="00017E94" w:rsidP="00142AFF">
            <w:pPr>
              <w:pStyle w:val="PwCNormal"/>
              <w:numPr>
                <w:ilvl w:val="0"/>
                <w:numId w:val="0"/>
              </w:numPr>
            </w:pPr>
            <w:r>
              <w:t>NSW</w:t>
            </w:r>
          </w:p>
        </w:tc>
        <w:tc>
          <w:tcPr>
            <w:tcW w:w="1948" w:type="dxa"/>
          </w:tcPr>
          <w:p w:rsidR="00142AFF" w:rsidRDefault="00142AFF" w:rsidP="00142AFF">
            <w:pPr>
              <w:pStyle w:val="PwCNormal"/>
              <w:numPr>
                <w:ilvl w:val="0"/>
                <w:numId w:val="0"/>
              </w:numPr>
              <w:spacing w:after="0"/>
            </w:pPr>
            <w:r>
              <w:t>South West</w:t>
            </w:r>
            <w:r w:rsidR="00BC7C23">
              <w:t>ern</w:t>
            </w:r>
            <w:r>
              <w:t xml:space="preserve"> Sydney LHD</w:t>
            </w:r>
          </w:p>
        </w:tc>
        <w:tc>
          <w:tcPr>
            <w:tcW w:w="4604" w:type="dxa"/>
          </w:tcPr>
          <w:p w:rsidR="00142AFF" w:rsidRDefault="00017E94"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017E94" w:rsidP="001940C8">
            <w:pPr>
              <w:pStyle w:val="PwCNormal"/>
              <w:numPr>
                <w:ilvl w:val="0"/>
                <w:numId w:val="31"/>
              </w:numPr>
              <w:spacing w:after="0"/>
              <w:ind w:left="317" w:hanging="317"/>
            </w:pPr>
            <w:r>
              <w:t xml:space="preserve">Includes major </w:t>
            </w:r>
            <w:r w:rsidR="00701227">
              <w:t>u</w:t>
            </w:r>
            <w:r w:rsidR="00142AFF" w:rsidRPr="004E0F95">
              <w:t>rban</w:t>
            </w:r>
            <w:r w:rsidR="00142AFF">
              <w:t xml:space="preserve"> hospital</w:t>
            </w:r>
            <w:r>
              <w:t>s</w:t>
            </w:r>
          </w:p>
          <w:p w:rsidR="00142AFF" w:rsidRDefault="00142AFF" w:rsidP="001940C8">
            <w:pPr>
              <w:pStyle w:val="PwCNormal"/>
              <w:numPr>
                <w:ilvl w:val="0"/>
                <w:numId w:val="31"/>
              </w:numPr>
              <w:spacing w:after="0"/>
              <w:ind w:left="317" w:hanging="317"/>
            </w:pPr>
            <w:r>
              <w:t>Costing system</w:t>
            </w:r>
            <w:r w:rsidR="00017E94">
              <w:t xml:space="preserve">: </w:t>
            </w:r>
            <w:r>
              <w:t>PPM2</w:t>
            </w:r>
          </w:p>
        </w:tc>
      </w:tr>
      <w:tr w:rsidR="00142AFF" w:rsidTr="00B618E7">
        <w:tc>
          <w:tcPr>
            <w:tcW w:w="1812" w:type="dxa"/>
            <w:tcBorders>
              <w:top w:val="nil"/>
              <w:bottom w:val="nil"/>
            </w:tcBorders>
          </w:tcPr>
          <w:p w:rsidR="00142AFF" w:rsidRDefault="00142AFF" w:rsidP="00142AFF">
            <w:pPr>
              <w:pStyle w:val="PwCNormal"/>
              <w:numPr>
                <w:ilvl w:val="0"/>
                <w:numId w:val="0"/>
              </w:numPr>
            </w:pPr>
          </w:p>
        </w:tc>
        <w:tc>
          <w:tcPr>
            <w:tcW w:w="1948" w:type="dxa"/>
          </w:tcPr>
          <w:p w:rsidR="00142AFF" w:rsidRDefault="00400046" w:rsidP="00142AFF">
            <w:pPr>
              <w:pStyle w:val="PwCNormal"/>
              <w:numPr>
                <w:ilvl w:val="0"/>
                <w:numId w:val="0"/>
              </w:numPr>
              <w:spacing w:after="0"/>
            </w:pPr>
            <w:r>
              <w:t>Mid North Coast LHD</w:t>
            </w:r>
          </w:p>
        </w:tc>
        <w:tc>
          <w:tcPr>
            <w:tcW w:w="4604" w:type="dxa"/>
          </w:tcPr>
          <w:p w:rsidR="00142AFF" w:rsidRDefault="00017E94" w:rsidP="001940C8">
            <w:pPr>
              <w:pStyle w:val="PwCNormal"/>
              <w:numPr>
                <w:ilvl w:val="0"/>
                <w:numId w:val="31"/>
              </w:numPr>
              <w:spacing w:after="0"/>
              <w:ind w:left="317" w:hanging="317"/>
            </w:pPr>
            <w:r>
              <w:t>Had</w:t>
            </w:r>
            <w:r w:rsidR="00142AFF">
              <w:t xml:space="preserve"> not</w:t>
            </w:r>
            <w:r>
              <w:t xml:space="preserve"> previously</w:t>
            </w:r>
            <w:r w:rsidR="00142AFF">
              <w:t xml:space="preserve"> participated in an NHCDC financial review</w:t>
            </w:r>
          </w:p>
          <w:p w:rsidR="00142AFF" w:rsidRDefault="00017E94" w:rsidP="001940C8">
            <w:pPr>
              <w:pStyle w:val="PwCNormal"/>
              <w:numPr>
                <w:ilvl w:val="0"/>
                <w:numId w:val="31"/>
              </w:numPr>
              <w:spacing w:after="0"/>
              <w:ind w:left="317" w:hanging="317"/>
            </w:pPr>
            <w:r>
              <w:t xml:space="preserve">Includes major </w:t>
            </w:r>
            <w:r w:rsidR="00400046">
              <w:t>and non-major</w:t>
            </w:r>
            <w:r w:rsidR="00142AFF">
              <w:t xml:space="preserve"> </w:t>
            </w:r>
            <w:r w:rsidR="00701227">
              <w:t>regional</w:t>
            </w:r>
            <w:r w:rsidR="00142AFF">
              <w:t xml:space="preserve"> hospital</w:t>
            </w:r>
            <w:r w:rsidR="00400046">
              <w:t>s</w:t>
            </w:r>
          </w:p>
          <w:p w:rsidR="00142AFF" w:rsidRPr="001430DE" w:rsidRDefault="001430DE" w:rsidP="001430DE">
            <w:pPr>
              <w:pStyle w:val="PwCNormal"/>
              <w:numPr>
                <w:ilvl w:val="0"/>
                <w:numId w:val="31"/>
              </w:numPr>
              <w:spacing w:after="0"/>
              <w:ind w:left="317" w:hanging="317"/>
            </w:pPr>
            <w:r>
              <w:t>Costing system: PPM2</w:t>
            </w:r>
          </w:p>
        </w:tc>
      </w:tr>
      <w:tr w:rsidR="00142AFF" w:rsidTr="00B618E7">
        <w:tc>
          <w:tcPr>
            <w:tcW w:w="1812" w:type="dxa"/>
            <w:tcBorders>
              <w:top w:val="nil"/>
              <w:bottom w:val="dotted" w:sz="6" w:space="0" w:color="A32020" w:themeColor="accent1"/>
            </w:tcBorders>
          </w:tcPr>
          <w:p w:rsidR="00142AFF" w:rsidRDefault="00142AFF" w:rsidP="00142AFF">
            <w:pPr>
              <w:pStyle w:val="PwCNormal"/>
              <w:numPr>
                <w:ilvl w:val="0"/>
                <w:numId w:val="0"/>
              </w:numPr>
            </w:pPr>
          </w:p>
        </w:tc>
        <w:tc>
          <w:tcPr>
            <w:tcW w:w="1948" w:type="dxa"/>
          </w:tcPr>
          <w:p w:rsidR="00142AFF" w:rsidRDefault="00400046" w:rsidP="00142AFF">
            <w:pPr>
              <w:pStyle w:val="PwCNormal"/>
              <w:numPr>
                <w:ilvl w:val="0"/>
                <w:numId w:val="0"/>
              </w:numPr>
              <w:spacing w:after="0"/>
            </w:pPr>
            <w:r>
              <w:t>Sydney LHD</w:t>
            </w:r>
          </w:p>
        </w:tc>
        <w:tc>
          <w:tcPr>
            <w:tcW w:w="4604" w:type="dxa"/>
          </w:tcPr>
          <w:p w:rsidR="00142AFF" w:rsidRDefault="00017E94" w:rsidP="001940C8">
            <w:pPr>
              <w:pStyle w:val="PwCNormal"/>
              <w:numPr>
                <w:ilvl w:val="0"/>
                <w:numId w:val="31"/>
              </w:numPr>
              <w:spacing w:after="0"/>
              <w:ind w:left="317" w:hanging="317"/>
            </w:pPr>
            <w:r>
              <w:t>Had</w:t>
            </w:r>
            <w:r w:rsidR="00142AFF">
              <w:t xml:space="preserve"> not</w:t>
            </w:r>
            <w:r>
              <w:t xml:space="preserve"> previously</w:t>
            </w:r>
            <w:r w:rsidR="00142AFF">
              <w:t xml:space="preserve"> participated in an NHCDC financial review</w:t>
            </w:r>
          </w:p>
          <w:p w:rsidR="00142AFF" w:rsidRDefault="00017E94" w:rsidP="001940C8">
            <w:pPr>
              <w:pStyle w:val="PwCNormal"/>
              <w:numPr>
                <w:ilvl w:val="0"/>
                <w:numId w:val="31"/>
              </w:numPr>
              <w:spacing w:after="0"/>
              <w:ind w:left="317" w:hanging="317"/>
            </w:pPr>
            <w:r>
              <w:t xml:space="preserve">Includes major </w:t>
            </w:r>
            <w:r w:rsidR="00142AFF">
              <w:t>urban hospital</w:t>
            </w:r>
            <w:r w:rsidR="00400046">
              <w:t>s</w:t>
            </w:r>
          </w:p>
          <w:p w:rsidR="00142AFF" w:rsidRDefault="00142AFF" w:rsidP="001940C8">
            <w:pPr>
              <w:pStyle w:val="PwCNormal"/>
              <w:numPr>
                <w:ilvl w:val="0"/>
                <w:numId w:val="31"/>
              </w:numPr>
              <w:spacing w:after="0"/>
              <w:ind w:left="317" w:hanging="317"/>
            </w:pPr>
            <w:r>
              <w:t>Costing system</w:t>
            </w:r>
            <w:r w:rsidR="00017E94">
              <w:t xml:space="preserve">: </w:t>
            </w:r>
            <w:r>
              <w:t>PPM2</w:t>
            </w:r>
          </w:p>
        </w:tc>
      </w:tr>
      <w:tr w:rsidR="00142AFF" w:rsidTr="00B618E7">
        <w:trPr>
          <w:trHeight w:val="225"/>
        </w:trPr>
        <w:tc>
          <w:tcPr>
            <w:tcW w:w="1812" w:type="dxa"/>
            <w:tcBorders>
              <w:top w:val="dotted" w:sz="6" w:space="0" w:color="A32020" w:themeColor="accent1"/>
              <w:bottom w:val="nil"/>
            </w:tcBorders>
          </w:tcPr>
          <w:p w:rsidR="00142AFF" w:rsidRDefault="00017E94" w:rsidP="001430DE">
            <w:pPr>
              <w:pStyle w:val="PwCNormal"/>
              <w:numPr>
                <w:ilvl w:val="0"/>
                <w:numId w:val="0"/>
              </w:numPr>
              <w:rPr>
                <w:rFonts w:asciiTheme="majorHAnsi" w:eastAsia="Times New Roman" w:hAnsiTheme="majorHAnsi"/>
                <w:b/>
                <w:i/>
                <w:iCs/>
                <w:snapToGrid/>
                <w:color w:val="A32020" w:themeColor="text2"/>
                <w:sz w:val="32"/>
                <w:szCs w:val="36"/>
                <w:lang w:val="en-AU"/>
              </w:rPr>
            </w:pPr>
            <w:r>
              <w:t>Q</w:t>
            </w:r>
            <w:r w:rsidR="001430DE">
              <w:t>LD</w:t>
            </w:r>
          </w:p>
        </w:tc>
        <w:tc>
          <w:tcPr>
            <w:tcW w:w="1948" w:type="dxa"/>
          </w:tcPr>
          <w:p w:rsidR="00142AFF" w:rsidRDefault="001C000F" w:rsidP="00881423">
            <w:pPr>
              <w:pStyle w:val="PwCNormal"/>
              <w:numPr>
                <w:ilvl w:val="0"/>
                <w:numId w:val="0"/>
              </w:numPr>
              <w:spacing w:after="0"/>
            </w:pPr>
            <w:r>
              <w:t>Wide Bay HHS</w:t>
            </w:r>
            <w:r w:rsidR="001430DE">
              <w:t xml:space="preserve"> (Bundaberg</w:t>
            </w:r>
            <w:r>
              <w:t>)</w:t>
            </w:r>
          </w:p>
        </w:tc>
        <w:tc>
          <w:tcPr>
            <w:tcW w:w="4604" w:type="dxa"/>
          </w:tcPr>
          <w:p w:rsidR="00142AFF" w:rsidRDefault="00BC7C23"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142AFF" w:rsidP="001940C8">
            <w:pPr>
              <w:pStyle w:val="PwCNormal"/>
              <w:numPr>
                <w:ilvl w:val="0"/>
                <w:numId w:val="31"/>
              </w:numPr>
              <w:spacing w:after="0"/>
              <w:ind w:left="317" w:hanging="317"/>
            </w:pPr>
            <w:r>
              <w:t>Non</w:t>
            </w:r>
            <w:r w:rsidR="00BC7C23">
              <w:t>-</w:t>
            </w:r>
            <w:r>
              <w:t xml:space="preserve">major </w:t>
            </w:r>
            <w:r w:rsidR="00701227">
              <w:t>regional</w:t>
            </w:r>
            <w:r>
              <w:t xml:space="preserve"> hospital</w:t>
            </w:r>
          </w:p>
          <w:p w:rsidR="00142AFF" w:rsidRDefault="00142AFF" w:rsidP="001940C8">
            <w:pPr>
              <w:pStyle w:val="PwCNormal"/>
              <w:numPr>
                <w:ilvl w:val="0"/>
                <w:numId w:val="31"/>
              </w:numPr>
              <w:spacing w:after="0"/>
              <w:ind w:left="317" w:hanging="317"/>
            </w:pPr>
            <w:r>
              <w:t>Costing system</w:t>
            </w:r>
            <w:r w:rsidR="00BC7C23">
              <w:t xml:space="preserve">: </w:t>
            </w:r>
            <w:r w:rsidRPr="00F712E1">
              <w:t>Transition II</w:t>
            </w:r>
          </w:p>
        </w:tc>
      </w:tr>
      <w:tr w:rsidR="00142AFF" w:rsidTr="00B618E7">
        <w:tc>
          <w:tcPr>
            <w:tcW w:w="1812" w:type="dxa"/>
            <w:tcBorders>
              <w:top w:val="nil"/>
              <w:bottom w:val="nil"/>
            </w:tcBorders>
          </w:tcPr>
          <w:p w:rsidR="00142AFF" w:rsidRDefault="00142AFF" w:rsidP="00142AFF">
            <w:pPr>
              <w:pStyle w:val="PwCNormal"/>
              <w:numPr>
                <w:ilvl w:val="0"/>
                <w:numId w:val="0"/>
              </w:numPr>
            </w:pPr>
          </w:p>
        </w:tc>
        <w:tc>
          <w:tcPr>
            <w:tcW w:w="1948" w:type="dxa"/>
          </w:tcPr>
          <w:p w:rsidR="00142AFF" w:rsidRDefault="00400046" w:rsidP="00142AFF">
            <w:pPr>
              <w:pStyle w:val="PwCNormal"/>
              <w:numPr>
                <w:ilvl w:val="0"/>
                <w:numId w:val="0"/>
              </w:numPr>
              <w:spacing w:after="0"/>
            </w:pPr>
            <w:r>
              <w:t>Sunshine Coast</w:t>
            </w:r>
            <w:r w:rsidR="00881423">
              <w:t xml:space="preserve"> HHS</w:t>
            </w:r>
          </w:p>
        </w:tc>
        <w:tc>
          <w:tcPr>
            <w:tcW w:w="4604" w:type="dxa"/>
          </w:tcPr>
          <w:p w:rsidR="00142AFF" w:rsidRDefault="00BC7C23"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400046" w:rsidP="001940C8">
            <w:pPr>
              <w:pStyle w:val="PwCNormal"/>
              <w:numPr>
                <w:ilvl w:val="0"/>
                <w:numId w:val="31"/>
              </w:numPr>
              <w:spacing w:after="0"/>
              <w:ind w:left="317" w:hanging="317"/>
            </w:pPr>
            <w:r>
              <w:t>Major urban</w:t>
            </w:r>
            <w:r w:rsidR="00701227">
              <w:t xml:space="preserve"> hospital</w:t>
            </w:r>
          </w:p>
          <w:p w:rsidR="00142AFF" w:rsidRDefault="00142AFF" w:rsidP="001940C8">
            <w:pPr>
              <w:pStyle w:val="PwCNormal"/>
              <w:numPr>
                <w:ilvl w:val="0"/>
                <w:numId w:val="31"/>
              </w:numPr>
              <w:spacing w:after="0"/>
              <w:ind w:left="317" w:hanging="317"/>
            </w:pPr>
            <w:r>
              <w:t>Costing system</w:t>
            </w:r>
            <w:r w:rsidR="00BC7C23">
              <w:t>:</w:t>
            </w:r>
            <w:r>
              <w:t xml:space="preserve"> </w:t>
            </w:r>
            <w:r w:rsidRPr="00F712E1">
              <w:t>Transition II</w:t>
            </w:r>
          </w:p>
        </w:tc>
      </w:tr>
      <w:tr w:rsidR="00142AFF" w:rsidTr="00B618E7">
        <w:tc>
          <w:tcPr>
            <w:tcW w:w="1812" w:type="dxa"/>
            <w:tcBorders>
              <w:top w:val="nil"/>
              <w:bottom w:val="dotted" w:sz="6" w:space="0" w:color="A32020" w:themeColor="accent1"/>
            </w:tcBorders>
          </w:tcPr>
          <w:p w:rsidR="00142AFF" w:rsidRDefault="00142AFF" w:rsidP="00142AFF">
            <w:pPr>
              <w:pStyle w:val="PwCNormal"/>
              <w:numPr>
                <w:ilvl w:val="0"/>
                <w:numId w:val="0"/>
              </w:numPr>
            </w:pPr>
          </w:p>
        </w:tc>
        <w:tc>
          <w:tcPr>
            <w:tcW w:w="1948" w:type="dxa"/>
          </w:tcPr>
          <w:p w:rsidR="00142AFF" w:rsidRDefault="00400046" w:rsidP="00881423">
            <w:pPr>
              <w:pStyle w:val="PwCNormal"/>
              <w:numPr>
                <w:ilvl w:val="0"/>
                <w:numId w:val="0"/>
              </w:numPr>
              <w:spacing w:after="0"/>
            </w:pPr>
            <w:r>
              <w:t xml:space="preserve">Townsville </w:t>
            </w:r>
            <w:r w:rsidR="00881423">
              <w:t>HHS</w:t>
            </w:r>
          </w:p>
        </w:tc>
        <w:tc>
          <w:tcPr>
            <w:tcW w:w="4604" w:type="dxa"/>
          </w:tcPr>
          <w:p w:rsidR="00142AFF" w:rsidRPr="00642296" w:rsidRDefault="00BC7C23" w:rsidP="001940C8">
            <w:pPr>
              <w:pStyle w:val="PwCNormal"/>
              <w:numPr>
                <w:ilvl w:val="0"/>
                <w:numId w:val="31"/>
              </w:numPr>
              <w:spacing w:after="0"/>
              <w:ind w:left="317" w:hanging="317"/>
            </w:pPr>
            <w:r>
              <w:t>Had</w:t>
            </w:r>
            <w:r w:rsidR="00142AFF" w:rsidRPr="00642296">
              <w:t xml:space="preserve"> not </w:t>
            </w:r>
            <w:r>
              <w:t xml:space="preserve">previously </w:t>
            </w:r>
            <w:r w:rsidR="00142AFF" w:rsidRPr="00642296">
              <w:t>participated in an NHCDC financial review</w:t>
            </w:r>
          </w:p>
          <w:p w:rsidR="00142AFF" w:rsidRPr="00642296" w:rsidRDefault="00701227" w:rsidP="001940C8">
            <w:pPr>
              <w:pStyle w:val="PwCNormal"/>
              <w:numPr>
                <w:ilvl w:val="0"/>
                <w:numId w:val="31"/>
              </w:numPr>
              <w:spacing w:after="0"/>
              <w:ind w:left="317" w:hanging="317"/>
            </w:pPr>
            <w:r w:rsidRPr="00642296">
              <w:t>Major regional hospital</w:t>
            </w:r>
          </w:p>
          <w:p w:rsidR="00142AFF" w:rsidRPr="00642296" w:rsidRDefault="00142AFF" w:rsidP="001940C8">
            <w:pPr>
              <w:pStyle w:val="PwCNormal"/>
              <w:numPr>
                <w:ilvl w:val="0"/>
                <w:numId w:val="31"/>
              </w:numPr>
              <w:spacing w:after="0"/>
              <w:ind w:left="317" w:hanging="317"/>
            </w:pPr>
            <w:r w:rsidRPr="00642296">
              <w:t>Costing system</w:t>
            </w:r>
            <w:r w:rsidR="00BC7C23">
              <w:t>:</w:t>
            </w:r>
            <w:r w:rsidRPr="00642296">
              <w:t xml:space="preserve"> Transition II</w:t>
            </w:r>
          </w:p>
        </w:tc>
      </w:tr>
      <w:tr w:rsidR="00142AFF" w:rsidTr="00B618E7">
        <w:tc>
          <w:tcPr>
            <w:tcW w:w="1812" w:type="dxa"/>
            <w:tcBorders>
              <w:top w:val="dotted" w:sz="6" w:space="0" w:color="A32020" w:themeColor="accent1"/>
              <w:bottom w:val="nil"/>
            </w:tcBorders>
          </w:tcPr>
          <w:p w:rsidR="00142AFF" w:rsidRPr="00642296" w:rsidRDefault="00017E94" w:rsidP="00142AFF">
            <w:pPr>
              <w:pStyle w:val="PwCNormal"/>
              <w:numPr>
                <w:ilvl w:val="0"/>
                <w:numId w:val="0"/>
              </w:numPr>
            </w:pPr>
            <w:r>
              <w:t>SA</w:t>
            </w:r>
          </w:p>
        </w:tc>
        <w:tc>
          <w:tcPr>
            <w:tcW w:w="1948" w:type="dxa"/>
          </w:tcPr>
          <w:p w:rsidR="00142AFF" w:rsidRPr="00642296" w:rsidRDefault="00642296" w:rsidP="00142AFF">
            <w:pPr>
              <w:pStyle w:val="PwCNormal"/>
              <w:numPr>
                <w:ilvl w:val="0"/>
                <w:numId w:val="0"/>
              </w:numPr>
              <w:spacing w:after="0"/>
            </w:pPr>
            <w:r w:rsidRPr="00642296">
              <w:t>Flinders Medical Centre</w:t>
            </w:r>
          </w:p>
          <w:p w:rsidR="00142AFF" w:rsidRPr="00642296" w:rsidRDefault="00142AFF" w:rsidP="00142AFF">
            <w:pPr>
              <w:pStyle w:val="PwCNormal"/>
              <w:numPr>
                <w:ilvl w:val="0"/>
                <w:numId w:val="0"/>
              </w:numPr>
              <w:spacing w:after="0"/>
            </w:pPr>
          </w:p>
        </w:tc>
        <w:tc>
          <w:tcPr>
            <w:tcW w:w="4604" w:type="dxa"/>
          </w:tcPr>
          <w:p w:rsidR="00142AFF" w:rsidRDefault="00BC7C23"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142AFF" w:rsidP="001940C8">
            <w:pPr>
              <w:pStyle w:val="PwCNormal"/>
              <w:numPr>
                <w:ilvl w:val="0"/>
                <w:numId w:val="31"/>
              </w:numPr>
              <w:spacing w:after="0"/>
              <w:ind w:left="317" w:hanging="317"/>
            </w:pPr>
            <w:r>
              <w:t>Major u</w:t>
            </w:r>
            <w:r w:rsidRPr="004E0F95">
              <w:t>rban</w:t>
            </w:r>
            <w:r>
              <w:t xml:space="preserve"> hospital</w:t>
            </w:r>
          </w:p>
          <w:p w:rsidR="00142AFF" w:rsidRDefault="00142AFF" w:rsidP="001940C8">
            <w:pPr>
              <w:pStyle w:val="PwCNormal"/>
              <w:numPr>
                <w:ilvl w:val="0"/>
                <w:numId w:val="31"/>
              </w:numPr>
              <w:spacing w:after="0"/>
              <w:ind w:left="317" w:hanging="317"/>
            </w:pPr>
            <w:r>
              <w:t>Costing sys</w:t>
            </w:r>
            <w:r w:rsidR="00642296">
              <w:t>tem</w:t>
            </w:r>
            <w:r w:rsidR="00BC7C23">
              <w:t>:</w:t>
            </w:r>
            <w:r w:rsidR="00642296">
              <w:t xml:space="preserve"> PPM2</w:t>
            </w:r>
          </w:p>
        </w:tc>
      </w:tr>
      <w:tr w:rsidR="00142AFF" w:rsidTr="00B618E7">
        <w:tc>
          <w:tcPr>
            <w:tcW w:w="1812" w:type="dxa"/>
            <w:tcBorders>
              <w:top w:val="nil"/>
              <w:bottom w:val="dotted" w:sz="6" w:space="0" w:color="A32020" w:themeColor="accent1"/>
            </w:tcBorders>
          </w:tcPr>
          <w:p w:rsidR="00142AFF" w:rsidRPr="00642296" w:rsidRDefault="00142AFF" w:rsidP="00142AFF">
            <w:pPr>
              <w:pStyle w:val="PwCNormal"/>
              <w:numPr>
                <w:ilvl w:val="0"/>
                <w:numId w:val="0"/>
              </w:numPr>
            </w:pPr>
          </w:p>
        </w:tc>
        <w:tc>
          <w:tcPr>
            <w:tcW w:w="1948" w:type="dxa"/>
          </w:tcPr>
          <w:p w:rsidR="00642296" w:rsidRPr="00642296" w:rsidRDefault="00642296" w:rsidP="001430DE">
            <w:pPr>
              <w:pStyle w:val="PwCNormal"/>
              <w:numPr>
                <w:ilvl w:val="0"/>
                <w:numId w:val="0"/>
              </w:numPr>
              <w:spacing w:after="0"/>
              <w:rPr>
                <w:rFonts w:asciiTheme="majorHAnsi" w:eastAsia="Times New Roman" w:hAnsiTheme="majorHAnsi"/>
                <w:b/>
                <w:i/>
                <w:iCs/>
                <w:snapToGrid/>
                <w:color w:val="A32020" w:themeColor="text2"/>
                <w:sz w:val="32"/>
                <w:szCs w:val="36"/>
                <w:lang w:val="en-AU"/>
              </w:rPr>
            </w:pPr>
            <w:r w:rsidRPr="00642296">
              <w:t xml:space="preserve">Noarlunga </w:t>
            </w:r>
            <w:r w:rsidR="00BC7C23">
              <w:t>Hospital</w:t>
            </w:r>
          </w:p>
        </w:tc>
        <w:tc>
          <w:tcPr>
            <w:tcW w:w="4604" w:type="dxa"/>
          </w:tcPr>
          <w:p w:rsidR="00642296" w:rsidRDefault="00BC7C23" w:rsidP="001940C8">
            <w:pPr>
              <w:pStyle w:val="PwCNormal"/>
              <w:numPr>
                <w:ilvl w:val="0"/>
                <w:numId w:val="31"/>
              </w:numPr>
              <w:spacing w:after="0"/>
              <w:ind w:left="317" w:hanging="317"/>
            </w:pPr>
            <w:r>
              <w:t>Had</w:t>
            </w:r>
            <w:r w:rsidR="00642296">
              <w:t xml:space="preserve"> not </w:t>
            </w:r>
            <w:r>
              <w:t xml:space="preserve">previously </w:t>
            </w:r>
            <w:r w:rsidR="00642296">
              <w:t>participated in an NHCDC financial review</w:t>
            </w:r>
          </w:p>
          <w:p w:rsidR="00142AFF" w:rsidRDefault="00142AFF" w:rsidP="001940C8">
            <w:pPr>
              <w:pStyle w:val="PwCNormal"/>
              <w:numPr>
                <w:ilvl w:val="0"/>
                <w:numId w:val="31"/>
              </w:numPr>
              <w:spacing w:after="0"/>
              <w:ind w:left="317" w:hanging="317"/>
            </w:pPr>
            <w:r>
              <w:t xml:space="preserve">Major </w:t>
            </w:r>
            <w:r w:rsidR="0047710A">
              <w:t>regional</w:t>
            </w:r>
            <w:r>
              <w:t xml:space="preserve"> hospital</w:t>
            </w:r>
          </w:p>
          <w:p w:rsidR="00142AFF" w:rsidRDefault="00142AFF" w:rsidP="001940C8">
            <w:pPr>
              <w:pStyle w:val="PwCNormal"/>
              <w:numPr>
                <w:ilvl w:val="0"/>
                <w:numId w:val="31"/>
              </w:numPr>
              <w:spacing w:after="0"/>
              <w:ind w:left="317" w:hanging="317"/>
            </w:pPr>
            <w:r>
              <w:t>Costing system</w:t>
            </w:r>
            <w:r w:rsidR="00BC7C23">
              <w:t>:</w:t>
            </w:r>
            <w:r>
              <w:t xml:space="preserve"> </w:t>
            </w:r>
            <w:r w:rsidR="00642296">
              <w:t>PPM2</w:t>
            </w:r>
          </w:p>
        </w:tc>
      </w:tr>
      <w:tr w:rsidR="00142AFF" w:rsidTr="00B618E7">
        <w:tc>
          <w:tcPr>
            <w:tcW w:w="1812" w:type="dxa"/>
            <w:tcBorders>
              <w:top w:val="dotted" w:sz="6" w:space="0" w:color="A32020" w:themeColor="accent1"/>
              <w:bottom w:val="dotted" w:sz="6" w:space="0" w:color="A32020" w:themeColor="accent1"/>
            </w:tcBorders>
          </w:tcPr>
          <w:p w:rsidR="00142AFF" w:rsidRDefault="00017E94" w:rsidP="00142AFF">
            <w:pPr>
              <w:pStyle w:val="PwCNormal"/>
              <w:numPr>
                <w:ilvl w:val="0"/>
                <w:numId w:val="0"/>
              </w:numPr>
            </w:pPr>
            <w:r>
              <w:t>T</w:t>
            </w:r>
            <w:r w:rsidR="001430DE">
              <w:t>AS</w:t>
            </w:r>
          </w:p>
        </w:tc>
        <w:tc>
          <w:tcPr>
            <w:tcW w:w="1948" w:type="dxa"/>
          </w:tcPr>
          <w:p w:rsidR="00142AFF" w:rsidRDefault="0047710A" w:rsidP="00142AFF">
            <w:pPr>
              <w:pStyle w:val="PwCNormal"/>
              <w:numPr>
                <w:ilvl w:val="0"/>
                <w:numId w:val="0"/>
              </w:numPr>
              <w:spacing w:after="0"/>
            </w:pPr>
            <w:r>
              <w:t>Royal Hobart Hospital</w:t>
            </w:r>
          </w:p>
        </w:tc>
        <w:tc>
          <w:tcPr>
            <w:tcW w:w="4604" w:type="dxa"/>
          </w:tcPr>
          <w:p w:rsidR="00142AFF" w:rsidRDefault="00142AFF" w:rsidP="001940C8">
            <w:pPr>
              <w:pStyle w:val="PwCNormal"/>
              <w:numPr>
                <w:ilvl w:val="0"/>
                <w:numId w:val="31"/>
              </w:numPr>
              <w:spacing w:after="0"/>
              <w:ind w:left="317" w:hanging="317"/>
            </w:pPr>
            <w:r>
              <w:t>Previously reviewed hospital</w:t>
            </w:r>
            <w:r w:rsidR="00BC7C23">
              <w:t xml:space="preserve"> </w:t>
            </w:r>
            <w:r>
              <w:t>(R</w:t>
            </w:r>
            <w:r w:rsidR="00BC7C23">
              <w:t xml:space="preserve">ound </w:t>
            </w:r>
            <w:r>
              <w:t>1</w:t>
            </w:r>
            <w:r w:rsidR="0047710A">
              <w:t>5</w:t>
            </w:r>
            <w:r>
              <w:t>)</w:t>
            </w:r>
          </w:p>
          <w:p w:rsidR="00142AFF" w:rsidRDefault="00142AFF" w:rsidP="001940C8">
            <w:pPr>
              <w:pStyle w:val="PwCNormal"/>
              <w:numPr>
                <w:ilvl w:val="0"/>
                <w:numId w:val="31"/>
              </w:numPr>
              <w:spacing w:after="0"/>
              <w:ind w:left="317" w:hanging="317"/>
            </w:pPr>
            <w:r>
              <w:t>Major urban hospital</w:t>
            </w:r>
          </w:p>
          <w:p w:rsidR="00142AFF" w:rsidRDefault="00142AFF" w:rsidP="001940C8">
            <w:pPr>
              <w:pStyle w:val="PwCNormal"/>
              <w:numPr>
                <w:ilvl w:val="0"/>
                <w:numId w:val="31"/>
              </w:numPr>
              <w:spacing w:after="0"/>
              <w:ind w:left="317" w:hanging="317"/>
            </w:pPr>
            <w:r>
              <w:t>Costing system</w:t>
            </w:r>
            <w:r w:rsidR="00BC7C23">
              <w:t xml:space="preserve">: </w:t>
            </w:r>
            <w:r>
              <w:t>Combo CC</w:t>
            </w:r>
          </w:p>
        </w:tc>
      </w:tr>
      <w:tr w:rsidR="00142AFF" w:rsidTr="00B618E7">
        <w:tc>
          <w:tcPr>
            <w:tcW w:w="1812" w:type="dxa"/>
            <w:tcBorders>
              <w:top w:val="dotted" w:sz="6" w:space="0" w:color="A32020" w:themeColor="accent1"/>
              <w:bottom w:val="nil"/>
            </w:tcBorders>
          </w:tcPr>
          <w:p w:rsidR="00142AFF" w:rsidRDefault="00017E94" w:rsidP="00142AFF">
            <w:pPr>
              <w:pStyle w:val="PwCNormal"/>
              <w:numPr>
                <w:ilvl w:val="0"/>
                <w:numId w:val="0"/>
              </w:numPr>
            </w:pPr>
            <w:r>
              <w:t>V</w:t>
            </w:r>
            <w:r w:rsidR="001430DE">
              <w:t>IC</w:t>
            </w:r>
          </w:p>
        </w:tc>
        <w:tc>
          <w:tcPr>
            <w:tcW w:w="1948" w:type="dxa"/>
          </w:tcPr>
          <w:p w:rsidR="00142AFF" w:rsidRDefault="0047710A" w:rsidP="00142AFF">
            <w:pPr>
              <w:pStyle w:val="PwCNormal"/>
              <w:numPr>
                <w:ilvl w:val="0"/>
                <w:numId w:val="0"/>
              </w:numPr>
              <w:spacing w:after="0"/>
            </w:pPr>
            <w:r>
              <w:t xml:space="preserve">Western Health </w:t>
            </w:r>
          </w:p>
          <w:p w:rsidR="00142AFF" w:rsidRDefault="00142AFF" w:rsidP="00142AFF">
            <w:pPr>
              <w:pStyle w:val="PwCNormal"/>
              <w:numPr>
                <w:ilvl w:val="0"/>
                <w:numId w:val="0"/>
              </w:numPr>
              <w:spacing w:after="0"/>
            </w:pPr>
          </w:p>
        </w:tc>
        <w:tc>
          <w:tcPr>
            <w:tcW w:w="4604" w:type="dxa"/>
          </w:tcPr>
          <w:p w:rsidR="00142AFF" w:rsidRDefault="00BC7C23"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142AFF" w:rsidP="001940C8">
            <w:pPr>
              <w:pStyle w:val="PwCNormal"/>
              <w:numPr>
                <w:ilvl w:val="0"/>
                <w:numId w:val="31"/>
              </w:numPr>
              <w:spacing w:after="0"/>
              <w:ind w:left="317" w:hanging="317"/>
            </w:pPr>
            <w:r>
              <w:t>Major urban hospital</w:t>
            </w:r>
          </w:p>
          <w:p w:rsidR="00142AFF" w:rsidRDefault="00142AFF" w:rsidP="001940C8">
            <w:pPr>
              <w:pStyle w:val="PwCNormal"/>
              <w:numPr>
                <w:ilvl w:val="0"/>
                <w:numId w:val="31"/>
              </w:numPr>
              <w:spacing w:after="0"/>
              <w:ind w:left="317" w:hanging="317"/>
            </w:pPr>
            <w:r>
              <w:t>Costing system</w:t>
            </w:r>
            <w:r w:rsidR="00BC7C23">
              <w:t>:</w:t>
            </w:r>
            <w:r>
              <w:t xml:space="preserve"> </w:t>
            </w:r>
            <w:r w:rsidR="0047710A">
              <w:t>PPM2</w:t>
            </w:r>
          </w:p>
        </w:tc>
      </w:tr>
      <w:tr w:rsidR="00142AFF" w:rsidTr="00B618E7">
        <w:tc>
          <w:tcPr>
            <w:tcW w:w="1812" w:type="dxa"/>
            <w:tcBorders>
              <w:top w:val="nil"/>
              <w:bottom w:val="dotted" w:sz="6" w:space="0" w:color="A32020" w:themeColor="accent1"/>
            </w:tcBorders>
          </w:tcPr>
          <w:p w:rsidR="00142AFF" w:rsidRDefault="00142AFF" w:rsidP="00142AFF">
            <w:pPr>
              <w:pStyle w:val="PwCNormal"/>
              <w:numPr>
                <w:ilvl w:val="0"/>
                <w:numId w:val="0"/>
              </w:numPr>
            </w:pPr>
          </w:p>
        </w:tc>
        <w:tc>
          <w:tcPr>
            <w:tcW w:w="1948" w:type="dxa"/>
            <w:tcBorders>
              <w:bottom w:val="dotted" w:sz="6" w:space="0" w:color="A32020" w:themeColor="accent1"/>
            </w:tcBorders>
          </w:tcPr>
          <w:p w:rsidR="00142AFF" w:rsidRDefault="0047710A" w:rsidP="00142AFF">
            <w:pPr>
              <w:pStyle w:val="PwCNormal"/>
              <w:numPr>
                <w:ilvl w:val="0"/>
                <w:numId w:val="0"/>
              </w:numPr>
              <w:spacing w:after="0"/>
            </w:pPr>
            <w:proofErr w:type="spellStart"/>
            <w:r>
              <w:t>Barwon</w:t>
            </w:r>
            <w:proofErr w:type="spellEnd"/>
            <w:r>
              <w:t xml:space="preserve"> Health </w:t>
            </w:r>
          </w:p>
          <w:p w:rsidR="00142AFF" w:rsidRDefault="00142AFF" w:rsidP="00142AFF">
            <w:pPr>
              <w:pStyle w:val="PwCNormal"/>
              <w:numPr>
                <w:ilvl w:val="0"/>
                <w:numId w:val="0"/>
              </w:numPr>
              <w:spacing w:after="0"/>
            </w:pPr>
          </w:p>
        </w:tc>
        <w:tc>
          <w:tcPr>
            <w:tcW w:w="4604" w:type="dxa"/>
            <w:tcBorders>
              <w:bottom w:val="dotted" w:sz="6" w:space="0" w:color="A32020" w:themeColor="accent1"/>
            </w:tcBorders>
          </w:tcPr>
          <w:p w:rsidR="00142AFF" w:rsidRDefault="00BC7C23"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142AFF" w:rsidP="001940C8">
            <w:pPr>
              <w:pStyle w:val="PwCNormal"/>
              <w:numPr>
                <w:ilvl w:val="0"/>
                <w:numId w:val="31"/>
              </w:numPr>
              <w:spacing w:after="0"/>
              <w:ind w:left="317" w:hanging="317"/>
            </w:pPr>
            <w:r>
              <w:t>Non</w:t>
            </w:r>
            <w:r w:rsidR="00BC7C23">
              <w:t>-</w:t>
            </w:r>
            <w:r>
              <w:t>major u</w:t>
            </w:r>
            <w:r w:rsidRPr="004E0F95">
              <w:t>rban</w:t>
            </w:r>
            <w:r>
              <w:t xml:space="preserve"> hospital</w:t>
            </w:r>
          </w:p>
          <w:p w:rsidR="00142AFF" w:rsidRDefault="0047710A" w:rsidP="001940C8">
            <w:pPr>
              <w:pStyle w:val="PwCNormal"/>
              <w:numPr>
                <w:ilvl w:val="0"/>
                <w:numId w:val="31"/>
              </w:numPr>
              <w:spacing w:after="0"/>
              <w:ind w:left="317" w:hanging="317"/>
            </w:pPr>
            <w:r>
              <w:t>Costing system</w:t>
            </w:r>
            <w:r w:rsidR="00BC7C23">
              <w:t>:</w:t>
            </w:r>
            <w:r>
              <w:t xml:space="preserve"> User Cost</w:t>
            </w:r>
          </w:p>
        </w:tc>
      </w:tr>
      <w:tr w:rsidR="00142AFF" w:rsidTr="00B618E7">
        <w:tc>
          <w:tcPr>
            <w:tcW w:w="1812" w:type="dxa"/>
            <w:tcBorders>
              <w:top w:val="dotted" w:sz="6" w:space="0" w:color="A32020" w:themeColor="accent1"/>
              <w:bottom w:val="nil"/>
            </w:tcBorders>
          </w:tcPr>
          <w:p w:rsidR="00142AFF" w:rsidRDefault="00017E94" w:rsidP="00B618E7">
            <w:pPr>
              <w:pStyle w:val="PwCNormal"/>
              <w:numPr>
                <w:ilvl w:val="0"/>
                <w:numId w:val="0"/>
              </w:numPr>
            </w:pPr>
            <w:r>
              <w:t>WA</w:t>
            </w:r>
          </w:p>
        </w:tc>
        <w:tc>
          <w:tcPr>
            <w:tcW w:w="1948" w:type="dxa"/>
            <w:tcBorders>
              <w:top w:val="dotted" w:sz="6" w:space="0" w:color="A32020" w:themeColor="accent1"/>
              <w:bottom w:val="dotted" w:sz="6" w:space="0" w:color="A32020" w:themeColor="accent1"/>
            </w:tcBorders>
          </w:tcPr>
          <w:p w:rsidR="00142AFF" w:rsidRDefault="0047710A" w:rsidP="005244F0">
            <w:pPr>
              <w:pStyle w:val="PwCNormal"/>
              <w:numPr>
                <w:ilvl w:val="0"/>
                <w:numId w:val="0"/>
              </w:numPr>
              <w:spacing w:after="0"/>
            </w:pPr>
            <w:r>
              <w:t>Swan District Hospital</w:t>
            </w:r>
          </w:p>
        </w:tc>
        <w:tc>
          <w:tcPr>
            <w:tcW w:w="4604" w:type="dxa"/>
            <w:tcBorders>
              <w:top w:val="dotted" w:sz="6" w:space="0" w:color="A32020" w:themeColor="accent1"/>
              <w:bottom w:val="dotted" w:sz="6" w:space="0" w:color="A32020" w:themeColor="accent1"/>
            </w:tcBorders>
          </w:tcPr>
          <w:p w:rsidR="00142AFF" w:rsidRDefault="00BC7C23" w:rsidP="001940C8">
            <w:pPr>
              <w:pStyle w:val="PwCNormal"/>
              <w:numPr>
                <w:ilvl w:val="0"/>
                <w:numId w:val="31"/>
              </w:numPr>
              <w:spacing w:after="0"/>
              <w:ind w:left="317" w:hanging="317"/>
            </w:pPr>
            <w:r>
              <w:t>Had</w:t>
            </w:r>
            <w:r w:rsidR="00142AFF">
              <w:t xml:space="preserve"> not </w:t>
            </w:r>
            <w:r>
              <w:t xml:space="preserve">previously </w:t>
            </w:r>
            <w:r w:rsidR="00142AFF">
              <w:t>participated in an NHCDC financial review</w:t>
            </w:r>
          </w:p>
          <w:p w:rsidR="00142AFF" w:rsidRDefault="00142AFF" w:rsidP="001940C8">
            <w:pPr>
              <w:pStyle w:val="PwCNormal"/>
              <w:numPr>
                <w:ilvl w:val="0"/>
                <w:numId w:val="31"/>
              </w:numPr>
              <w:spacing w:after="0"/>
              <w:ind w:left="317" w:hanging="317"/>
            </w:pPr>
            <w:r>
              <w:t>Major u</w:t>
            </w:r>
            <w:r w:rsidRPr="004E0F95">
              <w:t>rban</w:t>
            </w:r>
            <w:r>
              <w:t xml:space="preserve"> hospital</w:t>
            </w:r>
          </w:p>
          <w:p w:rsidR="00142AFF" w:rsidRDefault="00142AFF" w:rsidP="001940C8">
            <w:pPr>
              <w:pStyle w:val="PwCNormal"/>
              <w:numPr>
                <w:ilvl w:val="0"/>
                <w:numId w:val="31"/>
              </w:numPr>
              <w:spacing w:after="0"/>
              <w:ind w:left="317" w:hanging="317"/>
            </w:pPr>
            <w:r>
              <w:t>Costing system</w:t>
            </w:r>
            <w:r w:rsidR="00BC7C23">
              <w:t>:</w:t>
            </w:r>
            <w:r>
              <w:t xml:space="preserve"> </w:t>
            </w:r>
            <w:r w:rsidR="0047710A">
              <w:t>PPM2</w:t>
            </w:r>
          </w:p>
        </w:tc>
      </w:tr>
      <w:tr w:rsidR="00142AFF" w:rsidTr="00B618E7">
        <w:tc>
          <w:tcPr>
            <w:tcW w:w="1812" w:type="dxa"/>
            <w:tcBorders>
              <w:top w:val="nil"/>
              <w:bottom w:val="dotted" w:sz="6" w:space="0" w:color="A32020" w:themeColor="accent1"/>
            </w:tcBorders>
          </w:tcPr>
          <w:p w:rsidR="00142AFF" w:rsidRDefault="00142AFF" w:rsidP="00B618E7">
            <w:pPr>
              <w:pStyle w:val="PwCNormal"/>
              <w:numPr>
                <w:ilvl w:val="0"/>
                <w:numId w:val="0"/>
              </w:numPr>
            </w:pPr>
          </w:p>
        </w:tc>
        <w:tc>
          <w:tcPr>
            <w:tcW w:w="1948" w:type="dxa"/>
            <w:tcBorders>
              <w:top w:val="dotted" w:sz="6" w:space="0" w:color="A32020" w:themeColor="accent1"/>
              <w:bottom w:val="dotted" w:sz="6" w:space="0" w:color="A32020" w:themeColor="accent1"/>
            </w:tcBorders>
          </w:tcPr>
          <w:p w:rsidR="00142AFF" w:rsidRDefault="0047710A" w:rsidP="00142AFF">
            <w:pPr>
              <w:pStyle w:val="PwCNormal"/>
              <w:numPr>
                <w:ilvl w:val="0"/>
                <w:numId w:val="0"/>
              </w:numPr>
              <w:spacing w:after="0"/>
            </w:pPr>
            <w:r>
              <w:t>Royal Perth Hospital</w:t>
            </w:r>
          </w:p>
        </w:tc>
        <w:tc>
          <w:tcPr>
            <w:tcW w:w="4604" w:type="dxa"/>
            <w:tcBorders>
              <w:top w:val="dotted" w:sz="6" w:space="0" w:color="A32020" w:themeColor="accent1"/>
              <w:bottom w:val="dotted" w:sz="6" w:space="0" w:color="A32020" w:themeColor="accent1"/>
            </w:tcBorders>
          </w:tcPr>
          <w:p w:rsidR="005244F0" w:rsidRDefault="00BC7C23" w:rsidP="001940C8">
            <w:pPr>
              <w:pStyle w:val="PwCNormal"/>
              <w:numPr>
                <w:ilvl w:val="0"/>
                <w:numId w:val="31"/>
              </w:numPr>
              <w:spacing w:after="0"/>
              <w:ind w:left="317" w:hanging="317"/>
            </w:pPr>
            <w:r>
              <w:t>Had</w:t>
            </w:r>
            <w:r w:rsidR="005244F0">
              <w:t xml:space="preserve"> not </w:t>
            </w:r>
            <w:r>
              <w:t xml:space="preserve">previously </w:t>
            </w:r>
            <w:r w:rsidR="005244F0">
              <w:t>participated in an NHCDC financial review</w:t>
            </w:r>
          </w:p>
          <w:p w:rsidR="00142AFF" w:rsidRDefault="00142AFF" w:rsidP="001940C8">
            <w:pPr>
              <w:pStyle w:val="PwCNormal"/>
              <w:numPr>
                <w:ilvl w:val="0"/>
                <w:numId w:val="31"/>
              </w:numPr>
              <w:spacing w:after="0"/>
              <w:ind w:left="317" w:hanging="317"/>
            </w:pPr>
            <w:r>
              <w:t>Major urban hospital</w:t>
            </w:r>
          </w:p>
          <w:p w:rsidR="00142AFF" w:rsidRDefault="00142AFF" w:rsidP="001940C8">
            <w:pPr>
              <w:pStyle w:val="PwCNormal"/>
              <w:numPr>
                <w:ilvl w:val="0"/>
                <w:numId w:val="31"/>
              </w:numPr>
              <w:spacing w:after="0"/>
              <w:ind w:left="317" w:hanging="317"/>
            </w:pPr>
            <w:r>
              <w:t>Costing system</w:t>
            </w:r>
            <w:r w:rsidR="00BC7C23">
              <w:t>:</w:t>
            </w:r>
            <w:r>
              <w:t xml:space="preserve"> </w:t>
            </w:r>
            <w:r w:rsidR="0047710A">
              <w:t>PPM2</w:t>
            </w:r>
          </w:p>
        </w:tc>
      </w:tr>
    </w:tbl>
    <w:p w:rsidR="005244F0" w:rsidRDefault="005244F0">
      <w:pPr>
        <w:kinsoku/>
        <w:overflowPunct/>
        <w:autoSpaceDE/>
        <w:autoSpaceDN/>
        <w:adjustRightInd/>
        <w:snapToGrid/>
      </w:pPr>
      <w:r>
        <w:br w:type="page"/>
      </w:r>
    </w:p>
    <w:p w:rsidR="005244F0" w:rsidRPr="00972C26" w:rsidRDefault="005244F0" w:rsidP="005244F0">
      <w:pPr>
        <w:pStyle w:val="Heading2"/>
      </w:pPr>
      <w:r>
        <w:lastRenderedPageBreak/>
        <w:t>Methodology</w:t>
      </w:r>
    </w:p>
    <w:p w:rsidR="005244F0" w:rsidRDefault="00BC7C23" w:rsidP="005244F0">
      <w:pPr>
        <w:pStyle w:val="PwCNormal"/>
      </w:pPr>
      <w:r>
        <w:t xml:space="preserve">The project team gathered information </w:t>
      </w:r>
      <w:r w:rsidR="005244F0">
        <w:t xml:space="preserve">required for the financial review </w:t>
      </w:r>
      <w:r w:rsidR="00504FA7">
        <w:t>via</w:t>
      </w:r>
      <w:r w:rsidR="005244F0">
        <w:t>:</w:t>
      </w:r>
    </w:p>
    <w:p w:rsidR="005244F0" w:rsidRDefault="00504FA7" w:rsidP="001430DE">
      <w:pPr>
        <w:pStyle w:val="PwCNormal"/>
        <w:numPr>
          <w:ilvl w:val="0"/>
          <w:numId w:val="88"/>
        </w:numPr>
      </w:pPr>
      <w:r>
        <w:t>a</w:t>
      </w:r>
      <w:r w:rsidR="00BC7C23">
        <w:t xml:space="preserve"> data </w:t>
      </w:r>
      <w:r w:rsidR="005244F0">
        <w:t xml:space="preserve">collection template and questionnaire </w:t>
      </w:r>
      <w:r>
        <w:t xml:space="preserve">distributed to </w:t>
      </w:r>
      <w:r w:rsidR="005244F0">
        <w:t>hospitals and jurisdictions</w:t>
      </w:r>
    </w:p>
    <w:p w:rsidR="005244F0" w:rsidRDefault="00504FA7" w:rsidP="001430DE">
      <w:pPr>
        <w:pStyle w:val="PwCNormal"/>
        <w:numPr>
          <w:ilvl w:val="0"/>
          <w:numId w:val="88"/>
        </w:numPr>
      </w:pPr>
      <w:r>
        <w:t>s</w:t>
      </w:r>
      <w:r w:rsidR="00D0782F">
        <w:t>ite visits</w:t>
      </w:r>
      <w:r w:rsidR="005244F0">
        <w:t xml:space="preserve"> with the hospital costing team and jurisdiction representatives</w:t>
      </w:r>
    </w:p>
    <w:p w:rsidR="005244F0" w:rsidRDefault="00504FA7" w:rsidP="001430DE">
      <w:pPr>
        <w:pStyle w:val="PwCNormal"/>
        <w:numPr>
          <w:ilvl w:val="0"/>
          <w:numId w:val="88"/>
        </w:numPr>
      </w:pPr>
      <w:r>
        <w:t>follow-</w:t>
      </w:r>
      <w:r w:rsidR="005244F0">
        <w:t>up discussions to address outstanding issues</w:t>
      </w:r>
    </w:p>
    <w:p w:rsidR="005244F0" w:rsidRDefault="00504FA7" w:rsidP="001430DE">
      <w:pPr>
        <w:pStyle w:val="PwCNormal"/>
        <w:numPr>
          <w:ilvl w:val="0"/>
          <w:numId w:val="88"/>
        </w:numPr>
      </w:pPr>
      <w:proofErr w:type="gramStart"/>
      <w:r>
        <w:t>o</w:t>
      </w:r>
      <w:r w:rsidR="005244F0">
        <w:t>nline</w:t>
      </w:r>
      <w:proofErr w:type="gramEnd"/>
      <w:r w:rsidR="005244F0">
        <w:t xml:space="preserve"> res</w:t>
      </w:r>
      <w:r>
        <w:t xml:space="preserve">earch, using resources </w:t>
      </w:r>
      <w:r w:rsidR="009E64DF">
        <w:t xml:space="preserve">such as jurisdiction and hospital websites, </w:t>
      </w:r>
      <w:r>
        <w:t xml:space="preserve">and </w:t>
      </w:r>
      <w:r w:rsidR="009E64DF">
        <w:t>jurisdiction and IHPA policies available online.</w:t>
      </w:r>
    </w:p>
    <w:p w:rsidR="005244F0" w:rsidRDefault="00504FA7" w:rsidP="005244F0">
      <w:pPr>
        <w:pStyle w:val="PwCNormal"/>
      </w:pPr>
      <w:r>
        <w:t>The project team distributed and gathered the d</w:t>
      </w:r>
      <w:r w:rsidR="005244F0">
        <w:t xml:space="preserve">ata collection templates in advance of the </w:t>
      </w:r>
      <w:r w:rsidR="00D0782F">
        <w:t>site visits</w:t>
      </w:r>
      <w:r>
        <w:t>,</w:t>
      </w:r>
      <w:r w:rsidR="005244F0">
        <w:t xml:space="preserve"> and participants were given the opportunity to provide additional information following these </w:t>
      </w:r>
      <w:r w:rsidR="00D0782F">
        <w:t>visits</w:t>
      </w:r>
      <w:r w:rsidR="005244F0">
        <w:t xml:space="preserve">. The NHCDC representative from each jurisdiction reviewed their chapter prior to </w:t>
      </w:r>
      <w:r>
        <w:t>it being included</w:t>
      </w:r>
      <w:r w:rsidR="005244F0">
        <w:t xml:space="preserve"> in </w:t>
      </w:r>
      <w:r w:rsidR="001430DE">
        <w:t>this report.</w:t>
      </w:r>
    </w:p>
    <w:p w:rsidR="005244F0" w:rsidRDefault="005244F0" w:rsidP="00CE5EF2">
      <w:pPr>
        <w:pStyle w:val="Heading3"/>
      </w:pPr>
      <w:r>
        <w:t>Data collection template and questionnaire</w:t>
      </w:r>
    </w:p>
    <w:p w:rsidR="005244F0" w:rsidRDefault="005244F0" w:rsidP="005244F0">
      <w:pPr>
        <w:pStyle w:val="PwCNormal"/>
      </w:pPr>
      <w:r>
        <w:t xml:space="preserve">For </w:t>
      </w:r>
      <w:r w:rsidR="006A194B">
        <w:t>Round 17</w:t>
      </w:r>
      <w:r>
        <w:t>, all quantitative data req</w:t>
      </w:r>
      <w:r w:rsidR="005D501E">
        <w:t>uests</w:t>
      </w:r>
      <w:r>
        <w:t xml:space="preserve"> </w:t>
      </w:r>
      <w:r w:rsidR="005D501E">
        <w:t>were</w:t>
      </w:r>
      <w:r>
        <w:t xml:space="preserve"> contained in one data collection template. It included a tab for </w:t>
      </w:r>
      <w:r w:rsidR="004306CD">
        <w:t xml:space="preserve">the participating </w:t>
      </w:r>
      <w:r>
        <w:t>hospital</w:t>
      </w:r>
      <w:r w:rsidR="00504FA7">
        <w:t xml:space="preserve"> or </w:t>
      </w:r>
      <w:r w:rsidR="005D501E">
        <w:t>LHN</w:t>
      </w:r>
      <w:r>
        <w:t xml:space="preserve"> </w:t>
      </w:r>
      <w:r w:rsidR="004306CD">
        <w:t>to complete</w:t>
      </w:r>
      <w:r>
        <w:t>,</w:t>
      </w:r>
      <w:r w:rsidR="004306CD">
        <w:t xml:space="preserve"> requesting information on</w:t>
      </w:r>
      <w:r>
        <w:t xml:space="preserve"> the process of </w:t>
      </w:r>
      <w:r w:rsidR="00FA2945">
        <w:t>GL</w:t>
      </w:r>
      <w:r>
        <w:t xml:space="preserve"> </w:t>
      </w:r>
      <w:r w:rsidR="005D501E">
        <w:t xml:space="preserve">cost </w:t>
      </w:r>
      <w:r>
        <w:t>extraction</w:t>
      </w:r>
      <w:r w:rsidR="005D501E">
        <w:t>, cost allocation</w:t>
      </w:r>
      <w:r>
        <w:t xml:space="preserve"> </w:t>
      </w:r>
      <w:r w:rsidR="005D501E">
        <w:t xml:space="preserve">and </w:t>
      </w:r>
      <w:r>
        <w:t xml:space="preserve">submission </w:t>
      </w:r>
      <w:r w:rsidR="00433E84">
        <w:t xml:space="preserve">of data </w:t>
      </w:r>
      <w:r>
        <w:t xml:space="preserve">to the jurisdiction. A second tab requested information </w:t>
      </w:r>
      <w:r w:rsidR="00504FA7">
        <w:t>about how the jurisdiction adjusted</w:t>
      </w:r>
      <w:r>
        <w:t xml:space="preserve"> the dataset </w:t>
      </w:r>
      <w:r w:rsidR="00504FA7">
        <w:t>before submitting it</w:t>
      </w:r>
      <w:r>
        <w:t xml:space="preserve"> to</w:t>
      </w:r>
      <w:r w:rsidR="00504FA7">
        <w:t xml:space="preserve"> the</w:t>
      </w:r>
      <w:r>
        <w:t xml:space="preserve"> IHPA.</w:t>
      </w:r>
    </w:p>
    <w:p w:rsidR="005D501E" w:rsidRDefault="00504FA7" w:rsidP="005244F0">
      <w:pPr>
        <w:pStyle w:val="PwCNormal"/>
      </w:pPr>
      <w:r>
        <w:t xml:space="preserve">Each site also received a </w:t>
      </w:r>
      <w:r w:rsidR="005D501E">
        <w:t xml:space="preserve">questionnaire, </w:t>
      </w:r>
      <w:r>
        <w:t>asking:</w:t>
      </w:r>
    </w:p>
    <w:p w:rsidR="005D501E" w:rsidRDefault="00504FA7" w:rsidP="001940C8">
      <w:pPr>
        <w:pStyle w:val="PwCNormal"/>
        <w:numPr>
          <w:ilvl w:val="0"/>
          <w:numId w:val="33"/>
        </w:numPr>
        <w:ind w:left="709" w:hanging="425"/>
      </w:pPr>
      <w:r>
        <w:t xml:space="preserve">the </w:t>
      </w:r>
      <w:r w:rsidR="005D501E">
        <w:t>costing team</w:t>
      </w:r>
      <w:r w:rsidR="008E66A2">
        <w:t>s</w:t>
      </w:r>
      <w:r w:rsidR="005D501E">
        <w:t xml:space="preserve"> about their quality assurance and reconciliation procedures </w:t>
      </w:r>
      <w:r>
        <w:t>regarding</w:t>
      </w:r>
      <w:r w:rsidR="005D501E">
        <w:t xml:space="preserve"> the </w:t>
      </w:r>
      <w:r w:rsidR="00D0782F">
        <w:t>activity</w:t>
      </w:r>
      <w:r w:rsidR="005D501E">
        <w:t xml:space="preserve"> and cost data</w:t>
      </w:r>
      <w:r w:rsidR="005F5654">
        <w:t>,</w:t>
      </w:r>
    </w:p>
    <w:p w:rsidR="005D501E" w:rsidRDefault="00504FA7" w:rsidP="001940C8">
      <w:pPr>
        <w:pStyle w:val="PwCNormal"/>
        <w:numPr>
          <w:ilvl w:val="0"/>
          <w:numId w:val="33"/>
        </w:numPr>
        <w:ind w:left="709" w:hanging="425"/>
      </w:pPr>
      <w:proofErr w:type="gramStart"/>
      <w:r>
        <w:t>the</w:t>
      </w:r>
      <w:proofErr w:type="gramEnd"/>
      <w:r>
        <w:t xml:space="preserve"> </w:t>
      </w:r>
      <w:r w:rsidR="005D501E">
        <w:t>finance team</w:t>
      </w:r>
      <w:r w:rsidR="008E66A2">
        <w:t>s</w:t>
      </w:r>
      <w:r w:rsidR="005D501E">
        <w:t xml:space="preserve"> about the structure of </w:t>
      </w:r>
      <w:r w:rsidR="008E66A2">
        <w:t>the GL</w:t>
      </w:r>
      <w:r w:rsidR="005D501E">
        <w:t xml:space="preserve">, and how selected costs were treated in the </w:t>
      </w:r>
      <w:r w:rsidR="00FA2945">
        <w:t>GL.</w:t>
      </w:r>
    </w:p>
    <w:p w:rsidR="004306CD" w:rsidRDefault="005244F0" w:rsidP="005244F0">
      <w:pPr>
        <w:pStyle w:val="PwCNormal"/>
        <w:numPr>
          <w:ilvl w:val="0"/>
          <w:numId w:val="0"/>
        </w:numPr>
      </w:pPr>
      <w:r>
        <w:t xml:space="preserve">These templates aimed to reconcile the costs within the publicly available financial statements </w:t>
      </w:r>
      <w:r w:rsidR="00504FA7">
        <w:t xml:space="preserve">against </w:t>
      </w:r>
      <w:r>
        <w:t xml:space="preserve">the costed </w:t>
      </w:r>
      <w:r w:rsidR="00433E84">
        <w:t>output</w:t>
      </w:r>
      <w:r w:rsidR="00504FA7">
        <w:t>,</w:t>
      </w:r>
      <w:r w:rsidR="00433E84">
        <w:t xml:space="preserve"> </w:t>
      </w:r>
      <w:r>
        <w:t xml:space="preserve">and </w:t>
      </w:r>
      <w:r w:rsidR="00504FA7">
        <w:t xml:space="preserve">to </w:t>
      </w:r>
      <w:r>
        <w:t>reconcile the</w:t>
      </w:r>
      <w:r w:rsidR="00E804F6">
        <w:t xml:space="preserve"> cost</w:t>
      </w:r>
      <w:r w:rsidR="001430DE">
        <w:t>s</w:t>
      </w:r>
      <w:r w:rsidR="00E804F6">
        <w:t xml:space="preserve"> </w:t>
      </w:r>
      <w:r w:rsidR="00504FA7">
        <w:t xml:space="preserve">submitted to IHPA against the submitted </w:t>
      </w:r>
      <w:r>
        <w:t>activity levels. Table 2 provides m</w:t>
      </w:r>
      <w:r w:rsidR="00C0184A">
        <w:t>ore information on the template and questionnaire</w:t>
      </w:r>
      <w:r>
        <w:t>.</w:t>
      </w:r>
    </w:p>
    <w:p w:rsidR="00B74437" w:rsidRDefault="00BA5801" w:rsidP="00BA5801">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w:t>
      </w:r>
      <w:r w:rsidR="008379DC">
        <w:rPr>
          <w:noProof/>
        </w:rPr>
        <w:fldChar w:fldCharType="end"/>
      </w:r>
      <w:r>
        <w:t>: Data collection template and questionnaire details</w:t>
      </w:r>
    </w:p>
    <w:tbl>
      <w:tblPr>
        <w:tblStyle w:val="Tables-APBase"/>
        <w:tblW w:w="0" w:type="auto"/>
        <w:tblLook w:val="04A0" w:firstRow="1" w:lastRow="0" w:firstColumn="1" w:lastColumn="0" w:noHBand="0" w:noVBand="1"/>
        <w:tblCaption w:val="Data collection template and questionnaire details"/>
        <w:tblDescription w:val="This table outlines the contents of the data collection template and questionnaire that captured the information required for this review."/>
      </w:tblPr>
      <w:tblGrid>
        <w:gridCol w:w="1951"/>
        <w:gridCol w:w="7229"/>
      </w:tblGrid>
      <w:tr w:rsidR="004306CD" w:rsidTr="004306C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951" w:type="dxa"/>
          </w:tcPr>
          <w:p w:rsidR="004306CD" w:rsidRPr="004306CD" w:rsidRDefault="00504FA7" w:rsidP="001430DE">
            <w:pPr>
              <w:pStyle w:val="PwCNormal"/>
              <w:numPr>
                <w:ilvl w:val="0"/>
                <w:numId w:val="0"/>
              </w:numPr>
              <w:rPr>
                <w:rFonts w:asciiTheme="majorHAnsi" w:hAnsiTheme="majorHAnsi"/>
                <w:b/>
                <w:i/>
                <w:iCs/>
                <w:snapToGrid/>
                <w:color w:val="A32020" w:themeColor="text2"/>
                <w:sz w:val="32"/>
                <w:szCs w:val="36"/>
              </w:rPr>
            </w:pPr>
            <w:r>
              <w:rPr>
                <w:b/>
              </w:rPr>
              <w:t>Document</w:t>
            </w:r>
            <w:r w:rsidRPr="004306CD">
              <w:rPr>
                <w:b/>
              </w:rPr>
              <w:t xml:space="preserve"> </w:t>
            </w:r>
          </w:p>
        </w:tc>
        <w:tc>
          <w:tcPr>
            <w:tcW w:w="7229" w:type="dxa"/>
          </w:tcPr>
          <w:p w:rsidR="004306CD" w:rsidRPr="004306CD" w:rsidRDefault="004306CD" w:rsidP="00C0184A">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Pr>
                <w:b/>
              </w:rPr>
              <w:t>Contents</w:t>
            </w:r>
          </w:p>
        </w:tc>
      </w:tr>
      <w:tr w:rsidR="004306CD" w:rsidTr="004306CD">
        <w:tc>
          <w:tcPr>
            <w:tcW w:w="1951" w:type="dxa"/>
          </w:tcPr>
          <w:p w:rsidR="004306CD" w:rsidRDefault="004306CD" w:rsidP="005244F0">
            <w:pPr>
              <w:pStyle w:val="PwCNormal"/>
              <w:numPr>
                <w:ilvl w:val="0"/>
                <w:numId w:val="0"/>
              </w:numPr>
            </w:pPr>
            <w:r>
              <w:t>Data collection template</w:t>
            </w:r>
          </w:p>
        </w:tc>
        <w:tc>
          <w:tcPr>
            <w:tcW w:w="7229" w:type="dxa"/>
          </w:tcPr>
          <w:p w:rsidR="004306CD" w:rsidRDefault="004306CD" w:rsidP="004306CD">
            <w:pPr>
              <w:pStyle w:val="PwCNormal"/>
              <w:numPr>
                <w:ilvl w:val="0"/>
                <w:numId w:val="0"/>
              </w:numPr>
              <w:spacing w:after="80"/>
            </w:pPr>
            <w:r>
              <w:t xml:space="preserve">The first tab </w:t>
            </w:r>
            <w:r w:rsidR="00504FA7">
              <w:t>requested</w:t>
            </w:r>
            <w:r>
              <w:t xml:space="preserve">: </w:t>
            </w:r>
          </w:p>
          <w:p w:rsidR="004306CD" w:rsidRDefault="00504FA7" w:rsidP="001940C8">
            <w:pPr>
              <w:pStyle w:val="PwCNormal"/>
              <w:numPr>
                <w:ilvl w:val="0"/>
                <w:numId w:val="34"/>
              </w:numPr>
              <w:spacing w:after="80"/>
              <w:ind w:left="317" w:hanging="283"/>
            </w:pPr>
            <w:r>
              <w:t>a b</w:t>
            </w:r>
            <w:r w:rsidR="004306CD">
              <w:t>rief description of the costing methodology for major hospital products (</w:t>
            </w:r>
            <w:r>
              <w:t>with more detail gathered</w:t>
            </w:r>
            <w:r w:rsidR="004306CD">
              <w:t xml:space="preserve"> during the site visits)</w:t>
            </w:r>
          </w:p>
          <w:p w:rsidR="004306CD" w:rsidRDefault="00504FA7" w:rsidP="001940C8">
            <w:pPr>
              <w:pStyle w:val="PwCNormal"/>
              <w:numPr>
                <w:ilvl w:val="0"/>
                <w:numId w:val="34"/>
              </w:numPr>
              <w:spacing w:after="80"/>
              <w:ind w:left="317" w:hanging="283"/>
            </w:pPr>
            <w:r>
              <w:t xml:space="preserve">a breakdown </w:t>
            </w:r>
            <w:r w:rsidR="004306CD">
              <w:t>of LHN costs reported in the publicly released financial statements</w:t>
            </w:r>
            <w:r>
              <w:t>,</w:t>
            </w:r>
            <w:r w:rsidR="004306CD">
              <w:t xml:space="preserve"> and how </w:t>
            </w:r>
            <w:r>
              <w:t>this</w:t>
            </w:r>
            <w:r w:rsidR="004306CD">
              <w:t xml:space="preserve"> links with the </w:t>
            </w:r>
            <w:r w:rsidR="00FA2945">
              <w:t>GL</w:t>
            </w:r>
            <w:r w:rsidR="004306CD">
              <w:t xml:space="preserve"> used for costing</w:t>
            </w:r>
          </w:p>
          <w:p w:rsidR="004306CD" w:rsidRDefault="00504FA7" w:rsidP="001940C8">
            <w:pPr>
              <w:pStyle w:val="PwCNormal"/>
              <w:numPr>
                <w:ilvl w:val="0"/>
                <w:numId w:val="34"/>
              </w:numPr>
              <w:spacing w:after="80"/>
              <w:ind w:left="317" w:hanging="283"/>
            </w:pPr>
            <w:r>
              <w:t xml:space="preserve">any </w:t>
            </w:r>
            <w:r w:rsidR="004306CD">
              <w:t>inclusions</w:t>
            </w:r>
            <w:r>
              <w:t xml:space="preserve"> in</w:t>
            </w:r>
            <w:r w:rsidR="004306CD">
              <w:t xml:space="preserve"> or exclusions to the </w:t>
            </w:r>
            <w:r w:rsidR="00FA2945">
              <w:t>GL</w:t>
            </w:r>
            <w:r w:rsidR="004306CD">
              <w:t xml:space="preserve"> prior to costing</w:t>
            </w:r>
          </w:p>
          <w:p w:rsidR="004306CD" w:rsidRDefault="00504FA7" w:rsidP="001940C8">
            <w:pPr>
              <w:pStyle w:val="PwCNormal"/>
              <w:numPr>
                <w:ilvl w:val="0"/>
                <w:numId w:val="34"/>
              </w:numPr>
              <w:spacing w:after="80"/>
              <w:ind w:left="317" w:hanging="283"/>
            </w:pPr>
            <w:r>
              <w:t xml:space="preserve">a breakdown </w:t>
            </w:r>
            <w:r w:rsidR="004306CD">
              <w:t>of costs between direct and overhead costs</w:t>
            </w:r>
          </w:p>
          <w:p w:rsidR="004306CD" w:rsidRDefault="00504FA7" w:rsidP="001940C8">
            <w:pPr>
              <w:pStyle w:val="PwCNormal"/>
              <w:numPr>
                <w:ilvl w:val="0"/>
                <w:numId w:val="34"/>
              </w:numPr>
              <w:spacing w:after="80"/>
              <w:ind w:left="317" w:hanging="283"/>
            </w:pPr>
            <w:r>
              <w:t xml:space="preserve">a </w:t>
            </w:r>
            <w:r w:rsidR="004306CD">
              <w:t>list of feeder systems used for various hos</w:t>
            </w:r>
            <w:r w:rsidR="00433E84">
              <w:t>pital areas and how they we</w:t>
            </w:r>
            <w:r w:rsidR="004306CD">
              <w:t>re used to allocate costs</w:t>
            </w:r>
          </w:p>
          <w:p w:rsidR="004306CD" w:rsidRDefault="00504FA7" w:rsidP="001940C8">
            <w:pPr>
              <w:pStyle w:val="PwCNormal"/>
              <w:numPr>
                <w:ilvl w:val="0"/>
                <w:numId w:val="34"/>
              </w:numPr>
              <w:spacing w:after="80"/>
              <w:ind w:left="317" w:hanging="283"/>
            </w:pPr>
            <w:r>
              <w:t xml:space="preserve">a </w:t>
            </w:r>
            <w:r w:rsidR="004306CD">
              <w:t>detailed breakdown of records linked to hospital products for three sample feeder systems</w:t>
            </w:r>
          </w:p>
          <w:p w:rsidR="004306CD" w:rsidRDefault="00504FA7" w:rsidP="001940C8">
            <w:pPr>
              <w:pStyle w:val="PwCNormal"/>
              <w:numPr>
                <w:ilvl w:val="0"/>
                <w:numId w:val="34"/>
              </w:numPr>
              <w:spacing w:after="80"/>
              <w:ind w:left="317" w:hanging="283"/>
            </w:pPr>
            <w:proofErr w:type="gramStart"/>
            <w:r>
              <w:t>a</w:t>
            </w:r>
            <w:proofErr w:type="gramEnd"/>
            <w:r>
              <w:t xml:space="preserve"> </w:t>
            </w:r>
            <w:r w:rsidR="004306CD">
              <w:t xml:space="preserve">final split of total costs and activity by hospital product, including any adjustments made before submission to the </w:t>
            </w:r>
            <w:r>
              <w:t>IHPA</w:t>
            </w:r>
            <w:r w:rsidR="004306CD">
              <w:t>.</w:t>
            </w:r>
          </w:p>
          <w:p w:rsidR="005F5654" w:rsidRDefault="005F5654" w:rsidP="00327058">
            <w:pPr>
              <w:pStyle w:val="PwCNormal"/>
              <w:numPr>
                <w:ilvl w:val="0"/>
                <w:numId w:val="0"/>
              </w:numPr>
              <w:spacing w:before="240" w:after="80"/>
            </w:pPr>
          </w:p>
          <w:p w:rsidR="004306CD" w:rsidRDefault="004306CD" w:rsidP="004306CD">
            <w:pPr>
              <w:pStyle w:val="PwCNormal"/>
              <w:numPr>
                <w:ilvl w:val="0"/>
                <w:numId w:val="0"/>
              </w:numPr>
              <w:spacing w:before="240" w:after="80"/>
              <w:ind w:left="317" w:hanging="283"/>
            </w:pPr>
            <w:r>
              <w:lastRenderedPageBreak/>
              <w:t xml:space="preserve">The second tab </w:t>
            </w:r>
            <w:r w:rsidR="00504FA7">
              <w:t>requested</w:t>
            </w:r>
            <w:r>
              <w:t>:</w:t>
            </w:r>
          </w:p>
          <w:p w:rsidR="004306CD" w:rsidRDefault="00504FA7" w:rsidP="001940C8">
            <w:pPr>
              <w:pStyle w:val="PwCNormal"/>
              <w:numPr>
                <w:ilvl w:val="0"/>
                <w:numId w:val="34"/>
              </w:numPr>
              <w:spacing w:after="80"/>
              <w:ind w:left="317" w:hanging="283"/>
            </w:pPr>
            <w:r>
              <w:t xml:space="preserve">the </w:t>
            </w:r>
            <w:r w:rsidR="004306CD">
              <w:t>split of costs and activit</w:t>
            </w:r>
            <w:r>
              <w:t>ies</w:t>
            </w:r>
            <w:r w:rsidR="004306CD">
              <w:t xml:space="preserve"> by hospital product that the participating site submitted to the jurisdiction</w:t>
            </w:r>
          </w:p>
          <w:p w:rsidR="004306CD" w:rsidRDefault="00504FA7" w:rsidP="001940C8">
            <w:pPr>
              <w:pStyle w:val="PwCNormal"/>
              <w:numPr>
                <w:ilvl w:val="0"/>
                <w:numId w:val="34"/>
              </w:numPr>
              <w:spacing w:after="80"/>
              <w:ind w:left="317" w:hanging="283"/>
            </w:pPr>
            <w:r>
              <w:t xml:space="preserve">a </w:t>
            </w:r>
            <w:r w:rsidR="004306CD">
              <w:t>list of cost and activity adjustments the jurisdiction</w:t>
            </w:r>
            <w:r>
              <w:t xml:space="preserve"> made before submitting the data to the IHPA</w:t>
            </w:r>
          </w:p>
          <w:p w:rsidR="004306CD" w:rsidRDefault="00504FA7">
            <w:pPr>
              <w:pStyle w:val="PwCNormal"/>
              <w:numPr>
                <w:ilvl w:val="0"/>
                <w:numId w:val="34"/>
              </w:numPr>
              <w:spacing w:after="80"/>
              <w:ind w:left="317" w:hanging="283"/>
            </w:pPr>
            <w:proofErr w:type="gramStart"/>
            <w:r>
              <w:t>a</w:t>
            </w:r>
            <w:proofErr w:type="gramEnd"/>
            <w:r w:rsidR="004306CD">
              <w:t xml:space="preserve"> final list </w:t>
            </w:r>
            <w:r w:rsidR="00433E84">
              <w:t xml:space="preserve">of </w:t>
            </w:r>
            <w:r w:rsidR="004306CD">
              <w:t xml:space="preserve">costs and activity by hospital product that </w:t>
            </w:r>
            <w:r>
              <w:t xml:space="preserve">the jurisdiction </w:t>
            </w:r>
            <w:r w:rsidR="004306CD">
              <w:t>submitted to</w:t>
            </w:r>
            <w:r>
              <w:t xml:space="preserve"> the</w:t>
            </w:r>
            <w:r w:rsidR="004306CD">
              <w:t xml:space="preserve"> IHPA</w:t>
            </w:r>
            <w:r>
              <w:t>.</w:t>
            </w:r>
          </w:p>
        </w:tc>
      </w:tr>
      <w:tr w:rsidR="004306CD" w:rsidTr="004306CD">
        <w:tc>
          <w:tcPr>
            <w:tcW w:w="1951" w:type="dxa"/>
          </w:tcPr>
          <w:p w:rsidR="004306CD" w:rsidRDefault="00C0184A" w:rsidP="005244F0">
            <w:pPr>
              <w:pStyle w:val="PwCNormal"/>
              <w:numPr>
                <w:ilvl w:val="0"/>
                <w:numId w:val="0"/>
              </w:numPr>
            </w:pPr>
            <w:r>
              <w:lastRenderedPageBreak/>
              <w:t>Questionnaire</w:t>
            </w:r>
          </w:p>
        </w:tc>
        <w:tc>
          <w:tcPr>
            <w:tcW w:w="7229" w:type="dxa"/>
          </w:tcPr>
          <w:p w:rsidR="004306CD" w:rsidRDefault="00C0184A" w:rsidP="00C0184A">
            <w:pPr>
              <w:pStyle w:val="PwCNormal"/>
              <w:numPr>
                <w:ilvl w:val="0"/>
                <w:numId w:val="0"/>
              </w:numPr>
              <w:spacing w:after="80"/>
            </w:pPr>
            <w:r>
              <w:t>The questionnaire was divided into two sections:</w:t>
            </w:r>
          </w:p>
          <w:p w:rsidR="001430DE" w:rsidRDefault="00C0184A" w:rsidP="001430DE">
            <w:pPr>
              <w:pStyle w:val="PwCNormal"/>
              <w:numPr>
                <w:ilvl w:val="0"/>
                <w:numId w:val="34"/>
              </w:numPr>
              <w:spacing w:after="80"/>
              <w:ind w:left="317" w:hanging="283"/>
            </w:pPr>
            <w:r>
              <w:t xml:space="preserve">The first section </w:t>
            </w:r>
            <w:r w:rsidR="00504FA7">
              <w:t>asked</w:t>
            </w:r>
            <w:r>
              <w:t xml:space="preserve"> the costing team to document some of the quality assurance and reconciliation procedures </w:t>
            </w:r>
            <w:r w:rsidR="00504FA7">
              <w:t xml:space="preserve">it applied to </w:t>
            </w:r>
            <w:r>
              <w:t xml:space="preserve">the final </w:t>
            </w:r>
            <w:r w:rsidR="00AC2E03">
              <w:t xml:space="preserve">activity and cost data. </w:t>
            </w:r>
          </w:p>
          <w:p w:rsidR="00C0184A" w:rsidRPr="001430DE" w:rsidRDefault="001430DE" w:rsidP="003149FF">
            <w:pPr>
              <w:pStyle w:val="PwCNormal"/>
              <w:numPr>
                <w:ilvl w:val="0"/>
                <w:numId w:val="34"/>
              </w:numPr>
              <w:spacing w:after="80"/>
              <w:ind w:left="317" w:hanging="283"/>
            </w:pPr>
            <w:r w:rsidRPr="001430DE">
              <w:t>The second sections requests asked the finance team at the site to document how particular costs are treated in the GL. This year the questionnaire focused was put on salary- related expenditure –</w:t>
            </w:r>
            <w:r w:rsidR="005F5654">
              <w:t xml:space="preserve"> </w:t>
            </w:r>
            <w:r w:rsidRPr="001430DE">
              <w:t>such as superannuation, payroll tax and leave liabilities</w:t>
            </w:r>
            <w:r>
              <w:t>.</w:t>
            </w:r>
          </w:p>
        </w:tc>
      </w:tr>
    </w:tbl>
    <w:p w:rsidR="005244F0" w:rsidRDefault="00C0184A" w:rsidP="00D0782F">
      <w:pPr>
        <w:pStyle w:val="PwCNormal"/>
        <w:numPr>
          <w:ilvl w:val="0"/>
          <w:numId w:val="0"/>
        </w:numPr>
        <w:spacing w:before="240"/>
      </w:pPr>
      <w:r>
        <w:t xml:space="preserve">Participants </w:t>
      </w:r>
      <w:r w:rsidR="001A519A">
        <w:t>had some</w:t>
      </w:r>
      <w:r>
        <w:t xml:space="preserve"> flexibility in </w:t>
      </w:r>
      <w:r w:rsidR="001A519A">
        <w:t xml:space="preserve">how they completed </w:t>
      </w:r>
      <w:r>
        <w:t>the template</w:t>
      </w:r>
      <w:r w:rsidR="001A519A">
        <w:t xml:space="preserve"> and questionnaire</w:t>
      </w:r>
      <w:r>
        <w:t xml:space="preserve">, to accommodate </w:t>
      </w:r>
      <w:r w:rsidR="001A519A">
        <w:t xml:space="preserve">different </w:t>
      </w:r>
      <w:r>
        <w:t>costing processes</w:t>
      </w:r>
      <w:r w:rsidR="001A519A">
        <w:t xml:space="preserve"> across jurisdictions</w:t>
      </w:r>
      <w:r>
        <w:t xml:space="preserve">. For example, work in progress </w:t>
      </w:r>
      <w:r w:rsidR="001A519A">
        <w:t xml:space="preserve">(WIP) adjustments might </w:t>
      </w:r>
      <w:r>
        <w:t xml:space="preserve">be processed by </w:t>
      </w:r>
      <w:r w:rsidR="001A519A">
        <w:t>t</w:t>
      </w:r>
      <w:r>
        <w:t>he participating site or by jurisdictional staff</w:t>
      </w:r>
      <w:r w:rsidR="001A519A">
        <w:t>, so respondents could document WIP</w:t>
      </w:r>
      <w:r>
        <w:t xml:space="preserve"> adjustments </w:t>
      </w:r>
      <w:r w:rsidR="001A519A">
        <w:t>o</w:t>
      </w:r>
      <w:r>
        <w:t>n the first or second tabs o</w:t>
      </w:r>
      <w:r w:rsidR="001A519A">
        <w:t>f</w:t>
      </w:r>
      <w:r>
        <w:t xml:space="preserve"> the data collection template.</w:t>
      </w:r>
    </w:p>
    <w:p w:rsidR="00D0782F" w:rsidRDefault="00D0782F" w:rsidP="00CE5EF2">
      <w:pPr>
        <w:pStyle w:val="Heading3"/>
      </w:pPr>
      <w:r>
        <w:t>Site visit</w:t>
      </w:r>
      <w:r w:rsidR="00194434">
        <w:t>s</w:t>
      </w:r>
    </w:p>
    <w:p w:rsidR="00194434" w:rsidRDefault="00194434" w:rsidP="00194434">
      <w:pPr>
        <w:pStyle w:val="PwCNormal"/>
        <w:spacing w:before="240"/>
      </w:pPr>
      <w:r>
        <w:t xml:space="preserve">Site visits </w:t>
      </w:r>
      <w:r w:rsidR="001A519A">
        <w:t xml:space="preserve">were scheduled </w:t>
      </w:r>
      <w:r>
        <w:t xml:space="preserve">at the jurisdictional level and at </w:t>
      </w:r>
      <w:r w:rsidR="001A519A">
        <w:t xml:space="preserve">each </w:t>
      </w:r>
      <w:r>
        <w:t>participating site. A</w:t>
      </w:r>
      <w:r w:rsidR="001A519A">
        <w:t>ppendix A includes a</w:t>
      </w:r>
      <w:r>
        <w:t xml:space="preserve"> list of all attendees at each </w:t>
      </w:r>
      <w:r w:rsidR="001A519A">
        <w:t>site meeting</w:t>
      </w:r>
      <w:r w:rsidRPr="00BA5801">
        <w:t>.</w:t>
      </w:r>
      <w:r>
        <w:t xml:space="preserve"> </w:t>
      </w:r>
    </w:p>
    <w:p w:rsidR="00194434" w:rsidRDefault="001A519A" w:rsidP="00194434">
      <w:pPr>
        <w:pStyle w:val="PwCNormal"/>
        <w:spacing w:before="240"/>
      </w:pPr>
      <w:r>
        <w:t>A</w:t>
      </w:r>
      <w:r w:rsidR="00194434">
        <w:t xml:space="preserve"> review team made up of representatives from PwC and IHPA</w:t>
      </w:r>
      <w:r w:rsidRPr="001A519A">
        <w:t xml:space="preserve"> </w:t>
      </w:r>
      <w:r>
        <w:t>visited each participating site</w:t>
      </w:r>
      <w:r w:rsidR="00194434">
        <w:t xml:space="preserve">, and </w:t>
      </w:r>
      <w:r w:rsidR="00EA40A5">
        <w:t xml:space="preserve">a peer also attended </w:t>
      </w:r>
      <w:r w:rsidR="00194434">
        <w:t>some sites (see Section 12</w:t>
      </w:r>
      <w:r>
        <w:t xml:space="preserve"> –</w:t>
      </w:r>
      <w:r w:rsidR="00194434">
        <w:t xml:space="preserve"> Peer review). The review team discussed the overall costing process and worked through the data collection templates. During this meeting</w:t>
      </w:r>
      <w:r w:rsidR="00933580">
        <w:t>,</w:t>
      </w:r>
      <w:r w:rsidR="00194434">
        <w:t xml:space="preserve"> participating sites </w:t>
      </w:r>
      <w:r w:rsidR="00EA40A5">
        <w:t>explained any</w:t>
      </w:r>
      <w:r w:rsidR="00194434">
        <w:t xml:space="preserve"> exclusions</w:t>
      </w:r>
      <w:r w:rsidR="00EA40A5">
        <w:t xml:space="preserve"> from</w:t>
      </w:r>
      <w:r w:rsidR="00194434">
        <w:t xml:space="preserve"> or inclusions </w:t>
      </w:r>
      <w:r w:rsidR="00EA40A5">
        <w:t xml:space="preserve">in their data </w:t>
      </w:r>
      <w:r w:rsidR="00194434">
        <w:t>and provide</w:t>
      </w:r>
      <w:r w:rsidR="00EA40A5">
        <w:t>d</w:t>
      </w:r>
      <w:r w:rsidR="00194434">
        <w:t xml:space="preserve"> additional materials relevant to the financial review. </w:t>
      </w:r>
    </w:p>
    <w:p w:rsidR="00194434" w:rsidRDefault="00194434" w:rsidP="00194434">
      <w:pPr>
        <w:pStyle w:val="PwCNormal"/>
        <w:spacing w:before="240"/>
      </w:pPr>
      <w:r>
        <w:t xml:space="preserve">Some jurisdictions elected to host the site visit at the jurisdiction’s department office, </w:t>
      </w:r>
      <w:r w:rsidR="00EA40A5">
        <w:t>usually if jurisdictional staff performed</w:t>
      </w:r>
      <w:r>
        <w:t xml:space="preserve"> the costing.</w:t>
      </w:r>
    </w:p>
    <w:p w:rsidR="00D0782F" w:rsidRDefault="00EA40A5" w:rsidP="00194434">
      <w:pPr>
        <w:pStyle w:val="PwCNormal"/>
        <w:numPr>
          <w:ilvl w:val="0"/>
          <w:numId w:val="0"/>
        </w:numPr>
        <w:spacing w:before="240"/>
      </w:pPr>
      <w:r>
        <w:t>J</w:t>
      </w:r>
      <w:r w:rsidR="00194434">
        <w:t>urisdiction meeting</w:t>
      </w:r>
      <w:r>
        <w:t>s</w:t>
      </w:r>
      <w:r w:rsidR="00194434">
        <w:t xml:space="preserve"> focused on th</w:t>
      </w:r>
      <w:r>
        <w:t>e</w:t>
      </w:r>
      <w:r w:rsidR="00194434">
        <w:t xml:space="preserve"> jurisdiction</w:t>
      </w:r>
      <w:r>
        <w:t>’s</w:t>
      </w:r>
      <w:r w:rsidR="00194434">
        <w:t xml:space="preserve"> process</w:t>
      </w:r>
      <w:r>
        <w:t>es</w:t>
      </w:r>
      <w:r w:rsidR="00194434">
        <w:t xml:space="preserve"> and controls, </w:t>
      </w:r>
      <w:r>
        <w:t>and</w:t>
      </w:r>
      <w:r w:rsidR="00194434">
        <w:t xml:space="preserve"> any adjustments to the dataset </w:t>
      </w:r>
      <w:r>
        <w:t xml:space="preserve">the jurisdiction made </w:t>
      </w:r>
      <w:r w:rsidR="00194434">
        <w:t xml:space="preserve">before </w:t>
      </w:r>
      <w:r>
        <w:t xml:space="preserve">submitting it </w:t>
      </w:r>
      <w:r w:rsidR="00194434">
        <w:t>to</w:t>
      </w:r>
      <w:r>
        <w:t xml:space="preserve"> the</w:t>
      </w:r>
      <w:r w:rsidR="00194434">
        <w:t xml:space="preserve"> IHPA. Jurisdictions were also able to discuss policies</w:t>
      </w:r>
      <w:r w:rsidR="001F2669">
        <w:t xml:space="preserve"> th</w:t>
      </w:r>
      <w:r w:rsidR="00853C72">
        <w:t>ey</w:t>
      </w:r>
      <w:r w:rsidR="001F2669">
        <w:t xml:space="preserve"> had</w:t>
      </w:r>
      <w:r w:rsidR="00194434">
        <w:t xml:space="preserve"> changed </w:t>
      </w:r>
      <w:r w:rsidR="00853C72">
        <w:t xml:space="preserve">following </w:t>
      </w:r>
      <w:r w:rsidR="00194434">
        <w:t xml:space="preserve">the previous </w:t>
      </w:r>
      <w:r w:rsidR="00853C72">
        <w:t>financial review(s)</w:t>
      </w:r>
      <w:r w:rsidR="00194434">
        <w:t xml:space="preserve"> and </w:t>
      </w:r>
      <w:r w:rsidR="00853C72">
        <w:t xml:space="preserve">any </w:t>
      </w:r>
      <w:r w:rsidR="00194434">
        <w:t>planned improvements for the future.</w:t>
      </w:r>
    </w:p>
    <w:p w:rsidR="00194434" w:rsidRDefault="00194434" w:rsidP="00CE5EF2">
      <w:pPr>
        <w:pStyle w:val="Heading3"/>
      </w:pPr>
      <w:r>
        <w:t>Follow</w:t>
      </w:r>
      <w:r w:rsidR="00853C72">
        <w:t>-</w:t>
      </w:r>
      <w:r>
        <w:t>up discussions to address outstanding issues</w:t>
      </w:r>
    </w:p>
    <w:p w:rsidR="00D0782F" w:rsidRDefault="00194434" w:rsidP="00D0782F">
      <w:pPr>
        <w:pStyle w:val="PwCNormal"/>
        <w:numPr>
          <w:ilvl w:val="0"/>
          <w:numId w:val="0"/>
        </w:numPr>
        <w:spacing w:before="240"/>
      </w:pPr>
      <w:r w:rsidRPr="00194434">
        <w:t>Where there were discrepancies in the data or</w:t>
      </w:r>
      <w:r w:rsidR="00853C72">
        <w:t xml:space="preserve"> the review team did not collect</w:t>
      </w:r>
      <w:r w:rsidRPr="00194434">
        <w:t xml:space="preserve"> all </w:t>
      </w:r>
      <w:r w:rsidR="00853C72">
        <w:t xml:space="preserve">relevant </w:t>
      </w:r>
      <w:r w:rsidRPr="00194434">
        <w:t>information during the</w:t>
      </w:r>
      <w:r w:rsidR="00853C72">
        <w:t xml:space="preserve"> site</w:t>
      </w:r>
      <w:r w:rsidRPr="00194434">
        <w:t xml:space="preserve"> meetings, </w:t>
      </w:r>
      <w:r w:rsidR="00853C72">
        <w:t xml:space="preserve">the review team sent out </w:t>
      </w:r>
      <w:r w:rsidRPr="00194434">
        <w:t xml:space="preserve">additional questions or data requests </w:t>
      </w:r>
      <w:r w:rsidR="00853C72">
        <w:t xml:space="preserve">for the </w:t>
      </w:r>
      <w:r w:rsidR="00853C72" w:rsidRPr="00194434">
        <w:t xml:space="preserve">jurisdictions </w:t>
      </w:r>
      <w:r w:rsidR="00853C72">
        <w:t xml:space="preserve">to </w:t>
      </w:r>
      <w:r w:rsidRPr="00194434">
        <w:t>respond to.</w:t>
      </w:r>
    </w:p>
    <w:p w:rsidR="00194434" w:rsidRDefault="00194434" w:rsidP="00CE5EF2">
      <w:pPr>
        <w:pStyle w:val="Heading3"/>
      </w:pPr>
      <w:r>
        <w:t>Online resources</w:t>
      </w:r>
    </w:p>
    <w:p w:rsidR="00194434" w:rsidRDefault="00853C72" w:rsidP="00D0782F">
      <w:pPr>
        <w:pStyle w:val="PwCNormal"/>
        <w:numPr>
          <w:ilvl w:val="0"/>
          <w:numId w:val="0"/>
        </w:numPr>
        <w:spacing w:before="240"/>
      </w:pPr>
      <w:r>
        <w:t>The review team obtained p</w:t>
      </w:r>
      <w:r w:rsidR="00194434">
        <w:t>ublicly released financial statements from the various department or LHN websites, along with contextual information about the participating sites.</w:t>
      </w:r>
    </w:p>
    <w:p w:rsidR="00194434" w:rsidRDefault="00194434">
      <w:pPr>
        <w:kinsoku/>
        <w:overflowPunct/>
        <w:autoSpaceDE/>
        <w:autoSpaceDN/>
        <w:adjustRightInd/>
        <w:snapToGrid/>
      </w:pPr>
      <w:r>
        <w:br w:type="page"/>
      </w:r>
    </w:p>
    <w:p w:rsidR="00194434" w:rsidRDefault="00194434" w:rsidP="00194434">
      <w:pPr>
        <w:pStyle w:val="Heading1"/>
      </w:pPr>
      <w:bookmarkStart w:id="33" w:name="_Toc404355502"/>
      <w:r>
        <w:lastRenderedPageBreak/>
        <w:t>Findings of the review</w:t>
      </w:r>
      <w:bookmarkEnd w:id="33"/>
    </w:p>
    <w:p w:rsidR="00194434" w:rsidRDefault="00194434" w:rsidP="00140691">
      <w:pPr>
        <w:pStyle w:val="PwCNormal"/>
        <w:numPr>
          <w:ilvl w:val="0"/>
          <w:numId w:val="0"/>
        </w:numPr>
      </w:pPr>
      <w:r>
        <w:t xml:space="preserve">This section summarises </w:t>
      </w:r>
      <w:r w:rsidR="00853C72">
        <w:t xml:space="preserve">the </w:t>
      </w:r>
      <w:r>
        <w:t xml:space="preserve">findings </w:t>
      </w:r>
      <w:r w:rsidR="00853C72">
        <w:t xml:space="preserve">of </w:t>
      </w:r>
      <w:r>
        <w:t xml:space="preserve">the </w:t>
      </w:r>
      <w:r w:rsidR="00853C72">
        <w:t xml:space="preserve">Round 17 </w:t>
      </w:r>
      <w:r>
        <w:t xml:space="preserve">NHCDC </w:t>
      </w:r>
      <w:r w:rsidR="00853C72">
        <w:t>f</w:t>
      </w:r>
      <w:r>
        <w:t xml:space="preserve">inancial </w:t>
      </w:r>
      <w:r w:rsidR="00853C72">
        <w:t xml:space="preserve">review </w:t>
      </w:r>
      <w:r>
        <w:t xml:space="preserve">– </w:t>
      </w:r>
      <w:r w:rsidR="00853C72">
        <w:t xml:space="preserve">including </w:t>
      </w:r>
      <w:r>
        <w:t xml:space="preserve">overall observations based on site visits </w:t>
      </w:r>
      <w:r w:rsidR="00853C72">
        <w:t xml:space="preserve">at </w:t>
      </w:r>
      <w:r>
        <w:t>jurisdictions and hospitals</w:t>
      </w:r>
      <w:r w:rsidR="00820D3F">
        <w:t xml:space="preserve">, as well as </w:t>
      </w:r>
      <w:r>
        <w:t>specific findings related to the review methodology</w:t>
      </w:r>
      <w:r w:rsidR="009E2E82">
        <w:t xml:space="preserve"> used by each site</w:t>
      </w:r>
      <w:r>
        <w:t xml:space="preserve">. Acknowledging that most of the jurisdictions have improvement plans in place for future rounds, we have </w:t>
      </w:r>
      <w:r w:rsidR="00853C72">
        <w:t>recommended</w:t>
      </w:r>
      <w:r>
        <w:t xml:space="preserve"> that</w:t>
      </w:r>
      <w:r w:rsidR="00853C72">
        <w:t xml:space="preserve"> these</w:t>
      </w:r>
      <w:r w:rsidR="00820D3F">
        <w:t>,</w:t>
      </w:r>
      <w:r>
        <w:t xml:space="preserve"> together</w:t>
      </w:r>
      <w:r w:rsidR="009E2E82">
        <w:t xml:space="preserve"> with existing improvement </w:t>
      </w:r>
      <w:r w:rsidR="00820D3F">
        <w:t>plans</w:t>
      </w:r>
      <w:r w:rsidR="00853C72">
        <w:t>,</w:t>
      </w:r>
      <w:r w:rsidR="00820D3F">
        <w:t xml:space="preserve"> have the potential to </w:t>
      </w:r>
      <w:r>
        <w:t>enhance the value of the cost data collection.</w:t>
      </w:r>
    </w:p>
    <w:p w:rsidR="00223476" w:rsidRDefault="00223476" w:rsidP="00223476">
      <w:pPr>
        <w:pStyle w:val="Heading2"/>
      </w:pPr>
      <w:bookmarkStart w:id="34" w:name="_Toc369004158"/>
      <w:r>
        <w:t>Summary of findings</w:t>
      </w:r>
      <w:bookmarkEnd w:id="34"/>
    </w:p>
    <w:p w:rsidR="00223476" w:rsidRDefault="00223476" w:rsidP="00CE5EF2">
      <w:pPr>
        <w:pStyle w:val="Heading3"/>
      </w:pPr>
      <w:r>
        <w:t>Improvements from previous rounds</w:t>
      </w:r>
    </w:p>
    <w:p w:rsidR="00956C68" w:rsidRDefault="00956C68" w:rsidP="00140691">
      <w:pPr>
        <w:pStyle w:val="PwCNormal"/>
        <w:numPr>
          <w:ilvl w:val="0"/>
          <w:numId w:val="0"/>
        </w:numPr>
      </w:pPr>
      <w:r>
        <w:t xml:space="preserve">As many jurisdictions continue to move </w:t>
      </w:r>
      <w:r w:rsidR="00820D3F">
        <w:t xml:space="preserve">into </w:t>
      </w:r>
      <w:r w:rsidR="00853C72">
        <w:t>activity-based funding (</w:t>
      </w:r>
      <w:r>
        <w:t>ABF</w:t>
      </w:r>
      <w:r w:rsidR="00853C72">
        <w:t>)</w:t>
      </w:r>
      <w:r>
        <w:t xml:space="preserve"> </w:t>
      </w:r>
      <w:r w:rsidR="00820D3F">
        <w:t>and further towards</w:t>
      </w:r>
      <w:r>
        <w:t xml:space="preserve"> </w:t>
      </w:r>
      <w:r w:rsidR="00853C72">
        <w:t>activity-based management (</w:t>
      </w:r>
      <w:r>
        <w:t>ABM</w:t>
      </w:r>
      <w:r w:rsidR="00853C72">
        <w:t>)</w:t>
      </w:r>
      <w:r>
        <w:t xml:space="preserve">, </w:t>
      </w:r>
      <w:r w:rsidR="000E0229">
        <w:t xml:space="preserve">they are placing </w:t>
      </w:r>
      <w:r>
        <w:t xml:space="preserve">a greater focus on data quality. This has </w:t>
      </w:r>
      <w:r w:rsidR="00524CD3">
        <w:t xml:space="preserve">improved </w:t>
      </w:r>
      <w:r>
        <w:t xml:space="preserve">the methodologies and control procedures in place for </w:t>
      </w:r>
      <w:r w:rsidR="006A194B">
        <w:t>Round 17</w:t>
      </w:r>
      <w:r>
        <w:t>, and also i</w:t>
      </w:r>
      <w:r w:rsidR="00524CD3">
        <w:t>ncreased the interest</w:t>
      </w:r>
      <w:r w:rsidR="000E0229">
        <w:t xml:space="preserve"> in</w:t>
      </w:r>
      <w:r w:rsidR="00524CD3">
        <w:t xml:space="preserve"> and use of data </w:t>
      </w:r>
      <w:r w:rsidR="000E0229">
        <w:t xml:space="preserve">to help </w:t>
      </w:r>
      <w:r w:rsidR="00524CD3">
        <w:t>manag</w:t>
      </w:r>
      <w:r w:rsidR="000E0229">
        <w:t>e</w:t>
      </w:r>
      <w:r w:rsidR="00524CD3">
        <w:t xml:space="preserve"> hospital activities and finances.</w:t>
      </w:r>
    </w:p>
    <w:p w:rsidR="00140691" w:rsidRDefault="00140691" w:rsidP="00140691">
      <w:pPr>
        <w:pStyle w:val="PwCNormal"/>
        <w:numPr>
          <w:ilvl w:val="0"/>
          <w:numId w:val="0"/>
        </w:numPr>
      </w:pPr>
      <w:r>
        <w:t xml:space="preserve">There have been several major improvements to the </w:t>
      </w:r>
      <w:r w:rsidR="006A194B">
        <w:t>Round 17</w:t>
      </w:r>
      <w:r>
        <w:t xml:space="preserve"> dataset, including:</w:t>
      </w:r>
    </w:p>
    <w:p w:rsidR="00140691" w:rsidRDefault="00140691" w:rsidP="009C4A5D">
      <w:pPr>
        <w:pStyle w:val="PwCNormal"/>
        <w:numPr>
          <w:ilvl w:val="0"/>
          <w:numId w:val="39"/>
        </w:numPr>
      </w:pPr>
      <w:r w:rsidRPr="00995BFE">
        <w:rPr>
          <w:b/>
        </w:rPr>
        <w:t>Improvements</w:t>
      </w:r>
      <w:r w:rsidR="00820D3F" w:rsidRPr="00995BFE">
        <w:rPr>
          <w:b/>
        </w:rPr>
        <w:t xml:space="preserve"> in</w:t>
      </w:r>
      <w:r w:rsidRPr="00995BFE">
        <w:rPr>
          <w:b/>
        </w:rPr>
        <w:t xml:space="preserve"> </w:t>
      </w:r>
      <w:r w:rsidR="00FC0332" w:rsidRPr="00995BFE">
        <w:rPr>
          <w:b/>
        </w:rPr>
        <w:t>the treatment of W</w:t>
      </w:r>
      <w:r w:rsidR="003151B8" w:rsidRPr="00995BFE">
        <w:rPr>
          <w:b/>
        </w:rPr>
        <w:t>I</w:t>
      </w:r>
      <w:r w:rsidR="00FC0332" w:rsidRPr="00995BFE">
        <w:rPr>
          <w:b/>
        </w:rPr>
        <w:t>P patients in NSW and</w:t>
      </w:r>
      <w:r w:rsidR="00FC0332" w:rsidRPr="00995BFE">
        <w:t xml:space="preserve"> </w:t>
      </w:r>
      <w:r w:rsidR="00FC0332" w:rsidRPr="003149FF">
        <w:rPr>
          <w:b/>
        </w:rPr>
        <w:t>WA</w:t>
      </w:r>
      <w:r w:rsidR="00AC2E03" w:rsidRPr="00995BFE">
        <w:t>.</w:t>
      </w:r>
      <w:r w:rsidR="00AC2E03">
        <w:t xml:space="preserve"> </w:t>
      </w:r>
      <w:r w:rsidR="00820D3F">
        <w:t>The following improvements have been noted</w:t>
      </w:r>
      <w:r w:rsidR="00AC2E03">
        <w:t>:</w:t>
      </w:r>
    </w:p>
    <w:p w:rsidR="00AC2E03" w:rsidRDefault="00613A2F" w:rsidP="00613A2F">
      <w:pPr>
        <w:pStyle w:val="PwCNormal"/>
        <w:numPr>
          <w:ilvl w:val="1"/>
          <w:numId w:val="39"/>
        </w:numPr>
      </w:pPr>
      <w:r w:rsidRPr="00613A2F">
        <w:t>In Round 17 NSW submitted WIP episode costs where the patient was discharged during 2012/13 and admitted in 2011/12.  The episode costs that were calculated for the 2011/12 period were escalated as prescribed by IHPA and added to the costs calculated for 2012/13.</w:t>
      </w:r>
      <w:r>
        <w:t xml:space="preserve"> For Round 16, only costs related to FY 2011/12 were included.</w:t>
      </w:r>
    </w:p>
    <w:p w:rsidR="00521A14" w:rsidRDefault="00521A14" w:rsidP="009C4A5D">
      <w:pPr>
        <w:pStyle w:val="PwCNormal"/>
        <w:numPr>
          <w:ilvl w:val="1"/>
          <w:numId w:val="39"/>
        </w:numPr>
      </w:pPr>
      <w:r>
        <w:t xml:space="preserve">In </w:t>
      </w:r>
      <w:r w:rsidR="006A194B">
        <w:t>Round 16</w:t>
      </w:r>
      <w:r>
        <w:t xml:space="preserve">, only </w:t>
      </w:r>
      <w:r w:rsidR="000E0229">
        <w:t xml:space="preserve">WA </w:t>
      </w:r>
      <w:r>
        <w:t xml:space="preserve">patients who were discharged during the year were allocated costs. Costs were allocated based on their total activity, regardless of whether the activity was in the previous financial year or the current one. For example, if a patient was admitted </w:t>
      </w:r>
      <w:r w:rsidR="000E0229">
        <w:t xml:space="preserve">for four days </w:t>
      </w:r>
      <w:r>
        <w:t xml:space="preserve">during </w:t>
      </w:r>
      <w:r w:rsidR="000E0229">
        <w:t>R</w:t>
      </w:r>
      <w:r>
        <w:t xml:space="preserve">ound 15 and </w:t>
      </w:r>
      <w:r w:rsidR="000E0229">
        <w:t xml:space="preserve">six days during </w:t>
      </w:r>
      <w:r w:rsidR="006A194B">
        <w:t>Round 16</w:t>
      </w:r>
      <w:r>
        <w:t xml:space="preserve">, that patient would be allocated </w:t>
      </w:r>
      <w:r w:rsidR="006A194B">
        <w:t>Round 16</w:t>
      </w:r>
      <w:r w:rsidR="00820D3F">
        <w:t xml:space="preserve"> costs for</w:t>
      </w:r>
      <w:r>
        <w:t xml:space="preserve"> 10 </w:t>
      </w:r>
      <w:r w:rsidR="00527FDD">
        <w:t xml:space="preserve">days </w:t>
      </w:r>
      <w:r>
        <w:t>of activity.</w:t>
      </w:r>
      <w:r>
        <w:br/>
      </w:r>
      <w:r>
        <w:br/>
        <w:t xml:space="preserve">For </w:t>
      </w:r>
      <w:r w:rsidR="006A194B">
        <w:t>Round 17</w:t>
      </w:r>
      <w:r>
        <w:t xml:space="preserve">, WA allocated costs to all patient activity within the </w:t>
      </w:r>
      <w:r w:rsidR="006A194B">
        <w:t>Round 17</w:t>
      </w:r>
      <w:r>
        <w:t xml:space="preserve"> period regardless of</w:t>
      </w:r>
      <w:r w:rsidR="000E0229">
        <w:t xml:space="preserve"> the</w:t>
      </w:r>
      <w:r>
        <w:t xml:space="preserve"> discharge date. Patients who were still admitted by the end of the financial year were allocated costs and will be submitted to IHPA in the year they are discharged.</w:t>
      </w:r>
    </w:p>
    <w:p w:rsidR="00AC3446" w:rsidRDefault="00AC3446" w:rsidP="009C4A5D">
      <w:pPr>
        <w:pStyle w:val="PwCNormal"/>
        <w:numPr>
          <w:ilvl w:val="0"/>
          <w:numId w:val="39"/>
        </w:numPr>
      </w:pPr>
      <w:r w:rsidRPr="00995BFE">
        <w:rPr>
          <w:b/>
        </w:rPr>
        <w:t>Patient</w:t>
      </w:r>
      <w:r w:rsidR="000E0229" w:rsidRPr="00995BFE">
        <w:rPr>
          <w:b/>
        </w:rPr>
        <w:t>-</w:t>
      </w:r>
      <w:r w:rsidRPr="00995BFE">
        <w:rPr>
          <w:b/>
        </w:rPr>
        <w:t>level costing for ED patients in SA</w:t>
      </w:r>
      <w:r w:rsidR="000B6B42" w:rsidRPr="00995BFE">
        <w:rPr>
          <w:b/>
        </w:rPr>
        <w:t>.</w:t>
      </w:r>
      <w:r w:rsidR="000B6B42">
        <w:t xml:space="preserve"> In </w:t>
      </w:r>
      <w:r w:rsidR="006A194B">
        <w:t>Round 16</w:t>
      </w:r>
      <w:r w:rsidR="000B6B42">
        <w:t xml:space="preserve">, ED patients </w:t>
      </w:r>
      <w:r w:rsidR="000E0229">
        <w:t xml:space="preserve">in SA </w:t>
      </w:r>
      <w:r w:rsidR="000B6B42">
        <w:t xml:space="preserve">were costed as a desktop exercise, using </w:t>
      </w:r>
      <w:r w:rsidR="007F6E1E">
        <w:t>service weights and length of stay</w:t>
      </w:r>
      <w:r w:rsidR="000B6B42">
        <w:t xml:space="preserve">. For </w:t>
      </w:r>
      <w:r w:rsidR="006A194B">
        <w:t>Round 17</w:t>
      </w:r>
      <w:r w:rsidR="000B6B42">
        <w:t xml:space="preserve">, </w:t>
      </w:r>
      <w:r w:rsidR="007F6E1E">
        <w:t>SA allocated ED costs based on duration</w:t>
      </w:r>
      <w:r w:rsidR="000E0229">
        <w:t xml:space="preserve"> of encounter</w:t>
      </w:r>
      <w:r w:rsidR="007F6E1E">
        <w:t xml:space="preserve"> (from </w:t>
      </w:r>
      <w:r w:rsidR="000E0229">
        <w:t xml:space="preserve">the </w:t>
      </w:r>
      <w:r w:rsidR="007F6E1E">
        <w:t xml:space="preserve">time </w:t>
      </w:r>
      <w:r w:rsidR="000E0229">
        <w:t xml:space="preserve">the patient </w:t>
      </w:r>
      <w:r w:rsidR="007F6E1E">
        <w:t xml:space="preserve">first </w:t>
      </w:r>
      <w:r w:rsidR="000E0229">
        <w:t>saw</w:t>
      </w:r>
      <w:r w:rsidR="007F6E1E">
        <w:t xml:space="preserve"> a doctor through to </w:t>
      </w:r>
      <w:r w:rsidR="000E0229">
        <w:t xml:space="preserve">their </w:t>
      </w:r>
      <w:r w:rsidR="007F6E1E">
        <w:t>discharge)</w:t>
      </w:r>
      <w:r w:rsidR="00820D3F">
        <w:t>.</w:t>
      </w:r>
    </w:p>
    <w:p w:rsidR="00FC0332" w:rsidRDefault="00FC0332" w:rsidP="009C4A5D">
      <w:pPr>
        <w:pStyle w:val="PwCNormal"/>
        <w:numPr>
          <w:ilvl w:val="0"/>
          <w:numId w:val="39"/>
        </w:numPr>
      </w:pPr>
      <w:r w:rsidRPr="00995BFE">
        <w:rPr>
          <w:b/>
        </w:rPr>
        <w:t>Improvements in the</w:t>
      </w:r>
      <w:r w:rsidR="00995BFE">
        <w:rPr>
          <w:b/>
        </w:rPr>
        <w:t xml:space="preserve"> c</w:t>
      </w:r>
      <w:r w:rsidRPr="00995BFE">
        <w:rPr>
          <w:b/>
        </w:rPr>
        <w:t xml:space="preserve">osting methodologies for </w:t>
      </w:r>
      <w:r w:rsidR="000E0229">
        <w:rPr>
          <w:b/>
        </w:rPr>
        <w:t xml:space="preserve">NSW </w:t>
      </w:r>
      <w:r w:rsidRPr="00995BFE">
        <w:rPr>
          <w:b/>
        </w:rPr>
        <w:t>outpatients</w:t>
      </w:r>
      <w:r>
        <w:t xml:space="preserve"> and the submission of outpatient data to the NHCDC</w:t>
      </w:r>
      <w:r w:rsidR="007F6E1E">
        <w:t>. Outpatient activity</w:t>
      </w:r>
      <w:r w:rsidR="000E0229">
        <w:t xml:space="preserve"> in NSW</w:t>
      </w:r>
      <w:r w:rsidR="007F6E1E">
        <w:t xml:space="preserve"> was costed but not submitted in </w:t>
      </w:r>
      <w:r w:rsidR="006A194B">
        <w:t>Round 16</w:t>
      </w:r>
      <w:r w:rsidR="007F6E1E">
        <w:t xml:space="preserve">. For </w:t>
      </w:r>
      <w:r w:rsidR="006A194B">
        <w:t>Round 17</w:t>
      </w:r>
      <w:r w:rsidR="00613A2F">
        <w:t>, NSW costed outpatients utilising occasion of service level data where available.</w:t>
      </w:r>
    </w:p>
    <w:p w:rsidR="00FC0332" w:rsidRDefault="00FC0332" w:rsidP="009C4A5D">
      <w:pPr>
        <w:pStyle w:val="PwCNormal"/>
        <w:numPr>
          <w:ilvl w:val="0"/>
          <w:numId w:val="39"/>
        </w:numPr>
      </w:pPr>
      <w:r w:rsidRPr="00995BFE">
        <w:rPr>
          <w:b/>
        </w:rPr>
        <w:t xml:space="preserve">Increased quality </w:t>
      </w:r>
      <w:r w:rsidR="0039288D" w:rsidRPr="00995BFE">
        <w:rPr>
          <w:b/>
        </w:rPr>
        <w:t xml:space="preserve">assurance procedures in </w:t>
      </w:r>
      <w:r w:rsidR="00820D3F" w:rsidRPr="00995BFE">
        <w:rPr>
          <w:b/>
        </w:rPr>
        <w:t xml:space="preserve">NSW, </w:t>
      </w:r>
      <w:r w:rsidR="0039288D" w:rsidRPr="00995BFE">
        <w:rPr>
          <w:b/>
        </w:rPr>
        <w:t>SA and TAS</w:t>
      </w:r>
      <w:r w:rsidR="007F6E1E" w:rsidRPr="00995BFE">
        <w:rPr>
          <w:b/>
        </w:rPr>
        <w:t xml:space="preserve">. </w:t>
      </w:r>
      <w:r w:rsidR="007F6E1E">
        <w:t xml:space="preserve">For NSW, this included increased </w:t>
      </w:r>
      <w:r w:rsidR="000E0229">
        <w:t>QA</w:t>
      </w:r>
      <w:r w:rsidR="007F6E1E">
        <w:t xml:space="preserve"> checks and the ability for LHDs to constantly submit their costing data, review the </w:t>
      </w:r>
      <w:r w:rsidR="000E0229">
        <w:t xml:space="preserve">QA </w:t>
      </w:r>
      <w:r w:rsidR="007F6E1E">
        <w:t xml:space="preserve">results, address </w:t>
      </w:r>
      <w:r w:rsidR="000E0229">
        <w:t>any</w:t>
      </w:r>
      <w:r w:rsidR="007F6E1E">
        <w:t xml:space="preserve"> issues and resubmit the data. </w:t>
      </w:r>
      <w:r w:rsidR="00527FDD">
        <w:t xml:space="preserve">SA performed additional checks </w:t>
      </w:r>
      <w:r w:rsidR="000E0229">
        <w:t xml:space="preserve">for </w:t>
      </w:r>
      <w:r w:rsidR="00527FDD">
        <w:t>feeder data (such as looking for unreasonable surgery start</w:t>
      </w:r>
      <w:r w:rsidR="000E0229">
        <w:t xml:space="preserve"> and </w:t>
      </w:r>
      <w:r w:rsidR="00527FDD">
        <w:t xml:space="preserve">end times). TAS increased </w:t>
      </w:r>
      <w:r w:rsidR="000E0229">
        <w:t xml:space="preserve">its </w:t>
      </w:r>
      <w:r w:rsidR="00527FDD">
        <w:t>review over the costed dataset to include min</w:t>
      </w:r>
      <w:r w:rsidR="00E6756A">
        <w:t>imum</w:t>
      </w:r>
      <w:r w:rsidR="000E0229">
        <w:t xml:space="preserve"> and </w:t>
      </w:r>
      <w:r w:rsidR="00527FDD">
        <w:t>max</w:t>
      </w:r>
      <w:r w:rsidR="00E6756A">
        <w:t>imum</w:t>
      </w:r>
      <w:r w:rsidR="00527FDD">
        <w:t xml:space="preserve"> time</w:t>
      </w:r>
      <w:r w:rsidR="000E0229">
        <w:t xml:space="preserve"> in </w:t>
      </w:r>
      <w:r w:rsidR="00527FDD">
        <w:t>theatre, ED and outpatients.</w:t>
      </w:r>
    </w:p>
    <w:p w:rsidR="00FC0332" w:rsidRDefault="00820D3F" w:rsidP="009C4A5D">
      <w:pPr>
        <w:pStyle w:val="PwCNormal"/>
        <w:numPr>
          <w:ilvl w:val="0"/>
          <w:numId w:val="39"/>
        </w:numPr>
      </w:pPr>
      <w:r w:rsidRPr="00995BFE">
        <w:rPr>
          <w:b/>
        </w:rPr>
        <w:lastRenderedPageBreak/>
        <w:t>Implementation of a n</w:t>
      </w:r>
      <w:r w:rsidR="00FC0332" w:rsidRPr="00995BFE">
        <w:rPr>
          <w:b/>
        </w:rPr>
        <w:t xml:space="preserve">ew </w:t>
      </w:r>
      <w:r w:rsidR="00E6756A" w:rsidRPr="00995BFE">
        <w:rPr>
          <w:b/>
        </w:rPr>
        <w:t>GL</w:t>
      </w:r>
      <w:r w:rsidR="0039288D" w:rsidRPr="00995BFE">
        <w:rPr>
          <w:b/>
        </w:rPr>
        <w:t xml:space="preserve"> structure in TAS</w:t>
      </w:r>
      <w:r w:rsidR="004C45FB">
        <w:rPr>
          <w:b/>
        </w:rPr>
        <w:t>.</w:t>
      </w:r>
      <w:r w:rsidR="00FC0332">
        <w:t xml:space="preserve"> </w:t>
      </w:r>
      <w:r w:rsidR="000E0229">
        <w:t xml:space="preserve">This </w:t>
      </w:r>
      <w:r w:rsidR="00FC0332">
        <w:t xml:space="preserve">better aligned </w:t>
      </w:r>
      <w:r w:rsidR="0039288D">
        <w:t>the cost centre structures to clinical departments, enabling a more detailed identification of cost pools to be allocated to a specific group of patients</w:t>
      </w:r>
      <w:r w:rsidR="004C45FB">
        <w:t>.</w:t>
      </w:r>
    </w:p>
    <w:p w:rsidR="0039288D" w:rsidRDefault="0039288D" w:rsidP="009C4A5D">
      <w:pPr>
        <w:pStyle w:val="PwCNormal"/>
        <w:numPr>
          <w:ilvl w:val="0"/>
          <w:numId w:val="39"/>
        </w:numPr>
      </w:pPr>
      <w:r w:rsidRPr="00995BFE">
        <w:rPr>
          <w:b/>
        </w:rPr>
        <w:t>Improvements in f</w:t>
      </w:r>
      <w:r w:rsidR="00AC3446" w:rsidRPr="00995BFE">
        <w:rPr>
          <w:b/>
        </w:rPr>
        <w:t>eeder data linking rules in ACT</w:t>
      </w:r>
      <w:r w:rsidR="00527FDD">
        <w:t xml:space="preserve"> and </w:t>
      </w:r>
      <w:r w:rsidR="0059459A">
        <w:t>formalised</w:t>
      </w:r>
      <w:r w:rsidR="00BD467E">
        <w:t xml:space="preserve"> cost file specifications</w:t>
      </w:r>
      <w:r w:rsidR="004C45FB">
        <w:t>.</w:t>
      </w:r>
    </w:p>
    <w:p w:rsidR="00E6756A" w:rsidRPr="00995BFE" w:rsidRDefault="00BD467E" w:rsidP="009C4A5D">
      <w:pPr>
        <w:pStyle w:val="PwCNormal"/>
        <w:numPr>
          <w:ilvl w:val="0"/>
          <w:numId w:val="39"/>
        </w:numPr>
        <w:rPr>
          <w:b/>
        </w:rPr>
      </w:pPr>
      <w:r w:rsidRPr="00995BFE">
        <w:rPr>
          <w:b/>
        </w:rPr>
        <w:t xml:space="preserve">Removal of </w:t>
      </w:r>
      <w:r w:rsidR="0059459A" w:rsidRPr="00995BFE">
        <w:rPr>
          <w:b/>
        </w:rPr>
        <w:t xml:space="preserve">the </w:t>
      </w:r>
      <w:proofErr w:type="spellStart"/>
      <w:r w:rsidRPr="00995BFE">
        <w:rPr>
          <w:b/>
        </w:rPr>
        <w:t>IPACost</w:t>
      </w:r>
      <w:proofErr w:type="spellEnd"/>
      <w:r w:rsidRPr="00995BFE">
        <w:rPr>
          <w:b/>
        </w:rPr>
        <w:t xml:space="preserve"> </w:t>
      </w:r>
      <w:r w:rsidR="00E6756A" w:rsidRPr="00995BFE">
        <w:rPr>
          <w:b/>
        </w:rPr>
        <w:t xml:space="preserve">tool </w:t>
      </w:r>
      <w:r w:rsidRPr="00995BFE">
        <w:rPr>
          <w:b/>
        </w:rPr>
        <w:t>from the submission process</w:t>
      </w:r>
      <w:r w:rsidR="0059459A" w:rsidRPr="00995BFE">
        <w:rPr>
          <w:b/>
        </w:rPr>
        <w:t>.</w:t>
      </w:r>
    </w:p>
    <w:p w:rsidR="00BD467E" w:rsidRDefault="00E6756A" w:rsidP="009C4A5D">
      <w:pPr>
        <w:pStyle w:val="PwCNormal"/>
        <w:numPr>
          <w:ilvl w:val="0"/>
          <w:numId w:val="39"/>
        </w:numPr>
      </w:pPr>
      <w:r w:rsidRPr="00995BFE">
        <w:rPr>
          <w:b/>
        </w:rPr>
        <w:t>A</w:t>
      </w:r>
      <w:r w:rsidR="00BD467E" w:rsidRPr="00995BFE">
        <w:rPr>
          <w:b/>
        </w:rPr>
        <w:t xml:space="preserve">n increase in </w:t>
      </w:r>
      <w:r w:rsidR="0059459A" w:rsidRPr="00995BFE">
        <w:rPr>
          <w:b/>
        </w:rPr>
        <w:t xml:space="preserve">IHPA </w:t>
      </w:r>
      <w:r w:rsidR="00BD467E" w:rsidRPr="00995BFE">
        <w:rPr>
          <w:b/>
        </w:rPr>
        <w:t>the quality assurance checks and feedback</w:t>
      </w:r>
      <w:r w:rsidR="00BD467E">
        <w:t xml:space="preserve"> provided to jurisdictio</w:t>
      </w:r>
      <w:r w:rsidR="00294857">
        <w:t xml:space="preserve">ns </w:t>
      </w:r>
      <w:r w:rsidR="0059459A">
        <w:t xml:space="preserve">when they submit </w:t>
      </w:r>
      <w:r w:rsidR="00294857">
        <w:t>data</w:t>
      </w:r>
      <w:r w:rsidR="0059459A">
        <w:t>.</w:t>
      </w:r>
    </w:p>
    <w:p w:rsidR="00294857" w:rsidRDefault="00294857" w:rsidP="009C4A5D">
      <w:pPr>
        <w:pStyle w:val="PwCNormal"/>
        <w:numPr>
          <w:ilvl w:val="0"/>
          <w:numId w:val="39"/>
        </w:numPr>
      </w:pPr>
      <w:r w:rsidRPr="00995BFE">
        <w:rPr>
          <w:b/>
        </w:rPr>
        <w:t>Improved reconciliations</w:t>
      </w:r>
      <w:r w:rsidR="006135BB" w:rsidRPr="00995BFE">
        <w:rPr>
          <w:b/>
        </w:rPr>
        <w:t xml:space="preserve"> to the publically released audited </w:t>
      </w:r>
      <w:r w:rsidR="0059459A">
        <w:rPr>
          <w:b/>
        </w:rPr>
        <w:t>f</w:t>
      </w:r>
      <w:r w:rsidR="006135BB" w:rsidRPr="00995BFE">
        <w:rPr>
          <w:b/>
        </w:rPr>
        <w:t xml:space="preserve">inancial </w:t>
      </w:r>
      <w:r w:rsidR="0059459A">
        <w:rPr>
          <w:b/>
        </w:rPr>
        <w:t>s</w:t>
      </w:r>
      <w:r w:rsidR="0059459A" w:rsidRPr="00995BFE">
        <w:rPr>
          <w:b/>
        </w:rPr>
        <w:t>tatements.</w:t>
      </w:r>
      <w:r w:rsidR="0059459A">
        <w:t xml:space="preserve"> All</w:t>
      </w:r>
      <w:r>
        <w:t xml:space="preserve"> jurisdictions were able to </w:t>
      </w:r>
      <w:r w:rsidR="004C45FB">
        <w:t>reconcile</w:t>
      </w:r>
      <w:r w:rsidR="0059459A">
        <w:t xml:space="preserve"> their results</w:t>
      </w:r>
      <w:r>
        <w:t xml:space="preserve"> back to the audited </w:t>
      </w:r>
      <w:r w:rsidR="0059459A">
        <w:t>financial s</w:t>
      </w:r>
      <w:r>
        <w:t>tatements.</w:t>
      </w:r>
    </w:p>
    <w:p w:rsidR="00102376" w:rsidRDefault="00EA3A1F" w:rsidP="00CE5EF2">
      <w:pPr>
        <w:pStyle w:val="Heading3"/>
      </w:pPr>
      <w:r>
        <w:t>Sample feeder systems</w:t>
      </w:r>
    </w:p>
    <w:p w:rsidR="0050522F" w:rsidRDefault="00527FDD" w:rsidP="00B618E7">
      <w:pPr>
        <w:spacing w:after="240"/>
      </w:pPr>
      <w:r w:rsidRPr="00B618E7">
        <w:rPr>
          <w:rStyle w:val="PwCNormalChar"/>
        </w:rPr>
        <w:t>For this review</w:t>
      </w:r>
      <w:r>
        <w:t>, IHPA selected three feeder systems for a more detailed review</w:t>
      </w:r>
      <w:r w:rsidR="0059459A">
        <w:t xml:space="preserve">, </w:t>
      </w:r>
      <w:r>
        <w:t xml:space="preserve">to </w:t>
      </w:r>
      <w:r w:rsidR="0059459A">
        <w:t xml:space="preserve">better </w:t>
      </w:r>
      <w:r>
        <w:t>understand the data used to allocate</w:t>
      </w:r>
      <w:r w:rsidR="0050522F">
        <w:t xml:space="preserve"> costs and where most of the costs end up after linking. This will also</w:t>
      </w:r>
      <w:r w:rsidR="00BD467E">
        <w:t xml:space="preserve"> help</w:t>
      </w:r>
      <w:r w:rsidR="0050522F">
        <w:t xml:space="preserve"> </w:t>
      </w:r>
      <w:r w:rsidR="0059459A">
        <w:t xml:space="preserve">determine </w:t>
      </w:r>
      <w:r w:rsidR="0050522F">
        <w:t>how consistent costing methodologies are around the country.</w:t>
      </w:r>
    </w:p>
    <w:p w:rsidR="0050522F" w:rsidRPr="00527FDD" w:rsidRDefault="0050522F" w:rsidP="0050522F">
      <w:pPr>
        <w:pStyle w:val="PwCNormal"/>
      </w:pPr>
      <w:r>
        <w:t>The three sample feeders for this review were for pharmacy, theatre and ward nursing.</w:t>
      </w:r>
    </w:p>
    <w:p w:rsidR="00102376" w:rsidRPr="00102376" w:rsidRDefault="00102376" w:rsidP="00140691">
      <w:pPr>
        <w:pStyle w:val="PwCNormal"/>
        <w:numPr>
          <w:ilvl w:val="0"/>
          <w:numId w:val="0"/>
        </w:numPr>
        <w:rPr>
          <w:b/>
        </w:rPr>
      </w:pPr>
      <w:r>
        <w:rPr>
          <w:b/>
        </w:rPr>
        <w:t>Pharmacy</w:t>
      </w:r>
    </w:p>
    <w:p w:rsidR="00102376" w:rsidRDefault="009E2E82" w:rsidP="00140691">
      <w:pPr>
        <w:pStyle w:val="PwCNormal"/>
        <w:numPr>
          <w:ilvl w:val="0"/>
          <w:numId w:val="0"/>
        </w:numPr>
      </w:pPr>
      <w:r>
        <w:t>Most p</w:t>
      </w:r>
      <w:r w:rsidR="005507BE">
        <w:t>articipating site</w:t>
      </w:r>
      <w:r w:rsidR="00AC3446">
        <w:t xml:space="preserve">s </w:t>
      </w:r>
      <w:r>
        <w:t xml:space="preserve">use </w:t>
      </w:r>
      <w:r w:rsidR="00AC3446">
        <w:t xml:space="preserve">a very similar overall approach </w:t>
      </w:r>
      <w:r w:rsidR="0059459A">
        <w:t>when</w:t>
      </w:r>
      <w:r w:rsidR="00AC3446">
        <w:t xml:space="preserve"> allocating pharmacy costs to pat</w:t>
      </w:r>
      <w:r w:rsidR="003753EB">
        <w:t xml:space="preserve">ients. </w:t>
      </w:r>
      <w:r w:rsidR="0059459A">
        <w:t>All</w:t>
      </w:r>
      <w:r w:rsidR="003753EB">
        <w:t xml:space="preserve"> (except two NSW and two QLD sites listed below) </w:t>
      </w:r>
      <w:r w:rsidR="00AC3446">
        <w:t xml:space="preserve">identified the difference between </w:t>
      </w:r>
      <w:proofErr w:type="spellStart"/>
      <w:r w:rsidR="002142D3">
        <w:t>imprest</w:t>
      </w:r>
      <w:proofErr w:type="spellEnd"/>
      <w:r w:rsidR="002142D3">
        <w:t xml:space="preserve"> and dispensed drugs and used the following methodology to allocate costs:</w:t>
      </w:r>
    </w:p>
    <w:p w:rsidR="002142D3" w:rsidRDefault="002142D3" w:rsidP="009C4A5D">
      <w:pPr>
        <w:pStyle w:val="PwCNormal"/>
        <w:numPr>
          <w:ilvl w:val="0"/>
          <w:numId w:val="40"/>
        </w:numPr>
      </w:pPr>
      <w:proofErr w:type="spellStart"/>
      <w:r>
        <w:t>Imprest</w:t>
      </w:r>
      <w:proofErr w:type="spellEnd"/>
      <w:r>
        <w:t xml:space="preserve"> drugs</w:t>
      </w:r>
      <w:r w:rsidR="0050522F">
        <w:t>, which tend to cost</w:t>
      </w:r>
      <w:r w:rsidR="0059459A">
        <w:t xml:space="preserve"> less</w:t>
      </w:r>
      <w:r w:rsidR="0050522F">
        <w:t>,</w:t>
      </w:r>
      <w:r>
        <w:t xml:space="preserve"> </w:t>
      </w:r>
      <w:r w:rsidR="009E2E82">
        <w:t>we</w:t>
      </w:r>
      <w:r>
        <w:t>re l</w:t>
      </w:r>
      <w:r w:rsidR="009E2E82">
        <w:t>inked to wards. The total cost wa</w:t>
      </w:r>
      <w:r>
        <w:t>s the</w:t>
      </w:r>
      <w:r w:rsidR="009E2E82">
        <w:t>n</w:t>
      </w:r>
      <w:r>
        <w:t xml:space="preserve"> allocated to patients who stayed </w:t>
      </w:r>
      <w:r w:rsidR="0059459A">
        <w:t>i</w:t>
      </w:r>
      <w:r>
        <w:t>n the wards, based on their length of stay</w:t>
      </w:r>
      <w:r w:rsidR="003753EB">
        <w:t xml:space="preserve">. Two QLD sites were able to allocate </w:t>
      </w:r>
      <w:proofErr w:type="spellStart"/>
      <w:r w:rsidR="003753EB">
        <w:t>imprest</w:t>
      </w:r>
      <w:proofErr w:type="spellEnd"/>
      <w:r w:rsidR="003753EB">
        <w:t xml:space="preserve"> drugs directly to the patient</w:t>
      </w:r>
      <w:r w:rsidR="0059459A">
        <w:t>, where</w:t>
      </w:r>
      <w:r w:rsidR="003753EB">
        <w:t xml:space="preserve"> </w:t>
      </w:r>
      <w:proofErr w:type="spellStart"/>
      <w:r w:rsidR="0059459A">
        <w:t>MedS</w:t>
      </w:r>
      <w:r w:rsidR="003753EB">
        <w:t>tation</w:t>
      </w:r>
      <w:proofErr w:type="spellEnd"/>
      <w:r w:rsidR="0059459A">
        <w:t xml:space="preserve"> automated medication system</w:t>
      </w:r>
      <w:r w:rsidR="003753EB">
        <w:t xml:space="preserve">s </w:t>
      </w:r>
      <w:r w:rsidR="0059459A">
        <w:t xml:space="preserve">were </w:t>
      </w:r>
      <w:r w:rsidR="009E2E82">
        <w:t xml:space="preserve">used </w:t>
      </w:r>
      <w:r w:rsidR="0059459A">
        <w:t>i</w:t>
      </w:r>
      <w:r w:rsidR="003753EB">
        <w:t>n the ward.</w:t>
      </w:r>
    </w:p>
    <w:p w:rsidR="002142D3" w:rsidRDefault="009E2E82" w:rsidP="009C4A5D">
      <w:pPr>
        <w:pStyle w:val="PwCNormal"/>
        <w:numPr>
          <w:ilvl w:val="0"/>
          <w:numId w:val="40"/>
        </w:numPr>
      </w:pPr>
      <w:r>
        <w:t>Dispensed drugs</w:t>
      </w:r>
      <w:r w:rsidR="0050522F">
        <w:t>, which tend to cost</w:t>
      </w:r>
      <w:r w:rsidR="0059459A">
        <w:t xml:space="preserve"> more</w:t>
      </w:r>
      <w:r w:rsidR="0050522F">
        <w:t>,</w:t>
      </w:r>
      <w:r>
        <w:t xml:space="preserve"> we</w:t>
      </w:r>
      <w:r w:rsidR="002142D3">
        <w:t>re linked dire</w:t>
      </w:r>
      <w:r>
        <w:t>ctly to patients</w:t>
      </w:r>
      <w:r w:rsidR="0059459A">
        <w:t xml:space="preserve"> –</w:t>
      </w:r>
      <w:r w:rsidR="004C45FB">
        <w:t xml:space="preserve"> admitted, ED or outpatients</w:t>
      </w:r>
      <w:r w:rsidR="002142D3">
        <w:t>.</w:t>
      </w:r>
      <w:r w:rsidR="003753EB">
        <w:t xml:space="preserve"> Two NSW sites used service weights to allocate dispensed drugs to patients.</w:t>
      </w:r>
    </w:p>
    <w:p w:rsidR="00490221" w:rsidRDefault="002142D3" w:rsidP="002142D3">
      <w:pPr>
        <w:pStyle w:val="PwCNormal"/>
        <w:numPr>
          <w:ilvl w:val="0"/>
          <w:numId w:val="0"/>
        </w:numPr>
      </w:pPr>
      <w:r>
        <w:t xml:space="preserve">The linking rules for pharmacy </w:t>
      </w:r>
      <w:r w:rsidR="007F2C74">
        <w:t>costs varied</w:t>
      </w:r>
      <w:r>
        <w:t xml:space="preserve"> between</w:t>
      </w:r>
      <w:r w:rsidR="00736D30">
        <w:t xml:space="preserve"> the participating </w:t>
      </w:r>
      <w:r w:rsidR="007F2C74">
        <w:t xml:space="preserve">sites, which </w:t>
      </w:r>
      <w:r w:rsidR="0059459A">
        <w:t xml:space="preserve">is </w:t>
      </w:r>
      <w:r>
        <w:t xml:space="preserve">to be expected given the different </w:t>
      </w:r>
      <w:r w:rsidR="00736D30">
        <w:t>ways systems are established</w:t>
      </w:r>
      <w:r>
        <w:t>,</w:t>
      </w:r>
      <w:r w:rsidR="0050522F">
        <w:t xml:space="preserve"> differing</w:t>
      </w:r>
      <w:r w:rsidR="00736D30">
        <w:t xml:space="preserve"> hospital</w:t>
      </w:r>
      <w:r>
        <w:t xml:space="preserve"> policies and </w:t>
      </w:r>
      <w:r w:rsidR="0050522F">
        <w:t xml:space="preserve">different </w:t>
      </w:r>
      <w:r>
        <w:t xml:space="preserve">data entry practices across the sites. </w:t>
      </w:r>
      <w:r w:rsidR="0050522F">
        <w:t>T</w:t>
      </w:r>
      <w:r>
        <w:t>he tolerance for date and time matching was relatively short for inpatients and ED patients, and l</w:t>
      </w:r>
      <w:r w:rsidR="007F2C74">
        <w:t>onger</w:t>
      </w:r>
      <w:r>
        <w:t xml:space="preserve"> fo</w:t>
      </w:r>
      <w:r w:rsidR="00736D30">
        <w:t xml:space="preserve">r outpatients. For example, inpatients and ED patients were linked to pharmacy records within one day </w:t>
      </w:r>
      <w:r w:rsidR="007F2C74">
        <w:t>either side of their episode dates, where</w:t>
      </w:r>
      <w:r w:rsidR="00736D30">
        <w:t>as outpatients were linked within 30 days before or after</w:t>
      </w:r>
      <w:r w:rsidR="007F2C74">
        <w:t xml:space="preserve"> the service event date</w:t>
      </w:r>
      <w:r w:rsidR="00736D30">
        <w:t xml:space="preserve">. </w:t>
      </w:r>
    </w:p>
    <w:p w:rsidR="00E45080" w:rsidRDefault="00490221" w:rsidP="00490221">
      <w:pPr>
        <w:pStyle w:val="Caption"/>
        <w:tabs>
          <w:tab w:val="clear" w:pos="992"/>
          <w:tab w:val="left" w:pos="0"/>
        </w:tabs>
        <w:spacing w:after="240"/>
        <w:ind w:left="0" w:firstLine="0"/>
      </w:pPr>
      <w:r>
        <w:lastRenderedPageBreak/>
        <w:t xml:space="preserve">Figure </w:t>
      </w:r>
      <w:r w:rsidR="008379DC">
        <w:fldChar w:fldCharType="begin"/>
      </w:r>
      <w:r w:rsidR="009E64DF">
        <w:instrText xml:space="preserve"> SEQ Figure \* ARABIC </w:instrText>
      </w:r>
      <w:r w:rsidR="008379DC">
        <w:fldChar w:fldCharType="separate"/>
      </w:r>
      <w:r w:rsidR="00575DFC">
        <w:rPr>
          <w:noProof/>
        </w:rPr>
        <w:t>1</w:t>
      </w:r>
      <w:r w:rsidR="008379DC">
        <w:rPr>
          <w:noProof/>
        </w:rPr>
        <w:fldChar w:fldCharType="end"/>
      </w:r>
      <w:r>
        <w:t>: Relationship between number of records and proportion of unlinked services</w:t>
      </w:r>
    </w:p>
    <w:p w:rsidR="004C45FB" w:rsidRPr="004C45FB" w:rsidRDefault="004C45FB" w:rsidP="004C45FB">
      <w:pPr>
        <w:pStyle w:val="PwCNormal"/>
      </w:pPr>
      <w:r w:rsidRPr="004C45FB">
        <w:rPr>
          <w:noProof/>
          <w:lang w:eastAsia="en-AU"/>
        </w:rPr>
        <w:drawing>
          <wp:inline distT="0" distB="0" distL="0" distR="0" wp14:anchorId="4E476238" wp14:editId="238FCF7E">
            <wp:extent cx="4933315" cy="2732405"/>
            <wp:effectExtent l="0" t="0" r="635" b="0"/>
            <wp:docPr id="1" name="Picture 1" descr="This chart plots the proportion on unlinked services on the x axis and the number of records in the feeder system on the y axis. The dots are scattered randomly on the chart, indicating that there is little relationship between these two items." title="Relationship between number of records and proportion of unlinke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315" cy="2732405"/>
                    </a:xfrm>
                    <a:prstGeom prst="rect">
                      <a:avLst/>
                    </a:prstGeom>
                    <a:noFill/>
                    <a:ln>
                      <a:noFill/>
                    </a:ln>
                  </pic:spPr>
                </pic:pic>
              </a:graphicData>
            </a:graphic>
          </wp:inline>
        </w:drawing>
      </w:r>
    </w:p>
    <w:p w:rsidR="0060442C" w:rsidRDefault="00736D30" w:rsidP="002142D3">
      <w:pPr>
        <w:pStyle w:val="PwCNormal"/>
        <w:numPr>
          <w:ilvl w:val="0"/>
          <w:numId w:val="0"/>
        </w:numPr>
      </w:pPr>
      <w:r>
        <w:t xml:space="preserve">The proportion of </w:t>
      </w:r>
      <w:r w:rsidR="00AC5CFF">
        <w:t>system records</w:t>
      </w:r>
      <w:r>
        <w:t xml:space="preserve"> that remain unlinked during the costing process varied considerably across the participating sites, from as low as </w:t>
      </w:r>
      <w:r w:rsidR="003149FF">
        <w:t>0.6</w:t>
      </w:r>
      <w:r>
        <w:t>% to as h</w:t>
      </w:r>
      <w:r w:rsidR="00BB39EA">
        <w:t>igh as 15.5</w:t>
      </w:r>
      <w:r>
        <w:t xml:space="preserve">%. </w:t>
      </w:r>
    </w:p>
    <w:p w:rsidR="00736D30" w:rsidRDefault="00E45080" w:rsidP="002142D3">
      <w:pPr>
        <w:pStyle w:val="PwCNormal"/>
        <w:numPr>
          <w:ilvl w:val="0"/>
          <w:numId w:val="0"/>
        </w:numPr>
      </w:pPr>
      <w:r>
        <w:t>There is no apparent relationship between the number of records in the feeder system (</w:t>
      </w:r>
      <w:r w:rsidR="00A401A5">
        <w:t>that is, the</w:t>
      </w:r>
      <w:r>
        <w:t xml:space="preserve"> num</w:t>
      </w:r>
      <w:r w:rsidR="007F2C74">
        <w:t>ber of drugs dispensed) and the</w:t>
      </w:r>
      <w:r>
        <w:t xml:space="preserve"> proportion of services that </w:t>
      </w:r>
      <w:r w:rsidR="00A401A5">
        <w:t>cannot</w:t>
      </w:r>
      <w:r>
        <w:t xml:space="preserve"> be linked to a patient.</w:t>
      </w:r>
      <w:r w:rsidR="0050522F">
        <w:t xml:space="preserve"> </w:t>
      </w:r>
    </w:p>
    <w:p w:rsidR="00E45080" w:rsidRDefault="00736D30" w:rsidP="002142D3">
      <w:pPr>
        <w:pStyle w:val="PwCNormal"/>
        <w:numPr>
          <w:ilvl w:val="0"/>
          <w:numId w:val="0"/>
        </w:numPr>
      </w:pPr>
      <w:r>
        <w:t xml:space="preserve">There are limited options for </w:t>
      </w:r>
      <w:r w:rsidR="00AC5CFF">
        <w:t xml:space="preserve">dealing with </w:t>
      </w:r>
      <w:r>
        <w:t xml:space="preserve">unlinked pharmacy </w:t>
      </w:r>
      <w:r w:rsidR="00AC5CFF">
        <w:t xml:space="preserve">services </w:t>
      </w:r>
      <w:r>
        <w:t xml:space="preserve">and most sites mapped unlinked services to a </w:t>
      </w:r>
      <w:r w:rsidR="00A401A5">
        <w:t>‘</w:t>
      </w:r>
      <w:r>
        <w:t>virtual patient</w:t>
      </w:r>
      <w:r w:rsidR="00A401A5">
        <w:t>’,</w:t>
      </w:r>
      <w:r>
        <w:t xml:space="preserve"> which </w:t>
      </w:r>
      <w:r w:rsidR="00A401A5">
        <w:t>they then excluded from</w:t>
      </w:r>
      <w:r>
        <w:t xml:space="preserve"> the</w:t>
      </w:r>
      <w:r w:rsidR="00A401A5">
        <w:t>ir</w:t>
      </w:r>
      <w:r>
        <w:t xml:space="preserve"> submission to IHPA. </w:t>
      </w:r>
      <w:r w:rsidR="00BE5E94">
        <w:t>D</w:t>
      </w:r>
      <w:r>
        <w:t>iagnostic test</w:t>
      </w:r>
      <w:r w:rsidR="00A401A5">
        <w:t>ing</w:t>
      </w:r>
      <w:r>
        <w:t xml:space="preserve"> </w:t>
      </w:r>
      <w:r w:rsidR="00BE5E94">
        <w:t>such as imaging and pathology</w:t>
      </w:r>
      <w:r w:rsidR="00A401A5">
        <w:t xml:space="preserve"> has</w:t>
      </w:r>
      <w:r w:rsidR="004C45FB">
        <w:t xml:space="preserve"> 30-</w:t>
      </w:r>
      <w:r w:rsidR="00E45080">
        <w:t xml:space="preserve">series Tier 2 clinics that unlinked services may be mapped to. </w:t>
      </w:r>
      <w:r w:rsidR="00A401A5">
        <w:t xml:space="preserve">As no </w:t>
      </w:r>
      <w:r w:rsidR="00E45080">
        <w:t>such clinic</w:t>
      </w:r>
      <w:r w:rsidR="00A401A5">
        <w:t>s</w:t>
      </w:r>
      <w:r w:rsidR="00E45080">
        <w:t xml:space="preserve"> exist for pharmacy, unlinked</w:t>
      </w:r>
      <w:r w:rsidR="00A401A5">
        <w:t xml:space="preserve"> pharmacy</w:t>
      </w:r>
      <w:r w:rsidR="00E45080">
        <w:t xml:space="preserve"> services </w:t>
      </w:r>
      <w:r w:rsidR="00A401A5">
        <w:t xml:space="preserve">are </w:t>
      </w:r>
      <w:r w:rsidR="007F2C74">
        <w:t>oft</w:t>
      </w:r>
      <w:r w:rsidR="00E45080">
        <w:t xml:space="preserve">en allocated </w:t>
      </w:r>
      <w:r w:rsidR="007F2C74">
        <w:t>a portion of the</w:t>
      </w:r>
      <w:r w:rsidR="00E45080">
        <w:t xml:space="preserve"> cost</w:t>
      </w:r>
      <w:r w:rsidR="00AC5CFF">
        <w:t>, mapped to a virtual patient</w:t>
      </w:r>
      <w:r w:rsidR="00E45080">
        <w:t xml:space="preserve"> and then removed from the </w:t>
      </w:r>
      <w:r w:rsidR="00A401A5">
        <w:t xml:space="preserve">IHPA </w:t>
      </w:r>
      <w:r w:rsidR="00E45080">
        <w:t>dataset</w:t>
      </w:r>
      <w:r w:rsidR="007F2C74">
        <w:t xml:space="preserve"> </w:t>
      </w:r>
      <w:r w:rsidR="00A401A5">
        <w:t>submission</w:t>
      </w:r>
      <w:r w:rsidR="00E45080">
        <w:t xml:space="preserve">. </w:t>
      </w:r>
    </w:p>
    <w:p w:rsidR="00490221" w:rsidRDefault="00490221" w:rsidP="002142D3">
      <w:pPr>
        <w:pStyle w:val="PwCNormal"/>
        <w:numPr>
          <w:ilvl w:val="0"/>
          <w:numId w:val="0"/>
        </w:numPr>
      </w:pPr>
      <w:r>
        <w:t xml:space="preserve">All jurisdictions except NSW and VIC </w:t>
      </w:r>
      <w:r w:rsidR="00AC5CFF">
        <w:t xml:space="preserve">identified that costs </w:t>
      </w:r>
      <w:r w:rsidR="00A401A5">
        <w:t xml:space="preserve">recorded </w:t>
      </w:r>
      <w:r w:rsidR="00AC5CFF">
        <w:t>between the ‘</w:t>
      </w:r>
      <w:proofErr w:type="spellStart"/>
      <w:r w:rsidR="00AC5CFF">
        <w:t>PharmPBS</w:t>
      </w:r>
      <w:proofErr w:type="spellEnd"/>
      <w:r w:rsidR="00AC5CFF">
        <w:t>’ and ‘</w:t>
      </w:r>
      <w:proofErr w:type="spellStart"/>
      <w:r w:rsidR="00AC5CFF">
        <w:t>PharmNPBS</w:t>
      </w:r>
      <w:proofErr w:type="spellEnd"/>
      <w:r w:rsidR="00AC5CFF">
        <w:t>’ (</w:t>
      </w:r>
      <w:r w:rsidR="00A401A5">
        <w:t>N</w:t>
      </w:r>
      <w:r w:rsidR="00AC5CFF">
        <w:t>on-PBS or S100 drugs) line items, as set out in the AHPCS</w:t>
      </w:r>
      <w:r w:rsidR="00A401A5">
        <w:t>,</w:t>
      </w:r>
      <w:r w:rsidR="00AC5CFF">
        <w:t xml:space="preserve"> are a ‘best estimate’ only, and are not a reflection of </w:t>
      </w:r>
      <w:r w:rsidR="00A401A5">
        <w:t xml:space="preserve">drug </w:t>
      </w:r>
      <w:r w:rsidR="00AC5CFF">
        <w:t>classification</w:t>
      </w:r>
      <w:r w:rsidR="00A401A5">
        <w:t>s</w:t>
      </w:r>
      <w:r w:rsidR="00AC5CFF">
        <w:t>. Jurisdictions have various methodologies for splitting these costs, including splitting total pharmacy costs 50/50 or creating a list of high</w:t>
      </w:r>
      <w:r w:rsidR="00A401A5">
        <w:t>-</w:t>
      </w:r>
      <w:r w:rsidR="00AC5CFF">
        <w:t>cost drugs and mapping them to the ‘</w:t>
      </w:r>
      <w:proofErr w:type="spellStart"/>
      <w:r w:rsidR="00AC5CFF">
        <w:t>PharmPBS</w:t>
      </w:r>
      <w:proofErr w:type="spellEnd"/>
      <w:r w:rsidR="00AC5CFF">
        <w:t>’ line item. It is worth noting th</w:t>
      </w:r>
      <w:r w:rsidR="00A401A5">
        <w:t>at</w:t>
      </w:r>
      <w:r w:rsidR="00AC5CFF">
        <w:t xml:space="preserve"> NSW ha</w:t>
      </w:r>
      <w:r w:rsidR="00A401A5">
        <w:t>s</w:t>
      </w:r>
      <w:r w:rsidR="00AC5CFF">
        <w:t xml:space="preserve"> not signed up to</w:t>
      </w:r>
      <w:r w:rsidR="004C45FB">
        <w:t xml:space="preserve"> the PBS and as such, so not record any cost to the</w:t>
      </w:r>
      <w:r w:rsidR="00AC5CFF">
        <w:t xml:space="preserve"> PBS</w:t>
      </w:r>
      <w:r w:rsidR="00A401A5">
        <w:t xml:space="preserve"> line item</w:t>
      </w:r>
      <w:r w:rsidR="004C45FB">
        <w:t>. A</w:t>
      </w:r>
      <w:r w:rsidR="00AC5CFF">
        <w:t xml:space="preserve">ll pharmacy costs </w:t>
      </w:r>
      <w:r w:rsidR="004C45FB">
        <w:t>are recorded under</w:t>
      </w:r>
      <w:r w:rsidR="00AC5CFF">
        <w:t xml:space="preserve"> the ‘</w:t>
      </w:r>
      <w:proofErr w:type="spellStart"/>
      <w:r w:rsidR="00AC5CFF">
        <w:t>PharmNPBS</w:t>
      </w:r>
      <w:proofErr w:type="spellEnd"/>
      <w:r w:rsidR="00AC5CFF">
        <w:t xml:space="preserve">’ line item. </w:t>
      </w:r>
      <w:r w:rsidR="009E64DF">
        <w:t xml:space="preserve">VIC’s </w:t>
      </w:r>
      <w:r w:rsidR="002821F4">
        <w:t>state</w:t>
      </w:r>
      <w:r w:rsidR="00DB38E3">
        <w:t xml:space="preserve"> </w:t>
      </w:r>
      <w:r w:rsidR="002821F4">
        <w:t>wide</w:t>
      </w:r>
      <w:r w:rsidR="009E64DF">
        <w:t xml:space="preserve"> rules identify PBS, non-PBS and S100 line items.</w:t>
      </w:r>
    </w:p>
    <w:p w:rsidR="00102376" w:rsidRPr="00102376" w:rsidRDefault="00102376" w:rsidP="00140691">
      <w:pPr>
        <w:pStyle w:val="PwCNormal"/>
        <w:numPr>
          <w:ilvl w:val="0"/>
          <w:numId w:val="0"/>
        </w:numPr>
        <w:rPr>
          <w:b/>
        </w:rPr>
      </w:pPr>
      <w:r>
        <w:rPr>
          <w:b/>
        </w:rPr>
        <w:t xml:space="preserve">Theatre </w:t>
      </w:r>
    </w:p>
    <w:p w:rsidR="00DB38E3" w:rsidRDefault="00B74EC2" w:rsidP="003149FF">
      <w:pPr>
        <w:pStyle w:val="PwCNormal"/>
        <w:numPr>
          <w:ilvl w:val="0"/>
          <w:numId w:val="0"/>
        </w:numPr>
      </w:pPr>
      <w:r>
        <w:t xml:space="preserve">Participating sites </w:t>
      </w:r>
      <w:r w:rsidR="00792CE8">
        <w:t xml:space="preserve">used </w:t>
      </w:r>
      <w:r w:rsidR="003C0DA7">
        <w:t xml:space="preserve">relatively consistent methodology to allocate theatre costs to patients. </w:t>
      </w:r>
      <w:r w:rsidR="008379DC">
        <w:fldChar w:fldCharType="begin"/>
      </w:r>
      <w:r w:rsidR="003C0DA7">
        <w:instrText xml:space="preserve"> REF _Ref398756447 \h </w:instrText>
      </w:r>
      <w:r w:rsidR="008379DC">
        <w:fldChar w:fldCharType="separate"/>
      </w:r>
      <w:r w:rsidR="00575DFC">
        <w:t xml:space="preserve">Table </w:t>
      </w:r>
      <w:r w:rsidR="00575DFC">
        <w:rPr>
          <w:noProof/>
        </w:rPr>
        <w:t>3</w:t>
      </w:r>
      <w:r w:rsidR="008379DC">
        <w:fldChar w:fldCharType="end"/>
      </w:r>
      <w:r w:rsidR="003C0DA7">
        <w:t xml:space="preserve"> lists the methodologies used to allocate theatre costs and the sites that used them</w:t>
      </w:r>
      <w:r w:rsidR="00792CE8">
        <w:t>.</w:t>
      </w:r>
      <w:r w:rsidR="00DB38E3">
        <w:br w:type="page"/>
      </w:r>
    </w:p>
    <w:p w:rsidR="003C0DA7" w:rsidRDefault="003C0DA7" w:rsidP="003C0DA7">
      <w:pPr>
        <w:pStyle w:val="Caption"/>
      </w:pPr>
      <w:bookmarkStart w:id="35" w:name="_Ref398756447"/>
      <w:r>
        <w:lastRenderedPageBreak/>
        <w:t xml:space="preserve">Table </w:t>
      </w:r>
      <w:r w:rsidR="008379DC">
        <w:fldChar w:fldCharType="begin"/>
      </w:r>
      <w:r w:rsidR="009E64DF">
        <w:instrText xml:space="preserve"> SEQ Table \* ARABIC </w:instrText>
      </w:r>
      <w:r w:rsidR="008379DC">
        <w:fldChar w:fldCharType="separate"/>
      </w:r>
      <w:r w:rsidR="00575DFC">
        <w:rPr>
          <w:noProof/>
        </w:rPr>
        <w:t>3</w:t>
      </w:r>
      <w:r w:rsidR="008379DC">
        <w:rPr>
          <w:noProof/>
        </w:rPr>
        <w:fldChar w:fldCharType="end"/>
      </w:r>
      <w:bookmarkEnd w:id="35"/>
      <w:r>
        <w:t>: List of theatre allocation methodologies used by participating sites</w:t>
      </w:r>
    </w:p>
    <w:tbl>
      <w:tblPr>
        <w:tblStyle w:val="Tables-APBase"/>
        <w:tblW w:w="9180" w:type="dxa"/>
        <w:tblLook w:val="04A0" w:firstRow="1" w:lastRow="0" w:firstColumn="1" w:lastColumn="0" w:noHBand="0" w:noVBand="1"/>
        <w:tblCaption w:val="List of theatre allocation methodologies used by participating sites"/>
        <w:tblDescription w:val="This table outlines the main methodologies of theatre cost allocation used by sample sites."/>
      </w:tblPr>
      <w:tblGrid>
        <w:gridCol w:w="4644"/>
        <w:gridCol w:w="4536"/>
      </w:tblGrid>
      <w:tr w:rsidR="00B74EC2" w:rsidTr="0097260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44" w:type="dxa"/>
            <w:vAlign w:val="center"/>
          </w:tcPr>
          <w:p w:rsidR="00B74EC2" w:rsidRPr="00B74EC2" w:rsidRDefault="00B74EC2" w:rsidP="001E1B5F">
            <w:pPr>
              <w:pStyle w:val="PwCNormal"/>
              <w:numPr>
                <w:ilvl w:val="0"/>
                <w:numId w:val="0"/>
              </w:numPr>
              <w:spacing w:before="40" w:after="40"/>
              <w:rPr>
                <w:b/>
              </w:rPr>
            </w:pPr>
            <w:r w:rsidRPr="00B74EC2">
              <w:rPr>
                <w:b/>
              </w:rPr>
              <w:t>Methodology</w:t>
            </w:r>
          </w:p>
        </w:tc>
        <w:tc>
          <w:tcPr>
            <w:tcW w:w="4536" w:type="dxa"/>
            <w:vAlign w:val="center"/>
          </w:tcPr>
          <w:p w:rsidR="00B74EC2" w:rsidRPr="00B74EC2" w:rsidRDefault="00B74EC2" w:rsidP="001E1B5F">
            <w:pPr>
              <w:pStyle w:val="PwCNormal"/>
              <w:numPr>
                <w:ilvl w:val="0"/>
                <w:numId w:val="0"/>
              </w:numPr>
              <w:spacing w:before="40" w:after="40"/>
              <w:cnfStyle w:val="100000000000" w:firstRow="1" w:lastRow="0" w:firstColumn="0" w:lastColumn="0" w:oddVBand="0" w:evenVBand="0" w:oddHBand="0" w:evenHBand="0" w:firstRowFirstColumn="0" w:firstRowLastColumn="0" w:lastRowFirstColumn="0" w:lastRowLastColumn="0"/>
              <w:rPr>
                <w:b/>
              </w:rPr>
            </w:pPr>
            <w:r w:rsidRPr="00B74EC2">
              <w:rPr>
                <w:b/>
              </w:rPr>
              <w:t>Participating site</w:t>
            </w:r>
            <w:r w:rsidR="001E1B5F">
              <w:rPr>
                <w:b/>
              </w:rPr>
              <w:t xml:space="preserve"> using this methodology</w:t>
            </w:r>
          </w:p>
        </w:tc>
      </w:tr>
      <w:tr w:rsidR="00B74EC2" w:rsidTr="00972605">
        <w:tc>
          <w:tcPr>
            <w:tcW w:w="4644" w:type="dxa"/>
          </w:tcPr>
          <w:p w:rsidR="00B74EC2" w:rsidRDefault="009E72B0" w:rsidP="004C45FB">
            <w:pPr>
              <w:pStyle w:val="PwCNormal"/>
              <w:numPr>
                <w:ilvl w:val="0"/>
                <w:numId w:val="0"/>
              </w:numPr>
              <w:rPr>
                <w:rFonts w:asciiTheme="majorHAnsi" w:hAnsiTheme="majorHAnsi"/>
                <w:b/>
                <w:i/>
                <w:iCs/>
                <w:snapToGrid/>
                <w:color w:val="A32020" w:themeColor="text2"/>
                <w:sz w:val="32"/>
                <w:szCs w:val="36"/>
              </w:rPr>
            </w:pPr>
            <w:r>
              <w:t>M</w:t>
            </w:r>
            <w:r w:rsidR="00C64BDC">
              <w:t>ultiple intermediate product details</w:t>
            </w:r>
            <w:r w:rsidR="00F96936">
              <w:t xml:space="preserve"> –</w:t>
            </w:r>
            <w:r>
              <w:t xml:space="preserve"> </w:t>
            </w:r>
            <w:r w:rsidR="00B74EC2">
              <w:t>such as theatre preparation</w:t>
            </w:r>
            <w:r w:rsidR="00C64BDC">
              <w:t xml:space="preserve"> time</w:t>
            </w:r>
            <w:r w:rsidR="00B74EC2">
              <w:t>, operation time and recovery</w:t>
            </w:r>
            <w:r w:rsidR="00C64BDC">
              <w:t xml:space="preserve"> time</w:t>
            </w:r>
            <w:r w:rsidR="00F96936">
              <w:t xml:space="preserve"> – are recorded</w:t>
            </w:r>
            <w:r w:rsidR="00B74EC2">
              <w:t xml:space="preserve">. Multiple start and end times </w:t>
            </w:r>
            <w:r w:rsidR="00F96936">
              <w:t xml:space="preserve">are </w:t>
            </w:r>
            <w:r w:rsidR="00B74EC2">
              <w:t>recorded in the hospital feeder system and used to allocate costs</w:t>
            </w:r>
            <w:r w:rsidR="00C64BDC">
              <w:t>.</w:t>
            </w:r>
          </w:p>
        </w:tc>
        <w:tc>
          <w:tcPr>
            <w:tcW w:w="4536" w:type="dxa"/>
          </w:tcPr>
          <w:p w:rsidR="00972605" w:rsidRDefault="00972605" w:rsidP="009C4A5D">
            <w:pPr>
              <w:pStyle w:val="PwCNormal"/>
              <w:numPr>
                <w:ilvl w:val="0"/>
                <w:numId w:val="41"/>
              </w:numPr>
              <w:spacing w:after="0"/>
              <w:ind w:left="458" w:hanging="284"/>
            </w:pPr>
            <w:r>
              <w:t>Canberra Hospital (ACT)</w:t>
            </w:r>
          </w:p>
          <w:p w:rsidR="00972605" w:rsidRDefault="00972605" w:rsidP="009C4A5D">
            <w:pPr>
              <w:pStyle w:val="PwCNormal"/>
              <w:numPr>
                <w:ilvl w:val="0"/>
                <w:numId w:val="41"/>
              </w:numPr>
              <w:spacing w:after="0"/>
              <w:ind w:left="458" w:hanging="284"/>
            </w:pPr>
            <w:r>
              <w:t>Sydney LHD (NSW)</w:t>
            </w:r>
          </w:p>
          <w:p w:rsidR="001E1B5F" w:rsidRDefault="00972605" w:rsidP="009C4A5D">
            <w:pPr>
              <w:pStyle w:val="PwCNormal"/>
              <w:numPr>
                <w:ilvl w:val="0"/>
                <w:numId w:val="41"/>
              </w:numPr>
              <w:spacing w:after="0"/>
              <w:ind w:left="458" w:hanging="284"/>
            </w:pPr>
            <w:r>
              <w:t>Katherine Hospital (NT)</w:t>
            </w:r>
          </w:p>
          <w:p w:rsidR="00972605" w:rsidRDefault="00972605" w:rsidP="009C4A5D">
            <w:pPr>
              <w:pStyle w:val="PwCNormal"/>
              <w:numPr>
                <w:ilvl w:val="0"/>
                <w:numId w:val="41"/>
              </w:numPr>
              <w:spacing w:after="0"/>
              <w:ind w:left="458" w:hanging="284"/>
            </w:pPr>
            <w:r>
              <w:t xml:space="preserve">Townsville </w:t>
            </w:r>
            <w:r w:rsidR="005C2658">
              <w:t>HHS</w:t>
            </w:r>
            <w:r>
              <w:t xml:space="preserve"> (QLD)</w:t>
            </w:r>
          </w:p>
          <w:p w:rsidR="00972605" w:rsidRDefault="00972605" w:rsidP="009C4A5D">
            <w:pPr>
              <w:pStyle w:val="PwCNormal"/>
              <w:numPr>
                <w:ilvl w:val="0"/>
                <w:numId w:val="41"/>
              </w:numPr>
              <w:spacing w:after="0"/>
              <w:ind w:left="458" w:hanging="284"/>
            </w:pPr>
            <w:r>
              <w:t xml:space="preserve">Sunshine Coast </w:t>
            </w:r>
            <w:r w:rsidR="005C2658">
              <w:t>HHS</w:t>
            </w:r>
            <w:r>
              <w:t xml:space="preserve"> (QLD)</w:t>
            </w:r>
          </w:p>
          <w:p w:rsidR="00972605" w:rsidRDefault="005C2658" w:rsidP="009C4A5D">
            <w:pPr>
              <w:pStyle w:val="PwCNormal"/>
              <w:numPr>
                <w:ilvl w:val="0"/>
                <w:numId w:val="41"/>
              </w:numPr>
              <w:spacing w:after="0"/>
              <w:ind w:left="458" w:hanging="284"/>
            </w:pPr>
            <w:r>
              <w:t>Wide Bay HHS (Bu</w:t>
            </w:r>
            <w:r w:rsidR="00972605">
              <w:t>ndaberg</w:t>
            </w:r>
            <w:r>
              <w:t>)</w:t>
            </w:r>
            <w:r w:rsidR="00972605">
              <w:t xml:space="preserve"> (QLD)</w:t>
            </w:r>
          </w:p>
          <w:p w:rsidR="00972605" w:rsidRDefault="00972605" w:rsidP="009C4A5D">
            <w:pPr>
              <w:pStyle w:val="PwCNormal"/>
              <w:numPr>
                <w:ilvl w:val="0"/>
                <w:numId w:val="41"/>
              </w:numPr>
              <w:spacing w:after="0"/>
              <w:ind w:left="458" w:hanging="284"/>
            </w:pPr>
            <w:r>
              <w:t>Flinders Medical Centre (SA)</w:t>
            </w:r>
          </w:p>
          <w:p w:rsidR="00972605" w:rsidRDefault="00972605" w:rsidP="009C4A5D">
            <w:pPr>
              <w:pStyle w:val="PwCNormal"/>
              <w:numPr>
                <w:ilvl w:val="0"/>
                <w:numId w:val="41"/>
              </w:numPr>
              <w:spacing w:after="0"/>
              <w:ind w:left="458" w:hanging="284"/>
            </w:pPr>
            <w:r>
              <w:t>Noarlunga Health Service (SA)</w:t>
            </w:r>
          </w:p>
          <w:p w:rsidR="00972605" w:rsidRDefault="00972605" w:rsidP="009C4A5D">
            <w:pPr>
              <w:pStyle w:val="PwCNormal"/>
              <w:numPr>
                <w:ilvl w:val="0"/>
                <w:numId w:val="41"/>
              </w:numPr>
              <w:spacing w:after="0"/>
              <w:ind w:left="458" w:hanging="284"/>
            </w:pPr>
            <w:r>
              <w:t>Royal Hobart Hospital (TAS)</w:t>
            </w:r>
          </w:p>
          <w:p w:rsidR="00972605" w:rsidRDefault="00972605" w:rsidP="009C4A5D">
            <w:pPr>
              <w:pStyle w:val="PwCNormal"/>
              <w:numPr>
                <w:ilvl w:val="0"/>
                <w:numId w:val="41"/>
              </w:numPr>
              <w:spacing w:after="0"/>
              <w:ind w:left="458" w:hanging="284"/>
            </w:pPr>
            <w:r>
              <w:t>Barwon Health (VIC)</w:t>
            </w:r>
          </w:p>
          <w:p w:rsidR="00972605" w:rsidRDefault="00972605" w:rsidP="009C4A5D">
            <w:pPr>
              <w:pStyle w:val="PwCNormal"/>
              <w:numPr>
                <w:ilvl w:val="0"/>
                <w:numId w:val="41"/>
              </w:numPr>
              <w:spacing w:after="0"/>
              <w:ind w:left="458" w:hanging="284"/>
            </w:pPr>
            <w:r>
              <w:t>Western Health (VIC)</w:t>
            </w:r>
          </w:p>
          <w:p w:rsidR="00322637" w:rsidRDefault="00972605" w:rsidP="009C4A5D">
            <w:pPr>
              <w:pStyle w:val="PwCNormal"/>
              <w:numPr>
                <w:ilvl w:val="0"/>
                <w:numId w:val="41"/>
              </w:numPr>
              <w:spacing w:after="0"/>
              <w:ind w:left="458" w:hanging="284"/>
            </w:pPr>
            <w:r>
              <w:t>Swan District Hospital (WA)</w:t>
            </w:r>
          </w:p>
        </w:tc>
      </w:tr>
      <w:tr w:rsidR="00B74EC2" w:rsidTr="00972605">
        <w:tc>
          <w:tcPr>
            <w:tcW w:w="4644" w:type="dxa"/>
          </w:tcPr>
          <w:p w:rsidR="00B74EC2" w:rsidRDefault="00792CE8" w:rsidP="004C45FB">
            <w:pPr>
              <w:pStyle w:val="PwCNormal"/>
              <w:numPr>
                <w:ilvl w:val="0"/>
                <w:numId w:val="0"/>
              </w:numPr>
              <w:rPr>
                <w:rFonts w:asciiTheme="majorHAnsi" w:hAnsiTheme="majorHAnsi"/>
                <w:b/>
                <w:i/>
                <w:iCs/>
                <w:snapToGrid/>
                <w:color w:val="A32020" w:themeColor="text2"/>
                <w:sz w:val="32"/>
                <w:szCs w:val="36"/>
              </w:rPr>
            </w:pPr>
            <w:r>
              <w:t xml:space="preserve">All theatre costs </w:t>
            </w:r>
            <w:r w:rsidR="00F96936">
              <w:t xml:space="preserve">are </w:t>
            </w:r>
            <w:r>
              <w:t>allocated based on t</w:t>
            </w:r>
            <w:r w:rsidR="00B928F4">
              <w:t>otal time (including anaesthetic start</w:t>
            </w:r>
            <w:r>
              <w:t xml:space="preserve"> and </w:t>
            </w:r>
            <w:r w:rsidR="00B928F4">
              <w:t>end</w:t>
            </w:r>
            <w:r>
              <w:t xml:space="preserve"> time</w:t>
            </w:r>
            <w:r w:rsidR="00B928F4">
              <w:t>, total surgical time and recovery time)</w:t>
            </w:r>
            <w:r>
              <w:t>.</w:t>
            </w:r>
            <w:r w:rsidR="00B928F4">
              <w:t xml:space="preserve"> </w:t>
            </w:r>
          </w:p>
        </w:tc>
        <w:tc>
          <w:tcPr>
            <w:tcW w:w="4536" w:type="dxa"/>
          </w:tcPr>
          <w:p w:rsidR="00B928F4" w:rsidRDefault="00972605" w:rsidP="009C4A5D">
            <w:pPr>
              <w:pStyle w:val="PwCNormal"/>
              <w:numPr>
                <w:ilvl w:val="0"/>
                <w:numId w:val="41"/>
              </w:numPr>
              <w:spacing w:after="0"/>
              <w:ind w:left="458" w:hanging="284"/>
            </w:pPr>
            <w:r>
              <w:t>Royal Perth Hospital (WA)</w:t>
            </w:r>
          </w:p>
        </w:tc>
      </w:tr>
      <w:tr w:rsidR="00B74EC2" w:rsidTr="00972605">
        <w:tc>
          <w:tcPr>
            <w:tcW w:w="4644" w:type="dxa"/>
          </w:tcPr>
          <w:p w:rsidR="00B74EC2" w:rsidRDefault="00792CE8" w:rsidP="004C45FB">
            <w:pPr>
              <w:pStyle w:val="PwCNormal"/>
              <w:numPr>
                <w:ilvl w:val="0"/>
                <w:numId w:val="0"/>
              </w:numPr>
              <w:rPr>
                <w:rFonts w:asciiTheme="majorHAnsi" w:hAnsiTheme="majorHAnsi"/>
                <w:b/>
                <w:i/>
                <w:iCs/>
                <w:snapToGrid/>
                <w:color w:val="A32020" w:themeColor="text2"/>
                <w:sz w:val="32"/>
                <w:szCs w:val="36"/>
              </w:rPr>
            </w:pPr>
            <w:r>
              <w:t xml:space="preserve">Total theatre costs </w:t>
            </w:r>
            <w:r w:rsidR="00F96936">
              <w:t xml:space="preserve">are </w:t>
            </w:r>
            <w:r>
              <w:t>allocated based on s</w:t>
            </w:r>
            <w:r w:rsidR="00915ADF">
              <w:t>ervice weights</w:t>
            </w:r>
            <w:r>
              <w:t>.</w:t>
            </w:r>
            <w:r w:rsidR="00B74EC2">
              <w:t xml:space="preserve"> </w:t>
            </w:r>
          </w:p>
        </w:tc>
        <w:tc>
          <w:tcPr>
            <w:tcW w:w="4536" w:type="dxa"/>
          </w:tcPr>
          <w:p w:rsidR="00972605" w:rsidRDefault="00972605" w:rsidP="009C4A5D">
            <w:pPr>
              <w:pStyle w:val="PwCNormal"/>
              <w:numPr>
                <w:ilvl w:val="0"/>
                <w:numId w:val="41"/>
              </w:numPr>
              <w:spacing w:after="0"/>
              <w:ind w:left="458" w:hanging="284"/>
            </w:pPr>
            <w:r>
              <w:t>South West Sydney LHD (NSW)</w:t>
            </w:r>
          </w:p>
          <w:p w:rsidR="00B74EC2" w:rsidRDefault="00972605" w:rsidP="009C4A5D">
            <w:pPr>
              <w:pStyle w:val="PwCNormal"/>
              <w:numPr>
                <w:ilvl w:val="0"/>
                <w:numId w:val="41"/>
              </w:numPr>
              <w:spacing w:after="0"/>
              <w:ind w:left="458" w:hanging="284"/>
            </w:pPr>
            <w:r>
              <w:t>Mid North Coast LHD (NSW)</w:t>
            </w:r>
          </w:p>
        </w:tc>
      </w:tr>
    </w:tbl>
    <w:p w:rsidR="00102376" w:rsidRDefault="003C0DA7" w:rsidP="00F14628">
      <w:pPr>
        <w:pStyle w:val="PwCNormal"/>
        <w:numPr>
          <w:ilvl w:val="0"/>
          <w:numId w:val="0"/>
        </w:numPr>
        <w:spacing w:before="240"/>
      </w:pPr>
      <w:r>
        <w:t xml:space="preserve">Given the nature of theatre and the patients who use this service, </w:t>
      </w:r>
      <w:r w:rsidR="009E72B0">
        <w:t xml:space="preserve">most </w:t>
      </w:r>
      <w:r w:rsidR="004C45FB">
        <w:t>participating sites</w:t>
      </w:r>
      <w:r w:rsidR="009E72B0">
        <w:t xml:space="preserve"> link</w:t>
      </w:r>
      <w:r w:rsidR="004C45FB">
        <w:t>ed</w:t>
      </w:r>
      <w:r w:rsidR="009E72B0">
        <w:t xml:space="preserve"> </w:t>
      </w:r>
      <w:r w:rsidR="004C45FB">
        <w:t xml:space="preserve">all </w:t>
      </w:r>
      <w:r>
        <w:t xml:space="preserve">theatre services to inpatients. Some </w:t>
      </w:r>
      <w:r w:rsidR="004C45FB">
        <w:t>sites</w:t>
      </w:r>
      <w:r>
        <w:t xml:space="preserve"> use their </w:t>
      </w:r>
      <w:r w:rsidR="00915ADF">
        <w:t>Patient Administration System (</w:t>
      </w:r>
      <w:r>
        <w:t>PAS</w:t>
      </w:r>
      <w:r w:rsidR="00915ADF">
        <w:t>)</w:t>
      </w:r>
      <w:r>
        <w:t xml:space="preserve"> to record theatre times, which means the patient </w:t>
      </w:r>
      <w:r w:rsidR="009E72B0">
        <w:t>must be</w:t>
      </w:r>
      <w:r w:rsidR="00F14628">
        <w:t xml:space="preserve"> </w:t>
      </w:r>
      <w:r>
        <w:t>recorded as an admitted patient in order to receive surgery.</w:t>
      </w:r>
      <w:r w:rsidR="002C1701">
        <w:t xml:space="preserve"> Due to this </w:t>
      </w:r>
      <w:r w:rsidR="00F14628">
        <w:t>process</w:t>
      </w:r>
      <w:r w:rsidR="002C1701">
        <w:t>, participating sites linked records directly to patients using an encounter number or had very tight linking rules (up to 24 hours).</w:t>
      </w:r>
    </w:p>
    <w:p w:rsidR="003C0DA7" w:rsidRDefault="003C0DA7" w:rsidP="00140691">
      <w:pPr>
        <w:pStyle w:val="PwCNormal"/>
        <w:numPr>
          <w:ilvl w:val="0"/>
          <w:numId w:val="0"/>
        </w:numPr>
      </w:pPr>
      <w:r>
        <w:t>Only one site had a high p</w:t>
      </w:r>
      <w:r w:rsidR="007C6718">
        <w:t>roportion of unlinked services</w:t>
      </w:r>
      <w:r w:rsidR="009E72B0">
        <w:t xml:space="preserve">, due to </w:t>
      </w:r>
      <w:r>
        <w:t>a data quality issue with the feeder system.</w:t>
      </w:r>
      <w:r w:rsidR="00915ADF">
        <w:t xml:space="preserve"> This meant that approximately 32% of theatre activity</w:t>
      </w:r>
      <w:r w:rsidR="009E72B0">
        <w:t xml:space="preserve"> at the site</w:t>
      </w:r>
      <w:r w:rsidR="00915ADF">
        <w:t xml:space="preserve"> remained unlinked</w:t>
      </w:r>
      <w:r w:rsidR="009E64DF" w:rsidRPr="009E64DF">
        <w:t xml:space="preserve"> </w:t>
      </w:r>
      <w:r w:rsidR="009E64DF">
        <w:t xml:space="preserve">and </w:t>
      </w:r>
      <w:r w:rsidR="009E72B0">
        <w:t xml:space="preserve">was </w:t>
      </w:r>
      <w:r w:rsidR="009E64DF">
        <w:t>excluded from the submission to the IHPA</w:t>
      </w:r>
      <w:r w:rsidR="00915ADF">
        <w:t>.</w:t>
      </w:r>
      <w:r>
        <w:t xml:space="preserve"> All other sites </w:t>
      </w:r>
      <w:r w:rsidR="00F17E21">
        <w:t xml:space="preserve">that used a theatre </w:t>
      </w:r>
      <w:r>
        <w:t xml:space="preserve">recorded </w:t>
      </w:r>
      <w:r w:rsidR="00915ADF">
        <w:t>either</w:t>
      </w:r>
      <w:r>
        <w:t xml:space="preserve"> very low or no unlinked services (less </w:t>
      </w:r>
      <w:r w:rsidR="002C1701">
        <w:t>than 0.2%).</w:t>
      </w:r>
    </w:p>
    <w:p w:rsidR="00915ADF" w:rsidRDefault="00915ADF" w:rsidP="00140691">
      <w:pPr>
        <w:pStyle w:val="PwCNormal"/>
        <w:numPr>
          <w:ilvl w:val="0"/>
          <w:numId w:val="0"/>
        </w:numPr>
      </w:pPr>
      <w:r>
        <w:t>T</w:t>
      </w:r>
      <w:r w:rsidRPr="00915ADF">
        <w:t xml:space="preserve">here </w:t>
      </w:r>
      <w:r w:rsidR="006359D6">
        <w:t>is a slight difference in the</w:t>
      </w:r>
      <w:r w:rsidRPr="00915ADF">
        <w:t xml:space="preserve"> methods </w:t>
      </w:r>
      <w:r w:rsidR="009E72B0">
        <w:t xml:space="preserve">different participants </w:t>
      </w:r>
      <w:r w:rsidRPr="00915ADF">
        <w:t>used to allocate theatre costs</w:t>
      </w:r>
      <w:r w:rsidR="009E72B0">
        <w:t xml:space="preserve">; </w:t>
      </w:r>
      <w:r w:rsidR="006359D6">
        <w:t>however</w:t>
      </w:r>
      <w:r w:rsidR="009E72B0">
        <w:t>,</w:t>
      </w:r>
      <w:r w:rsidR="006359D6">
        <w:t xml:space="preserve"> </w:t>
      </w:r>
      <w:r w:rsidR="009E72B0">
        <w:t>most used</w:t>
      </w:r>
      <w:r w:rsidRPr="00915ADF">
        <w:t xml:space="preserve"> theatre minutes broken down by intermediate product such as preparation time, theatre time</w:t>
      </w:r>
      <w:r w:rsidR="001F2669">
        <w:t xml:space="preserve"> and</w:t>
      </w:r>
      <w:r w:rsidRPr="00915ADF">
        <w:t xml:space="preserve"> recovery time. </w:t>
      </w:r>
      <w:r w:rsidR="006359D6">
        <w:t>Some participants</w:t>
      </w:r>
      <w:r w:rsidRPr="00915ADF">
        <w:t xml:space="preserve"> incorporat</w:t>
      </w:r>
      <w:r w:rsidR="006359D6">
        <w:t>ed</w:t>
      </w:r>
      <w:r w:rsidRPr="00915ADF">
        <w:t xml:space="preserve"> the actual number and type of staff </w:t>
      </w:r>
      <w:r w:rsidR="009E72B0">
        <w:t xml:space="preserve">members </w:t>
      </w:r>
      <w:r w:rsidRPr="00915ADF">
        <w:t xml:space="preserve">who were </w:t>
      </w:r>
      <w:r>
        <w:t>present in the surgical theatre</w:t>
      </w:r>
      <w:r w:rsidR="006359D6">
        <w:t xml:space="preserve">, which increased the </w:t>
      </w:r>
      <w:r w:rsidR="009E72B0">
        <w:t xml:space="preserve">surgery time </w:t>
      </w:r>
      <w:r w:rsidR="006359D6">
        <w:t xml:space="preserve">weighting for patients </w:t>
      </w:r>
      <w:r w:rsidR="009E72B0">
        <w:t xml:space="preserve">who </w:t>
      </w:r>
      <w:r w:rsidR="006359D6">
        <w:t>ha</w:t>
      </w:r>
      <w:r w:rsidR="009E72B0">
        <w:t>d</w:t>
      </w:r>
      <w:r w:rsidR="006359D6">
        <w:t xml:space="preserve"> several clinicians in theatre for the operation</w:t>
      </w:r>
      <w:r>
        <w:t>.</w:t>
      </w:r>
    </w:p>
    <w:p w:rsidR="00102376" w:rsidRDefault="00102376" w:rsidP="00140691">
      <w:pPr>
        <w:pStyle w:val="PwCNormal"/>
        <w:numPr>
          <w:ilvl w:val="0"/>
          <w:numId w:val="0"/>
        </w:numPr>
        <w:rPr>
          <w:b/>
        </w:rPr>
      </w:pPr>
      <w:r>
        <w:rPr>
          <w:b/>
        </w:rPr>
        <w:t xml:space="preserve">Ward </w:t>
      </w:r>
      <w:r w:rsidR="009E72B0">
        <w:rPr>
          <w:b/>
        </w:rPr>
        <w:t>n</w:t>
      </w:r>
      <w:r>
        <w:rPr>
          <w:b/>
        </w:rPr>
        <w:t>ursing</w:t>
      </w:r>
    </w:p>
    <w:p w:rsidR="00C64BDC" w:rsidRDefault="005507BE" w:rsidP="00140691">
      <w:pPr>
        <w:pStyle w:val="PwCNormal"/>
        <w:numPr>
          <w:ilvl w:val="0"/>
          <w:numId w:val="0"/>
        </w:numPr>
      </w:pPr>
      <w:r w:rsidRPr="005507BE">
        <w:t>Participating sites were al</w:t>
      </w:r>
      <w:r>
        <w:t xml:space="preserve">so relatively consistent in their approach to allocating ward nursing costs to patients. </w:t>
      </w:r>
      <w:r w:rsidR="008379DC">
        <w:fldChar w:fldCharType="begin"/>
      </w:r>
      <w:r w:rsidR="00061880">
        <w:instrText xml:space="preserve"> REF _Ref398759546 \h </w:instrText>
      </w:r>
      <w:r w:rsidR="008379DC">
        <w:fldChar w:fldCharType="separate"/>
      </w:r>
      <w:r w:rsidR="00575DFC">
        <w:t xml:space="preserve">Table </w:t>
      </w:r>
      <w:r w:rsidR="00575DFC">
        <w:rPr>
          <w:noProof/>
        </w:rPr>
        <w:t>4</w:t>
      </w:r>
      <w:r w:rsidR="008379DC">
        <w:fldChar w:fldCharType="end"/>
      </w:r>
      <w:r w:rsidR="00061880">
        <w:t xml:space="preserve"> lists the methodologies used to allocate </w:t>
      </w:r>
      <w:r w:rsidR="00613A2F">
        <w:t>ward nursing</w:t>
      </w:r>
      <w:r w:rsidR="00061880">
        <w:t xml:space="preserve"> costs</w:t>
      </w:r>
      <w:r w:rsidR="009E72B0">
        <w:t>,</w:t>
      </w:r>
      <w:r w:rsidR="00061880">
        <w:t xml:space="preserve"> and the sites that used them</w:t>
      </w:r>
      <w:r w:rsidR="009E72B0">
        <w:t>.</w:t>
      </w:r>
    </w:p>
    <w:p w:rsidR="005507BE" w:rsidRDefault="005507BE" w:rsidP="005507BE">
      <w:pPr>
        <w:pStyle w:val="Caption"/>
      </w:pPr>
      <w:bookmarkStart w:id="36" w:name="_Ref398759546"/>
      <w:r>
        <w:t xml:space="preserve">Table </w:t>
      </w:r>
      <w:r w:rsidR="008379DC">
        <w:fldChar w:fldCharType="begin"/>
      </w:r>
      <w:r w:rsidR="009E64DF">
        <w:instrText xml:space="preserve"> SEQ Table \* ARABIC </w:instrText>
      </w:r>
      <w:r w:rsidR="008379DC">
        <w:fldChar w:fldCharType="separate"/>
      </w:r>
      <w:r w:rsidR="00575DFC">
        <w:rPr>
          <w:noProof/>
        </w:rPr>
        <w:t>4</w:t>
      </w:r>
      <w:r w:rsidR="008379DC">
        <w:rPr>
          <w:noProof/>
        </w:rPr>
        <w:fldChar w:fldCharType="end"/>
      </w:r>
      <w:bookmarkEnd w:id="36"/>
      <w:r>
        <w:t xml:space="preserve">: </w:t>
      </w:r>
      <w:r w:rsidRPr="00C44FBE">
        <w:t xml:space="preserve">List of </w:t>
      </w:r>
      <w:r>
        <w:t>ward nursing</w:t>
      </w:r>
      <w:r w:rsidRPr="00C44FBE">
        <w:t xml:space="preserve"> allocation methodologies used by participating sites</w:t>
      </w:r>
    </w:p>
    <w:tbl>
      <w:tblPr>
        <w:tblStyle w:val="Tables-APBase"/>
        <w:tblW w:w="9180" w:type="dxa"/>
        <w:tblLook w:val="04A0" w:firstRow="1" w:lastRow="0" w:firstColumn="1" w:lastColumn="0" w:noHBand="0" w:noVBand="1"/>
        <w:tblCaption w:val="List of ward nursing allocation methodologies used by participating sites"/>
        <w:tblDescription w:val="This table describes the two methodologies used by participating sites."/>
      </w:tblPr>
      <w:tblGrid>
        <w:gridCol w:w="4644"/>
        <w:gridCol w:w="4536"/>
      </w:tblGrid>
      <w:tr w:rsidR="00972605" w:rsidRPr="00B74EC2" w:rsidTr="0032705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44" w:type="dxa"/>
            <w:vAlign w:val="center"/>
          </w:tcPr>
          <w:p w:rsidR="00972605" w:rsidRPr="00B74EC2" w:rsidRDefault="00972605" w:rsidP="00972605">
            <w:pPr>
              <w:pStyle w:val="PwCNormal"/>
              <w:numPr>
                <w:ilvl w:val="0"/>
                <w:numId w:val="0"/>
              </w:numPr>
              <w:spacing w:before="40" w:after="40"/>
              <w:rPr>
                <w:b/>
              </w:rPr>
            </w:pPr>
            <w:r w:rsidRPr="00B74EC2">
              <w:rPr>
                <w:b/>
              </w:rPr>
              <w:t>Methodology</w:t>
            </w:r>
          </w:p>
        </w:tc>
        <w:tc>
          <w:tcPr>
            <w:tcW w:w="4536" w:type="dxa"/>
            <w:vAlign w:val="center"/>
          </w:tcPr>
          <w:p w:rsidR="00972605" w:rsidRPr="00B74EC2" w:rsidRDefault="00972605" w:rsidP="008D0D75">
            <w:pPr>
              <w:pStyle w:val="PwCNormal"/>
              <w:numPr>
                <w:ilvl w:val="0"/>
                <w:numId w:val="0"/>
              </w:numPr>
              <w:spacing w:before="40" w:after="40"/>
              <w:cnfStyle w:val="100000000000" w:firstRow="1" w:lastRow="0" w:firstColumn="0" w:lastColumn="0" w:oddVBand="0" w:evenVBand="0" w:oddHBand="0" w:evenHBand="0" w:firstRowFirstColumn="0" w:firstRowLastColumn="0" w:lastRowFirstColumn="0" w:lastRowLastColumn="0"/>
              <w:rPr>
                <w:b/>
              </w:rPr>
            </w:pPr>
            <w:r w:rsidRPr="00B74EC2">
              <w:rPr>
                <w:b/>
              </w:rPr>
              <w:t>Participating site</w:t>
            </w:r>
            <w:r>
              <w:rPr>
                <w:b/>
              </w:rPr>
              <w:t xml:space="preserve"> using this methodology</w:t>
            </w:r>
          </w:p>
        </w:tc>
      </w:tr>
      <w:tr w:rsidR="00972605" w:rsidTr="00327058">
        <w:tc>
          <w:tcPr>
            <w:tcW w:w="4644" w:type="dxa"/>
          </w:tcPr>
          <w:p w:rsidR="00972605" w:rsidRDefault="00F96936" w:rsidP="005C2658">
            <w:pPr>
              <w:pStyle w:val="PwCNormal"/>
              <w:numPr>
                <w:ilvl w:val="0"/>
                <w:numId w:val="0"/>
              </w:numPr>
              <w:tabs>
                <w:tab w:val="left" w:pos="3969"/>
              </w:tabs>
              <w:rPr>
                <w:rFonts w:asciiTheme="majorHAnsi" w:hAnsiTheme="majorHAnsi"/>
                <w:b/>
                <w:i/>
                <w:iCs/>
                <w:snapToGrid/>
                <w:color w:val="A32020" w:themeColor="text2"/>
                <w:sz w:val="32"/>
                <w:szCs w:val="36"/>
              </w:rPr>
            </w:pPr>
            <w:r>
              <w:t xml:space="preserve">A nursing </w:t>
            </w:r>
            <w:r w:rsidR="00972605">
              <w:t>dependency system records nursing activity per patient. Nursing time is used as a driver of ward nursing costs allocated to patients</w:t>
            </w:r>
          </w:p>
        </w:tc>
        <w:tc>
          <w:tcPr>
            <w:tcW w:w="4536" w:type="dxa"/>
          </w:tcPr>
          <w:p w:rsidR="00972605" w:rsidRDefault="00972605" w:rsidP="009C4A5D">
            <w:pPr>
              <w:pStyle w:val="PwCNormal"/>
              <w:numPr>
                <w:ilvl w:val="0"/>
                <w:numId w:val="41"/>
              </w:numPr>
              <w:spacing w:after="0"/>
              <w:ind w:left="458" w:hanging="284"/>
            </w:pPr>
            <w:r>
              <w:t>Flinders Medical Centre (SA)</w:t>
            </w:r>
          </w:p>
          <w:p w:rsidR="00972605" w:rsidRDefault="00972605" w:rsidP="009C4A5D">
            <w:pPr>
              <w:pStyle w:val="PwCNormal"/>
              <w:numPr>
                <w:ilvl w:val="0"/>
                <w:numId w:val="41"/>
              </w:numPr>
              <w:spacing w:after="0"/>
              <w:ind w:left="458" w:hanging="284"/>
            </w:pPr>
            <w:r>
              <w:t xml:space="preserve">Townsville </w:t>
            </w:r>
            <w:r w:rsidR="005C2658">
              <w:t>HHS</w:t>
            </w:r>
            <w:r>
              <w:t xml:space="preserve"> (QLD)</w:t>
            </w:r>
          </w:p>
          <w:p w:rsidR="00972605" w:rsidRDefault="00972605" w:rsidP="009C4A5D">
            <w:pPr>
              <w:pStyle w:val="PwCNormal"/>
              <w:numPr>
                <w:ilvl w:val="0"/>
                <w:numId w:val="41"/>
              </w:numPr>
              <w:spacing w:after="0"/>
              <w:ind w:left="458" w:hanging="284"/>
            </w:pPr>
            <w:r>
              <w:t xml:space="preserve">Sunshine Coast </w:t>
            </w:r>
            <w:r w:rsidR="005C2658">
              <w:t>HHS</w:t>
            </w:r>
            <w:r>
              <w:t xml:space="preserve"> (QLD)</w:t>
            </w:r>
          </w:p>
          <w:p w:rsidR="00972605" w:rsidRDefault="005C2658" w:rsidP="005C2658">
            <w:pPr>
              <w:pStyle w:val="PwCNormal"/>
              <w:numPr>
                <w:ilvl w:val="0"/>
                <w:numId w:val="41"/>
              </w:numPr>
              <w:spacing w:after="0"/>
              <w:ind w:left="458" w:hanging="284"/>
              <w:rPr>
                <w:snapToGrid/>
              </w:rPr>
            </w:pPr>
            <w:r>
              <w:t>Wide Bay HHS (</w:t>
            </w:r>
            <w:r w:rsidR="00972605">
              <w:t>Bundaberg</w:t>
            </w:r>
            <w:r>
              <w:t>)</w:t>
            </w:r>
            <w:r w:rsidR="00972605">
              <w:t xml:space="preserve"> (QLD)</w:t>
            </w:r>
          </w:p>
        </w:tc>
      </w:tr>
      <w:tr w:rsidR="00972605" w:rsidTr="00327058">
        <w:tc>
          <w:tcPr>
            <w:tcW w:w="4644" w:type="dxa"/>
          </w:tcPr>
          <w:p w:rsidR="00972605" w:rsidRDefault="00972605" w:rsidP="008D0D75">
            <w:pPr>
              <w:pStyle w:val="PwCNormal"/>
              <w:numPr>
                <w:ilvl w:val="0"/>
                <w:numId w:val="0"/>
              </w:numPr>
              <w:tabs>
                <w:tab w:val="left" w:pos="3969"/>
              </w:tabs>
            </w:pPr>
            <w:r>
              <w:t xml:space="preserve">Total </w:t>
            </w:r>
            <w:r w:rsidR="00820D3F">
              <w:t xml:space="preserve">annual </w:t>
            </w:r>
            <w:r>
              <w:t xml:space="preserve">nursing costs sit in the ward cost centre </w:t>
            </w:r>
            <w:r w:rsidR="00F96936">
              <w:t>and are</w:t>
            </w:r>
            <w:r>
              <w:t xml:space="preserve"> allocated to patients on a fractional bed</w:t>
            </w:r>
            <w:r w:rsidR="00F96936">
              <w:t>-</w:t>
            </w:r>
            <w:r>
              <w:t>day basis, calculated using ward transfer files.</w:t>
            </w:r>
          </w:p>
        </w:tc>
        <w:tc>
          <w:tcPr>
            <w:tcW w:w="4536" w:type="dxa"/>
          </w:tcPr>
          <w:p w:rsidR="00972605" w:rsidRDefault="00972605" w:rsidP="009C4A5D">
            <w:pPr>
              <w:pStyle w:val="PwCNormal"/>
              <w:numPr>
                <w:ilvl w:val="0"/>
                <w:numId w:val="41"/>
              </w:numPr>
              <w:spacing w:after="0"/>
              <w:ind w:left="458" w:hanging="284"/>
            </w:pPr>
            <w:r>
              <w:t>Canberra Hospital (ACT)</w:t>
            </w:r>
          </w:p>
          <w:p w:rsidR="00972605" w:rsidRDefault="00972605" w:rsidP="009C4A5D">
            <w:pPr>
              <w:pStyle w:val="PwCNormal"/>
              <w:numPr>
                <w:ilvl w:val="0"/>
                <w:numId w:val="41"/>
              </w:numPr>
              <w:spacing w:after="0"/>
              <w:ind w:left="458" w:hanging="284"/>
            </w:pPr>
            <w:r>
              <w:t>Katherine Hospital (NT)</w:t>
            </w:r>
          </w:p>
          <w:p w:rsidR="00972605" w:rsidRDefault="00972605" w:rsidP="009C4A5D">
            <w:pPr>
              <w:pStyle w:val="PwCNormal"/>
              <w:numPr>
                <w:ilvl w:val="0"/>
                <w:numId w:val="41"/>
              </w:numPr>
              <w:spacing w:after="0"/>
              <w:ind w:left="458" w:hanging="284"/>
            </w:pPr>
            <w:r>
              <w:t>Sydney LHD (NSW)</w:t>
            </w:r>
          </w:p>
          <w:p w:rsidR="00972605" w:rsidRDefault="00972605" w:rsidP="009C4A5D">
            <w:pPr>
              <w:pStyle w:val="PwCNormal"/>
              <w:numPr>
                <w:ilvl w:val="0"/>
                <w:numId w:val="41"/>
              </w:numPr>
              <w:spacing w:after="0"/>
              <w:ind w:left="458" w:hanging="284"/>
            </w:pPr>
            <w:r>
              <w:t>South West Sydney LHD (NSW)</w:t>
            </w:r>
          </w:p>
          <w:p w:rsidR="00972605" w:rsidRDefault="00972605" w:rsidP="009C4A5D">
            <w:pPr>
              <w:pStyle w:val="PwCNormal"/>
              <w:numPr>
                <w:ilvl w:val="0"/>
                <w:numId w:val="41"/>
              </w:numPr>
              <w:spacing w:after="0"/>
              <w:ind w:left="458" w:hanging="284"/>
            </w:pPr>
            <w:r>
              <w:t>Mid North Coast LHD (NSW)</w:t>
            </w:r>
          </w:p>
          <w:p w:rsidR="00972605" w:rsidRDefault="00972605" w:rsidP="009C4A5D">
            <w:pPr>
              <w:pStyle w:val="PwCNormal"/>
              <w:numPr>
                <w:ilvl w:val="0"/>
                <w:numId w:val="41"/>
              </w:numPr>
              <w:spacing w:after="0"/>
              <w:ind w:left="458" w:hanging="284"/>
            </w:pPr>
            <w:r>
              <w:lastRenderedPageBreak/>
              <w:t xml:space="preserve">Noarlunga </w:t>
            </w:r>
            <w:r w:rsidR="009E72B0">
              <w:t>Hospital</w:t>
            </w:r>
            <w:r>
              <w:t xml:space="preserve"> (SA)</w:t>
            </w:r>
          </w:p>
          <w:p w:rsidR="00972605" w:rsidRDefault="00972605" w:rsidP="009C4A5D">
            <w:pPr>
              <w:pStyle w:val="PwCNormal"/>
              <w:numPr>
                <w:ilvl w:val="0"/>
                <w:numId w:val="41"/>
              </w:numPr>
              <w:spacing w:after="0"/>
              <w:ind w:left="458" w:hanging="284"/>
            </w:pPr>
            <w:r>
              <w:t>Royal Hobart Hospital (TAS)</w:t>
            </w:r>
          </w:p>
          <w:p w:rsidR="00972605" w:rsidRDefault="00972605" w:rsidP="009C4A5D">
            <w:pPr>
              <w:pStyle w:val="PwCNormal"/>
              <w:numPr>
                <w:ilvl w:val="0"/>
                <w:numId w:val="41"/>
              </w:numPr>
              <w:spacing w:after="0"/>
              <w:ind w:left="458" w:hanging="284"/>
            </w:pPr>
            <w:r>
              <w:t>Barwon Health (VIC)</w:t>
            </w:r>
          </w:p>
          <w:p w:rsidR="00972605" w:rsidRDefault="00972605" w:rsidP="009C4A5D">
            <w:pPr>
              <w:pStyle w:val="PwCNormal"/>
              <w:numPr>
                <w:ilvl w:val="0"/>
                <w:numId w:val="41"/>
              </w:numPr>
              <w:spacing w:after="0"/>
              <w:ind w:left="458" w:hanging="284"/>
            </w:pPr>
            <w:r>
              <w:t>Western Health (VIC)</w:t>
            </w:r>
          </w:p>
          <w:p w:rsidR="00972605" w:rsidRDefault="00972605" w:rsidP="009C4A5D">
            <w:pPr>
              <w:pStyle w:val="PwCNormal"/>
              <w:numPr>
                <w:ilvl w:val="0"/>
                <w:numId w:val="41"/>
              </w:numPr>
              <w:spacing w:after="0"/>
              <w:ind w:left="458" w:hanging="284"/>
            </w:pPr>
            <w:r>
              <w:t>Royal Perth Hospital (WA)</w:t>
            </w:r>
          </w:p>
          <w:p w:rsidR="00972605" w:rsidRDefault="00972605" w:rsidP="005C2658">
            <w:pPr>
              <w:pStyle w:val="PwCNormal"/>
              <w:numPr>
                <w:ilvl w:val="0"/>
                <w:numId w:val="41"/>
              </w:numPr>
              <w:spacing w:after="0"/>
              <w:ind w:left="458" w:hanging="284"/>
            </w:pPr>
            <w:r>
              <w:t>Swan District Hospital (WA)</w:t>
            </w:r>
          </w:p>
        </w:tc>
      </w:tr>
    </w:tbl>
    <w:p w:rsidR="005507BE" w:rsidRDefault="00061880" w:rsidP="008A69C8">
      <w:pPr>
        <w:pStyle w:val="PwCNormal"/>
        <w:numPr>
          <w:ilvl w:val="0"/>
          <w:numId w:val="0"/>
        </w:numPr>
        <w:spacing w:before="240"/>
      </w:pPr>
      <w:r>
        <w:lastRenderedPageBreak/>
        <w:t>All</w:t>
      </w:r>
      <w:r w:rsidR="005507BE">
        <w:t xml:space="preserve"> participants </w:t>
      </w:r>
      <w:r>
        <w:t xml:space="preserve">that allocated ward nursing costs using fractional bed days </w:t>
      </w:r>
      <w:r w:rsidR="005507BE">
        <w:t xml:space="preserve">noted that the feeder system </w:t>
      </w:r>
      <w:r>
        <w:t xml:space="preserve">used </w:t>
      </w:r>
      <w:r w:rsidR="005507BE">
        <w:t xml:space="preserve">is </w:t>
      </w:r>
      <w:r w:rsidR="003149FF">
        <w:t>also</w:t>
      </w:r>
      <w:r w:rsidR="005507BE">
        <w:t xml:space="preserve"> the hospital PAS</w:t>
      </w:r>
      <w:r>
        <w:t>,</w:t>
      </w:r>
      <w:r w:rsidR="005507BE">
        <w:t xml:space="preserve"> </w:t>
      </w:r>
      <w:r w:rsidR="00F96936">
        <w:t>so</w:t>
      </w:r>
      <w:r w:rsidR="005507BE">
        <w:t xml:space="preserve"> patients </w:t>
      </w:r>
      <w:r>
        <w:t>were</w:t>
      </w:r>
      <w:r w:rsidR="005507BE">
        <w:t xml:space="preserve"> required to have an admitted episode number.</w:t>
      </w:r>
      <w:r w:rsidR="00B045E0">
        <w:t xml:space="preserve"> As such, </w:t>
      </w:r>
      <w:r w:rsidR="00F96936">
        <w:t xml:space="preserve">100% of </w:t>
      </w:r>
      <w:r w:rsidR="00B045E0">
        <w:t xml:space="preserve">transfer files linked to patient activity </w:t>
      </w:r>
      <w:r w:rsidR="00FA1E16">
        <w:t xml:space="preserve">except </w:t>
      </w:r>
      <w:r w:rsidR="00F96936">
        <w:t>in</w:t>
      </w:r>
      <w:r w:rsidR="00FA1E16">
        <w:t xml:space="preserve"> SA</w:t>
      </w:r>
      <w:r w:rsidR="00F96936">
        <w:t>,</w:t>
      </w:r>
      <w:r w:rsidR="00FA1E16">
        <w:t xml:space="preserve"> as noted on page </w:t>
      </w:r>
      <w:r w:rsidR="003149FF">
        <w:fldChar w:fldCharType="begin"/>
      </w:r>
      <w:r w:rsidR="003149FF">
        <w:instrText xml:space="preserve"> PAGEREF _Ref404340258 \h </w:instrText>
      </w:r>
      <w:r w:rsidR="003149FF">
        <w:fldChar w:fldCharType="separate"/>
      </w:r>
      <w:r w:rsidR="00575DFC">
        <w:rPr>
          <w:noProof/>
        </w:rPr>
        <w:t>85</w:t>
      </w:r>
      <w:r w:rsidR="003149FF">
        <w:fldChar w:fldCharType="end"/>
      </w:r>
      <w:r w:rsidR="00FA1E16">
        <w:t>.</w:t>
      </w:r>
    </w:p>
    <w:p w:rsidR="00061880" w:rsidRDefault="00061880" w:rsidP="00140691">
      <w:pPr>
        <w:pStyle w:val="PwCNormal"/>
        <w:numPr>
          <w:ilvl w:val="0"/>
          <w:numId w:val="0"/>
        </w:numPr>
      </w:pPr>
      <w:r>
        <w:t xml:space="preserve">QLD used a </w:t>
      </w:r>
      <w:r w:rsidR="002821F4">
        <w:t>state</w:t>
      </w:r>
      <w:r w:rsidR="00AD7003">
        <w:t xml:space="preserve"> </w:t>
      </w:r>
      <w:r w:rsidR="002821F4">
        <w:t>wide</w:t>
      </w:r>
      <w:r>
        <w:t xml:space="preserve"> system </w:t>
      </w:r>
      <w:r w:rsidR="00820D3F">
        <w:t xml:space="preserve">that </w:t>
      </w:r>
      <w:r w:rsidR="00F96936">
        <w:t>involves</w:t>
      </w:r>
      <w:r>
        <w:t xml:space="preserve"> nurses record</w:t>
      </w:r>
      <w:r w:rsidR="00F96936">
        <w:t>ing</w:t>
      </w:r>
      <w:r>
        <w:t xml:space="preserve"> processes and procedures performed on the patient (for example, dressing a wound). </w:t>
      </w:r>
      <w:r w:rsidR="00F96936">
        <w:t>The HHSs receive a</w:t>
      </w:r>
      <w:r>
        <w:t xml:space="preserve"> centrally developed</w:t>
      </w:r>
      <w:r w:rsidR="00B045E0">
        <w:t xml:space="preserve"> set of RVUs</w:t>
      </w:r>
      <w:r w:rsidR="00F96936">
        <w:t xml:space="preserve">, </w:t>
      </w:r>
      <w:r w:rsidR="00B045E0">
        <w:t xml:space="preserve">which provides a standard amount of time expected to perform those processes and procedures. </w:t>
      </w:r>
      <w:r w:rsidR="002821F4">
        <w:t xml:space="preserve">HHSs can tailor the RVUs given any local differences in practices, and they then use this RVU to allocate costs to each patient (for example, a wound dressing would have taken 20 minutes). </w:t>
      </w:r>
    </w:p>
    <w:p w:rsidR="00B045E0" w:rsidRDefault="00B045E0" w:rsidP="00140691">
      <w:pPr>
        <w:pStyle w:val="PwCNormal"/>
        <w:numPr>
          <w:ilvl w:val="0"/>
          <w:numId w:val="0"/>
        </w:numPr>
      </w:pPr>
      <w:r>
        <w:t xml:space="preserve">Given the investment required to implement and maintain a nursing dependency system, many jurisdictions continue to use fractional bed days to allocate costs to </w:t>
      </w:r>
      <w:r w:rsidR="00EC5F5A">
        <w:t>patients</w:t>
      </w:r>
      <w:r w:rsidR="00F96936">
        <w:t>, and</w:t>
      </w:r>
      <w:r w:rsidR="00EC5F5A">
        <w:t xml:space="preserve"> few </w:t>
      </w:r>
      <w:r w:rsidR="00F96936">
        <w:t xml:space="preserve">are </w:t>
      </w:r>
      <w:r w:rsidR="00EC5F5A">
        <w:t xml:space="preserve">planning </w:t>
      </w:r>
      <w:r w:rsidR="00F96936">
        <w:t xml:space="preserve">to </w:t>
      </w:r>
      <w:r w:rsidR="00EC5F5A">
        <w:t xml:space="preserve">switch to a nursing dependency system or other feeder data in the near future. It’s worth noting that the ward nursing cost bucket </w:t>
      </w:r>
      <w:r w:rsidR="00FA1E16">
        <w:t>accounts for</w:t>
      </w:r>
      <w:r w:rsidR="00EC5F5A">
        <w:t xml:space="preserve"> around 20% of the total cost of a DRG (based on the Round 16 </w:t>
      </w:r>
      <w:r w:rsidR="00F96936">
        <w:t xml:space="preserve">public </w:t>
      </w:r>
      <w:r w:rsidR="00EC5F5A">
        <w:t xml:space="preserve">sector cost weights). </w:t>
      </w:r>
    </w:p>
    <w:p w:rsidR="00102376" w:rsidRDefault="00102376" w:rsidP="00CE5EF2">
      <w:pPr>
        <w:pStyle w:val="Heading3"/>
      </w:pPr>
      <w:r>
        <w:t xml:space="preserve">Observation from the </w:t>
      </w:r>
      <w:r w:rsidR="006A194B">
        <w:t>Round 17</w:t>
      </w:r>
      <w:r>
        <w:t xml:space="preserve"> review</w:t>
      </w:r>
    </w:p>
    <w:p w:rsidR="00223476" w:rsidRDefault="00223476" w:rsidP="00140691">
      <w:pPr>
        <w:pStyle w:val="PwCNormal"/>
        <w:numPr>
          <w:ilvl w:val="0"/>
          <w:numId w:val="0"/>
        </w:numPr>
        <w:rPr>
          <w:b/>
        </w:rPr>
      </w:pPr>
      <w:r w:rsidRPr="00102376">
        <w:rPr>
          <w:b/>
        </w:rPr>
        <w:t xml:space="preserve">Variation in costing of ED </w:t>
      </w:r>
      <w:r w:rsidR="00F96936">
        <w:rPr>
          <w:b/>
        </w:rPr>
        <w:t>and</w:t>
      </w:r>
      <w:r w:rsidR="00F96936" w:rsidRPr="00102376">
        <w:rPr>
          <w:b/>
        </w:rPr>
        <w:t xml:space="preserve"> </w:t>
      </w:r>
      <w:r w:rsidR="005C2658">
        <w:rPr>
          <w:b/>
        </w:rPr>
        <w:t>OP</w:t>
      </w:r>
    </w:p>
    <w:p w:rsidR="00B5406D" w:rsidRDefault="002C3C9E" w:rsidP="00140691">
      <w:pPr>
        <w:pStyle w:val="PwCNormal"/>
        <w:numPr>
          <w:ilvl w:val="0"/>
          <w:numId w:val="0"/>
        </w:numPr>
      </w:pPr>
      <w:r>
        <w:t xml:space="preserve">Many jurisdictions are still developing their costing methodologies for ED and OP, </w:t>
      </w:r>
      <w:r w:rsidR="00F96936">
        <w:t>so</w:t>
      </w:r>
      <w:r>
        <w:t xml:space="preserve"> there is some</w:t>
      </w:r>
      <w:r w:rsidR="00A9309A">
        <w:t xml:space="preserve"> variation in the methodologies </w:t>
      </w:r>
      <w:r w:rsidR="00D85118">
        <w:t>for ED</w:t>
      </w:r>
      <w:r w:rsidR="00F96936">
        <w:t>-</w:t>
      </w:r>
      <w:r w:rsidR="00D85118">
        <w:t xml:space="preserve"> and OP</w:t>
      </w:r>
      <w:r w:rsidR="00F96936">
        <w:t>-</w:t>
      </w:r>
      <w:r w:rsidR="00D85118">
        <w:t>specific costs</w:t>
      </w:r>
      <w:r w:rsidR="00A9309A">
        <w:t xml:space="preserve">. </w:t>
      </w:r>
      <w:r w:rsidR="001B393F">
        <w:t xml:space="preserve">The common feedback from jurisdictions during the site visits was that </w:t>
      </w:r>
      <w:r w:rsidR="00F96936">
        <w:t xml:space="preserve">patient-level </w:t>
      </w:r>
      <w:r w:rsidR="001B393F">
        <w:t xml:space="preserve">ED or OP </w:t>
      </w:r>
      <w:r w:rsidR="00D85118">
        <w:t>activity</w:t>
      </w:r>
      <w:r w:rsidR="00F96936">
        <w:t xml:space="preserve"> data is limited</w:t>
      </w:r>
      <w:r w:rsidR="001B393F">
        <w:t xml:space="preserve">. </w:t>
      </w:r>
      <w:r w:rsidR="00B5406D">
        <w:t>All participating sites linke</w:t>
      </w:r>
      <w:r w:rsidR="00D85118">
        <w:t>d diagnostics</w:t>
      </w:r>
      <w:r w:rsidR="00B5406D">
        <w:t xml:space="preserve">, pharmacy and theatre feeder systems to ED and OP patients. </w:t>
      </w:r>
    </w:p>
    <w:p w:rsidR="002C3C9E" w:rsidRDefault="008379DC" w:rsidP="00140691">
      <w:pPr>
        <w:pStyle w:val="PwCNormal"/>
        <w:numPr>
          <w:ilvl w:val="0"/>
          <w:numId w:val="0"/>
        </w:numPr>
      </w:pPr>
      <w:r>
        <w:fldChar w:fldCharType="begin"/>
      </w:r>
      <w:r w:rsidR="00B93F96">
        <w:instrText xml:space="preserve"> REF _Ref399443304 \h </w:instrText>
      </w:r>
      <w:r>
        <w:fldChar w:fldCharType="separate"/>
      </w:r>
      <w:r w:rsidR="00575DFC">
        <w:t xml:space="preserve">Table </w:t>
      </w:r>
      <w:r w:rsidR="00575DFC">
        <w:rPr>
          <w:noProof/>
        </w:rPr>
        <w:t>5</w:t>
      </w:r>
      <w:r>
        <w:fldChar w:fldCharType="end"/>
      </w:r>
      <w:r w:rsidR="00B93F96">
        <w:t xml:space="preserve"> and </w:t>
      </w:r>
      <w:r>
        <w:fldChar w:fldCharType="begin"/>
      </w:r>
      <w:r w:rsidR="00B93F96">
        <w:instrText xml:space="preserve"> REF _Ref399443306 \h </w:instrText>
      </w:r>
      <w:r>
        <w:fldChar w:fldCharType="separate"/>
      </w:r>
      <w:r w:rsidR="00575DFC">
        <w:t xml:space="preserve">Table </w:t>
      </w:r>
      <w:r w:rsidR="00575DFC">
        <w:rPr>
          <w:noProof/>
        </w:rPr>
        <w:t>6</w:t>
      </w:r>
      <w:r>
        <w:fldChar w:fldCharType="end"/>
      </w:r>
      <w:r w:rsidR="001B393F">
        <w:t xml:space="preserve"> outline the methodologies used by the participating sites.</w:t>
      </w:r>
      <w:r w:rsidR="00B5406D">
        <w:t xml:space="preserve"> </w:t>
      </w:r>
    </w:p>
    <w:p w:rsidR="00EA3A1F" w:rsidRDefault="00EA3A1F" w:rsidP="00EA3A1F">
      <w:pPr>
        <w:pStyle w:val="Caption"/>
      </w:pPr>
      <w:bookmarkStart w:id="37" w:name="_Ref399443304"/>
      <w:r>
        <w:t xml:space="preserve">Table </w:t>
      </w:r>
      <w:r w:rsidR="008379DC">
        <w:fldChar w:fldCharType="begin"/>
      </w:r>
      <w:r w:rsidR="009E64DF">
        <w:instrText xml:space="preserve"> SEQ Table \* ARABIC </w:instrText>
      </w:r>
      <w:r w:rsidR="008379DC">
        <w:fldChar w:fldCharType="separate"/>
      </w:r>
      <w:r w:rsidR="00575DFC">
        <w:rPr>
          <w:noProof/>
        </w:rPr>
        <w:t>5</w:t>
      </w:r>
      <w:r w:rsidR="008379DC">
        <w:rPr>
          <w:noProof/>
        </w:rPr>
        <w:fldChar w:fldCharType="end"/>
      </w:r>
      <w:bookmarkEnd w:id="37"/>
      <w:r>
        <w:t xml:space="preserve">: </w:t>
      </w:r>
      <w:r w:rsidR="00F96936">
        <w:t>ED</w:t>
      </w:r>
      <w:r>
        <w:t xml:space="preserve"> cost allocation methodologies used by participating sites</w:t>
      </w:r>
    </w:p>
    <w:tbl>
      <w:tblPr>
        <w:tblStyle w:val="Tables-APBase"/>
        <w:tblW w:w="0" w:type="auto"/>
        <w:tblLook w:val="04A0" w:firstRow="1" w:lastRow="0" w:firstColumn="1" w:lastColumn="0" w:noHBand="0" w:noVBand="1"/>
        <w:tblCaption w:val="ED cost allocation methodologies used by participating sites"/>
        <w:tblDescription w:val="This table outlines the four methodologies used by participating sites."/>
      </w:tblPr>
      <w:tblGrid>
        <w:gridCol w:w="4714"/>
        <w:gridCol w:w="4715"/>
      </w:tblGrid>
      <w:tr w:rsidR="001B393F" w:rsidTr="0032705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14" w:type="dxa"/>
            <w:vAlign w:val="center"/>
          </w:tcPr>
          <w:p w:rsidR="001B393F" w:rsidRPr="00B74EC2" w:rsidRDefault="001B393F" w:rsidP="00831E14">
            <w:pPr>
              <w:pStyle w:val="PwCNormal"/>
              <w:numPr>
                <w:ilvl w:val="0"/>
                <w:numId w:val="0"/>
              </w:numPr>
              <w:spacing w:before="40" w:after="40"/>
              <w:rPr>
                <w:b/>
              </w:rPr>
            </w:pPr>
            <w:r w:rsidRPr="00B74EC2">
              <w:rPr>
                <w:b/>
              </w:rPr>
              <w:t>Methodology</w:t>
            </w:r>
          </w:p>
        </w:tc>
        <w:tc>
          <w:tcPr>
            <w:tcW w:w="4715" w:type="dxa"/>
            <w:vAlign w:val="center"/>
          </w:tcPr>
          <w:p w:rsidR="001B393F" w:rsidRPr="00B74EC2" w:rsidRDefault="001B393F" w:rsidP="00831E14">
            <w:pPr>
              <w:pStyle w:val="PwCNormal"/>
              <w:numPr>
                <w:ilvl w:val="0"/>
                <w:numId w:val="0"/>
              </w:numPr>
              <w:spacing w:before="40" w:after="40"/>
              <w:cnfStyle w:val="100000000000" w:firstRow="1" w:lastRow="0" w:firstColumn="0" w:lastColumn="0" w:oddVBand="0" w:evenVBand="0" w:oddHBand="0" w:evenHBand="0" w:firstRowFirstColumn="0" w:firstRowLastColumn="0" w:lastRowFirstColumn="0" w:lastRowLastColumn="0"/>
              <w:rPr>
                <w:b/>
              </w:rPr>
            </w:pPr>
            <w:r w:rsidRPr="00B74EC2">
              <w:rPr>
                <w:b/>
              </w:rPr>
              <w:t>Participating site</w:t>
            </w:r>
            <w:r>
              <w:rPr>
                <w:b/>
              </w:rPr>
              <w:t xml:space="preserve"> using this methodology</w:t>
            </w:r>
          </w:p>
        </w:tc>
      </w:tr>
      <w:tr w:rsidR="001B393F" w:rsidTr="00327058">
        <w:tc>
          <w:tcPr>
            <w:tcW w:w="4714" w:type="dxa"/>
          </w:tcPr>
          <w:p w:rsidR="001B393F" w:rsidRDefault="001B393F" w:rsidP="00140691">
            <w:pPr>
              <w:pStyle w:val="PwCNormal"/>
              <w:numPr>
                <w:ilvl w:val="0"/>
                <w:numId w:val="0"/>
              </w:numPr>
            </w:pPr>
            <w:r>
              <w:t>ED costs</w:t>
            </w:r>
            <w:r w:rsidR="00F96936">
              <w:t xml:space="preserve"> are</w:t>
            </w:r>
            <w:r>
              <w:t xml:space="preserve"> </w:t>
            </w:r>
            <w:r w:rsidR="00A7321A">
              <w:t xml:space="preserve">allocated </w:t>
            </w:r>
            <w:r>
              <w:t>using IHPA price weights</w:t>
            </w:r>
            <w:r w:rsidR="00F96936">
              <w:t>.</w:t>
            </w:r>
          </w:p>
        </w:tc>
        <w:tc>
          <w:tcPr>
            <w:tcW w:w="4715" w:type="dxa"/>
          </w:tcPr>
          <w:p w:rsidR="001B393F" w:rsidRDefault="001B393F" w:rsidP="009C4A5D">
            <w:pPr>
              <w:pStyle w:val="PwCNormal"/>
              <w:numPr>
                <w:ilvl w:val="0"/>
                <w:numId w:val="41"/>
              </w:numPr>
              <w:spacing w:after="0"/>
              <w:ind w:left="458" w:hanging="284"/>
            </w:pPr>
            <w:r>
              <w:t>Royal Perth Hospital (WA)</w:t>
            </w:r>
          </w:p>
          <w:p w:rsidR="001B393F" w:rsidRDefault="001B393F" w:rsidP="009C4A5D">
            <w:pPr>
              <w:pStyle w:val="PwCNormal"/>
              <w:numPr>
                <w:ilvl w:val="0"/>
                <w:numId w:val="41"/>
              </w:numPr>
              <w:spacing w:after="0"/>
              <w:ind w:left="458" w:hanging="284"/>
            </w:pPr>
            <w:r>
              <w:t>Swan District Hospital (WA)</w:t>
            </w:r>
          </w:p>
          <w:p w:rsidR="00EA3A1F" w:rsidRDefault="00EA3A1F" w:rsidP="009C4A5D">
            <w:pPr>
              <w:pStyle w:val="PwCNormal"/>
              <w:numPr>
                <w:ilvl w:val="0"/>
                <w:numId w:val="41"/>
              </w:numPr>
              <w:spacing w:after="0"/>
              <w:ind w:left="458" w:hanging="284"/>
            </w:pPr>
            <w:r>
              <w:t>Canberra Hospital (ACT)</w:t>
            </w:r>
          </w:p>
        </w:tc>
      </w:tr>
      <w:tr w:rsidR="001B393F" w:rsidTr="00327058">
        <w:tc>
          <w:tcPr>
            <w:tcW w:w="4714" w:type="dxa"/>
          </w:tcPr>
          <w:p w:rsidR="001B393F" w:rsidRDefault="001B393F" w:rsidP="00831E14">
            <w:pPr>
              <w:pStyle w:val="PwCNormal"/>
              <w:numPr>
                <w:ilvl w:val="0"/>
                <w:numId w:val="0"/>
              </w:numPr>
            </w:pPr>
            <w:r>
              <w:t xml:space="preserve">ED costs </w:t>
            </w:r>
            <w:r w:rsidR="00F96936">
              <w:t xml:space="preserve">are </w:t>
            </w:r>
            <w:r>
              <w:t>allocated using state-based RVUs</w:t>
            </w:r>
            <w:r w:rsidR="006F352C">
              <w:t xml:space="preserve"> or cost modelling</w:t>
            </w:r>
            <w:r w:rsidR="00831E14">
              <w:t xml:space="preserve"> (which may be locally updated)</w:t>
            </w:r>
            <w:r w:rsidR="00F96936">
              <w:t>.</w:t>
            </w:r>
          </w:p>
        </w:tc>
        <w:tc>
          <w:tcPr>
            <w:tcW w:w="4715" w:type="dxa"/>
          </w:tcPr>
          <w:p w:rsidR="005963C6" w:rsidRDefault="005963C6" w:rsidP="009C4A5D">
            <w:pPr>
              <w:pStyle w:val="PwCNormal"/>
              <w:numPr>
                <w:ilvl w:val="0"/>
                <w:numId w:val="41"/>
              </w:numPr>
              <w:spacing w:after="0"/>
              <w:ind w:left="458" w:hanging="284"/>
            </w:pPr>
            <w:r>
              <w:t xml:space="preserve">Townsville </w:t>
            </w:r>
            <w:r w:rsidR="005C2658">
              <w:t>HHS</w:t>
            </w:r>
            <w:r>
              <w:t xml:space="preserve"> (QLD)</w:t>
            </w:r>
          </w:p>
          <w:p w:rsidR="005963C6" w:rsidRDefault="005963C6" w:rsidP="009C4A5D">
            <w:pPr>
              <w:pStyle w:val="PwCNormal"/>
              <w:numPr>
                <w:ilvl w:val="0"/>
                <w:numId w:val="41"/>
              </w:numPr>
              <w:spacing w:after="0"/>
              <w:ind w:left="458" w:hanging="284"/>
            </w:pPr>
            <w:r>
              <w:t xml:space="preserve">Sunshine Coast </w:t>
            </w:r>
            <w:r w:rsidR="005C2658">
              <w:t>HHS</w:t>
            </w:r>
            <w:r>
              <w:t xml:space="preserve"> (QLD)</w:t>
            </w:r>
          </w:p>
          <w:p w:rsidR="005963C6" w:rsidRDefault="005C2658" w:rsidP="009C4A5D">
            <w:pPr>
              <w:pStyle w:val="PwCNormal"/>
              <w:numPr>
                <w:ilvl w:val="0"/>
                <w:numId w:val="41"/>
              </w:numPr>
              <w:spacing w:after="0"/>
              <w:ind w:left="458" w:hanging="284"/>
            </w:pPr>
            <w:r>
              <w:t>Wide Bay HHS (</w:t>
            </w:r>
            <w:r w:rsidR="005963C6">
              <w:t>Bundaberg</w:t>
            </w:r>
            <w:r>
              <w:t>)</w:t>
            </w:r>
            <w:r w:rsidR="005963C6">
              <w:t xml:space="preserve"> (QLD)</w:t>
            </w:r>
          </w:p>
          <w:p w:rsidR="005963C6" w:rsidRDefault="006F352C" w:rsidP="009C4A5D">
            <w:pPr>
              <w:pStyle w:val="PwCNormal"/>
              <w:numPr>
                <w:ilvl w:val="0"/>
                <w:numId w:val="41"/>
              </w:numPr>
              <w:spacing w:after="0"/>
              <w:ind w:left="458" w:hanging="284"/>
            </w:pPr>
            <w:r>
              <w:t>Royal Hobart Hospital (TAS)</w:t>
            </w:r>
          </w:p>
          <w:p w:rsidR="006F352C" w:rsidRDefault="006F352C" w:rsidP="009C4A5D">
            <w:pPr>
              <w:pStyle w:val="PwCNormal"/>
              <w:numPr>
                <w:ilvl w:val="0"/>
                <w:numId w:val="41"/>
              </w:numPr>
              <w:spacing w:after="0"/>
              <w:ind w:left="458" w:hanging="284"/>
            </w:pPr>
            <w:r>
              <w:t>Katherine Hospital (NT)</w:t>
            </w:r>
          </w:p>
        </w:tc>
      </w:tr>
      <w:tr w:rsidR="00553750" w:rsidTr="00327058">
        <w:tc>
          <w:tcPr>
            <w:tcW w:w="4714" w:type="dxa"/>
          </w:tcPr>
          <w:p w:rsidR="00553750" w:rsidRDefault="00553750">
            <w:pPr>
              <w:pStyle w:val="PwCNormal"/>
              <w:numPr>
                <w:ilvl w:val="0"/>
                <w:numId w:val="0"/>
              </w:numPr>
              <w:rPr>
                <w:snapToGrid/>
              </w:rPr>
            </w:pPr>
            <w:r>
              <w:t>ED costs</w:t>
            </w:r>
            <w:r w:rsidR="00F96936">
              <w:t xml:space="preserve"> are</w:t>
            </w:r>
            <w:r>
              <w:t xml:space="preserve"> allocated </w:t>
            </w:r>
            <w:r w:rsidR="00F96936">
              <w:t>based on</w:t>
            </w:r>
            <w:r>
              <w:t xml:space="preserve"> duration</w:t>
            </w:r>
            <w:r w:rsidR="00F96936">
              <w:t>,</w:t>
            </w:r>
            <w:r>
              <w:t xml:space="preserve"> weighted by triage</w:t>
            </w:r>
            <w:r w:rsidR="00F96936">
              <w:t>.</w:t>
            </w:r>
          </w:p>
        </w:tc>
        <w:tc>
          <w:tcPr>
            <w:tcW w:w="4715" w:type="dxa"/>
          </w:tcPr>
          <w:p w:rsidR="00553750" w:rsidRDefault="00553750" w:rsidP="009C4A5D">
            <w:pPr>
              <w:pStyle w:val="PwCNormal"/>
              <w:numPr>
                <w:ilvl w:val="0"/>
                <w:numId w:val="41"/>
              </w:numPr>
              <w:spacing w:after="0"/>
              <w:ind w:left="458" w:hanging="284"/>
            </w:pPr>
            <w:r>
              <w:t>Sydney LHD (NSW)</w:t>
            </w:r>
          </w:p>
          <w:p w:rsidR="00553750" w:rsidRDefault="00553750" w:rsidP="009C4A5D">
            <w:pPr>
              <w:pStyle w:val="PwCNormal"/>
              <w:numPr>
                <w:ilvl w:val="0"/>
                <w:numId w:val="41"/>
              </w:numPr>
              <w:spacing w:after="0"/>
              <w:ind w:left="458" w:hanging="284"/>
            </w:pPr>
            <w:r>
              <w:t>South West Sydney LHD (NSW)</w:t>
            </w:r>
          </w:p>
          <w:p w:rsidR="00553750" w:rsidRDefault="00553750" w:rsidP="009C4A5D">
            <w:pPr>
              <w:pStyle w:val="PwCNormal"/>
              <w:numPr>
                <w:ilvl w:val="0"/>
                <w:numId w:val="41"/>
              </w:numPr>
              <w:spacing w:after="0"/>
              <w:ind w:left="458" w:hanging="284"/>
            </w:pPr>
            <w:r>
              <w:t>Mid North Coast LHD (NSW)</w:t>
            </w:r>
          </w:p>
        </w:tc>
      </w:tr>
      <w:tr w:rsidR="001B393F" w:rsidTr="00327058">
        <w:tc>
          <w:tcPr>
            <w:tcW w:w="4714" w:type="dxa"/>
          </w:tcPr>
          <w:p w:rsidR="001B393F" w:rsidRDefault="00A7321A" w:rsidP="00140691">
            <w:pPr>
              <w:pStyle w:val="PwCNormal"/>
              <w:numPr>
                <w:ilvl w:val="0"/>
                <w:numId w:val="0"/>
              </w:numPr>
            </w:pPr>
            <w:r>
              <w:t>ED c</w:t>
            </w:r>
            <w:r w:rsidR="006F352C">
              <w:t xml:space="preserve">osts </w:t>
            </w:r>
            <w:r w:rsidR="00F96936">
              <w:t xml:space="preserve">are </w:t>
            </w:r>
            <w:r w:rsidR="006F352C">
              <w:t>allocated using time (such as time first seen by doctor</w:t>
            </w:r>
            <w:r w:rsidR="001C1040">
              <w:t xml:space="preserve"> through</w:t>
            </w:r>
            <w:r w:rsidR="006F352C">
              <w:t xml:space="preserve"> to discharge)</w:t>
            </w:r>
            <w:r w:rsidR="00F96936">
              <w:t>.</w:t>
            </w:r>
            <w:r w:rsidR="005963C6">
              <w:t xml:space="preserve"> </w:t>
            </w:r>
          </w:p>
        </w:tc>
        <w:tc>
          <w:tcPr>
            <w:tcW w:w="4715" w:type="dxa"/>
          </w:tcPr>
          <w:p w:rsidR="006F352C" w:rsidRDefault="006F352C" w:rsidP="009C4A5D">
            <w:pPr>
              <w:pStyle w:val="PwCNormal"/>
              <w:numPr>
                <w:ilvl w:val="0"/>
                <w:numId w:val="41"/>
              </w:numPr>
              <w:spacing w:after="0"/>
              <w:ind w:left="458" w:hanging="284"/>
            </w:pPr>
            <w:r>
              <w:t>Barwon Health (VIC)</w:t>
            </w:r>
          </w:p>
          <w:p w:rsidR="006F352C" w:rsidRDefault="006F352C" w:rsidP="009C4A5D">
            <w:pPr>
              <w:pStyle w:val="PwCNormal"/>
              <w:numPr>
                <w:ilvl w:val="0"/>
                <w:numId w:val="41"/>
              </w:numPr>
              <w:spacing w:after="0"/>
              <w:ind w:left="458" w:hanging="284"/>
            </w:pPr>
            <w:r>
              <w:t>Western Health (VIC)</w:t>
            </w:r>
          </w:p>
          <w:p w:rsidR="006F352C" w:rsidRDefault="00EA3A1F" w:rsidP="009C4A5D">
            <w:pPr>
              <w:pStyle w:val="PwCNormal"/>
              <w:numPr>
                <w:ilvl w:val="0"/>
                <w:numId w:val="41"/>
              </w:numPr>
              <w:spacing w:after="0"/>
              <w:ind w:left="458" w:hanging="284"/>
            </w:pPr>
            <w:r>
              <w:t>Flinders Medical Centre (SA)</w:t>
            </w:r>
          </w:p>
          <w:p w:rsidR="001B393F" w:rsidRDefault="00EA3A1F" w:rsidP="005C2658">
            <w:pPr>
              <w:pStyle w:val="PwCNormal"/>
              <w:numPr>
                <w:ilvl w:val="0"/>
                <w:numId w:val="41"/>
              </w:numPr>
              <w:spacing w:after="0"/>
              <w:ind w:left="458" w:hanging="284"/>
              <w:rPr>
                <w:rFonts w:asciiTheme="majorHAnsi" w:hAnsiTheme="majorHAnsi"/>
                <w:b/>
                <w:i/>
                <w:iCs/>
                <w:snapToGrid/>
                <w:color w:val="A32020" w:themeColor="text2"/>
                <w:sz w:val="32"/>
                <w:szCs w:val="36"/>
              </w:rPr>
            </w:pPr>
            <w:r>
              <w:t xml:space="preserve">Noarlunga </w:t>
            </w:r>
            <w:r w:rsidR="001C1040">
              <w:t>Hospital</w:t>
            </w:r>
            <w:r>
              <w:t xml:space="preserve"> (SA)</w:t>
            </w:r>
          </w:p>
        </w:tc>
      </w:tr>
    </w:tbl>
    <w:p w:rsidR="00A7321A" w:rsidRDefault="00B5406D" w:rsidP="00140691">
      <w:pPr>
        <w:pStyle w:val="PwCNormal"/>
        <w:numPr>
          <w:ilvl w:val="0"/>
          <w:numId w:val="0"/>
        </w:numPr>
      </w:pPr>
      <w:r>
        <w:t>Note that the above methodologies only relate to the allocation of ED</w:t>
      </w:r>
      <w:r w:rsidR="001C1040">
        <w:t>-</w:t>
      </w:r>
      <w:r>
        <w:t xml:space="preserve">specific costs and </w:t>
      </w:r>
      <w:r w:rsidR="001C1040">
        <w:t>are not indicative</w:t>
      </w:r>
      <w:r w:rsidR="002B6D0C">
        <w:t xml:space="preserve"> o</w:t>
      </w:r>
      <w:r w:rsidR="00B93F96">
        <w:t>f the methodology</w:t>
      </w:r>
      <w:r w:rsidR="001C1040">
        <w:t xml:space="preserve"> used</w:t>
      </w:r>
      <w:r w:rsidR="00B93F96">
        <w:t xml:space="preserve"> for all costs, </w:t>
      </w:r>
      <w:r w:rsidR="002B6D0C">
        <w:t xml:space="preserve">such as pharmacy, imaging, </w:t>
      </w:r>
      <w:proofErr w:type="gramStart"/>
      <w:r w:rsidR="002B6D0C">
        <w:t>pathology</w:t>
      </w:r>
      <w:proofErr w:type="gramEnd"/>
      <w:r w:rsidR="002B6D0C">
        <w:t xml:space="preserve"> </w:t>
      </w:r>
      <w:r w:rsidR="001C1040">
        <w:t>and so on.</w:t>
      </w:r>
    </w:p>
    <w:p w:rsidR="00A7321A" w:rsidRDefault="00A7321A" w:rsidP="00140691">
      <w:pPr>
        <w:pStyle w:val="PwCNormal"/>
        <w:numPr>
          <w:ilvl w:val="0"/>
          <w:numId w:val="0"/>
        </w:numPr>
      </w:pPr>
      <w:r>
        <w:lastRenderedPageBreak/>
        <w:t xml:space="preserve">Eight of the </w:t>
      </w:r>
      <w:r w:rsidR="001C1040">
        <w:t xml:space="preserve">15 </w:t>
      </w:r>
      <w:r>
        <w:t xml:space="preserve">participating sites used some kind of RVU or cost modelling to allocate </w:t>
      </w:r>
      <w:r w:rsidR="001C1040">
        <w:t xml:space="preserve">patient </w:t>
      </w:r>
      <w:r>
        <w:t xml:space="preserve">ED costs. </w:t>
      </w:r>
      <w:r w:rsidR="00553750">
        <w:t xml:space="preserve">This results in a range of methods </w:t>
      </w:r>
      <w:r w:rsidR="001C1040">
        <w:t xml:space="preserve">used to </w:t>
      </w:r>
      <w:r w:rsidR="00553750">
        <w:t>creating the final unit</w:t>
      </w:r>
      <w:r w:rsidR="001C1040">
        <w:t>,</w:t>
      </w:r>
      <w:r w:rsidR="00553750">
        <w:t xml:space="preserve"> which </w:t>
      </w:r>
      <w:r w:rsidR="001C1040">
        <w:t xml:space="preserve">is then </w:t>
      </w:r>
      <w:r w:rsidR="00553750">
        <w:t>used to allocate costs to patients.</w:t>
      </w:r>
    </w:p>
    <w:p w:rsidR="00B5406D" w:rsidRDefault="00B5406D" w:rsidP="00B5406D">
      <w:pPr>
        <w:pStyle w:val="Caption"/>
      </w:pPr>
      <w:bookmarkStart w:id="38" w:name="_Ref399443306"/>
      <w:r>
        <w:t xml:space="preserve">Table </w:t>
      </w:r>
      <w:r w:rsidR="008379DC">
        <w:fldChar w:fldCharType="begin"/>
      </w:r>
      <w:r w:rsidR="009E64DF">
        <w:instrText xml:space="preserve"> SEQ Table \* ARABIC </w:instrText>
      </w:r>
      <w:r w:rsidR="008379DC">
        <w:fldChar w:fldCharType="separate"/>
      </w:r>
      <w:r w:rsidR="00575DFC">
        <w:rPr>
          <w:noProof/>
        </w:rPr>
        <w:t>6</w:t>
      </w:r>
      <w:r w:rsidR="008379DC">
        <w:rPr>
          <w:noProof/>
        </w:rPr>
        <w:fldChar w:fldCharType="end"/>
      </w:r>
      <w:bookmarkEnd w:id="38"/>
      <w:r>
        <w:t>: Outpatient cost allocation methodologies used by participating sites</w:t>
      </w:r>
    </w:p>
    <w:tbl>
      <w:tblPr>
        <w:tblStyle w:val="Tables-APBase"/>
        <w:tblW w:w="0" w:type="auto"/>
        <w:tblLook w:val="04A0" w:firstRow="1" w:lastRow="0" w:firstColumn="1" w:lastColumn="0" w:noHBand="0" w:noVBand="1"/>
        <w:tblCaption w:val="Outpatient cost allocation methodologies used by participating sites"/>
        <w:tblDescription w:val="This table outlines the 5 methodologies used by the participating sites."/>
      </w:tblPr>
      <w:tblGrid>
        <w:gridCol w:w="4714"/>
        <w:gridCol w:w="4715"/>
      </w:tblGrid>
      <w:tr w:rsidR="00B5406D" w:rsidTr="00831E1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14" w:type="dxa"/>
            <w:vAlign w:val="center"/>
          </w:tcPr>
          <w:p w:rsidR="00B5406D" w:rsidRPr="00B74EC2" w:rsidRDefault="00B5406D" w:rsidP="00831E14">
            <w:pPr>
              <w:pStyle w:val="PwCNormal"/>
              <w:numPr>
                <w:ilvl w:val="0"/>
                <w:numId w:val="0"/>
              </w:numPr>
              <w:spacing w:before="40" w:after="40"/>
              <w:rPr>
                <w:b/>
              </w:rPr>
            </w:pPr>
            <w:r w:rsidRPr="00B74EC2">
              <w:rPr>
                <w:b/>
              </w:rPr>
              <w:t>Methodology</w:t>
            </w:r>
          </w:p>
        </w:tc>
        <w:tc>
          <w:tcPr>
            <w:tcW w:w="4715" w:type="dxa"/>
            <w:vAlign w:val="center"/>
          </w:tcPr>
          <w:p w:rsidR="00B5406D" w:rsidRPr="00B74EC2" w:rsidRDefault="00B5406D" w:rsidP="00831E14">
            <w:pPr>
              <w:pStyle w:val="PwCNormal"/>
              <w:numPr>
                <w:ilvl w:val="0"/>
                <w:numId w:val="0"/>
              </w:numPr>
              <w:spacing w:before="40" w:after="40"/>
              <w:cnfStyle w:val="100000000000" w:firstRow="1" w:lastRow="0" w:firstColumn="0" w:lastColumn="0" w:oddVBand="0" w:evenVBand="0" w:oddHBand="0" w:evenHBand="0" w:firstRowFirstColumn="0" w:firstRowLastColumn="0" w:lastRowFirstColumn="0" w:lastRowLastColumn="0"/>
              <w:rPr>
                <w:b/>
              </w:rPr>
            </w:pPr>
            <w:r w:rsidRPr="00B74EC2">
              <w:rPr>
                <w:b/>
              </w:rPr>
              <w:t>Participating site</w:t>
            </w:r>
            <w:r>
              <w:rPr>
                <w:b/>
              </w:rPr>
              <w:t xml:space="preserve"> using this methodology</w:t>
            </w:r>
          </w:p>
        </w:tc>
      </w:tr>
      <w:tr w:rsidR="00B5406D" w:rsidTr="00831E14">
        <w:tc>
          <w:tcPr>
            <w:tcW w:w="4714" w:type="dxa"/>
          </w:tcPr>
          <w:p w:rsidR="00B5406D" w:rsidRDefault="00A7321A" w:rsidP="00831E14">
            <w:pPr>
              <w:pStyle w:val="PwCNormal"/>
              <w:numPr>
                <w:ilvl w:val="0"/>
                <w:numId w:val="0"/>
              </w:numPr>
            </w:pPr>
            <w:r>
              <w:t>OP costs</w:t>
            </w:r>
            <w:r w:rsidR="001C1040">
              <w:t xml:space="preserve"> are</w:t>
            </w:r>
            <w:r>
              <w:t xml:space="preserve"> allocated based on scheduled appointment time</w:t>
            </w:r>
            <w:r w:rsidR="00CE5977">
              <w:t xml:space="preserve">, </w:t>
            </w:r>
            <w:r w:rsidR="00831E14">
              <w:t>length of the actual appointment</w:t>
            </w:r>
            <w:r w:rsidR="00CE5977">
              <w:t xml:space="preserve"> or </w:t>
            </w:r>
            <w:r w:rsidR="001C1040">
              <w:t xml:space="preserve">some </w:t>
            </w:r>
            <w:r w:rsidR="00CE5977">
              <w:t>other occasion of service</w:t>
            </w:r>
            <w:r w:rsidR="001C1040">
              <w:t>-</w:t>
            </w:r>
            <w:r w:rsidR="00CE5977">
              <w:t>level data</w:t>
            </w:r>
            <w:r w:rsidR="001C1040">
              <w:t>.</w:t>
            </w:r>
          </w:p>
        </w:tc>
        <w:tc>
          <w:tcPr>
            <w:tcW w:w="4715" w:type="dxa"/>
          </w:tcPr>
          <w:p w:rsidR="00A7321A" w:rsidRDefault="00A7321A" w:rsidP="009C4A5D">
            <w:pPr>
              <w:pStyle w:val="PwCNormal"/>
              <w:numPr>
                <w:ilvl w:val="0"/>
                <w:numId w:val="41"/>
              </w:numPr>
              <w:spacing w:after="0"/>
              <w:ind w:left="458" w:hanging="284"/>
            </w:pPr>
            <w:r>
              <w:t>Flinders Medical Centre (SA)</w:t>
            </w:r>
          </w:p>
          <w:p w:rsidR="00B5406D" w:rsidRDefault="00A7321A" w:rsidP="009C4A5D">
            <w:pPr>
              <w:pStyle w:val="PwCNormal"/>
              <w:numPr>
                <w:ilvl w:val="0"/>
                <w:numId w:val="41"/>
              </w:numPr>
              <w:spacing w:after="0"/>
              <w:ind w:left="458" w:hanging="284"/>
            </w:pPr>
            <w:r>
              <w:t xml:space="preserve">Noarlunga </w:t>
            </w:r>
            <w:r w:rsidR="001C1040">
              <w:t>Hospital</w:t>
            </w:r>
            <w:r>
              <w:t xml:space="preserve"> (SA)</w:t>
            </w:r>
          </w:p>
          <w:p w:rsidR="00A7321A" w:rsidRDefault="00A7321A" w:rsidP="009C4A5D">
            <w:pPr>
              <w:pStyle w:val="PwCNormal"/>
              <w:numPr>
                <w:ilvl w:val="0"/>
                <w:numId w:val="41"/>
              </w:numPr>
              <w:spacing w:after="0"/>
              <w:ind w:left="458" w:hanging="284"/>
            </w:pPr>
            <w:r>
              <w:t>Barwon Health (VIC)</w:t>
            </w:r>
          </w:p>
          <w:p w:rsidR="00A7321A" w:rsidRDefault="00A7321A" w:rsidP="009C4A5D">
            <w:pPr>
              <w:pStyle w:val="PwCNormal"/>
              <w:numPr>
                <w:ilvl w:val="0"/>
                <w:numId w:val="41"/>
              </w:numPr>
              <w:spacing w:after="0"/>
              <w:ind w:left="458" w:hanging="284"/>
            </w:pPr>
            <w:r>
              <w:t>Western Health (VIC)</w:t>
            </w:r>
          </w:p>
          <w:p w:rsidR="00831E14" w:rsidRDefault="00831E14" w:rsidP="009C4A5D">
            <w:pPr>
              <w:pStyle w:val="PwCNormal"/>
              <w:numPr>
                <w:ilvl w:val="0"/>
                <w:numId w:val="41"/>
              </w:numPr>
              <w:spacing w:after="0"/>
              <w:ind w:left="458" w:hanging="284"/>
            </w:pPr>
            <w:r>
              <w:t>Royal Hobart Hospital (TAS)</w:t>
            </w:r>
          </w:p>
          <w:p w:rsidR="00CE5977" w:rsidRDefault="00CE5977" w:rsidP="009C4A5D">
            <w:pPr>
              <w:pStyle w:val="PwCNormal"/>
              <w:numPr>
                <w:ilvl w:val="0"/>
                <w:numId w:val="41"/>
              </w:numPr>
              <w:spacing w:after="0"/>
              <w:ind w:left="458" w:hanging="284"/>
            </w:pPr>
            <w:r>
              <w:t>Sydney LHD (NSW)</w:t>
            </w:r>
          </w:p>
          <w:p w:rsidR="00CE5977" w:rsidRDefault="00CE5977" w:rsidP="009C4A5D">
            <w:pPr>
              <w:pStyle w:val="PwCNormal"/>
              <w:numPr>
                <w:ilvl w:val="0"/>
                <w:numId w:val="41"/>
              </w:numPr>
              <w:spacing w:after="0"/>
              <w:ind w:left="458" w:hanging="284"/>
            </w:pPr>
            <w:r>
              <w:t>South West Sydney LHD (NSW)</w:t>
            </w:r>
          </w:p>
          <w:p w:rsidR="00CE5977" w:rsidRDefault="00CE5977" w:rsidP="009C4A5D">
            <w:pPr>
              <w:pStyle w:val="PwCNormal"/>
              <w:numPr>
                <w:ilvl w:val="0"/>
                <w:numId w:val="41"/>
              </w:numPr>
              <w:spacing w:after="0"/>
              <w:ind w:left="458" w:hanging="284"/>
            </w:pPr>
            <w:r>
              <w:t>Mid North Coast LHD (NSW)</w:t>
            </w:r>
          </w:p>
        </w:tc>
      </w:tr>
      <w:tr w:rsidR="00831E14" w:rsidTr="00831E14">
        <w:tc>
          <w:tcPr>
            <w:tcW w:w="4714" w:type="dxa"/>
          </w:tcPr>
          <w:p w:rsidR="00831E14" w:rsidRDefault="00831E14" w:rsidP="00831E14">
            <w:pPr>
              <w:pStyle w:val="PwCNormal"/>
              <w:numPr>
                <w:ilvl w:val="0"/>
                <w:numId w:val="0"/>
              </w:numPr>
              <w:tabs>
                <w:tab w:val="left" w:pos="3405"/>
              </w:tabs>
            </w:pPr>
            <w:r>
              <w:t>OP costs</w:t>
            </w:r>
            <w:r w:rsidR="001C1040">
              <w:t xml:space="preserve"> are</w:t>
            </w:r>
            <w:r>
              <w:t xml:space="preserve"> allocated using </w:t>
            </w:r>
            <w:proofErr w:type="spellStart"/>
            <w:r w:rsidR="002821F4">
              <w:t>statewide</w:t>
            </w:r>
            <w:proofErr w:type="spellEnd"/>
            <w:r>
              <w:t xml:space="preserve"> RVUs (which may be locally updated)</w:t>
            </w:r>
            <w:r w:rsidR="001C1040">
              <w:t>.</w:t>
            </w:r>
          </w:p>
        </w:tc>
        <w:tc>
          <w:tcPr>
            <w:tcW w:w="4715" w:type="dxa"/>
          </w:tcPr>
          <w:p w:rsidR="00831E14" w:rsidRDefault="00831E14" w:rsidP="009C4A5D">
            <w:pPr>
              <w:pStyle w:val="PwCNormal"/>
              <w:numPr>
                <w:ilvl w:val="0"/>
                <w:numId w:val="41"/>
              </w:numPr>
              <w:spacing w:after="0"/>
              <w:ind w:left="458" w:hanging="284"/>
            </w:pPr>
            <w:r>
              <w:t>Townsville Hospital (QLD)</w:t>
            </w:r>
          </w:p>
          <w:p w:rsidR="00831E14" w:rsidRDefault="00831E14" w:rsidP="009C4A5D">
            <w:pPr>
              <w:pStyle w:val="PwCNormal"/>
              <w:numPr>
                <w:ilvl w:val="0"/>
                <w:numId w:val="41"/>
              </w:numPr>
              <w:spacing w:after="0"/>
              <w:ind w:left="458" w:hanging="284"/>
            </w:pPr>
            <w:r>
              <w:t>Sunshine Coast Hospital (QLD)</w:t>
            </w:r>
          </w:p>
          <w:p w:rsidR="00831E14" w:rsidRPr="005C2658" w:rsidRDefault="005C2658" w:rsidP="005C2658">
            <w:pPr>
              <w:pStyle w:val="PwCNormal"/>
              <w:numPr>
                <w:ilvl w:val="0"/>
                <w:numId w:val="41"/>
              </w:numPr>
              <w:spacing w:after="0"/>
              <w:ind w:left="458" w:hanging="284"/>
            </w:pPr>
            <w:r>
              <w:t>Wide Bay HHS (Bundaberg) (QLD)</w:t>
            </w:r>
          </w:p>
        </w:tc>
      </w:tr>
      <w:tr w:rsidR="00B5406D" w:rsidTr="00831E14">
        <w:tc>
          <w:tcPr>
            <w:tcW w:w="4714" w:type="dxa"/>
          </w:tcPr>
          <w:p w:rsidR="00B5406D" w:rsidRDefault="00A7321A" w:rsidP="00A7321A">
            <w:pPr>
              <w:pStyle w:val="PwCNormal"/>
              <w:numPr>
                <w:ilvl w:val="0"/>
                <w:numId w:val="0"/>
              </w:numPr>
              <w:tabs>
                <w:tab w:val="left" w:pos="3405"/>
              </w:tabs>
            </w:pPr>
            <w:r>
              <w:t xml:space="preserve">OP costs </w:t>
            </w:r>
            <w:r w:rsidR="001C1040">
              <w:t xml:space="preserve">are </w:t>
            </w:r>
            <w:r>
              <w:t>allocated based on total clinic costs divided by total activity</w:t>
            </w:r>
            <w:r w:rsidR="001C1040">
              <w:t>.</w:t>
            </w:r>
          </w:p>
        </w:tc>
        <w:tc>
          <w:tcPr>
            <w:tcW w:w="4715" w:type="dxa"/>
          </w:tcPr>
          <w:p w:rsidR="00B5406D" w:rsidRDefault="00A7321A" w:rsidP="009C4A5D">
            <w:pPr>
              <w:pStyle w:val="PwCNormal"/>
              <w:numPr>
                <w:ilvl w:val="0"/>
                <w:numId w:val="41"/>
              </w:numPr>
              <w:spacing w:after="0"/>
              <w:ind w:left="458" w:hanging="284"/>
            </w:pPr>
            <w:r>
              <w:t>Canberra Hospital (ACT)</w:t>
            </w:r>
          </w:p>
        </w:tc>
      </w:tr>
      <w:tr w:rsidR="00A7321A" w:rsidTr="00831E14">
        <w:tc>
          <w:tcPr>
            <w:tcW w:w="4714" w:type="dxa"/>
          </w:tcPr>
          <w:p w:rsidR="00A7321A" w:rsidRDefault="00A7321A" w:rsidP="009E64DF">
            <w:pPr>
              <w:pStyle w:val="PwCNormal"/>
              <w:numPr>
                <w:ilvl w:val="0"/>
                <w:numId w:val="0"/>
              </w:numPr>
            </w:pPr>
            <w:r>
              <w:t>OP costs</w:t>
            </w:r>
            <w:r w:rsidR="001C1040">
              <w:t xml:space="preserve"> are</w:t>
            </w:r>
            <w:r>
              <w:t xml:space="preserve"> allocated using </w:t>
            </w:r>
            <w:r w:rsidR="009E64DF">
              <w:t xml:space="preserve">IHPA’s </w:t>
            </w:r>
            <w:r>
              <w:t>Tier 2</w:t>
            </w:r>
            <w:r w:rsidR="009E64DF">
              <w:t xml:space="preserve"> </w:t>
            </w:r>
            <w:r w:rsidR="00CE5977">
              <w:t>price</w:t>
            </w:r>
            <w:r>
              <w:t xml:space="preserve"> weights</w:t>
            </w:r>
            <w:r w:rsidR="001C1040">
              <w:t>.</w:t>
            </w:r>
          </w:p>
        </w:tc>
        <w:tc>
          <w:tcPr>
            <w:tcW w:w="4715" w:type="dxa"/>
          </w:tcPr>
          <w:p w:rsidR="00A7321A" w:rsidRDefault="00A7321A" w:rsidP="009C4A5D">
            <w:pPr>
              <w:pStyle w:val="PwCNormal"/>
              <w:numPr>
                <w:ilvl w:val="0"/>
                <w:numId w:val="41"/>
              </w:numPr>
              <w:spacing w:after="0"/>
              <w:ind w:left="458" w:hanging="284"/>
            </w:pPr>
            <w:r>
              <w:t>Royal Perth Hospital (WA)</w:t>
            </w:r>
          </w:p>
          <w:p w:rsidR="00831E14" w:rsidRDefault="00831E14" w:rsidP="009C4A5D">
            <w:pPr>
              <w:pStyle w:val="PwCNormal"/>
              <w:numPr>
                <w:ilvl w:val="0"/>
                <w:numId w:val="41"/>
              </w:numPr>
              <w:spacing w:after="0"/>
              <w:ind w:left="458" w:hanging="284"/>
            </w:pPr>
            <w:r>
              <w:t>Swan District Hospital (WA)</w:t>
            </w:r>
          </w:p>
          <w:p w:rsidR="00831E14" w:rsidRDefault="00831E14" w:rsidP="00831E14">
            <w:pPr>
              <w:pStyle w:val="PwCNormal"/>
              <w:numPr>
                <w:ilvl w:val="0"/>
                <w:numId w:val="0"/>
              </w:numPr>
              <w:spacing w:after="0"/>
              <w:ind w:left="174"/>
            </w:pPr>
          </w:p>
        </w:tc>
      </w:tr>
      <w:tr w:rsidR="00B5406D" w:rsidTr="00831E14">
        <w:tc>
          <w:tcPr>
            <w:tcW w:w="4714" w:type="dxa"/>
          </w:tcPr>
          <w:p w:rsidR="00B5406D" w:rsidRDefault="00A7321A" w:rsidP="00831E14">
            <w:pPr>
              <w:pStyle w:val="PwCNormal"/>
              <w:numPr>
                <w:ilvl w:val="0"/>
                <w:numId w:val="0"/>
              </w:numPr>
            </w:pPr>
            <w:r>
              <w:t xml:space="preserve">OP costs </w:t>
            </w:r>
            <w:r w:rsidR="001C1040">
              <w:t xml:space="preserve">are </w:t>
            </w:r>
            <w:r>
              <w:t>allocated using service weights</w:t>
            </w:r>
            <w:r w:rsidR="001C1040">
              <w:t>.</w:t>
            </w:r>
          </w:p>
        </w:tc>
        <w:tc>
          <w:tcPr>
            <w:tcW w:w="4715" w:type="dxa"/>
          </w:tcPr>
          <w:p w:rsidR="00B5406D" w:rsidRDefault="00A7321A" w:rsidP="009C4A5D">
            <w:pPr>
              <w:pStyle w:val="PwCNormal"/>
              <w:numPr>
                <w:ilvl w:val="0"/>
                <w:numId w:val="41"/>
              </w:numPr>
              <w:spacing w:after="0"/>
              <w:ind w:left="458" w:hanging="284"/>
            </w:pPr>
            <w:r>
              <w:t>Katherine Hospital (NT)</w:t>
            </w:r>
          </w:p>
        </w:tc>
      </w:tr>
    </w:tbl>
    <w:p w:rsidR="002B6D0C" w:rsidRDefault="008E0F81" w:rsidP="002B6D0C">
      <w:pPr>
        <w:pStyle w:val="PwCNormal"/>
        <w:numPr>
          <w:ilvl w:val="0"/>
          <w:numId w:val="0"/>
        </w:numPr>
      </w:pPr>
      <w:r>
        <w:br/>
      </w:r>
      <w:r w:rsidR="002B6D0C">
        <w:t>Note that the above methodologies only relate to the allocation of OP</w:t>
      </w:r>
      <w:r>
        <w:t>-</w:t>
      </w:r>
      <w:r w:rsidR="002B6D0C">
        <w:t xml:space="preserve">specific costs and </w:t>
      </w:r>
      <w:r w:rsidR="00820D3F">
        <w:t>are</w:t>
      </w:r>
      <w:r w:rsidR="002B6D0C">
        <w:t xml:space="preserve"> not </w:t>
      </w:r>
      <w:r>
        <w:t xml:space="preserve">indicative </w:t>
      </w:r>
      <w:r w:rsidR="002B6D0C">
        <w:t>o</w:t>
      </w:r>
      <w:r w:rsidR="001F2669">
        <w:t xml:space="preserve">f the methodology </w:t>
      </w:r>
      <w:r>
        <w:t>used to allocate</w:t>
      </w:r>
      <w:r w:rsidR="001F2669">
        <w:t xml:space="preserve"> all costs, such as </w:t>
      </w:r>
      <w:r w:rsidR="002B6D0C">
        <w:t>pharmacy, imaging</w:t>
      </w:r>
      <w:r w:rsidR="00AD7003">
        <w:t xml:space="preserve"> and </w:t>
      </w:r>
      <w:r w:rsidR="002B6D0C">
        <w:t>pathology.</w:t>
      </w:r>
    </w:p>
    <w:p w:rsidR="00294857" w:rsidRDefault="006F3F74" w:rsidP="00140691">
      <w:pPr>
        <w:pStyle w:val="PwCNormal"/>
        <w:numPr>
          <w:ilvl w:val="0"/>
          <w:numId w:val="0"/>
        </w:numPr>
      </w:pPr>
      <w:r>
        <w:t xml:space="preserve">Despite the variation in costing methodologies used, outpatient costing methodologies have improved noticeably </w:t>
      </w:r>
      <w:r w:rsidR="008E0F81">
        <w:t xml:space="preserve">since </w:t>
      </w:r>
      <w:r>
        <w:t xml:space="preserve">Round 16. The challenge in </w:t>
      </w:r>
      <w:r w:rsidR="008E0F81">
        <w:t xml:space="preserve">further </w:t>
      </w:r>
      <w:r>
        <w:t>developing this costing methodolog</w:t>
      </w:r>
      <w:r w:rsidR="008E0F81">
        <w:t>y</w:t>
      </w:r>
      <w:r>
        <w:t xml:space="preserve"> is the lack of </w:t>
      </w:r>
      <w:r w:rsidR="00820D3F">
        <w:t xml:space="preserve">reliable </w:t>
      </w:r>
      <w:r>
        <w:t>data bein</w:t>
      </w:r>
      <w:r w:rsidR="005C2658">
        <w:t>g captured at the patient level</w:t>
      </w:r>
      <w:r>
        <w:t xml:space="preserve"> </w:t>
      </w:r>
      <w:r w:rsidR="005C2658">
        <w:t xml:space="preserve">in </w:t>
      </w:r>
      <w:r w:rsidR="008E0F81">
        <w:t>sufficient detail</w:t>
      </w:r>
      <w:r>
        <w:t xml:space="preserve"> </w:t>
      </w:r>
      <w:r w:rsidR="008E0F81">
        <w:t xml:space="preserve">to differentiate individual </w:t>
      </w:r>
      <w:r>
        <w:t xml:space="preserve">patient service events. Further investment in hospital systems and data capturing processes would increase the data available </w:t>
      </w:r>
      <w:r w:rsidR="008E0F81">
        <w:t xml:space="preserve">for </w:t>
      </w:r>
      <w:r>
        <w:t>allocat</w:t>
      </w:r>
      <w:r w:rsidR="008E0F81">
        <w:t>ing</w:t>
      </w:r>
      <w:r>
        <w:t xml:space="preserve"> costs.</w:t>
      </w:r>
    </w:p>
    <w:p w:rsidR="00A8493C" w:rsidRPr="006F3F74" w:rsidRDefault="00A8493C" w:rsidP="00140691">
      <w:pPr>
        <w:pStyle w:val="PwCNormal"/>
        <w:numPr>
          <w:ilvl w:val="0"/>
          <w:numId w:val="0"/>
        </w:numPr>
      </w:pPr>
      <w:r w:rsidRPr="005C2658">
        <w:rPr>
          <w:b/>
          <w:i/>
        </w:rPr>
        <w:t>Recommendation:</w:t>
      </w:r>
      <w:r>
        <w:rPr>
          <w:i/>
        </w:rPr>
        <w:t xml:space="preserve"> </w:t>
      </w:r>
      <w:r w:rsidR="00FA1E16">
        <w:rPr>
          <w:i/>
        </w:rPr>
        <w:t>IHPA</w:t>
      </w:r>
      <w:r w:rsidR="00215E7C" w:rsidRPr="00215E7C">
        <w:rPr>
          <w:i/>
        </w:rPr>
        <w:t xml:space="preserve"> </w:t>
      </w:r>
      <w:r w:rsidR="008E0F81">
        <w:rPr>
          <w:i/>
        </w:rPr>
        <w:t xml:space="preserve">should </w:t>
      </w:r>
      <w:r w:rsidR="00215E7C" w:rsidRPr="00215E7C">
        <w:rPr>
          <w:i/>
        </w:rPr>
        <w:t xml:space="preserve">discuss acceptable methods for costing these products, </w:t>
      </w:r>
      <w:r w:rsidR="008E0F81">
        <w:rPr>
          <w:i/>
        </w:rPr>
        <w:t>including a discussion of</w:t>
      </w:r>
      <w:r w:rsidR="00820D3F">
        <w:rPr>
          <w:i/>
        </w:rPr>
        <w:t xml:space="preserve"> minimum data requirements</w:t>
      </w:r>
      <w:r w:rsidR="00215E7C" w:rsidRPr="00215E7C">
        <w:rPr>
          <w:i/>
        </w:rPr>
        <w:t xml:space="preserve">. These methods could be documented </w:t>
      </w:r>
      <w:r w:rsidR="00215E7C">
        <w:rPr>
          <w:i/>
        </w:rPr>
        <w:t>in future versions of the AHPCS</w:t>
      </w:r>
      <w:r w:rsidR="008E0F81">
        <w:rPr>
          <w:i/>
        </w:rPr>
        <w:t>, providing</w:t>
      </w:r>
      <w:r w:rsidR="00215E7C" w:rsidRPr="00215E7C">
        <w:rPr>
          <w:i/>
        </w:rPr>
        <w:t xml:space="preserve"> guidance to hospitals </w:t>
      </w:r>
      <w:r w:rsidR="008E0F81">
        <w:rPr>
          <w:i/>
        </w:rPr>
        <w:t>that</w:t>
      </w:r>
      <w:r w:rsidR="008E0F81" w:rsidRPr="00215E7C">
        <w:rPr>
          <w:i/>
        </w:rPr>
        <w:t xml:space="preserve"> </w:t>
      </w:r>
      <w:r w:rsidR="00215E7C" w:rsidRPr="00215E7C">
        <w:rPr>
          <w:i/>
        </w:rPr>
        <w:t>are aiming to improve</w:t>
      </w:r>
      <w:r w:rsidR="008E0F81">
        <w:rPr>
          <w:i/>
        </w:rPr>
        <w:t xml:space="preserve"> their</w:t>
      </w:r>
      <w:r w:rsidR="00215E7C" w:rsidRPr="00215E7C">
        <w:rPr>
          <w:i/>
        </w:rPr>
        <w:t xml:space="preserve"> data capture and costing methodolog</w:t>
      </w:r>
      <w:r w:rsidR="008E0F81">
        <w:rPr>
          <w:i/>
        </w:rPr>
        <w:t>ies</w:t>
      </w:r>
      <w:r w:rsidR="00215E7C" w:rsidRPr="00215E7C">
        <w:rPr>
          <w:i/>
        </w:rPr>
        <w:t>.</w:t>
      </w:r>
    </w:p>
    <w:p w:rsidR="00102376" w:rsidRDefault="00102376" w:rsidP="00140691">
      <w:pPr>
        <w:pStyle w:val="PwCNormal"/>
        <w:numPr>
          <w:ilvl w:val="0"/>
          <w:numId w:val="0"/>
        </w:numPr>
        <w:rPr>
          <w:b/>
        </w:rPr>
      </w:pPr>
      <w:r>
        <w:rPr>
          <w:b/>
        </w:rPr>
        <w:t>Accuracy of cost allocation to the NHCDC line items</w:t>
      </w:r>
    </w:p>
    <w:p w:rsidR="004A57C3" w:rsidRDefault="007C6718" w:rsidP="00140691">
      <w:pPr>
        <w:pStyle w:val="PwCNormal"/>
        <w:numPr>
          <w:ilvl w:val="0"/>
          <w:numId w:val="0"/>
        </w:numPr>
      </w:pPr>
      <w:r>
        <w:t xml:space="preserve">The AHPCS detail a list of standard line items </w:t>
      </w:r>
      <w:r w:rsidR="00337F45">
        <w:t>that</w:t>
      </w:r>
      <w:r w:rsidR="00FA1E16">
        <w:t xml:space="preserve"> </w:t>
      </w:r>
      <w:r>
        <w:t xml:space="preserve">hospital accounts </w:t>
      </w:r>
      <w:r w:rsidR="00337F45">
        <w:t xml:space="preserve">should </w:t>
      </w:r>
      <w:r w:rsidR="00FA1E16">
        <w:t>be mapped against</w:t>
      </w:r>
      <w:r w:rsidR="00337F45">
        <w:t>:</w:t>
      </w:r>
      <w:r>
        <w:t xml:space="preserve"> GL</w:t>
      </w:r>
      <w:r w:rsidR="005C2658">
        <w:t xml:space="preserve"> </w:t>
      </w:r>
      <w:r>
        <w:t>2.003 – Account Code Mapping to Line Items. During the course of this review</w:t>
      </w:r>
      <w:r w:rsidR="00337F45">
        <w:t>,</w:t>
      </w:r>
      <w:r>
        <w:t xml:space="preserve"> many participants noted that</w:t>
      </w:r>
      <w:r w:rsidR="00337F45">
        <w:t xml:space="preserve"> their</w:t>
      </w:r>
      <w:r>
        <w:t xml:space="preserve"> allocation of costs to specific line items (such as the split between ‘</w:t>
      </w:r>
      <w:proofErr w:type="spellStart"/>
      <w:r>
        <w:t>PharmPBS</w:t>
      </w:r>
      <w:proofErr w:type="spellEnd"/>
      <w:r>
        <w:t>’ and ‘</w:t>
      </w:r>
      <w:proofErr w:type="spellStart"/>
      <w:r>
        <w:t>PharmNPBS</w:t>
      </w:r>
      <w:proofErr w:type="spellEnd"/>
      <w:r>
        <w:t xml:space="preserve">’) was not accurate. This </w:t>
      </w:r>
      <w:r w:rsidR="0061373F">
        <w:t>wa</w:t>
      </w:r>
      <w:r>
        <w:t xml:space="preserve">s due to </w:t>
      </w:r>
      <w:r w:rsidR="00FA1E16">
        <w:t xml:space="preserve">various </w:t>
      </w:r>
      <w:proofErr w:type="gramStart"/>
      <w:r>
        <w:t>reasons,</w:t>
      </w:r>
      <w:proofErr w:type="gramEnd"/>
      <w:r>
        <w:t xml:space="preserve"> including </w:t>
      </w:r>
      <w:r w:rsidR="0061373F">
        <w:t xml:space="preserve">where </w:t>
      </w:r>
      <w:r>
        <w:t xml:space="preserve">accounts and cost centres </w:t>
      </w:r>
      <w:r w:rsidR="0061373F">
        <w:t>we</w:t>
      </w:r>
      <w:r>
        <w:t xml:space="preserve">re not set up to appropriately split these costs. Another example was </w:t>
      </w:r>
      <w:r w:rsidR="0061373F">
        <w:t>where participants mapped</w:t>
      </w:r>
      <w:r>
        <w:t xml:space="preserve"> all allocated overhead</w:t>
      </w:r>
      <w:r w:rsidR="00FA1E16">
        <w:t>s</w:t>
      </w:r>
      <w:r>
        <w:t xml:space="preserve"> from outside the hospital GL to the ‘Corp’</w:t>
      </w:r>
      <w:r w:rsidR="00120C44">
        <w:t xml:space="preserve"> line items. Often</w:t>
      </w:r>
      <w:r w:rsidR="0061373F">
        <w:t>,</w:t>
      </w:r>
      <w:r w:rsidR="00120C44">
        <w:t xml:space="preserve"> these costs were brought into the hospital GL and mapped to other line items (such as to the ‘</w:t>
      </w:r>
      <w:proofErr w:type="spellStart"/>
      <w:r w:rsidR="00120C44">
        <w:t>SWOther</w:t>
      </w:r>
      <w:proofErr w:type="spellEnd"/>
      <w:r w:rsidR="00120C44">
        <w:t>’</w:t>
      </w:r>
      <w:r w:rsidR="0061373F">
        <w:t>,</w:t>
      </w:r>
      <w:r w:rsidR="00120C44">
        <w:t xml:space="preserve"> for salaries).</w:t>
      </w:r>
    </w:p>
    <w:p w:rsidR="00120C44" w:rsidRDefault="00120C44" w:rsidP="00140691">
      <w:pPr>
        <w:pStyle w:val="PwCNormal"/>
        <w:numPr>
          <w:ilvl w:val="0"/>
          <w:numId w:val="0"/>
        </w:numPr>
      </w:pPr>
      <w:r>
        <w:t xml:space="preserve">Some participants were not aware of </w:t>
      </w:r>
      <w:r w:rsidR="0061373F">
        <w:t>all the requirements around using</w:t>
      </w:r>
      <w:r>
        <w:t xml:space="preserve"> line items. For example, many participants </w:t>
      </w:r>
      <w:r w:rsidR="00324D03">
        <w:t>ha</w:t>
      </w:r>
      <w:r w:rsidR="0061373F">
        <w:t>d</w:t>
      </w:r>
      <w:r w:rsidR="00324D03">
        <w:t xml:space="preserve"> ‘corporate’ costs distributed throughout </w:t>
      </w:r>
      <w:r w:rsidR="0061373F">
        <w:t xml:space="preserve">the </w:t>
      </w:r>
      <w:r w:rsidR="00324D03">
        <w:t xml:space="preserve">hospital GL </w:t>
      </w:r>
      <w:r w:rsidR="0061373F">
        <w:t>instead of</w:t>
      </w:r>
      <w:r w:rsidR="00324D03">
        <w:t xml:space="preserve"> in the</w:t>
      </w:r>
      <w:r w:rsidR="0061373F">
        <w:t xml:space="preserve"> LHN</w:t>
      </w:r>
      <w:r w:rsidR="00324D03">
        <w:t xml:space="preserve"> GL. </w:t>
      </w:r>
      <w:r w:rsidR="0061373F">
        <w:t xml:space="preserve">These </w:t>
      </w:r>
      <w:r w:rsidR="00324D03">
        <w:t xml:space="preserve">costs </w:t>
      </w:r>
      <w:r w:rsidR="0061373F">
        <w:t>we</w:t>
      </w:r>
      <w:r w:rsidR="00324D03">
        <w:t xml:space="preserve">re not flagged as corporate costs </w:t>
      </w:r>
      <w:r w:rsidR="0061373F">
        <w:t>in</w:t>
      </w:r>
      <w:r w:rsidR="00324D03">
        <w:t xml:space="preserve"> the allocation process, reducing the total costs reported as ‘corporate costs’</w:t>
      </w:r>
      <w:r w:rsidR="0061373F">
        <w:t>.</w:t>
      </w:r>
    </w:p>
    <w:p w:rsidR="00120C44" w:rsidRDefault="00120C44" w:rsidP="00140691">
      <w:pPr>
        <w:pStyle w:val="PwCNormal"/>
        <w:numPr>
          <w:ilvl w:val="0"/>
          <w:numId w:val="0"/>
        </w:numPr>
        <w:rPr>
          <w:i/>
        </w:rPr>
      </w:pPr>
      <w:r w:rsidRPr="00A34592">
        <w:rPr>
          <w:b/>
          <w:i/>
        </w:rPr>
        <w:lastRenderedPageBreak/>
        <w:t>Recommendation:</w:t>
      </w:r>
      <w:r>
        <w:rPr>
          <w:i/>
        </w:rPr>
        <w:t xml:space="preserve"> </w:t>
      </w:r>
      <w:r w:rsidR="0061373F">
        <w:rPr>
          <w:i/>
        </w:rPr>
        <w:t xml:space="preserve">The IHPA should provide additional </w:t>
      </w:r>
      <w:r>
        <w:rPr>
          <w:i/>
        </w:rPr>
        <w:t xml:space="preserve">guidance to participating sites on </w:t>
      </w:r>
      <w:r w:rsidR="00877194">
        <w:rPr>
          <w:i/>
        </w:rPr>
        <w:t xml:space="preserve">what types of costs </w:t>
      </w:r>
      <w:r w:rsidR="00024659">
        <w:rPr>
          <w:i/>
        </w:rPr>
        <w:t>should</w:t>
      </w:r>
      <w:r w:rsidR="00877194">
        <w:rPr>
          <w:i/>
        </w:rPr>
        <w:t xml:space="preserve"> be </w:t>
      </w:r>
      <w:r w:rsidR="00024659">
        <w:rPr>
          <w:i/>
        </w:rPr>
        <w:t>mapped against</w:t>
      </w:r>
      <w:r w:rsidR="00877194">
        <w:rPr>
          <w:i/>
        </w:rPr>
        <w:t xml:space="preserve"> the various line items.</w:t>
      </w:r>
    </w:p>
    <w:p w:rsidR="00877194" w:rsidRPr="00120C44" w:rsidRDefault="00877194" w:rsidP="00140691">
      <w:pPr>
        <w:pStyle w:val="PwCNormal"/>
        <w:numPr>
          <w:ilvl w:val="0"/>
          <w:numId w:val="0"/>
        </w:numPr>
        <w:rPr>
          <w:i/>
        </w:rPr>
      </w:pPr>
      <w:r w:rsidRPr="00A34592">
        <w:rPr>
          <w:b/>
          <w:i/>
        </w:rPr>
        <w:t>Recommendation:</w:t>
      </w:r>
      <w:r>
        <w:rPr>
          <w:i/>
        </w:rPr>
        <w:t xml:space="preserve"> </w:t>
      </w:r>
      <w:r w:rsidR="00024659">
        <w:rPr>
          <w:i/>
        </w:rPr>
        <w:t xml:space="preserve">The IHPA should give some </w:t>
      </w:r>
      <w:r>
        <w:rPr>
          <w:i/>
        </w:rPr>
        <w:t xml:space="preserve">detailed examples of how to apply the line items, such as in scenarios where overhead costs are already integrated into the </w:t>
      </w:r>
      <w:r w:rsidR="00381328">
        <w:rPr>
          <w:i/>
        </w:rPr>
        <w:t>GL</w:t>
      </w:r>
      <w:r w:rsidR="00024659">
        <w:rPr>
          <w:i/>
        </w:rPr>
        <w:t>, and where</w:t>
      </w:r>
      <w:r w:rsidR="00381328">
        <w:rPr>
          <w:i/>
        </w:rPr>
        <w:t xml:space="preserve"> costs are allocated down during the cost</w:t>
      </w:r>
      <w:r w:rsidR="00024659">
        <w:rPr>
          <w:i/>
        </w:rPr>
        <w:t>ing</w:t>
      </w:r>
      <w:r w:rsidR="00381328">
        <w:rPr>
          <w:i/>
        </w:rPr>
        <w:t xml:space="preserve"> process.</w:t>
      </w:r>
    </w:p>
    <w:p w:rsidR="00223476" w:rsidRDefault="00223476" w:rsidP="00102376">
      <w:pPr>
        <w:pStyle w:val="PwCNormal"/>
        <w:rPr>
          <w:b/>
        </w:rPr>
      </w:pPr>
      <w:r w:rsidRPr="00102376">
        <w:rPr>
          <w:b/>
        </w:rPr>
        <w:t xml:space="preserve">Costing of </w:t>
      </w:r>
      <w:r w:rsidR="00024659">
        <w:rPr>
          <w:b/>
        </w:rPr>
        <w:t>teaching</w:t>
      </w:r>
      <w:r w:rsidR="008C6ED3">
        <w:rPr>
          <w:b/>
        </w:rPr>
        <w:t xml:space="preserve">, </w:t>
      </w:r>
      <w:r w:rsidR="00024659">
        <w:rPr>
          <w:b/>
        </w:rPr>
        <w:t xml:space="preserve">training </w:t>
      </w:r>
      <w:r w:rsidR="008C6ED3">
        <w:rPr>
          <w:b/>
        </w:rPr>
        <w:t xml:space="preserve">and </w:t>
      </w:r>
      <w:r w:rsidR="00024659">
        <w:rPr>
          <w:b/>
        </w:rPr>
        <w:t>r</w:t>
      </w:r>
      <w:r w:rsidR="008C6ED3">
        <w:rPr>
          <w:b/>
        </w:rPr>
        <w:t>esearch</w:t>
      </w:r>
    </w:p>
    <w:p w:rsidR="008C6ED3" w:rsidRPr="008C6ED3" w:rsidRDefault="00B93F96" w:rsidP="00102376">
      <w:pPr>
        <w:pStyle w:val="PwCNormal"/>
        <w:rPr>
          <w:b/>
        </w:rPr>
      </w:pPr>
      <w:r>
        <w:t xml:space="preserve">Teaching, </w:t>
      </w:r>
      <w:r w:rsidR="00024659">
        <w:t xml:space="preserve">training </w:t>
      </w:r>
      <w:r>
        <w:t xml:space="preserve">and </w:t>
      </w:r>
      <w:r w:rsidR="00024659">
        <w:t xml:space="preserve">research </w:t>
      </w:r>
      <w:r w:rsidR="008C6ED3">
        <w:t xml:space="preserve">(TTR) </w:t>
      </w:r>
      <w:r>
        <w:t xml:space="preserve">is </w:t>
      </w:r>
      <w:r w:rsidR="00FA65C5">
        <w:t xml:space="preserve">a </w:t>
      </w:r>
      <w:r>
        <w:t xml:space="preserve">major hospital product with no classification system. As such, there is little guidance on how </w:t>
      </w:r>
      <w:r w:rsidR="00024659">
        <w:t>it should</w:t>
      </w:r>
      <w:r>
        <w:t xml:space="preserve"> be co</w:t>
      </w:r>
      <w:r w:rsidR="008C6ED3">
        <w:t>sted</w:t>
      </w:r>
      <w:r w:rsidR="00024659">
        <w:t>,</w:t>
      </w:r>
      <w:r w:rsidR="008C6ED3">
        <w:t xml:space="preserve"> other than in aggregate. Some participants noted that they have cost centres specifically for teaching, and other</w:t>
      </w:r>
      <w:r w:rsidR="00F403E6">
        <w:t>s do not. Given that the</w:t>
      </w:r>
      <w:r w:rsidR="008C6ED3">
        <w:t xml:space="preserve"> standards specify:</w:t>
      </w:r>
    </w:p>
    <w:p w:rsidR="009B37CE" w:rsidRPr="00877194" w:rsidRDefault="008C6ED3" w:rsidP="00877194">
      <w:pPr>
        <w:pStyle w:val="PwCNormal"/>
        <w:spacing w:after="0"/>
        <w:ind w:left="567"/>
        <w:rPr>
          <w:b/>
          <w:i/>
        </w:rPr>
      </w:pPr>
      <w:r w:rsidRPr="008C6ED3">
        <w:rPr>
          <w:i/>
        </w:rPr>
        <w:t>“Teaching costs should be allocated to “teaching” where direct clinical teaching is clearly the purpose of the cost centre and within other cost centres where there is a robust and justifiable method of identification of actual teaching activity.”</w:t>
      </w:r>
    </w:p>
    <w:p w:rsidR="00877194" w:rsidRPr="008C6ED3" w:rsidRDefault="00877194" w:rsidP="00877194">
      <w:pPr>
        <w:pStyle w:val="Indent1"/>
        <w:spacing w:before="0"/>
        <w:jc w:val="right"/>
      </w:pPr>
      <w:r w:rsidRPr="00877194">
        <w:t>SCP 2A.002 – Teaching Costs</w:t>
      </w:r>
    </w:p>
    <w:p w:rsidR="008C6ED3" w:rsidRPr="008C6ED3" w:rsidRDefault="008B58C8" w:rsidP="008C6ED3">
      <w:pPr>
        <w:pStyle w:val="PwCNormal"/>
        <w:numPr>
          <w:ilvl w:val="0"/>
          <w:numId w:val="0"/>
        </w:numPr>
        <w:spacing w:after="120"/>
        <w:rPr>
          <w:b/>
        </w:rPr>
      </w:pPr>
      <w:r>
        <w:t>H</w:t>
      </w:r>
      <w:r w:rsidR="008C6ED3">
        <w:t xml:space="preserve">ospitals </w:t>
      </w:r>
      <w:r w:rsidR="00024659">
        <w:t xml:space="preserve">and </w:t>
      </w:r>
      <w:r w:rsidR="008C6ED3">
        <w:t xml:space="preserve">LHNs </w:t>
      </w:r>
      <w:r w:rsidR="00877194">
        <w:t>did</w:t>
      </w:r>
      <w:r w:rsidR="00F403E6">
        <w:t xml:space="preserve"> one or both of</w:t>
      </w:r>
      <w:r w:rsidR="008C6ED3">
        <w:t xml:space="preserve"> </w:t>
      </w:r>
      <w:r w:rsidR="00F403E6">
        <w:t>the following</w:t>
      </w:r>
      <w:r w:rsidR="008C6ED3">
        <w:t>:</w:t>
      </w:r>
    </w:p>
    <w:p w:rsidR="009B37CE" w:rsidRPr="008C6ED3" w:rsidRDefault="00877194" w:rsidP="009C4A5D">
      <w:pPr>
        <w:pStyle w:val="PwCNormal"/>
        <w:numPr>
          <w:ilvl w:val="0"/>
          <w:numId w:val="41"/>
        </w:numPr>
        <w:spacing w:after="120"/>
        <w:rPr>
          <w:b/>
        </w:rPr>
      </w:pPr>
      <w:r>
        <w:t>If they had</w:t>
      </w:r>
      <w:r w:rsidR="008C6ED3">
        <w:t xml:space="preserve"> direct </w:t>
      </w:r>
      <w:r>
        <w:t>teaching (or research) cost centres, these were</w:t>
      </w:r>
      <w:r w:rsidR="008C6ED3">
        <w:t xml:space="preserve"> map</w:t>
      </w:r>
      <w:r>
        <w:t>ped</w:t>
      </w:r>
      <w:r w:rsidR="008C6ED3">
        <w:t xml:space="preserve"> as teachi</w:t>
      </w:r>
      <w:r>
        <w:t xml:space="preserve">ng (or research). </w:t>
      </w:r>
      <w:r w:rsidR="00024659">
        <w:t xml:space="preserve">They mapped and allocated all </w:t>
      </w:r>
      <w:r>
        <w:t xml:space="preserve">other costs </w:t>
      </w:r>
      <w:r w:rsidR="008C6ED3">
        <w:t>according to their cost centre purpose</w:t>
      </w:r>
      <w:r>
        <w:t xml:space="preserve"> (</w:t>
      </w:r>
      <w:r w:rsidR="00024659">
        <w:t>for example,</w:t>
      </w:r>
      <w:r>
        <w:t xml:space="preserve"> medical cost centres that contained some TTR expenditure were allocated to patients)</w:t>
      </w:r>
      <w:r w:rsidR="008C6ED3">
        <w:t xml:space="preserve">. This </w:t>
      </w:r>
      <w:r w:rsidR="00024659">
        <w:t>relies heavily</w:t>
      </w:r>
      <w:r w:rsidR="008C6ED3">
        <w:t xml:space="preserve"> on the assumption that only direct teaching costs sit within</w:t>
      </w:r>
      <w:r>
        <w:t xml:space="preserve"> those cost centres and that no</w:t>
      </w:r>
      <w:r w:rsidR="008C6ED3">
        <w:t xml:space="preserve"> direct teaching costs are present in any other cost centre.</w:t>
      </w:r>
    </w:p>
    <w:p w:rsidR="008C6ED3" w:rsidRPr="00381328" w:rsidRDefault="008C6ED3" w:rsidP="009C4A5D">
      <w:pPr>
        <w:pStyle w:val="PwCNormal"/>
        <w:numPr>
          <w:ilvl w:val="0"/>
          <w:numId w:val="41"/>
        </w:numPr>
        <w:spacing w:after="120"/>
        <w:rPr>
          <w:b/>
        </w:rPr>
      </w:pPr>
      <w:r>
        <w:t>If they d</w:t>
      </w:r>
      <w:r w:rsidR="00024659">
        <w:t>id</w:t>
      </w:r>
      <w:r>
        <w:t xml:space="preserve"> not have direct TTR</w:t>
      </w:r>
      <w:r w:rsidR="00877194">
        <w:t xml:space="preserve"> cost centres</w:t>
      </w:r>
      <w:r>
        <w:t xml:space="preserve">, </w:t>
      </w:r>
      <w:r w:rsidR="00024659">
        <w:t>they developed</w:t>
      </w:r>
      <w:r w:rsidR="00877194">
        <w:t xml:space="preserve"> PFRACs or </w:t>
      </w:r>
      <w:r w:rsidR="00024659">
        <w:t xml:space="preserve">performed </w:t>
      </w:r>
      <w:r w:rsidR="00877194">
        <w:t xml:space="preserve">some modelling to </w:t>
      </w:r>
      <w:r w:rsidR="00381328">
        <w:t xml:space="preserve">allocate costs from other cost centres to a TTR product. PFRACs, while they may be reviewed, </w:t>
      </w:r>
      <w:r w:rsidR="00024659">
        <w:t>are often</w:t>
      </w:r>
      <w:r w:rsidR="00381328">
        <w:t xml:space="preserve"> reviewed in conjunction with activity data, which does not adequate</w:t>
      </w:r>
      <w:r w:rsidR="00024659">
        <w:t>ly</w:t>
      </w:r>
      <w:r w:rsidR="00381328">
        <w:t xml:space="preserve"> represent TTR activity given</w:t>
      </w:r>
      <w:r w:rsidR="00024659">
        <w:t xml:space="preserve"> that</w:t>
      </w:r>
      <w:r w:rsidR="00381328">
        <w:t xml:space="preserve"> little data is captured. </w:t>
      </w:r>
      <w:r w:rsidR="00024659">
        <w:t>Participants use ‘b</w:t>
      </w:r>
      <w:r w:rsidR="00381328">
        <w:t>est guess</w:t>
      </w:r>
      <w:r w:rsidR="00024659">
        <w:t>’</w:t>
      </w:r>
      <w:r w:rsidR="00381328">
        <w:t xml:space="preserve"> estimates in these circumstances.</w:t>
      </w:r>
    </w:p>
    <w:p w:rsidR="00381328" w:rsidRPr="00120C44" w:rsidRDefault="00381328" w:rsidP="00381328">
      <w:pPr>
        <w:pStyle w:val="PwCNormal"/>
        <w:numPr>
          <w:ilvl w:val="0"/>
          <w:numId w:val="0"/>
        </w:numPr>
        <w:rPr>
          <w:i/>
        </w:rPr>
      </w:pPr>
      <w:r w:rsidRPr="00A34592">
        <w:rPr>
          <w:b/>
          <w:i/>
        </w:rPr>
        <w:t>Recommendation:</w:t>
      </w:r>
      <w:r>
        <w:rPr>
          <w:i/>
        </w:rPr>
        <w:t xml:space="preserve"> Continue to develop a TTR classification</w:t>
      </w:r>
      <w:r w:rsidR="003A77D1">
        <w:rPr>
          <w:i/>
        </w:rPr>
        <w:t xml:space="preserve"> </w:t>
      </w:r>
      <w:r w:rsidR="005B6DD1">
        <w:rPr>
          <w:i/>
        </w:rPr>
        <w:t xml:space="preserve">to </w:t>
      </w:r>
      <w:r w:rsidR="00024659">
        <w:rPr>
          <w:i/>
        </w:rPr>
        <w:t xml:space="preserve">better </w:t>
      </w:r>
      <w:r w:rsidR="005B6DD1">
        <w:rPr>
          <w:i/>
        </w:rPr>
        <w:t xml:space="preserve">understand </w:t>
      </w:r>
      <w:r w:rsidR="00024659">
        <w:rPr>
          <w:i/>
        </w:rPr>
        <w:t xml:space="preserve">the </w:t>
      </w:r>
      <w:r w:rsidR="005B6DD1">
        <w:rPr>
          <w:i/>
        </w:rPr>
        <w:t>activities being delivered</w:t>
      </w:r>
      <w:r w:rsidR="00024659">
        <w:rPr>
          <w:i/>
        </w:rPr>
        <w:t>,</w:t>
      </w:r>
      <w:r w:rsidR="005B6DD1">
        <w:rPr>
          <w:i/>
        </w:rPr>
        <w:t xml:space="preserve"> which will support the classification and the costing standards. </w:t>
      </w:r>
      <w:r w:rsidR="00324D03">
        <w:rPr>
          <w:i/>
        </w:rPr>
        <w:t>Having greater clarity over what TTR activity is</w:t>
      </w:r>
      <w:r w:rsidR="00405F0B">
        <w:rPr>
          <w:i/>
        </w:rPr>
        <w:t xml:space="preserve"> </w:t>
      </w:r>
      <w:r w:rsidR="002821F4">
        <w:rPr>
          <w:i/>
        </w:rPr>
        <w:t>occurring</w:t>
      </w:r>
      <w:r w:rsidR="00324D03">
        <w:rPr>
          <w:i/>
        </w:rPr>
        <w:t xml:space="preserve"> and how to cost it will </w:t>
      </w:r>
      <w:r w:rsidR="00024659">
        <w:rPr>
          <w:i/>
        </w:rPr>
        <w:t>enable more consistent TTR costing</w:t>
      </w:r>
      <w:r w:rsidR="00324D03">
        <w:rPr>
          <w:i/>
        </w:rPr>
        <w:t xml:space="preserve"> </w:t>
      </w:r>
      <w:r w:rsidR="00024659">
        <w:rPr>
          <w:i/>
        </w:rPr>
        <w:t>across</w:t>
      </w:r>
      <w:r w:rsidR="00324D03">
        <w:rPr>
          <w:i/>
        </w:rPr>
        <w:t xml:space="preserve"> jurisdictions.</w:t>
      </w:r>
    </w:p>
    <w:p w:rsidR="00223476" w:rsidRDefault="00A8493C" w:rsidP="00102376">
      <w:pPr>
        <w:pStyle w:val="PwCNormal"/>
        <w:rPr>
          <w:b/>
        </w:rPr>
      </w:pPr>
      <w:r>
        <w:rPr>
          <w:b/>
        </w:rPr>
        <w:t xml:space="preserve">Product </w:t>
      </w:r>
      <w:r w:rsidR="00024659">
        <w:rPr>
          <w:b/>
        </w:rPr>
        <w:t xml:space="preserve">fractions </w:t>
      </w:r>
      <w:r>
        <w:rPr>
          <w:b/>
        </w:rPr>
        <w:t>(</w:t>
      </w:r>
      <w:r w:rsidR="00223476" w:rsidRPr="00102376">
        <w:rPr>
          <w:b/>
        </w:rPr>
        <w:t>PFRACs</w:t>
      </w:r>
      <w:r>
        <w:rPr>
          <w:b/>
        </w:rPr>
        <w:t>)</w:t>
      </w:r>
    </w:p>
    <w:p w:rsidR="009B37CE" w:rsidRPr="009B37CE" w:rsidRDefault="00A8493C" w:rsidP="00294857">
      <w:pPr>
        <w:pStyle w:val="PwCNormal"/>
        <w:numPr>
          <w:ilvl w:val="0"/>
          <w:numId w:val="0"/>
        </w:numPr>
        <w:rPr>
          <w:b/>
        </w:rPr>
      </w:pPr>
      <w:r>
        <w:t>Where hospitals have cost centres that contain costs for more than one product</w:t>
      </w:r>
      <w:r w:rsidR="008B58C8">
        <w:t xml:space="preserve"> </w:t>
      </w:r>
      <w:r>
        <w:t xml:space="preserve">(such as medical costs that need to be allocated to both </w:t>
      </w:r>
      <w:r w:rsidR="00A34592">
        <w:t>inpatients</w:t>
      </w:r>
      <w:r>
        <w:t xml:space="preserve"> and ED patients), </w:t>
      </w:r>
      <w:r w:rsidR="00024659">
        <w:t>the hospital</w:t>
      </w:r>
      <w:r w:rsidR="00A34592">
        <w:t>s</w:t>
      </w:r>
      <w:r w:rsidR="00024659">
        <w:t xml:space="preserve"> develop</w:t>
      </w:r>
      <w:r w:rsidR="00A34592">
        <w:t>ed</w:t>
      </w:r>
      <w:r w:rsidR="00024659">
        <w:t xml:space="preserve"> a </w:t>
      </w:r>
      <w:r>
        <w:t xml:space="preserve">PFRAC to split those costs. </w:t>
      </w:r>
      <w:r w:rsidR="00294857">
        <w:t xml:space="preserve">Eleven of the </w:t>
      </w:r>
      <w:r w:rsidR="00024659">
        <w:t xml:space="preserve">15 </w:t>
      </w:r>
      <w:r w:rsidR="00294857">
        <w:t xml:space="preserve">participants used PFRACs for the </w:t>
      </w:r>
      <w:r w:rsidR="006A194B">
        <w:t>Round 17</w:t>
      </w:r>
      <w:r w:rsidR="00294857">
        <w:t xml:space="preserve"> costing. </w:t>
      </w:r>
      <w:r w:rsidR="00024659">
        <w:t>S</w:t>
      </w:r>
      <w:r w:rsidR="00294857">
        <w:t xml:space="preserve">ome participants reported they had performed detailed </w:t>
      </w:r>
      <w:r w:rsidR="00024659">
        <w:t xml:space="preserve">PFRAC </w:t>
      </w:r>
      <w:r w:rsidR="00294857">
        <w:t>review</w:t>
      </w:r>
      <w:r w:rsidR="00024659">
        <w:t>s</w:t>
      </w:r>
      <w:r w:rsidR="00294857">
        <w:t xml:space="preserve"> along with activity data</w:t>
      </w:r>
      <w:r w:rsidR="00024659">
        <w:t>,</w:t>
      </w:r>
      <w:r w:rsidR="00294857">
        <w:t xml:space="preserve"> while others reviewed by exception.</w:t>
      </w:r>
    </w:p>
    <w:p w:rsidR="00A8493C" w:rsidRPr="00102376" w:rsidRDefault="00A8493C" w:rsidP="00A8493C">
      <w:pPr>
        <w:pStyle w:val="PwCNormal"/>
        <w:rPr>
          <w:b/>
        </w:rPr>
      </w:pPr>
      <w:r w:rsidRPr="00A34592">
        <w:rPr>
          <w:b/>
          <w:i/>
          <w:iCs/>
        </w:rPr>
        <w:t>Recommendation:</w:t>
      </w:r>
      <w:r>
        <w:rPr>
          <w:i/>
          <w:iCs/>
        </w:rPr>
        <w:t xml:space="preserve"> Jurisdictions </w:t>
      </w:r>
      <w:r w:rsidR="008B58C8">
        <w:rPr>
          <w:i/>
          <w:iCs/>
        </w:rPr>
        <w:t>could</w:t>
      </w:r>
      <w:r w:rsidR="005B6DD1">
        <w:rPr>
          <w:i/>
          <w:iCs/>
        </w:rPr>
        <w:t xml:space="preserve"> </w:t>
      </w:r>
      <w:r>
        <w:rPr>
          <w:i/>
          <w:iCs/>
        </w:rPr>
        <w:t xml:space="preserve">consider a review process </w:t>
      </w:r>
      <w:r w:rsidR="00024659">
        <w:rPr>
          <w:i/>
          <w:iCs/>
        </w:rPr>
        <w:t xml:space="preserve">for </w:t>
      </w:r>
      <w:r>
        <w:rPr>
          <w:i/>
          <w:iCs/>
        </w:rPr>
        <w:t xml:space="preserve">the PFRACs </w:t>
      </w:r>
      <w:r w:rsidR="00024659">
        <w:rPr>
          <w:i/>
          <w:iCs/>
        </w:rPr>
        <w:t xml:space="preserve">they </w:t>
      </w:r>
      <w:r>
        <w:rPr>
          <w:i/>
          <w:iCs/>
        </w:rPr>
        <w:t xml:space="preserve">use, </w:t>
      </w:r>
      <w:r w:rsidR="00024659">
        <w:rPr>
          <w:i/>
          <w:iCs/>
        </w:rPr>
        <w:t>involving</w:t>
      </w:r>
      <w:r>
        <w:rPr>
          <w:i/>
          <w:iCs/>
        </w:rPr>
        <w:t xml:space="preserve"> clinical </w:t>
      </w:r>
      <w:proofErr w:type="gramStart"/>
      <w:r>
        <w:rPr>
          <w:i/>
          <w:iCs/>
        </w:rPr>
        <w:t xml:space="preserve">staff who </w:t>
      </w:r>
      <w:r w:rsidR="00024659">
        <w:rPr>
          <w:i/>
          <w:iCs/>
        </w:rPr>
        <w:t>oversee</w:t>
      </w:r>
      <w:proofErr w:type="gramEnd"/>
      <w:r>
        <w:rPr>
          <w:i/>
          <w:iCs/>
        </w:rPr>
        <w:t xml:space="preserve"> service delivery in the relevant cost centres.</w:t>
      </w:r>
    </w:p>
    <w:p w:rsidR="008D0D75" w:rsidRDefault="00A8493C" w:rsidP="00102376">
      <w:pPr>
        <w:pStyle w:val="PwCNormal"/>
        <w:rPr>
          <w:i/>
          <w:iCs/>
        </w:rPr>
      </w:pPr>
      <w:r w:rsidRPr="00A34592">
        <w:rPr>
          <w:b/>
          <w:i/>
        </w:rPr>
        <w:t>Recommendation:</w:t>
      </w:r>
      <w:r>
        <w:rPr>
          <w:i/>
        </w:rPr>
        <w:t xml:space="preserve"> </w:t>
      </w:r>
      <w:r w:rsidR="00A21B56">
        <w:rPr>
          <w:i/>
        </w:rPr>
        <w:t xml:space="preserve">The </w:t>
      </w:r>
      <w:r w:rsidR="008B58C8">
        <w:rPr>
          <w:i/>
          <w:iCs/>
        </w:rPr>
        <w:t xml:space="preserve">IHPA </w:t>
      </w:r>
      <w:r>
        <w:rPr>
          <w:i/>
          <w:iCs/>
        </w:rPr>
        <w:t xml:space="preserve">and stakeholders should collaborate to determine </w:t>
      </w:r>
      <w:proofErr w:type="gramStart"/>
      <w:r>
        <w:rPr>
          <w:i/>
          <w:iCs/>
        </w:rPr>
        <w:t xml:space="preserve">what is best practice for </w:t>
      </w:r>
      <w:r w:rsidR="008B58C8">
        <w:rPr>
          <w:i/>
          <w:iCs/>
        </w:rPr>
        <w:t xml:space="preserve">reviewing </w:t>
      </w:r>
      <w:r>
        <w:rPr>
          <w:i/>
          <w:iCs/>
        </w:rPr>
        <w:t xml:space="preserve">PFRACs </w:t>
      </w:r>
      <w:r w:rsidR="00A21B56">
        <w:rPr>
          <w:i/>
          <w:iCs/>
        </w:rPr>
        <w:t>used</w:t>
      </w:r>
      <w:r>
        <w:rPr>
          <w:i/>
          <w:iCs/>
        </w:rPr>
        <w:t xml:space="preserve"> in hospital costing</w:t>
      </w:r>
      <w:proofErr w:type="gramEnd"/>
      <w:r w:rsidR="008D0D75">
        <w:rPr>
          <w:i/>
          <w:iCs/>
        </w:rPr>
        <w:t>.</w:t>
      </w:r>
    </w:p>
    <w:p w:rsidR="008D0D75" w:rsidRDefault="008D0D75">
      <w:pPr>
        <w:kinsoku/>
        <w:overflowPunct/>
        <w:autoSpaceDE/>
        <w:autoSpaceDN/>
        <w:adjustRightInd/>
        <w:snapToGrid/>
        <w:rPr>
          <w:i/>
          <w:iCs/>
        </w:rPr>
      </w:pPr>
      <w:r>
        <w:rPr>
          <w:i/>
          <w:iCs/>
        </w:rPr>
        <w:br w:type="page"/>
      </w:r>
    </w:p>
    <w:p w:rsidR="006617B8" w:rsidRDefault="006617B8" w:rsidP="006617B8">
      <w:pPr>
        <w:pStyle w:val="Heading1"/>
      </w:pPr>
      <w:bookmarkStart w:id="39" w:name="_Toc402895103"/>
      <w:bookmarkStart w:id="40" w:name="_Toc404355503"/>
      <w:r>
        <w:lastRenderedPageBreak/>
        <w:t>Australian Capital Territory</w:t>
      </w:r>
      <w:bookmarkEnd w:id="39"/>
      <w:bookmarkEnd w:id="40"/>
    </w:p>
    <w:p w:rsidR="006617B8" w:rsidRPr="00B7394C" w:rsidRDefault="006617B8" w:rsidP="006617B8">
      <w:pPr>
        <w:pStyle w:val="Heading2"/>
        <w:spacing w:before="0" w:after="40"/>
      </w:pPr>
      <w:r w:rsidRPr="00B7394C">
        <w:t>A</w:t>
      </w:r>
      <w:r w:rsidR="00805D3F" w:rsidRPr="00B7394C">
        <w:t xml:space="preserve">CT </w:t>
      </w:r>
      <w:r w:rsidRPr="00B7394C">
        <w:t>overall</w:t>
      </w:r>
    </w:p>
    <w:p w:rsidR="006617B8" w:rsidRPr="00B7394C" w:rsidRDefault="006617B8" w:rsidP="006617B8">
      <w:pPr>
        <w:pStyle w:val="Default"/>
        <w:spacing w:after="240"/>
        <w:rPr>
          <w:sz w:val="20"/>
          <w:szCs w:val="20"/>
        </w:rPr>
      </w:pPr>
      <w:r w:rsidRPr="00B7394C">
        <w:rPr>
          <w:sz w:val="20"/>
          <w:szCs w:val="20"/>
        </w:rPr>
        <w:t xml:space="preserve">Canberra Hospital and Calvary Hospital make up the ACT Local Health Network (ACT LHN). ACT Health conducts the costing process for both sites at the jurisdiction level, with input </w:t>
      </w:r>
      <w:r w:rsidR="00805D3F" w:rsidRPr="00B7394C">
        <w:rPr>
          <w:sz w:val="20"/>
          <w:szCs w:val="20"/>
        </w:rPr>
        <w:t>from</w:t>
      </w:r>
      <w:r w:rsidRPr="00B7394C">
        <w:rPr>
          <w:sz w:val="20"/>
          <w:szCs w:val="20"/>
        </w:rPr>
        <w:t xml:space="preserve"> the hospital</w:t>
      </w:r>
      <w:r w:rsidR="00805D3F" w:rsidRPr="00B7394C">
        <w:rPr>
          <w:sz w:val="20"/>
          <w:szCs w:val="20"/>
        </w:rPr>
        <w:t>s</w:t>
      </w:r>
      <w:r w:rsidRPr="00B7394C">
        <w:rPr>
          <w:sz w:val="20"/>
          <w:szCs w:val="20"/>
        </w:rPr>
        <w:t xml:space="preserve">. </w:t>
      </w:r>
      <w:r w:rsidR="009D552E" w:rsidRPr="00A34592">
        <w:rPr>
          <w:sz w:val="20"/>
          <w:szCs w:val="20"/>
        </w:rPr>
        <w:t xml:space="preserve">The hospitals review costing </w:t>
      </w:r>
      <w:r w:rsidRPr="00B7394C">
        <w:rPr>
          <w:sz w:val="20"/>
          <w:szCs w:val="20"/>
        </w:rPr>
        <w:t xml:space="preserve">once a year for the purpose of </w:t>
      </w:r>
      <w:r w:rsidR="004D4679" w:rsidRPr="00B7394C">
        <w:rPr>
          <w:sz w:val="20"/>
          <w:szCs w:val="20"/>
        </w:rPr>
        <w:t xml:space="preserve">compiling </w:t>
      </w:r>
      <w:r w:rsidRPr="00B7394C">
        <w:rPr>
          <w:sz w:val="20"/>
          <w:szCs w:val="20"/>
        </w:rPr>
        <w:t>the NHCDC submission, using the PPM2 costing system.</w:t>
      </w:r>
    </w:p>
    <w:p w:rsidR="006617B8" w:rsidRPr="00B7394C" w:rsidRDefault="006617B8" w:rsidP="006617B8">
      <w:pPr>
        <w:pStyle w:val="Default"/>
        <w:spacing w:after="240"/>
        <w:rPr>
          <w:sz w:val="20"/>
          <w:szCs w:val="20"/>
        </w:rPr>
      </w:pPr>
      <w:r w:rsidRPr="00B7394C">
        <w:rPr>
          <w:sz w:val="20"/>
          <w:szCs w:val="20"/>
        </w:rPr>
        <w:t xml:space="preserve">Within the ACT Government Health Directorate, one financial GL covers the Directorate, Canberra Hospital, Calvary Hospital and other health care facilities </w:t>
      </w:r>
      <w:r w:rsidR="009D552E" w:rsidRPr="00A34592">
        <w:rPr>
          <w:sz w:val="20"/>
          <w:szCs w:val="20"/>
        </w:rPr>
        <w:t xml:space="preserve">within </w:t>
      </w:r>
      <w:r w:rsidRPr="00B7394C">
        <w:rPr>
          <w:sz w:val="20"/>
          <w:szCs w:val="20"/>
        </w:rPr>
        <w:t>the ACT LHN. The facilities directly provide GL files</w:t>
      </w:r>
      <w:r w:rsidR="009D552E" w:rsidRPr="00A34592">
        <w:rPr>
          <w:sz w:val="20"/>
          <w:szCs w:val="20"/>
        </w:rPr>
        <w:t xml:space="preserve"> to the </w:t>
      </w:r>
      <w:r w:rsidRPr="00B7394C">
        <w:rPr>
          <w:sz w:val="20"/>
          <w:szCs w:val="20"/>
        </w:rPr>
        <w:t>ACT Health team</w:t>
      </w:r>
      <w:r w:rsidR="009D552E" w:rsidRPr="00A34592">
        <w:rPr>
          <w:sz w:val="20"/>
          <w:szCs w:val="20"/>
        </w:rPr>
        <w:t>, which then</w:t>
      </w:r>
      <w:r w:rsidRPr="00B7394C">
        <w:rPr>
          <w:sz w:val="20"/>
          <w:szCs w:val="20"/>
        </w:rPr>
        <w:t xml:space="preserve"> reviews the GL costs</w:t>
      </w:r>
      <w:r w:rsidR="009D552E" w:rsidRPr="00A34592">
        <w:rPr>
          <w:sz w:val="20"/>
          <w:szCs w:val="20"/>
        </w:rPr>
        <w:t>,</w:t>
      </w:r>
      <w:r w:rsidRPr="00B7394C">
        <w:rPr>
          <w:sz w:val="20"/>
          <w:szCs w:val="20"/>
        </w:rPr>
        <w:t xml:space="preserve"> </w:t>
      </w:r>
      <w:r w:rsidR="009D552E" w:rsidRPr="00A34592">
        <w:rPr>
          <w:sz w:val="20"/>
          <w:szCs w:val="20"/>
        </w:rPr>
        <w:t>identifying</w:t>
      </w:r>
      <w:r w:rsidRPr="00B7394C">
        <w:rPr>
          <w:sz w:val="20"/>
          <w:szCs w:val="20"/>
        </w:rPr>
        <w:t xml:space="preserve"> </w:t>
      </w:r>
      <w:r w:rsidR="009D552E" w:rsidRPr="00A34592">
        <w:rPr>
          <w:sz w:val="20"/>
          <w:szCs w:val="20"/>
        </w:rPr>
        <w:t>those</w:t>
      </w:r>
      <w:r w:rsidRPr="00B7394C">
        <w:rPr>
          <w:sz w:val="20"/>
          <w:szCs w:val="20"/>
        </w:rPr>
        <w:t xml:space="preserve"> </w:t>
      </w:r>
      <w:r w:rsidR="009D552E" w:rsidRPr="00A34592">
        <w:rPr>
          <w:sz w:val="20"/>
          <w:szCs w:val="20"/>
        </w:rPr>
        <w:t>related</w:t>
      </w:r>
      <w:r w:rsidRPr="00B7394C">
        <w:rPr>
          <w:sz w:val="20"/>
          <w:szCs w:val="20"/>
        </w:rPr>
        <w:t xml:space="preserve"> to services provided for other facilities or programs, and reallocat</w:t>
      </w:r>
      <w:r w:rsidR="009D552E" w:rsidRPr="00A34592">
        <w:rPr>
          <w:sz w:val="20"/>
          <w:szCs w:val="20"/>
        </w:rPr>
        <w:t>ing</w:t>
      </w:r>
      <w:r w:rsidRPr="00B7394C">
        <w:rPr>
          <w:sz w:val="20"/>
          <w:szCs w:val="20"/>
        </w:rPr>
        <w:t xml:space="preserve"> them. This</w:t>
      </w:r>
      <w:r w:rsidR="009D552E" w:rsidRPr="00A34592">
        <w:rPr>
          <w:sz w:val="20"/>
          <w:szCs w:val="20"/>
        </w:rPr>
        <w:t xml:space="preserve"> process</w:t>
      </w:r>
      <w:r w:rsidRPr="00B7394C">
        <w:rPr>
          <w:sz w:val="20"/>
          <w:szCs w:val="20"/>
        </w:rPr>
        <w:t xml:space="preserve"> is explained further in </w:t>
      </w:r>
      <w:r w:rsidR="00F84A9F">
        <w:rPr>
          <w:sz w:val="20"/>
          <w:szCs w:val="20"/>
        </w:rPr>
        <w:t>S</w:t>
      </w:r>
      <w:r w:rsidRPr="00B7394C">
        <w:rPr>
          <w:sz w:val="20"/>
          <w:szCs w:val="20"/>
        </w:rPr>
        <w:t xml:space="preserve">ection 3.2.2 below. </w:t>
      </w:r>
    </w:p>
    <w:p w:rsidR="006617B8" w:rsidRPr="00B7394C" w:rsidRDefault="006617B8" w:rsidP="006617B8">
      <w:pPr>
        <w:pStyle w:val="Default"/>
        <w:spacing w:after="240"/>
        <w:rPr>
          <w:sz w:val="20"/>
          <w:szCs w:val="20"/>
        </w:rPr>
      </w:pPr>
      <w:r w:rsidRPr="00B7394C">
        <w:rPr>
          <w:sz w:val="20"/>
          <w:szCs w:val="20"/>
        </w:rPr>
        <w:t>ACT Health maintains a shared Patient Administration System (PAS) for the Territory. The Department of Health’s costing team extract</w:t>
      </w:r>
      <w:r w:rsidR="009D552E" w:rsidRPr="00A34592">
        <w:rPr>
          <w:sz w:val="20"/>
          <w:szCs w:val="20"/>
        </w:rPr>
        <w:t>s</w:t>
      </w:r>
      <w:r w:rsidRPr="00B7394C">
        <w:rPr>
          <w:sz w:val="20"/>
          <w:szCs w:val="20"/>
        </w:rPr>
        <w:t xml:space="preserve"> activity information from the shared PAS and other feeder systems </w:t>
      </w:r>
      <w:r w:rsidR="009D552E" w:rsidRPr="00A34592">
        <w:rPr>
          <w:sz w:val="20"/>
          <w:szCs w:val="20"/>
        </w:rPr>
        <w:t xml:space="preserve">to inform the </w:t>
      </w:r>
      <w:r w:rsidRPr="00B7394C">
        <w:rPr>
          <w:sz w:val="20"/>
          <w:szCs w:val="20"/>
        </w:rPr>
        <w:t xml:space="preserve">costing </w:t>
      </w:r>
      <w:r w:rsidR="009D552E" w:rsidRPr="00B7394C">
        <w:rPr>
          <w:sz w:val="20"/>
          <w:szCs w:val="20"/>
        </w:rPr>
        <w:t>process</w:t>
      </w:r>
      <w:r w:rsidRPr="00B7394C">
        <w:rPr>
          <w:sz w:val="20"/>
          <w:szCs w:val="20"/>
        </w:rPr>
        <w:t>. Checks and validations are performed on the data for completeness before it is entered into the costing system.</w:t>
      </w:r>
    </w:p>
    <w:p w:rsidR="006617B8" w:rsidRPr="00A34592" w:rsidRDefault="006617B8" w:rsidP="00A34592">
      <w:pPr>
        <w:pStyle w:val="Heading3"/>
        <w:rPr>
          <w:i w:val="0"/>
        </w:rPr>
      </w:pPr>
      <w:r w:rsidRPr="00A34592">
        <w:t>Changes</w:t>
      </w:r>
      <w:r w:rsidR="009D552E" w:rsidRPr="00A34592">
        <w:t xml:space="preserve"> since Round 16</w:t>
      </w:r>
    </w:p>
    <w:p w:rsidR="006617B8" w:rsidRPr="00B7394C" w:rsidRDefault="006617B8" w:rsidP="006617B8">
      <w:pPr>
        <w:pStyle w:val="Default"/>
        <w:spacing w:after="240"/>
        <w:rPr>
          <w:sz w:val="20"/>
          <w:szCs w:val="20"/>
        </w:rPr>
      </w:pPr>
      <w:r w:rsidRPr="00B7394C">
        <w:rPr>
          <w:sz w:val="20"/>
          <w:szCs w:val="20"/>
        </w:rPr>
        <w:t>After the Round 16 Independent Financial Review, ACT Health identified a need to review and improve the timeframes that were being used for linking feeder systems. Previously, the majority of feeder systems were set up with a linking rule of +/-30 days. The jurisdiction undertook a review of all feeder systems’ linking rules to identify more relevant timeframes. These changes are expected to produce more accurate results, although in some cases may result in a higher number of unlinked services to prior periods. The changes were processed to take effect during Round 17.</w:t>
      </w:r>
    </w:p>
    <w:p w:rsidR="006617B8" w:rsidRPr="00B7394C" w:rsidRDefault="006617B8" w:rsidP="006617B8">
      <w:pPr>
        <w:pStyle w:val="Default"/>
        <w:spacing w:after="240"/>
        <w:rPr>
          <w:sz w:val="20"/>
          <w:szCs w:val="20"/>
        </w:rPr>
      </w:pPr>
      <w:r w:rsidRPr="00B7394C">
        <w:rPr>
          <w:sz w:val="20"/>
          <w:szCs w:val="20"/>
        </w:rPr>
        <w:t>The second change this year is that cost file specifications have been formalised and provided to hospitals in an effort to improve the quality of the data collection. These specifications cover both activity and financial data and include items like treatment of pharmaceutical offset or returns accounts, so that the GL is no</w:t>
      </w:r>
      <w:r w:rsidR="00875F6D">
        <w:rPr>
          <w:sz w:val="20"/>
          <w:szCs w:val="20"/>
        </w:rPr>
        <w:t>t submitted with negative value</w:t>
      </w:r>
      <w:r w:rsidRPr="00B7394C">
        <w:rPr>
          <w:sz w:val="20"/>
          <w:szCs w:val="20"/>
        </w:rPr>
        <w:t xml:space="preserve"> cost centre costs. </w:t>
      </w:r>
    </w:p>
    <w:p w:rsidR="006617B8" w:rsidRDefault="006617B8" w:rsidP="006617B8">
      <w:pPr>
        <w:pStyle w:val="Default"/>
        <w:spacing w:after="240"/>
        <w:rPr>
          <w:sz w:val="20"/>
          <w:szCs w:val="20"/>
        </w:rPr>
      </w:pPr>
      <w:r w:rsidRPr="00B7394C">
        <w:rPr>
          <w:sz w:val="20"/>
          <w:szCs w:val="20"/>
        </w:rPr>
        <w:t>Costing is currentl</w:t>
      </w:r>
      <w:r w:rsidR="00875F6D">
        <w:rPr>
          <w:sz w:val="20"/>
          <w:szCs w:val="20"/>
        </w:rPr>
        <w:t xml:space="preserve">y performed annually in the </w:t>
      </w:r>
      <w:proofErr w:type="gramStart"/>
      <w:r w:rsidR="00875F6D">
        <w:rPr>
          <w:sz w:val="20"/>
          <w:szCs w:val="20"/>
        </w:rPr>
        <w:t>ACT,</w:t>
      </w:r>
      <w:proofErr w:type="gramEnd"/>
      <w:r w:rsidRPr="00B7394C">
        <w:rPr>
          <w:sz w:val="20"/>
          <w:szCs w:val="20"/>
        </w:rPr>
        <w:t xml:space="preserve"> however, ACT Health is considering moving to a quarterly costing cycle. The fact that the GL is not fully ‘closed off’ until the end of the financial year acts as a barrier to a more frequent costing cycle, as the financial data would not be complete during mid-year </w:t>
      </w:r>
      <w:proofErr w:type="spellStart"/>
      <w:r w:rsidRPr="00B7394C">
        <w:rPr>
          <w:sz w:val="20"/>
          <w:szCs w:val="20"/>
        </w:rPr>
        <w:t>costings</w:t>
      </w:r>
      <w:proofErr w:type="spellEnd"/>
      <w:r w:rsidRPr="00B7394C">
        <w:rPr>
          <w:sz w:val="20"/>
          <w:szCs w:val="20"/>
        </w:rPr>
        <w:t>.</w:t>
      </w:r>
    </w:p>
    <w:p w:rsidR="006617B8" w:rsidRDefault="006617B8" w:rsidP="006617B8">
      <w:pPr>
        <w:pStyle w:val="Heading2"/>
        <w:spacing w:before="0" w:after="40"/>
      </w:pPr>
      <w:bookmarkStart w:id="41" w:name="_Ref403222066"/>
      <w:r>
        <w:t>Canberra Hospital</w:t>
      </w:r>
      <w:bookmarkEnd w:id="41"/>
      <w:r>
        <w:t xml:space="preserve"> </w:t>
      </w:r>
    </w:p>
    <w:p w:rsidR="006617B8" w:rsidRDefault="006617B8" w:rsidP="006617B8">
      <w:pPr>
        <w:pStyle w:val="Heading3"/>
      </w:pPr>
      <w:r>
        <w:t>Site overview</w:t>
      </w:r>
    </w:p>
    <w:p w:rsidR="006617B8" w:rsidRDefault="006617B8" w:rsidP="006617B8">
      <w:pPr>
        <w:pStyle w:val="PwCNormal"/>
        <w:numPr>
          <w:ilvl w:val="0"/>
          <w:numId w:val="0"/>
        </w:numPr>
      </w:pPr>
      <w:r>
        <w:t xml:space="preserve">Canberra Hospital provides acute and ambulatory care, along with aged care and community health services. As a tertiary-accredited hospital with connections to the Australian National University, it also has a strong research focus. As the largest hospital in the ACT, it provides a high volume of ancillary services across the Territory. For example, Canberra Hospital is responsible for providing all community mental health services across the ACT. </w:t>
      </w:r>
    </w:p>
    <w:p w:rsidR="006617B8" w:rsidRDefault="006617B8" w:rsidP="006617B8">
      <w:pPr>
        <w:pStyle w:val="PwCNormal"/>
        <w:numPr>
          <w:ilvl w:val="0"/>
          <w:numId w:val="0"/>
        </w:numPr>
      </w:pPr>
      <w:r>
        <w:t>The demographics within the ACT tend to have a high proportion of patients whose care is subsidised by the Department of Veterans’ Affairs (DVA patients), with a recent trend</w:t>
      </w:r>
      <w:r w:rsidRPr="00D649E7">
        <w:t xml:space="preserve"> </w:t>
      </w:r>
      <w:r>
        <w:t xml:space="preserve">of younger patients in this category. The Canberra Hospital also has extensive aged care services catering for a growing number of older patients. </w:t>
      </w:r>
    </w:p>
    <w:p w:rsidR="006617B8" w:rsidRDefault="006617B8" w:rsidP="006617B8">
      <w:pPr>
        <w:pStyle w:val="PwCNormal"/>
        <w:numPr>
          <w:ilvl w:val="0"/>
          <w:numId w:val="0"/>
        </w:numPr>
      </w:pPr>
      <w:r>
        <w:t xml:space="preserve">The table below is a summary of costs beginning with total expenses from the GL through to the total costs submitted to IHPA with the various adjustments made during the process. A variance of $86,000 was noted in item D, which was due to the inclusion </w:t>
      </w:r>
      <w:r w:rsidR="00875F6D">
        <w:t xml:space="preserve">of </w:t>
      </w:r>
      <w:r>
        <w:t xml:space="preserve">WIP adjustments in the breakdown provided of </w:t>
      </w:r>
      <w:r>
        <w:lastRenderedPageBreak/>
        <w:t>costs by hospital product. A further $46,000 variance was identified in the total costs submitted to IHPA, which represents less than 0.0.1% of total costs.</w:t>
      </w:r>
    </w:p>
    <w:p w:rsidR="006617B8" w:rsidRDefault="006617B8" w:rsidP="006617B8">
      <w:pPr>
        <w:pStyle w:val="Caption"/>
      </w:pPr>
      <w:r>
        <w:t xml:space="preserve">Table </w:t>
      </w:r>
      <w:fldSimple w:instr=" SEQ Table \* ARABIC ">
        <w:r w:rsidR="00575DFC">
          <w:rPr>
            <w:noProof/>
          </w:rPr>
          <w:t>7</w:t>
        </w:r>
      </w:fldSimple>
      <w:r>
        <w:t xml:space="preserve">: Financial overview </w:t>
      </w:r>
      <w:r>
        <w:rPr>
          <w:noProof/>
        </w:rPr>
        <w:t>of Canberra Hosp</w:t>
      </w:r>
      <w:r w:rsidR="00875F6D">
        <w:rPr>
          <w:noProof/>
        </w:rPr>
        <w:t>i</w:t>
      </w:r>
      <w:r>
        <w:rPr>
          <w:noProof/>
        </w:rPr>
        <w:t>tal</w:t>
      </w:r>
      <w:r w:rsidR="002C1CE6">
        <w:rPr>
          <w:noProof/>
        </w:rPr>
        <w:t>, FY 2012/13</w:t>
      </w:r>
    </w:p>
    <w:p w:rsidR="006617B8" w:rsidRDefault="006617B8" w:rsidP="006617B8">
      <w:pPr>
        <w:pStyle w:val="PwCNormal"/>
        <w:rPr>
          <w:highlight w:val="yellow"/>
        </w:rPr>
      </w:pPr>
      <w:r w:rsidRPr="00484B14">
        <w:rPr>
          <w:noProof/>
          <w:lang w:eastAsia="en-AU"/>
        </w:rPr>
        <w:drawing>
          <wp:inline distT="0" distB="0" distL="0" distR="0" wp14:anchorId="1B974177" wp14:editId="14B724A9">
            <wp:extent cx="5220335" cy="4188945"/>
            <wp:effectExtent l="0" t="0" r="0" b="2540"/>
            <wp:docPr id="57" name="Picture 57" descr="This table outlines the flow of cost movements from the $1.1bn in the general ledger through to the $759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0335" cy="4188945"/>
                    </a:xfrm>
                    <a:prstGeom prst="rect">
                      <a:avLst/>
                    </a:prstGeom>
                    <a:noFill/>
                    <a:ln>
                      <a:noFill/>
                    </a:ln>
                  </pic:spPr>
                </pic:pic>
              </a:graphicData>
            </a:graphic>
          </wp:inline>
        </w:drawing>
      </w:r>
    </w:p>
    <w:p w:rsidR="006617B8" w:rsidRPr="00DE22CA" w:rsidRDefault="006617B8" w:rsidP="006617B8">
      <w:pPr>
        <w:pStyle w:val="Heading3"/>
      </w:pPr>
      <w:r w:rsidRPr="00DE22CA">
        <w:t xml:space="preserve">Financial </w:t>
      </w:r>
      <w:r>
        <w:t>d</w:t>
      </w:r>
      <w:r w:rsidRPr="00DE22CA">
        <w:t>ata</w:t>
      </w:r>
    </w:p>
    <w:p w:rsidR="006617B8" w:rsidRDefault="00CA6711" w:rsidP="006617B8">
      <w:pPr>
        <w:pStyle w:val="PwCNormal"/>
        <w:numPr>
          <w:ilvl w:val="0"/>
          <w:numId w:val="0"/>
        </w:numPr>
        <w:rPr>
          <w:b/>
        </w:rPr>
      </w:pPr>
      <w:r>
        <w:rPr>
          <w:b/>
        </w:rPr>
        <w:t xml:space="preserve">General </w:t>
      </w:r>
      <w:r w:rsidR="009D552E">
        <w:rPr>
          <w:b/>
        </w:rPr>
        <w:t>L</w:t>
      </w:r>
      <w:r w:rsidR="006617B8" w:rsidRPr="00DE22CA">
        <w:rPr>
          <w:b/>
        </w:rPr>
        <w:t>edger (Item A)</w:t>
      </w:r>
    </w:p>
    <w:p w:rsidR="006617B8" w:rsidRPr="00B90C91" w:rsidRDefault="006617B8" w:rsidP="006617B8">
      <w:pPr>
        <w:pStyle w:val="PwCNormal"/>
        <w:numPr>
          <w:ilvl w:val="0"/>
          <w:numId w:val="0"/>
        </w:numPr>
      </w:pPr>
      <w:r>
        <w:t>ACT Health’s costing team</w:t>
      </w:r>
      <w:r w:rsidRPr="00B90C91">
        <w:t xml:space="preserve"> </w:t>
      </w:r>
      <w:r>
        <w:t>completes</w:t>
      </w:r>
      <w:r w:rsidRPr="00B90C91">
        <w:t xml:space="preserve"> </w:t>
      </w:r>
      <w:r>
        <w:t>the c</w:t>
      </w:r>
      <w:r w:rsidRPr="00B90C91">
        <w:t xml:space="preserve">osting </w:t>
      </w:r>
      <w:r>
        <w:t xml:space="preserve">at the jurisdictional level. As mentioned above, the ACT maintains one GL for the whole Health Directorate, with Canberra Hospital representing a high proportion of it. </w:t>
      </w:r>
    </w:p>
    <w:p w:rsidR="006617B8" w:rsidRDefault="006617B8" w:rsidP="006617B8">
      <w:pPr>
        <w:pStyle w:val="PwCNormal"/>
        <w:numPr>
          <w:ilvl w:val="0"/>
          <w:numId w:val="0"/>
        </w:numPr>
      </w:pPr>
      <w:r w:rsidRPr="00DE22CA">
        <w:t xml:space="preserve">The total expenses per the </w:t>
      </w:r>
      <w:r>
        <w:t xml:space="preserve">Health Directorate’s </w:t>
      </w:r>
      <w:r w:rsidRPr="00DE22CA">
        <w:t xml:space="preserve">financial statements for FY 2012/13 were </w:t>
      </w:r>
      <w:r>
        <w:t>$1.1bn</w:t>
      </w:r>
      <w:r w:rsidRPr="00DE22CA">
        <w:t xml:space="preserve">. </w:t>
      </w:r>
      <w:r>
        <w:t xml:space="preserve">This includes costs incurred for services Canberra Hospital provided on behalf of Calvary Hospital and other services (such as state-wide imaging services), as well as costs incurred for primary care, aged and community care services. </w:t>
      </w:r>
    </w:p>
    <w:p w:rsidR="006617B8" w:rsidRDefault="006617B8" w:rsidP="006617B8">
      <w:pPr>
        <w:pStyle w:val="Caption"/>
      </w:pPr>
      <w:bookmarkStart w:id="42" w:name="_Ref403223066"/>
      <w:r>
        <w:t xml:space="preserve">Table </w:t>
      </w:r>
      <w:fldSimple w:instr=" SEQ Table \* ARABIC ">
        <w:r w:rsidR="00575DFC">
          <w:rPr>
            <w:noProof/>
          </w:rPr>
          <w:t>8</w:t>
        </w:r>
      </w:fldSimple>
      <w:bookmarkEnd w:id="42"/>
      <w:r>
        <w:t>: Treatment of specific cost items</w:t>
      </w:r>
    </w:p>
    <w:p w:rsidR="006617B8" w:rsidRDefault="006617B8" w:rsidP="006617B8">
      <w:pPr>
        <w:pStyle w:val="PwCNormal"/>
        <w:numPr>
          <w:ilvl w:val="0"/>
          <w:numId w:val="0"/>
        </w:numPr>
      </w:pPr>
      <w:r w:rsidRPr="00F87325">
        <w:rPr>
          <w:noProof/>
          <w:lang w:eastAsia="en-AU"/>
        </w:rPr>
        <w:drawing>
          <wp:inline distT="0" distB="0" distL="0" distR="0" wp14:anchorId="5106243C" wp14:editId="73A8FE84">
            <wp:extent cx="3697200" cy="1544400"/>
            <wp:effectExtent l="0" t="0" r="0" b="0"/>
            <wp:docPr id="58" name="Picture 58" descr="Superannuation, workers' compensation, defined benefit scheme contributions, annual leave costs and long service leave costs are all included in the hospital GL and included in the costing. Professional indemnity insurance is allocated down from the department or jurisdiction and included in the costing. PBS rebates and trade discounts on pharmaceuticals are not included in the costing." title="Treatment of specific cost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7200" cy="1544400"/>
                    </a:xfrm>
                    <a:prstGeom prst="rect">
                      <a:avLst/>
                    </a:prstGeom>
                    <a:noFill/>
                    <a:ln>
                      <a:noFill/>
                    </a:ln>
                  </pic:spPr>
                </pic:pic>
              </a:graphicData>
            </a:graphic>
          </wp:inline>
        </w:drawing>
      </w:r>
    </w:p>
    <w:p w:rsidR="006617B8" w:rsidRDefault="00841C0F" w:rsidP="006617B8">
      <w:pPr>
        <w:pStyle w:val="PwCNormal"/>
        <w:numPr>
          <w:ilvl w:val="0"/>
          <w:numId w:val="0"/>
        </w:numPr>
      </w:pPr>
      <w:r>
        <w:lastRenderedPageBreak/>
        <w:fldChar w:fldCharType="begin"/>
      </w:r>
      <w:r>
        <w:instrText xml:space="preserve"> REF _Ref403223066 \h </w:instrText>
      </w:r>
      <w:r>
        <w:fldChar w:fldCharType="separate"/>
      </w:r>
      <w:r w:rsidR="00575DFC">
        <w:t xml:space="preserve">Table </w:t>
      </w:r>
      <w:r w:rsidR="00575DFC">
        <w:rPr>
          <w:noProof/>
        </w:rPr>
        <w:t>8</w:t>
      </w:r>
      <w:r>
        <w:fldChar w:fldCharType="end"/>
      </w:r>
      <w:r>
        <w:t xml:space="preserve"> </w:t>
      </w:r>
      <w:r w:rsidR="006617B8">
        <w:t>above lists specific costs that were reviewed to understand their treatment in the GL and the costing process. Once these costs are allocated to final cost centres they are distributed to patients using that cost centre’s allocation methodology. Key cost treatments to note include:</w:t>
      </w:r>
    </w:p>
    <w:p w:rsidR="006617B8" w:rsidRPr="002C0C65" w:rsidRDefault="006617B8" w:rsidP="006617B8">
      <w:pPr>
        <w:pStyle w:val="PwCNormal"/>
        <w:numPr>
          <w:ilvl w:val="0"/>
          <w:numId w:val="78"/>
        </w:numPr>
        <w:ind w:left="567" w:hanging="283"/>
      </w:pPr>
      <w:r>
        <w:t xml:space="preserve">The </w:t>
      </w:r>
      <w:r w:rsidRPr="002C0C65">
        <w:t xml:space="preserve">ACT has 2,227 </w:t>
      </w:r>
      <w:r>
        <w:t>full-time equivalent (</w:t>
      </w:r>
      <w:r w:rsidRPr="002C0C65">
        <w:t>FTE</w:t>
      </w:r>
      <w:r>
        <w:t>)</w:t>
      </w:r>
      <w:r w:rsidRPr="002C0C65">
        <w:t xml:space="preserve"> </w:t>
      </w:r>
      <w:r>
        <w:t xml:space="preserve">employees </w:t>
      </w:r>
      <w:r w:rsidRPr="002C0C65">
        <w:t xml:space="preserve">(approximately 37% of the ACT Health </w:t>
      </w:r>
      <w:r>
        <w:t>w</w:t>
      </w:r>
      <w:r w:rsidRPr="002C0C65">
        <w:t xml:space="preserve">orkforce) who are on a defined benefit scheme. Canberra </w:t>
      </w:r>
      <w:r>
        <w:t>H</w:t>
      </w:r>
      <w:r w:rsidRPr="002C0C65">
        <w:t xml:space="preserve">ospital </w:t>
      </w:r>
      <w:r>
        <w:t>makes v</w:t>
      </w:r>
      <w:r w:rsidRPr="002C0C65">
        <w:t xml:space="preserve">arying contributions for those employees to ACT Treasury, which sit in the hospital GL and </w:t>
      </w:r>
      <w:r>
        <w:t xml:space="preserve">are </w:t>
      </w:r>
      <w:r w:rsidRPr="002C0C65">
        <w:t>included in the costing. ACT Treasury is responsible for managing the funds in the scheme and assumes the risk</w:t>
      </w:r>
      <w:r>
        <w:t xml:space="preserve"> for any shortfall</w:t>
      </w:r>
      <w:r w:rsidRPr="002C0C65">
        <w:t>. No additional costs related to this scheme are passed through to the hospital GL.</w:t>
      </w:r>
    </w:p>
    <w:p w:rsidR="006617B8" w:rsidRDefault="006617B8" w:rsidP="006617B8">
      <w:pPr>
        <w:pStyle w:val="PwCNormal"/>
        <w:numPr>
          <w:ilvl w:val="0"/>
          <w:numId w:val="78"/>
        </w:numPr>
        <w:ind w:left="567" w:hanging="283"/>
      </w:pPr>
      <w:r>
        <w:t>Superannuation and leave costs are included in the hospital GL, which includes (at the cost centre level) the costs of the Canberra Hospital employees</w:t>
      </w:r>
      <w:r w:rsidDel="00FC7ED5">
        <w:t xml:space="preserve"> </w:t>
      </w:r>
      <w:r>
        <w:t xml:space="preserve">who are on a defined benefits retirement scheme. </w:t>
      </w:r>
    </w:p>
    <w:p w:rsidR="006617B8" w:rsidRDefault="006617B8" w:rsidP="006617B8">
      <w:pPr>
        <w:pStyle w:val="PwCNormal"/>
        <w:numPr>
          <w:ilvl w:val="0"/>
          <w:numId w:val="78"/>
        </w:numPr>
        <w:ind w:left="567" w:hanging="283"/>
      </w:pPr>
      <w:proofErr w:type="spellStart"/>
      <w:r>
        <w:t>Comcare</w:t>
      </w:r>
      <w:proofErr w:type="spellEnd"/>
      <w:r>
        <w:t xml:space="preserve"> Australia externally insures workers compensation at Canberra Hospital with the appropriate expenses included in the hospital GL. </w:t>
      </w:r>
    </w:p>
    <w:p w:rsidR="006617B8" w:rsidRDefault="006617B8" w:rsidP="006617B8">
      <w:pPr>
        <w:pStyle w:val="PwCNormal"/>
        <w:numPr>
          <w:ilvl w:val="0"/>
          <w:numId w:val="78"/>
        </w:numPr>
        <w:ind w:left="567" w:hanging="283"/>
      </w:pPr>
      <w:r>
        <w:t xml:space="preserve">Pharmaceutical Benefits Scheme (PBS) drug rebates and trade </w:t>
      </w:r>
      <w:r w:rsidRPr="00496CF1">
        <w:t xml:space="preserve">discounts </w:t>
      </w:r>
      <w:r>
        <w:t xml:space="preserve">are not offset </w:t>
      </w:r>
      <w:r w:rsidRPr="00496CF1">
        <w:t>against the expense item in the hospital</w:t>
      </w:r>
      <w:r>
        <w:t xml:space="preserve"> GL. </w:t>
      </w:r>
    </w:p>
    <w:p w:rsidR="006617B8" w:rsidRPr="00DE22CA" w:rsidRDefault="006617B8" w:rsidP="006617B8">
      <w:pPr>
        <w:pStyle w:val="PwCNormal"/>
        <w:numPr>
          <w:ilvl w:val="0"/>
          <w:numId w:val="78"/>
        </w:numPr>
        <w:ind w:left="567" w:hanging="283"/>
      </w:pPr>
      <w:r>
        <w:t>Assets are revalued every three years in line with jurisdictional requirements and the depreciation in the GL is adjusted accordingly.</w:t>
      </w:r>
    </w:p>
    <w:p w:rsidR="006617B8" w:rsidRPr="00DE22CA" w:rsidRDefault="006617B8" w:rsidP="006617B8">
      <w:pPr>
        <w:pStyle w:val="PwCNormal"/>
        <w:numPr>
          <w:ilvl w:val="0"/>
          <w:numId w:val="0"/>
        </w:numPr>
        <w:rPr>
          <w:b/>
        </w:rPr>
      </w:pPr>
      <w:r w:rsidRPr="00DE22CA">
        <w:rPr>
          <w:b/>
        </w:rPr>
        <w:t>Inclusions and exclusions (Item B)</w:t>
      </w:r>
    </w:p>
    <w:p w:rsidR="006617B8" w:rsidRDefault="006617B8" w:rsidP="006617B8">
      <w:pPr>
        <w:pStyle w:val="PwCNormal"/>
        <w:numPr>
          <w:ilvl w:val="0"/>
          <w:numId w:val="0"/>
        </w:numPr>
      </w:pPr>
      <w:r>
        <w:t>A number of costs not relating to Canberra Hospital services are excluded from the GL</w:t>
      </w:r>
      <w:r w:rsidR="00875F6D">
        <w:t>.</w:t>
      </w:r>
      <w:r w:rsidRPr="00DE22CA">
        <w:t xml:space="preserve"> </w:t>
      </w:r>
      <w:r>
        <w:t>This occurs at two different stages in the costing process:</w:t>
      </w:r>
    </w:p>
    <w:p w:rsidR="006617B8" w:rsidRDefault="006617B8" w:rsidP="006617B8">
      <w:pPr>
        <w:pStyle w:val="PwCNormal"/>
        <w:numPr>
          <w:ilvl w:val="0"/>
          <w:numId w:val="45"/>
        </w:numPr>
      </w:pPr>
      <w:r>
        <w:t>An amount of $</w:t>
      </w:r>
      <w:r w:rsidRPr="0016557C">
        <w:t>90</w:t>
      </w:r>
      <w:r>
        <w:t>,</w:t>
      </w:r>
      <w:r w:rsidRPr="0016557C">
        <w:t>620</w:t>
      </w:r>
      <w:r>
        <w:t>,</w:t>
      </w:r>
      <w:r w:rsidRPr="0016557C">
        <w:t>434</w:t>
      </w:r>
      <w:r>
        <w:t xml:space="preserve"> is excluded at the point of </w:t>
      </w:r>
      <w:r w:rsidR="00875F6D">
        <w:t>entering</w:t>
      </w:r>
      <w:r>
        <w:t xml:space="preserve"> costs from the GL into the costing system. A detailed breakdown of this amount was obtained with the vast majority relating to </w:t>
      </w:r>
      <w:r w:rsidRPr="002B7BDC">
        <w:t>Policy &amp; Government Relations</w:t>
      </w:r>
      <w:r>
        <w:t xml:space="preserve">, </w:t>
      </w:r>
      <w:r w:rsidRPr="002B7BDC">
        <w:t>DDG Strategy and Corporate</w:t>
      </w:r>
      <w:r>
        <w:t xml:space="preserve"> costs and other costs incurred at the ACT Health Directorate level that are not direct hospital costs. </w:t>
      </w:r>
    </w:p>
    <w:p w:rsidR="006617B8" w:rsidRDefault="006617B8" w:rsidP="006617B8">
      <w:pPr>
        <w:pStyle w:val="PwCNormal"/>
        <w:numPr>
          <w:ilvl w:val="0"/>
          <w:numId w:val="45"/>
        </w:numPr>
      </w:pPr>
      <w:r>
        <w:t>An amount of $178,507,069 is excluded after the cost allocation process is undertaken. These costs relate to other services provided outside of Canberra Hospital (primarily Calvary Hospital).</w:t>
      </w:r>
    </w:p>
    <w:p w:rsidR="006617B8" w:rsidRDefault="006617B8" w:rsidP="006617B8">
      <w:pPr>
        <w:pStyle w:val="PwCNormal"/>
        <w:numPr>
          <w:ilvl w:val="0"/>
          <w:numId w:val="0"/>
        </w:numPr>
      </w:pPr>
      <w:r>
        <w:t>The resulting costs identified as relating to Canberra Hospital total $</w:t>
      </w:r>
      <w:r w:rsidRPr="00A9166A">
        <w:t>814,660,15</w:t>
      </w:r>
      <w:r>
        <w:t>9.</w:t>
      </w:r>
    </w:p>
    <w:p w:rsidR="006617B8" w:rsidRPr="00DE22CA" w:rsidRDefault="006617B8" w:rsidP="006617B8">
      <w:pPr>
        <w:pStyle w:val="PwCNormal"/>
        <w:numPr>
          <w:ilvl w:val="0"/>
          <w:numId w:val="0"/>
        </w:numPr>
        <w:rPr>
          <w:b/>
        </w:rPr>
      </w:pPr>
      <w:r w:rsidRPr="00DE22CA">
        <w:rPr>
          <w:b/>
        </w:rPr>
        <w:t>Allocation of overheads (Item C)</w:t>
      </w:r>
    </w:p>
    <w:p w:rsidR="006617B8" w:rsidRPr="00D75866" w:rsidRDefault="006617B8" w:rsidP="006617B8">
      <w:pPr>
        <w:spacing w:after="240"/>
      </w:pPr>
      <w:r>
        <w:t xml:space="preserve">For the </w:t>
      </w:r>
      <w:r w:rsidRPr="00D75866">
        <w:t>Canberra Hospital</w:t>
      </w:r>
      <w:r>
        <w:t xml:space="preserve"> costing</w:t>
      </w:r>
      <w:r w:rsidRPr="00D75866">
        <w:t xml:space="preserve">, over 86 different allocation statistics (and their corresponding data) were built for </w:t>
      </w:r>
      <w:r>
        <w:t>Round 17</w:t>
      </w:r>
      <w:r w:rsidRPr="00D75866">
        <w:t>, to allocate overhead costs correctly to the patient level. These ranged from FTE</w:t>
      </w:r>
      <w:r>
        <w:t>-</w:t>
      </w:r>
      <w:r w:rsidRPr="00D75866">
        <w:t xml:space="preserve"> based statistics, utilisation data (built at the cost</w:t>
      </w:r>
      <w:r>
        <w:t>-</w:t>
      </w:r>
      <w:r w:rsidRPr="00D75866">
        <w:t xml:space="preserve">centre level), </w:t>
      </w:r>
      <w:r>
        <w:t>s</w:t>
      </w:r>
      <w:r w:rsidRPr="00D75866">
        <w:t>tatistic</w:t>
      </w:r>
      <w:r>
        <w:t>s built on f</w:t>
      </w:r>
      <w:r w:rsidRPr="00D75866">
        <w:t>inance data and specific statistics for specialised costing of certain services. These statistics were chosen using the guidance of the AHPCS, but when data was available that added further granularity to the allocation of overh</w:t>
      </w:r>
      <w:r>
        <w:t>eads, then this data was used.</w:t>
      </w:r>
    </w:p>
    <w:p w:rsidR="006617B8" w:rsidRPr="00DE22CA" w:rsidRDefault="006617B8" w:rsidP="006617B8">
      <w:pPr>
        <w:pStyle w:val="PwCNormal"/>
        <w:numPr>
          <w:ilvl w:val="0"/>
          <w:numId w:val="0"/>
        </w:numPr>
        <w:rPr>
          <w:b/>
        </w:rPr>
      </w:pPr>
      <w:r w:rsidRPr="00DE22CA">
        <w:rPr>
          <w:b/>
        </w:rPr>
        <w:t>Distribution of costs between hospital products</w:t>
      </w:r>
      <w:r>
        <w:rPr>
          <w:b/>
        </w:rPr>
        <w:t xml:space="preserve"> (Item D)</w:t>
      </w:r>
    </w:p>
    <w:p w:rsidR="006617B8" w:rsidRDefault="006617B8" w:rsidP="006617B8">
      <w:pPr>
        <w:pStyle w:val="PwCNormal"/>
        <w:numPr>
          <w:ilvl w:val="0"/>
          <w:numId w:val="0"/>
        </w:numPr>
      </w:pPr>
      <w:r w:rsidRPr="00280CB8">
        <w:t>C</w:t>
      </w:r>
      <w:r>
        <w:t>ertain c</w:t>
      </w:r>
      <w:r w:rsidRPr="00280CB8">
        <w:t>ost</w:t>
      </w:r>
      <w:r>
        <w:t xml:space="preserve"> centres are set up to include costs that cover more than one hospital product, such as medical costs. The process to split these costs between the relevant products is as follows:</w:t>
      </w:r>
    </w:p>
    <w:p w:rsidR="006617B8" w:rsidRDefault="006617B8" w:rsidP="006617B8">
      <w:pPr>
        <w:pStyle w:val="PwCNormal"/>
        <w:numPr>
          <w:ilvl w:val="0"/>
          <w:numId w:val="46"/>
        </w:numPr>
      </w:pPr>
      <w:r>
        <w:t>Medical costs are allocated between outpatient and inpatient services based on a product fraction. This fraction is updated annually by the Canberra Hospital Financial Operations Support Unit, which asks the department managers to confirm the allocation is correct.</w:t>
      </w:r>
    </w:p>
    <w:p w:rsidR="006617B8" w:rsidRDefault="006617B8" w:rsidP="006617B8">
      <w:pPr>
        <w:pStyle w:val="PwCNormal"/>
        <w:numPr>
          <w:ilvl w:val="0"/>
          <w:numId w:val="46"/>
        </w:numPr>
      </w:pPr>
      <w:r>
        <w:lastRenderedPageBreak/>
        <w:t xml:space="preserve">The medical costs allocated to inpatient activities are then split between theatre and ward costs based on a product fraction. This fraction is only updated every 2-3 years, which did not occur in Round 16 or 17. </w:t>
      </w:r>
    </w:p>
    <w:p w:rsidR="006617B8" w:rsidRPr="00280CB8" w:rsidRDefault="006617B8" w:rsidP="006617B8">
      <w:pPr>
        <w:pStyle w:val="PwCNormal"/>
        <w:numPr>
          <w:ilvl w:val="0"/>
          <w:numId w:val="46"/>
        </w:numPr>
      </w:pPr>
      <w:r>
        <w:t>TTR costs are determined by a questionnaire sent each year to the doctors asking them to estimate how much time they spend on TTR activities. In the past, the team received a response from only 10% of the doctors, which has doubled to 20% this year. Costs identified from these responses are separated and not allocated to patients; however, due to the low response rate it is likely that the teaching and training costs reported to IHPA are understated.</w:t>
      </w:r>
    </w:p>
    <w:p w:rsidR="006617B8" w:rsidRPr="004E0B72" w:rsidRDefault="006617B8" w:rsidP="006617B8">
      <w:pPr>
        <w:pStyle w:val="Heading3"/>
      </w:pPr>
      <w:r>
        <w:t>Activity information and costing methodology</w:t>
      </w:r>
    </w:p>
    <w:p w:rsidR="006617B8" w:rsidRPr="002449AB" w:rsidRDefault="006617B8" w:rsidP="006617B8">
      <w:pPr>
        <w:pStyle w:val="PwCNormal"/>
        <w:numPr>
          <w:ilvl w:val="0"/>
          <w:numId w:val="0"/>
        </w:numPr>
        <w:rPr>
          <w:b/>
        </w:rPr>
      </w:pPr>
      <w:r>
        <w:rPr>
          <w:b/>
        </w:rPr>
        <w:t>Overview</w:t>
      </w:r>
    </w:p>
    <w:p w:rsidR="006617B8" w:rsidRDefault="006617B8" w:rsidP="006617B8">
      <w:pPr>
        <w:pStyle w:val="PwCNormal"/>
        <w:numPr>
          <w:ilvl w:val="0"/>
          <w:numId w:val="0"/>
        </w:numPr>
      </w:pPr>
      <w:r>
        <w:t>ACT Health is able to extract activity information from</w:t>
      </w:r>
      <w:r w:rsidRPr="00A961EC">
        <w:t xml:space="preserve"> the </w:t>
      </w:r>
      <w:r>
        <w:t>PAS</w:t>
      </w:r>
      <w:r w:rsidRPr="00A961EC">
        <w:t xml:space="preserve"> and </w:t>
      </w:r>
      <w:r>
        <w:t xml:space="preserve">a large number of </w:t>
      </w:r>
      <w:r w:rsidRPr="00A961EC">
        <w:t>other feeder systems such as operating theatre, allie</w:t>
      </w:r>
      <w:r>
        <w:t>d health, ED</w:t>
      </w:r>
      <w:r w:rsidRPr="00A961EC">
        <w:t>, imaging, pharmacy and pathology</w:t>
      </w:r>
      <w:r w:rsidR="00875F6D">
        <w:t xml:space="preserve"> systems</w:t>
      </w:r>
      <w:r>
        <w:t>. The names of these feeders were submitted to IHPA, but have not been included in this report as this data was considered commercial-in-confidence</w:t>
      </w:r>
      <w:r w:rsidR="00875F6D">
        <w:t xml:space="preserve"> information</w:t>
      </w:r>
      <w:r>
        <w:t>.</w:t>
      </w:r>
    </w:p>
    <w:p w:rsidR="006617B8" w:rsidRDefault="00575574" w:rsidP="006617B8">
      <w:pPr>
        <w:pStyle w:val="PwCNormal"/>
        <w:numPr>
          <w:ilvl w:val="0"/>
          <w:numId w:val="0"/>
        </w:numPr>
      </w:pPr>
      <w:r>
        <w:fldChar w:fldCharType="begin"/>
      </w:r>
      <w:r>
        <w:instrText xml:space="preserve"> REF _Ref403229787 \h </w:instrText>
      </w:r>
      <w:r>
        <w:fldChar w:fldCharType="separate"/>
      </w:r>
      <w:r w:rsidR="00575DFC">
        <w:t xml:space="preserve">Table </w:t>
      </w:r>
      <w:r w:rsidR="00575DFC">
        <w:rPr>
          <w:noProof/>
        </w:rPr>
        <w:t>9</w:t>
      </w:r>
      <w:r>
        <w:fldChar w:fldCharType="end"/>
      </w:r>
      <w:r w:rsidR="00CB38E7">
        <w:t xml:space="preserve"> </w:t>
      </w:r>
      <w:r w:rsidR="006617B8">
        <w:t>below outlines the costing methodology for the various hospital products.</w:t>
      </w:r>
    </w:p>
    <w:p w:rsidR="006617B8" w:rsidRDefault="006617B8" w:rsidP="006617B8">
      <w:pPr>
        <w:pStyle w:val="Caption"/>
      </w:pPr>
      <w:bookmarkStart w:id="43" w:name="_Ref403229787"/>
      <w:r>
        <w:t xml:space="preserve">Table </w:t>
      </w:r>
      <w:fldSimple w:instr=" SEQ Table \* ARABIC ">
        <w:r w:rsidR="00575DFC">
          <w:rPr>
            <w:noProof/>
          </w:rPr>
          <w:t>9</w:t>
        </w:r>
      </w:fldSimple>
      <w:bookmarkEnd w:id="43"/>
      <w:r>
        <w:t>: 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6617B8" w:rsidTr="00F7644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6617B8" w:rsidRPr="00C53A14" w:rsidRDefault="006617B8" w:rsidP="00F76445">
            <w:pPr>
              <w:pStyle w:val="PwCNormal"/>
              <w:numPr>
                <w:ilvl w:val="0"/>
                <w:numId w:val="0"/>
              </w:numPr>
              <w:rPr>
                <w:b/>
              </w:rPr>
            </w:pPr>
            <w:r w:rsidRPr="00C53A14">
              <w:rPr>
                <w:b/>
              </w:rPr>
              <w:t>Hospital product</w:t>
            </w:r>
          </w:p>
        </w:tc>
        <w:tc>
          <w:tcPr>
            <w:tcW w:w="6237" w:type="dxa"/>
          </w:tcPr>
          <w:p w:rsidR="006617B8" w:rsidRPr="00C53A14" w:rsidRDefault="006617B8" w:rsidP="00F76445">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C53A14">
              <w:rPr>
                <w:b/>
              </w:rPr>
              <w:t>Allocation overview</w:t>
            </w:r>
          </w:p>
        </w:tc>
      </w:tr>
      <w:tr w:rsidR="006617B8" w:rsidTr="00F76445">
        <w:tc>
          <w:tcPr>
            <w:tcW w:w="2376" w:type="dxa"/>
          </w:tcPr>
          <w:p w:rsidR="006617B8" w:rsidRDefault="006617B8" w:rsidP="00F76445">
            <w:pPr>
              <w:pStyle w:val="PwCNormal"/>
              <w:numPr>
                <w:ilvl w:val="0"/>
                <w:numId w:val="0"/>
              </w:numPr>
            </w:pPr>
            <w:r>
              <w:t xml:space="preserve">Inpatient </w:t>
            </w:r>
            <w:r>
              <w:br/>
              <w:t>(acute and sub-acute)</w:t>
            </w:r>
          </w:p>
        </w:tc>
        <w:tc>
          <w:tcPr>
            <w:tcW w:w="6237" w:type="dxa"/>
          </w:tcPr>
          <w:p w:rsidR="006617B8" w:rsidRDefault="006617B8" w:rsidP="00F76445">
            <w:pPr>
              <w:pStyle w:val="PwCNormal"/>
              <w:numPr>
                <w:ilvl w:val="0"/>
                <w:numId w:val="0"/>
              </w:numPr>
            </w:pPr>
            <w:r>
              <w:t xml:space="preserve">Patient-level costing is conducted for acute inpatients, allocating costs using data from various feeder systems. A patient-level costing approach is also conducted for sub-acute episodes; however, sub-acute episodes are not costed at the phase level. </w:t>
            </w:r>
          </w:p>
          <w:p w:rsidR="006617B8" w:rsidRDefault="006617B8" w:rsidP="00F76445">
            <w:pPr>
              <w:pStyle w:val="PwCNormal"/>
              <w:numPr>
                <w:ilvl w:val="0"/>
                <w:numId w:val="0"/>
              </w:numPr>
            </w:pPr>
            <w:r>
              <w:t xml:space="preserve">Theatre costs – the feeder system captures theatre time </w:t>
            </w:r>
            <w:r w:rsidR="00875F6D">
              <w:t xml:space="preserve">as well as pre and post-theatre and </w:t>
            </w:r>
            <w:r>
              <w:t>recovery time.</w:t>
            </w:r>
          </w:p>
          <w:p w:rsidR="006617B8" w:rsidRDefault="006617B8" w:rsidP="00F76445">
            <w:pPr>
              <w:pStyle w:val="PwCNormal"/>
              <w:numPr>
                <w:ilvl w:val="0"/>
                <w:numId w:val="0"/>
              </w:numPr>
            </w:pPr>
            <w:r>
              <w:t xml:space="preserve">Pharmacy – a relative weighting of the actual </w:t>
            </w:r>
            <w:r w:rsidRPr="00794C26">
              <w:t>Medicare Benefits Schedule</w:t>
            </w:r>
            <w:r>
              <w:t xml:space="preserve"> (MBS) or drug charge is applied against the GL cost before the allocation is made. Costs are then split between </w:t>
            </w:r>
            <w:proofErr w:type="spellStart"/>
            <w:r>
              <w:t>imprest</w:t>
            </w:r>
            <w:proofErr w:type="spellEnd"/>
            <w:r>
              <w:t xml:space="preserve"> and direct disbursements based on discussions with the pharmacist. The drugs that are directly disbursed to patients are allocated to the patient episode and </w:t>
            </w:r>
            <w:proofErr w:type="spellStart"/>
            <w:r>
              <w:t>imprest</w:t>
            </w:r>
            <w:proofErr w:type="spellEnd"/>
            <w:r>
              <w:t xml:space="preserve"> ward drugs are allocated to the relevant cost centre or ward. Pharmacy costs are split between S100, PBS and non-PBS costs. </w:t>
            </w:r>
          </w:p>
          <w:p w:rsidR="006617B8" w:rsidRPr="00052CB3" w:rsidRDefault="006617B8" w:rsidP="00F76445">
            <w:pPr>
              <w:pStyle w:val="PwCNormal"/>
              <w:numPr>
                <w:ilvl w:val="0"/>
                <w:numId w:val="0"/>
              </w:numPr>
            </w:pPr>
            <w:r w:rsidRPr="00F27456">
              <w:t xml:space="preserve">Prostheses – the feeder data contains an episode number and a medical record </w:t>
            </w:r>
            <w:r w:rsidR="002821F4" w:rsidRPr="00F27456">
              <w:t>number, which</w:t>
            </w:r>
            <w:r w:rsidRPr="00F27456">
              <w:t xml:space="preserve"> is matched to the patient episode. Similarly to pharmacy</w:t>
            </w:r>
            <w:r>
              <w:t xml:space="preserve"> costs</w:t>
            </w:r>
            <w:r w:rsidRPr="00F27456">
              <w:t xml:space="preserve">, actual costs are obtained from the supplier and their relative weight is applied to the </w:t>
            </w:r>
            <w:r>
              <w:t xml:space="preserve">GL </w:t>
            </w:r>
            <w:r w:rsidRPr="00F27456">
              <w:t xml:space="preserve">cost before allocation begins. Approximately 5.2% of these episodes </w:t>
            </w:r>
            <w:r>
              <w:t xml:space="preserve">were </w:t>
            </w:r>
            <w:r w:rsidRPr="00F27456">
              <w:t xml:space="preserve">unable to be linked to patients. </w:t>
            </w:r>
          </w:p>
          <w:p w:rsidR="006617B8" w:rsidRDefault="006617B8" w:rsidP="00F76445">
            <w:pPr>
              <w:pStyle w:val="PwCNormal"/>
              <w:numPr>
                <w:ilvl w:val="0"/>
                <w:numId w:val="0"/>
              </w:numPr>
            </w:pPr>
            <w:r>
              <w:t xml:space="preserve">Imaging – imaging files are created centrally for the whole of the ACT and the feeder system extract contains a patient episode number (where the patient was classified as an ED patient, inpatient or outpatient). These costs are directly allocated where possible. </w:t>
            </w:r>
          </w:p>
          <w:p w:rsidR="006617B8" w:rsidRDefault="006617B8" w:rsidP="00F76445">
            <w:pPr>
              <w:pStyle w:val="PwCNormal"/>
              <w:numPr>
                <w:ilvl w:val="0"/>
                <w:numId w:val="0"/>
              </w:numPr>
            </w:pPr>
            <w:r w:rsidRPr="00052CB3">
              <w:t>Pathology –</w:t>
            </w:r>
            <w:r>
              <w:t xml:space="preserve"> as is the case with imaging, pathology files are created centrally for the whole jurisdiction with the feeder file containing a medical record </w:t>
            </w:r>
            <w:r w:rsidR="002821F4">
              <w:t>number, which</w:t>
            </w:r>
            <w:r>
              <w:t xml:space="preserve"> is linked to the patient episode number. A technical issue with the pathology feeder was identified </w:t>
            </w:r>
            <w:r>
              <w:lastRenderedPageBreak/>
              <w:t>in Round 17, which meant 28% of the recorded activity was not linked to a patient.</w:t>
            </w:r>
          </w:p>
          <w:p w:rsidR="006617B8" w:rsidRPr="00052CB3" w:rsidRDefault="006617B8" w:rsidP="00F76445">
            <w:pPr>
              <w:pStyle w:val="PwCNormal"/>
              <w:numPr>
                <w:ilvl w:val="0"/>
                <w:numId w:val="0"/>
              </w:numPr>
            </w:pPr>
            <w:r w:rsidRPr="00052CB3">
              <w:t>Critical care –</w:t>
            </w:r>
            <w:r>
              <w:t xml:space="preserve"> a ward </w:t>
            </w:r>
            <w:r w:rsidRPr="00052CB3">
              <w:t xml:space="preserve">transfer file </w:t>
            </w:r>
            <w:r>
              <w:t>is used that indicates if the patient was transferred to critical care (treating the critical care unit (CCU) and intensive care unit (ICU) as the same ward). N</w:t>
            </w:r>
            <w:r w:rsidRPr="00052CB3">
              <w:t>ursing and c</w:t>
            </w:r>
            <w:r>
              <w:t>linical costs are allocated using</w:t>
            </w:r>
            <w:r w:rsidRPr="00052CB3">
              <w:t xml:space="preserve"> </w:t>
            </w:r>
            <w:r>
              <w:t xml:space="preserve">fractional </w:t>
            </w:r>
            <w:r w:rsidRPr="00052CB3">
              <w:t>bed day</w:t>
            </w:r>
            <w:r>
              <w:t>s.</w:t>
            </w:r>
          </w:p>
          <w:p w:rsidR="006617B8" w:rsidRPr="00052CB3" w:rsidRDefault="006617B8" w:rsidP="00F76445">
            <w:pPr>
              <w:pStyle w:val="PwCNormal"/>
              <w:numPr>
                <w:ilvl w:val="0"/>
                <w:numId w:val="0"/>
              </w:numPr>
            </w:pPr>
            <w:r w:rsidRPr="00052CB3">
              <w:t>Nursing</w:t>
            </w:r>
            <w:r>
              <w:t xml:space="preserve"> – each ward has a unique cost centre where the cost is recorded. Transfer files from patients staying in the ward are used to calculate fractional bed days.</w:t>
            </w:r>
          </w:p>
          <w:p w:rsidR="006617B8" w:rsidRPr="00052CB3" w:rsidRDefault="006617B8" w:rsidP="00F76445">
            <w:pPr>
              <w:pStyle w:val="PwCNormal"/>
              <w:numPr>
                <w:ilvl w:val="0"/>
                <w:numId w:val="0"/>
              </w:numPr>
            </w:pPr>
            <w:r w:rsidRPr="00052CB3">
              <w:t xml:space="preserve">Allied health – </w:t>
            </w:r>
            <w:r>
              <w:t>the allied health booking system generates an extract with the medical record number, episode number and clock-on and clock-off times. These are used, together with a proxy (or relative value unit), to estimate the time each allied health professional spent with the patient.</w:t>
            </w:r>
          </w:p>
          <w:p w:rsidR="006617B8" w:rsidRDefault="006617B8" w:rsidP="00875F6D">
            <w:pPr>
              <w:pStyle w:val="PwCNormal"/>
              <w:numPr>
                <w:ilvl w:val="0"/>
                <w:numId w:val="0"/>
              </w:numPr>
            </w:pPr>
            <w:r>
              <w:t xml:space="preserve">Blood – as the jurisdiction is responsible for negotiating the contract with the National Blood Authority (NBA), 5% of the costs are removed (representing the jurisdiction ‘corporate’ cost) before the allocation begins. Feeder data for blood is then obtained from pathology and costs are linked to patient records. </w:t>
            </w:r>
          </w:p>
        </w:tc>
      </w:tr>
      <w:tr w:rsidR="006617B8" w:rsidTr="00F76445">
        <w:tc>
          <w:tcPr>
            <w:tcW w:w="2376" w:type="dxa"/>
          </w:tcPr>
          <w:p w:rsidR="006617B8" w:rsidRDefault="006617B8" w:rsidP="00F76445">
            <w:pPr>
              <w:pStyle w:val="PwCNormal"/>
              <w:numPr>
                <w:ilvl w:val="0"/>
                <w:numId w:val="0"/>
              </w:numPr>
            </w:pPr>
            <w:r>
              <w:lastRenderedPageBreak/>
              <w:t>Emergency Department</w:t>
            </w:r>
          </w:p>
        </w:tc>
        <w:tc>
          <w:tcPr>
            <w:tcW w:w="6237" w:type="dxa"/>
          </w:tcPr>
          <w:p w:rsidR="006617B8" w:rsidRDefault="006617B8" w:rsidP="00F76445">
            <w:pPr>
              <w:pStyle w:val="PwCNormal"/>
              <w:numPr>
                <w:ilvl w:val="0"/>
                <w:numId w:val="0"/>
              </w:numPr>
            </w:pPr>
            <w:r>
              <w:t xml:space="preserve">A relative value unit is derived using the URG price weights to allocate the nurse and </w:t>
            </w:r>
            <w:r w:rsidR="00875F6D">
              <w:t>medical staff</w:t>
            </w:r>
            <w:r>
              <w:t xml:space="preserve"> time in ED. There is no differentiation between patients in the waiting room, cubicles or </w:t>
            </w:r>
            <w:proofErr w:type="gramStart"/>
            <w:r w:rsidR="00875F6D">
              <w:t>beds,</w:t>
            </w:r>
            <w:proofErr w:type="gramEnd"/>
            <w:r>
              <w:t xml:space="preserve"> however, this differentiation is planned for Round 18.</w:t>
            </w:r>
          </w:p>
          <w:p w:rsidR="006617B8" w:rsidRDefault="006617B8" w:rsidP="00F76445">
            <w:pPr>
              <w:pStyle w:val="PwCNormal"/>
              <w:numPr>
                <w:ilvl w:val="0"/>
                <w:numId w:val="0"/>
              </w:numPr>
            </w:pPr>
            <w:r w:rsidRPr="001573DA">
              <w:t xml:space="preserve">Canberra Hospital </w:t>
            </w:r>
            <w:r>
              <w:t>has</w:t>
            </w:r>
            <w:r w:rsidRPr="001573DA">
              <w:t xml:space="preserve"> </w:t>
            </w:r>
            <w:r>
              <w:t xml:space="preserve">an ‘Emergency Medical </w:t>
            </w:r>
            <w:r w:rsidR="002821F4">
              <w:t>Unit’, which</w:t>
            </w:r>
            <w:r>
              <w:t xml:space="preserve"> is treated as</w:t>
            </w:r>
            <w:r w:rsidRPr="001573DA">
              <w:t xml:space="preserve"> a normal admitted ward.</w:t>
            </w:r>
            <w:r>
              <w:t xml:space="preserve"> </w:t>
            </w:r>
            <w:r w:rsidRPr="001573DA">
              <w:t>This ward has its own nurses and these costs are allocated to the patient</w:t>
            </w:r>
            <w:r>
              <w:t xml:space="preserve"> using fractional bed days</w:t>
            </w:r>
            <w:r w:rsidRPr="001573DA">
              <w:t xml:space="preserve">. There is no sharing of nursing </w:t>
            </w:r>
            <w:r w:rsidR="00875F6D">
              <w:t xml:space="preserve">staff </w:t>
            </w:r>
            <w:r w:rsidRPr="001573DA">
              <w:t>between ED and this ward</w:t>
            </w:r>
            <w:r>
              <w:t>; however, doctor time is shared and may not be correctly split for Round 17.</w:t>
            </w:r>
          </w:p>
        </w:tc>
      </w:tr>
      <w:tr w:rsidR="006617B8" w:rsidTr="00F76445">
        <w:tc>
          <w:tcPr>
            <w:tcW w:w="2376" w:type="dxa"/>
          </w:tcPr>
          <w:p w:rsidR="006617B8" w:rsidRDefault="006617B8" w:rsidP="00F76445">
            <w:pPr>
              <w:pStyle w:val="PwCNormal"/>
              <w:numPr>
                <w:ilvl w:val="0"/>
                <w:numId w:val="0"/>
              </w:numPr>
            </w:pPr>
            <w:r>
              <w:t>Outpatients</w:t>
            </w:r>
          </w:p>
        </w:tc>
        <w:tc>
          <w:tcPr>
            <w:tcW w:w="6237" w:type="dxa"/>
          </w:tcPr>
          <w:p w:rsidR="006617B8" w:rsidRDefault="006617B8" w:rsidP="00F76445">
            <w:pPr>
              <w:pStyle w:val="PwCNormal"/>
              <w:numPr>
                <w:ilvl w:val="0"/>
                <w:numId w:val="0"/>
              </w:numPr>
            </w:pPr>
            <w:r>
              <w:t xml:space="preserve">Volume data is sourced from a </w:t>
            </w:r>
            <w:r w:rsidRPr="00052CB3">
              <w:t xml:space="preserve">booking </w:t>
            </w:r>
            <w:r w:rsidR="002821F4" w:rsidRPr="00052CB3">
              <w:t>system</w:t>
            </w:r>
            <w:r w:rsidR="002821F4">
              <w:t>, which</w:t>
            </w:r>
            <w:r>
              <w:t xml:space="preserve"> provides the number of outpatient service events for the period. </w:t>
            </w:r>
            <w:r w:rsidR="002821F4">
              <w:t xml:space="preserve">The costs, which are contained in outpatient cost centres (or fractioned into these cost centres), are spread over the recorded service event volume. </w:t>
            </w:r>
          </w:p>
        </w:tc>
      </w:tr>
      <w:tr w:rsidR="006617B8" w:rsidTr="00F76445">
        <w:tc>
          <w:tcPr>
            <w:tcW w:w="2376" w:type="dxa"/>
          </w:tcPr>
          <w:p w:rsidR="006617B8" w:rsidRDefault="006617B8" w:rsidP="00F76445">
            <w:pPr>
              <w:pStyle w:val="PwCNormal"/>
              <w:numPr>
                <w:ilvl w:val="0"/>
                <w:numId w:val="0"/>
              </w:numPr>
            </w:pPr>
            <w:r>
              <w:t>Mental health</w:t>
            </w:r>
          </w:p>
        </w:tc>
        <w:tc>
          <w:tcPr>
            <w:tcW w:w="6237" w:type="dxa"/>
          </w:tcPr>
          <w:p w:rsidR="006617B8" w:rsidRDefault="006617B8" w:rsidP="00F76445">
            <w:pPr>
              <w:pStyle w:val="PwCNormal"/>
              <w:numPr>
                <w:ilvl w:val="0"/>
                <w:numId w:val="0"/>
              </w:numPr>
            </w:pPr>
            <w:r>
              <w:t>Admitted mental health patients are costed in line with other admitted patients.</w:t>
            </w:r>
          </w:p>
        </w:tc>
      </w:tr>
      <w:tr w:rsidR="006617B8" w:rsidTr="00F76445">
        <w:tc>
          <w:tcPr>
            <w:tcW w:w="2376" w:type="dxa"/>
          </w:tcPr>
          <w:p w:rsidR="006617B8" w:rsidRDefault="006617B8" w:rsidP="00F76445">
            <w:pPr>
              <w:pStyle w:val="PwCNormal"/>
              <w:numPr>
                <w:ilvl w:val="0"/>
                <w:numId w:val="0"/>
              </w:numPr>
            </w:pPr>
            <w:r>
              <w:t>Teaching, training and research</w:t>
            </w:r>
          </w:p>
        </w:tc>
        <w:tc>
          <w:tcPr>
            <w:tcW w:w="6237" w:type="dxa"/>
          </w:tcPr>
          <w:p w:rsidR="006617B8" w:rsidRDefault="006617B8" w:rsidP="00F76445">
            <w:pPr>
              <w:pStyle w:val="PwCNormal"/>
              <w:numPr>
                <w:ilvl w:val="0"/>
                <w:numId w:val="0"/>
              </w:numPr>
            </w:pPr>
            <w:r>
              <w:t>As mentioned above, the costs allocated to TTR are separated out based on feedback from a clinician survey conducted each year. These TTR costs are allocated to a ‘dummy patient’ and are allocated their share of overheads.</w:t>
            </w:r>
          </w:p>
        </w:tc>
      </w:tr>
      <w:tr w:rsidR="006617B8" w:rsidTr="00F76445">
        <w:tc>
          <w:tcPr>
            <w:tcW w:w="2376" w:type="dxa"/>
          </w:tcPr>
          <w:p w:rsidR="006617B8" w:rsidRDefault="006617B8" w:rsidP="00F76445">
            <w:pPr>
              <w:pStyle w:val="PwCNormal"/>
              <w:numPr>
                <w:ilvl w:val="0"/>
                <w:numId w:val="0"/>
              </w:numPr>
            </w:pPr>
            <w:r>
              <w:t>Other</w:t>
            </w:r>
          </w:p>
        </w:tc>
        <w:tc>
          <w:tcPr>
            <w:tcW w:w="6237" w:type="dxa"/>
          </w:tcPr>
          <w:p w:rsidR="006617B8" w:rsidRDefault="006617B8" w:rsidP="00F76445">
            <w:pPr>
              <w:pStyle w:val="PwCNormal"/>
              <w:numPr>
                <w:ilvl w:val="0"/>
                <w:numId w:val="0"/>
              </w:numPr>
            </w:pPr>
            <w:r>
              <w:t xml:space="preserve">Organ procurement – if the patient is alive when the procedure takes place, then the cost is captured as an acute inpatient. However, if the organ procurements occur once the patient is deceased, then these costs are allocated to a dummy patient and not submitted. </w:t>
            </w:r>
          </w:p>
        </w:tc>
      </w:tr>
    </w:tbl>
    <w:p w:rsidR="006617B8" w:rsidRDefault="006617B8" w:rsidP="006617B8">
      <w:pPr>
        <w:pStyle w:val="PwCNormal"/>
        <w:numPr>
          <w:ilvl w:val="0"/>
          <w:numId w:val="0"/>
        </w:numPr>
      </w:pPr>
    </w:p>
    <w:p w:rsidR="006617B8" w:rsidRPr="004E0B72" w:rsidRDefault="006617B8" w:rsidP="006617B8">
      <w:pPr>
        <w:pStyle w:val="Heading3"/>
      </w:pPr>
      <w:r>
        <w:lastRenderedPageBreak/>
        <w:t>Feeder data for sample areas</w:t>
      </w:r>
    </w:p>
    <w:p w:rsidR="006617B8" w:rsidRPr="002449AB" w:rsidRDefault="006617B8" w:rsidP="006617B8">
      <w:pPr>
        <w:pStyle w:val="PwCNormal"/>
        <w:numPr>
          <w:ilvl w:val="0"/>
          <w:numId w:val="0"/>
        </w:numPr>
        <w:rPr>
          <w:b/>
        </w:rPr>
      </w:pPr>
      <w:r>
        <w:rPr>
          <w:b/>
        </w:rPr>
        <w:t>Overview</w:t>
      </w:r>
    </w:p>
    <w:p w:rsidR="006617B8" w:rsidRDefault="006617B8" w:rsidP="006617B8">
      <w:pPr>
        <w:spacing w:after="240"/>
      </w:pPr>
      <w:r>
        <w:t xml:space="preserve">As part of the costing process, different methodologies will be utilised to allocate costs at a patient level. The recommended methodology in the AHPCS </w:t>
      </w:r>
      <w:r w:rsidR="00875F6D">
        <w:t>is to use</w:t>
      </w:r>
      <w:r>
        <w:t xml:space="preserve"> a feeder </w:t>
      </w:r>
      <w:r w:rsidR="002821F4">
        <w:t>system, which</w:t>
      </w:r>
      <w:r>
        <w:t xml:space="preserve"> uses direct patient activity data to allocate costs; however, if this is not available then service weights or RVUs could be used. The Canberra </w:t>
      </w:r>
      <w:r w:rsidR="00875F6D">
        <w:t>Hospital uses a range of feeder systems</w:t>
      </w:r>
      <w:r>
        <w:t xml:space="preserve"> and methodologies to allocate costs to patients. Three specific </w:t>
      </w:r>
      <w:r w:rsidR="00875F6D">
        <w:t>feeder systems</w:t>
      </w:r>
      <w:r>
        <w:t xml:space="preserve"> are analysed below.</w:t>
      </w:r>
    </w:p>
    <w:p w:rsidR="006617B8" w:rsidRDefault="006617B8" w:rsidP="006617B8">
      <w:pPr>
        <w:pStyle w:val="PwCNormal"/>
        <w:numPr>
          <w:ilvl w:val="0"/>
          <w:numId w:val="0"/>
        </w:numPr>
        <w:rPr>
          <w:b/>
        </w:rPr>
      </w:pPr>
      <w:r>
        <w:rPr>
          <w:b/>
        </w:rPr>
        <w:t>Pharmacy</w:t>
      </w:r>
    </w:p>
    <w:p w:rsidR="006617B8" w:rsidRDefault="006617B8" w:rsidP="006617B8">
      <w:pPr>
        <w:pStyle w:val="PwCNormal"/>
        <w:numPr>
          <w:ilvl w:val="0"/>
          <w:numId w:val="0"/>
        </w:numPr>
      </w:pPr>
      <w:r>
        <w:t xml:space="preserve">In relation to Pharmacy costs, Canberra Hospital uses actual data from the pharmacy system (MBS or other costs) to apply the relativity to the GL expense. </w:t>
      </w:r>
    </w:p>
    <w:p w:rsidR="006617B8" w:rsidRDefault="006617B8" w:rsidP="006617B8">
      <w:pPr>
        <w:pStyle w:val="PwCNormal"/>
      </w:pPr>
      <w:r>
        <w:t xml:space="preserve">The costs are split between drugs that are </w:t>
      </w:r>
      <w:r w:rsidR="00875F6D">
        <w:t>dispensed directly to patients and those that are</w:t>
      </w:r>
      <w:r>
        <w:t xml:space="preserve"> </w:t>
      </w:r>
      <w:proofErr w:type="spellStart"/>
      <w:r>
        <w:t>imprest</w:t>
      </w:r>
      <w:proofErr w:type="spellEnd"/>
      <w:r>
        <w:t xml:space="preserve"> on the ward. The </w:t>
      </w:r>
      <w:proofErr w:type="spellStart"/>
      <w:r>
        <w:t>imprest</w:t>
      </w:r>
      <w:proofErr w:type="spellEnd"/>
      <w:r>
        <w:t xml:space="preserve"> drugs are allocated to the whole ward (using fractional bed days) and the directly dispensed drugs are allocated to the patient episodes. </w:t>
      </w:r>
    </w:p>
    <w:p w:rsidR="006617B8" w:rsidRDefault="006617B8" w:rsidP="006617B8">
      <w:pPr>
        <w:pStyle w:val="PwCNormal"/>
        <w:spacing w:after="120"/>
      </w:pPr>
      <w:r>
        <w:t xml:space="preserve">The hierarchy used in the linking rules is first inpatients, then </w:t>
      </w:r>
      <w:r w:rsidR="00875F6D">
        <w:t xml:space="preserve">to </w:t>
      </w:r>
      <w:r>
        <w:t xml:space="preserve">ED, and </w:t>
      </w:r>
      <w:r w:rsidR="00875F6D">
        <w:t xml:space="preserve">finally to </w:t>
      </w:r>
      <w:r>
        <w:t xml:space="preserve">outpatients. The range used to link service events with patient episodes is first ten days before the admission and after the discharge date for inpatients. If that fails, then seven days before admission and three days after discharge for ED. If that fails, then thirty days before or after the outpatient date and time. </w:t>
      </w:r>
      <w:r w:rsidR="002821F4">
        <w:t xml:space="preserve">The results of this linking are shown in </w:t>
      </w:r>
      <w:r w:rsidR="002821F4">
        <w:fldChar w:fldCharType="begin"/>
      </w:r>
      <w:r w:rsidR="002821F4">
        <w:instrText xml:space="preserve"> REF _Ref403220609 \h </w:instrText>
      </w:r>
      <w:r w:rsidR="002821F4">
        <w:fldChar w:fldCharType="separate"/>
      </w:r>
      <w:r w:rsidR="00575DFC">
        <w:t xml:space="preserve">Table </w:t>
      </w:r>
      <w:r w:rsidR="00575DFC">
        <w:rPr>
          <w:noProof/>
        </w:rPr>
        <w:t>10</w:t>
      </w:r>
      <w:r w:rsidR="002821F4">
        <w:fldChar w:fldCharType="end"/>
      </w:r>
      <w:r w:rsidR="002821F4">
        <w:t xml:space="preserve"> below.</w:t>
      </w:r>
    </w:p>
    <w:p w:rsidR="006617B8" w:rsidRDefault="006617B8" w:rsidP="006617B8">
      <w:pPr>
        <w:pStyle w:val="Caption"/>
      </w:pPr>
      <w:bookmarkStart w:id="44" w:name="_Ref403220609"/>
      <w:r>
        <w:t xml:space="preserve">Table </w:t>
      </w:r>
      <w:fldSimple w:instr=" SEQ Table \* ARABIC ">
        <w:r w:rsidR="00575DFC">
          <w:rPr>
            <w:noProof/>
          </w:rPr>
          <w:t>10</w:t>
        </w:r>
      </w:fldSimple>
      <w:bookmarkEnd w:id="44"/>
      <w:r>
        <w:t xml:space="preserve">: Outcome of </w:t>
      </w:r>
      <w:r w:rsidR="00925CD6">
        <w:t>p</w:t>
      </w:r>
      <w:r>
        <w:t>harmacy feeder linking</w:t>
      </w:r>
    </w:p>
    <w:p w:rsidR="006617B8" w:rsidRDefault="006617B8" w:rsidP="006617B8">
      <w:pPr>
        <w:pStyle w:val="PwCNormal"/>
      </w:pPr>
      <w:r w:rsidRPr="00E22F8A">
        <w:rPr>
          <w:noProof/>
          <w:lang w:eastAsia="en-AU"/>
        </w:rPr>
        <w:drawing>
          <wp:inline distT="0" distB="0" distL="0" distR="0" wp14:anchorId="3538FD4C" wp14:editId="665A234D">
            <wp:extent cx="3038400" cy="2811600"/>
            <wp:effectExtent l="0" t="0" r="0" b="8255"/>
            <wp:docPr id="59" name="Picture 59"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38400" cy="2811600"/>
                    </a:xfrm>
                    <a:prstGeom prst="rect">
                      <a:avLst/>
                    </a:prstGeom>
                    <a:noFill/>
                    <a:ln>
                      <a:noFill/>
                    </a:ln>
                  </pic:spPr>
                </pic:pic>
              </a:graphicData>
            </a:graphic>
          </wp:inline>
        </w:drawing>
      </w:r>
    </w:p>
    <w:p w:rsidR="006617B8" w:rsidRPr="00C17540" w:rsidRDefault="006617B8" w:rsidP="006617B8">
      <w:pPr>
        <w:pStyle w:val="PwCNormal"/>
        <w:numPr>
          <w:ilvl w:val="0"/>
          <w:numId w:val="0"/>
        </w:numPr>
      </w:pPr>
      <w:r w:rsidRPr="00C17540">
        <w:t xml:space="preserve">It is noted that 29,544 service events </w:t>
      </w:r>
      <w:r>
        <w:t>could not</w:t>
      </w:r>
      <w:r w:rsidRPr="00C17540">
        <w:t xml:space="preserve"> be </w:t>
      </w:r>
      <w:r>
        <w:t>linked to classified activity</w:t>
      </w:r>
      <w:r w:rsidR="00875F6D">
        <w:t xml:space="preserve"> and became individual occasions of service. These</w:t>
      </w:r>
      <w:r>
        <w:t xml:space="preserve"> were not submitted to IHPA.</w:t>
      </w:r>
    </w:p>
    <w:p w:rsidR="006617B8" w:rsidRDefault="006617B8" w:rsidP="006617B8">
      <w:pPr>
        <w:pStyle w:val="PwCNormal"/>
        <w:numPr>
          <w:ilvl w:val="0"/>
          <w:numId w:val="0"/>
        </w:numPr>
        <w:rPr>
          <w:b/>
        </w:rPr>
      </w:pPr>
      <w:r>
        <w:rPr>
          <w:b/>
        </w:rPr>
        <w:t>Theatre</w:t>
      </w:r>
    </w:p>
    <w:p w:rsidR="006617B8" w:rsidRDefault="006617B8" w:rsidP="006617B8">
      <w:pPr>
        <w:pStyle w:val="PwCNormal"/>
        <w:numPr>
          <w:ilvl w:val="0"/>
          <w:numId w:val="0"/>
        </w:numPr>
      </w:pPr>
      <w:r>
        <w:t>Canberra uses a specific theatre feeder, which records various data points of the patient operations, such as start and end date and time, date and time of anaesthetics, and date and time of first cut. Data is extracted from the system and linked to the patient encounter.</w:t>
      </w:r>
      <w:r w:rsidR="00F76445">
        <w:t xml:space="preserve"> </w:t>
      </w:r>
      <w:r>
        <w:t>Theatre costs incorporate both</w:t>
      </w:r>
      <w:r w:rsidRPr="008A54F8">
        <w:t xml:space="preserve"> </w:t>
      </w:r>
      <w:r>
        <w:t>pre-surgery and time in recovery costs.</w:t>
      </w:r>
    </w:p>
    <w:p w:rsidR="006617B8" w:rsidRPr="008A54F8" w:rsidRDefault="006617B8" w:rsidP="006617B8">
      <w:pPr>
        <w:pStyle w:val="PwCNormal"/>
        <w:numPr>
          <w:ilvl w:val="0"/>
          <w:numId w:val="0"/>
        </w:numPr>
      </w:pPr>
      <w:r>
        <w:t>The same</w:t>
      </w:r>
      <w:r w:rsidR="00875F6D">
        <w:t xml:space="preserve"> linking</w:t>
      </w:r>
      <w:r>
        <w:t xml:space="preserve"> hierarchy as for Pharmacy is applied, however with a different acceptable day range. For theatre, records are first linked </w:t>
      </w:r>
      <w:r w:rsidR="00875F6D">
        <w:t>to</w:t>
      </w:r>
      <w:r>
        <w:t xml:space="preserve"> inpatients if the data of service was a maximum of five days before </w:t>
      </w:r>
      <w:r>
        <w:lastRenderedPageBreak/>
        <w:t xml:space="preserve">the admission date or after the discharge date. If that fails, then it is linked to ED patients with a maximum of one day before and one day </w:t>
      </w:r>
      <w:r w:rsidR="00875F6D">
        <w:t>after</w:t>
      </w:r>
      <w:r>
        <w:t xml:space="preserve">. If that fails, the records become an occasion of service and are allocated costs but not submitted. The results of these linking rules are shown in </w:t>
      </w:r>
      <w:r>
        <w:fldChar w:fldCharType="begin"/>
      </w:r>
      <w:r>
        <w:instrText xml:space="preserve"> REF _Ref403220762 \h </w:instrText>
      </w:r>
      <w:r>
        <w:fldChar w:fldCharType="separate"/>
      </w:r>
      <w:r w:rsidR="00575DFC">
        <w:t xml:space="preserve">Table </w:t>
      </w:r>
      <w:r w:rsidR="00575DFC">
        <w:rPr>
          <w:noProof/>
        </w:rPr>
        <w:t>11</w:t>
      </w:r>
      <w:r>
        <w:fldChar w:fldCharType="end"/>
      </w:r>
      <w:r>
        <w:t xml:space="preserve"> below. </w:t>
      </w:r>
      <w:r w:rsidRPr="00C17540">
        <w:t xml:space="preserve">It is noted that </w:t>
      </w:r>
      <w:r>
        <w:t>102</w:t>
      </w:r>
      <w:r w:rsidRPr="00C17540">
        <w:t xml:space="preserve"> service events </w:t>
      </w:r>
      <w:r>
        <w:t>could not</w:t>
      </w:r>
      <w:r w:rsidRPr="00C17540">
        <w:t xml:space="preserve"> be </w:t>
      </w:r>
      <w:r>
        <w:t>linked to classified activity and were not submitted to IHPA.</w:t>
      </w:r>
    </w:p>
    <w:p w:rsidR="006617B8" w:rsidRDefault="006617B8" w:rsidP="006617B8">
      <w:pPr>
        <w:pStyle w:val="Caption"/>
      </w:pPr>
      <w:bookmarkStart w:id="45" w:name="_Ref403220762"/>
      <w:r>
        <w:t xml:space="preserve">Table </w:t>
      </w:r>
      <w:fldSimple w:instr=" SEQ Table \* ARABIC ">
        <w:r w:rsidR="00575DFC">
          <w:rPr>
            <w:noProof/>
          </w:rPr>
          <w:t>11</w:t>
        </w:r>
      </w:fldSimple>
      <w:bookmarkEnd w:id="45"/>
      <w:r>
        <w:t>: Outcome of theatre feeder linking</w:t>
      </w:r>
    </w:p>
    <w:p w:rsidR="006617B8" w:rsidRDefault="006617B8" w:rsidP="006617B8">
      <w:pPr>
        <w:pStyle w:val="PwCNormal"/>
        <w:numPr>
          <w:ilvl w:val="0"/>
          <w:numId w:val="0"/>
        </w:numPr>
        <w:ind w:left="360"/>
      </w:pPr>
      <w:r w:rsidRPr="00C17540">
        <w:rPr>
          <w:noProof/>
          <w:lang w:eastAsia="en-AU"/>
        </w:rPr>
        <w:drawing>
          <wp:inline distT="0" distB="0" distL="0" distR="0" wp14:anchorId="2B0920E2" wp14:editId="183F44C3">
            <wp:extent cx="3038400" cy="2811600"/>
            <wp:effectExtent l="0" t="0" r="0" b="8255"/>
            <wp:docPr id="63" name="Picture 63"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38400" cy="2811600"/>
                    </a:xfrm>
                    <a:prstGeom prst="rect">
                      <a:avLst/>
                    </a:prstGeom>
                    <a:noFill/>
                    <a:ln>
                      <a:noFill/>
                    </a:ln>
                  </pic:spPr>
                </pic:pic>
              </a:graphicData>
            </a:graphic>
          </wp:inline>
        </w:drawing>
      </w:r>
    </w:p>
    <w:p w:rsidR="006617B8" w:rsidRPr="002449AB" w:rsidRDefault="006617B8" w:rsidP="006617B8">
      <w:pPr>
        <w:pStyle w:val="PwCNormal"/>
        <w:numPr>
          <w:ilvl w:val="0"/>
          <w:numId w:val="0"/>
        </w:numPr>
        <w:rPr>
          <w:b/>
        </w:rPr>
      </w:pPr>
      <w:r>
        <w:rPr>
          <w:b/>
        </w:rPr>
        <w:t>Ward nursing</w:t>
      </w:r>
    </w:p>
    <w:p w:rsidR="006617B8" w:rsidRDefault="006617B8" w:rsidP="006617B8">
      <w:pPr>
        <w:pStyle w:val="BodyText"/>
      </w:pPr>
      <w:r>
        <w:t xml:space="preserve">Canberra Hospital uses activity data from the </w:t>
      </w:r>
      <w:r w:rsidR="002821F4">
        <w:t>PAS, which</w:t>
      </w:r>
      <w:r>
        <w:t xml:space="preserve"> includes the patient’s admission and discharge date and time, and transfers between wards. This is used to allocate nursing time to the relevant products. Nursing costs per fractional bed day are calculated hourly</w:t>
      </w:r>
      <w:r w:rsidR="00875F6D">
        <w:t>,</w:t>
      </w:r>
      <w:r>
        <w:t xml:space="preserve"> factoring in the number of nurses on duty at the time and the number of beds utilised at that point in time. </w:t>
      </w:r>
    </w:p>
    <w:p w:rsidR="006617B8" w:rsidRPr="004E0B72" w:rsidRDefault="006617B8" w:rsidP="006617B8">
      <w:pPr>
        <w:pStyle w:val="Heading3"/>
      </w:pPr>
      <w:bookmarkStart w:id="46" w:name="_Ref403229839"/>
      <w:r>
        <w:t>The costed dataset</w:t>
      </w:r>
      <w:bookmarkEnd w:id="46"/>
    </w:p>
    <w:p w:rsidR="006617B8" w:rsidRPr="002449AB" w:rsidRDefault="006617B8" w:rsidP="006617B8">
      <w:pPr>
        <w:pStyle w:val="PwCNormal"/>
        <w:numPr>
          <w:ilvl w:val="0"/>
          <w:numId w:val="0"/>
        </w:numPr>
        <w:rPr>
          <w:b/>
        </w:rPr>
      </w:pPr>
      <w:r>
        <w:rPr>
          <w:b/>
        </w:rPr>
        <w:t>QA process</w:t>
      </w:r>
    </w:p>
    <w:p w:rsidR="006617B8" w:rsidRDefault="006617B8" w:rsidP="006617B8">
      <w:r>
        <w:t xml:space="preserve">A series of quality assurance and validation checks are performed on both the financial and activity data. </w:t>
      </w:r>
    </w:p>
    <w:p w:rsidR="006617B8" w:rsidRDefault="006617B8" w:rsidP="006617B8">
      <w:r>
        <w:t xml:space="preserve">ACT Health sets the guidelines in which to report hospital GL files, which includes mappings to the NHCDC ‘Line Item’. The costing team (at ACT Health) ensures that the PPM2 ‘Area’ mappings align with the NHCDC cost buckets. There is also a review of which costs are classified as hospital service costs and which are jurisdiction/other costs (that are excluded from the costing and submission process). </w:t>
      </w:r>
    </w:p>
    <w:p w:rsidR="006617B8" w:rsidRDefault="006617B8" w:rsidP="006617B8"/>
    <w:p w:rsidR="006617B8" w:rsidRDefault="006617B8" w:rsidP="006617B8">
      <w:r>
        <w:t>Validation of the activity data is performed against the ACT Health Internal Metadata specifications. For service files generated, validation of the episode and patient number against the internal ‘Master’ file</w:t>
      </w:r>
      <w:r w:rsidR="00875F6D">
        <w:t xml:space="preserve"> occurs</w:t>
      </w:r>
      <w:r>
        <w:t xml:space="preserve"> to ensure that a valid episode number </w:t>
      </w:r>
      <w:r w:rsidR="00875F6D">
        <w:t xml:space="preserve">is recorded </w:t>
      </w:r>
      <w:r>
        <w:t xml:space="preserve">against the patient identifier.  </w:t>
      </w:r>
    </w:p>
    <w:p w:rsidR="006617B8" w:rsidRDefault="006617B8" w:rsidP="006617B8">
      <w:pPr>
        <w:pStyle w:val="PwCNormal"/>
        <w:numPr>
          <w:ilvl w:val="0"/>
          <w:numId w:val="0"/>
        </w:numPr>
        <w:spacing w:before="240"/>
      </w:pPr>
      <w:r>
        <w:t xml:space="preserve">A series of reconciliations are performed. These include: </w:t>
      </w:r>
    </w:p>
    <w:p w:rsidR="006617B8" w:rsidRDefault="006617B8" w:rsidP="006617B8">
      <w:pPr>
        <w:pStyle w:val="PwCNormal"/>
        <w:numPr>
          <w:ilvl w:val="0"/>
          <w:numId w:val="47"/>
        </w:numPr>
        <w:spacing w:before="240"/>
      </w:pPr>
      <w:r>
        <w:t>a cost centre and line item check pre and post-cost allocation</w:t>
      </w:r>
    </w:p>
    <w:p w:rsidR="006617B8" w:rsidRDefault="006617B8" w:rsidP="006617B8">
      <w:pPr>
        <w:pStyle w:val="PwCNormal"/>
        <w:numPr>
          <w:ilvl w:val="0"/>
          <w:numId w:val="47"/>
        </w:numPr>
        <w:spacing w:before="240"/>
      </w:pPr>
      <w:r>
        <w:t xml:space="preserve">comparing the dollars from year to year to check against major changes in financial reporting processes </w:t>
      </w:r>
    </w:p>
    <w:p w:rsidR="006617B8" w:rsidRDefault="006617B8" w:rsidP="006617B8">
      <w:pPr>
        <w:pStyle w:val="PwCNormal"/>
        <w:numPr>
          <w:ilvl w:val="0"/>
          <w:numId w:val="47"/>
        </w:numPr>
        <w:spacing w:before="240"/>
      </w:pPr>
      <w:proofErr w:type="gramStart"/>
      <w:r>
        <w:t>reviewing</w:t>
      </w:r>
      <w:proofErr w:type="gramEnd"/>
      <w:r>
        <w:t xml:space="preserve"> the total and average costs allocated to products via internally built reports (these replaced the </w:t>
      </w:r>
      <w:proofErr w:type="spellStart"/>
      <w:r>
        <w:t>IPACost</w:t>
      </w:r>
      <w:proofErr w:type="spellEnd"/>
      <w:r>
        <w:t xml:space="preserve"> tool), to ensure the </w:t>
      </w:r>
      <w:r w:rsidR="00875F6D">
        <w:t>correct dollar amounts</w:t>
      </w:r>
      <w:r>
        <w:t xml:space="preserve"> are being allocated to the right area. </w:t>
      </w:r>
    </w:p>
    <w:p w:rsidR="006617B8" w:rsidRPr="002449AB" w:rsidRDefault="006617B8" w:rsidP="006617B8">
      <w:pPr>
        <w:pStyle w:val="PwCNormal"/>
        <w:numPr>
          <w:ilvl w:val="0"/>
          <w:numId w:val="0"/>
        </w:numPr>
        <w:rPr>
          <w:b/>
        </w:rPr>
      </w:pPr>
      <w:r>
        <w:rPr>
          <w:b/>
        </w:rPr>
        <w:lastRenderedPageBreak/>
        <w:t>Adjustments</w:t>
      </w:r>
    </w:p>
    <w:p w:rsidR="006617B8" w:rsidRDefault="006617B8" w:rsidP="006617B8">
      <w:pPr>
        <w:pStyle w:val="PwCNormal"/>
        <w:numPr>
          <w:ilvl w:val="0"/>
          <w:numId w:val="0"/>
        </w:numPr>
      </w:pPr>
      <w:r>
        <w:t>The only adjustments made to the costed records were for WIP. These included:</w:t>
      </w:r>
    </w:p>
    <w:p w:rsidR="006617B8" w:rsidRDefault="006617B8" w:rsidP="006617B8">
      <w:pPr>
        <w:pStyle w:val="PwCNormal"/>
        <w:numPr>
          <w:ilvl w:val="0"/>
          <w:numId w:val="48"/>
        </w:numPr>
      </w:pPr>
      <w:r>
        <w:t>$3,060,773 of prior year costs that were added to the acute submissions relating to episodes that were admitted in prior years and discharged in the current year</w:t>
      </w:r>
    </w:p>
    <w:p w:rsidR="006617B8" w:rsidRDefault="006617B8" w:rsidP="006617B8">
      <w:pPr>
        <w:pStyle w:val="PwCNormal"/>
        <w:numPr>
          <w:ilvl w:val="0"/>
          <w:numId w:val="48"/>
        </w:numPr>
      </w:pPr>
      <w:r>
        <w:t>$2,974,693 of costs that were removed from the acute submissions relating to episodes that were not discharged during the current year.</w:t>
      </w:r>
    </w:p>
    <w:p w:rsidR="006617B8" w:rsidRPr="002449AB" w:rsidRDefault="006617B8" w:rsidP="006617B8">
      <w:pPr>
        <w:pStyle w:val="PwCNormal"/>
        <w:numPr>
          <w:ilvl w:val="0"/>
          <w:numId w:val="0"/>
        </w:numPr>
        <w:rPr>
          <w:b/>
        </w:rPr>
      </w:pPr>
      <w:r>
        <w:rPr>
          <w:b/>
        </w:rPr>
        <w:t>Work in progress (Item E)</w:t>
      </w:r>
    </w:p>
    <w:p w:rsidR="006617B8" w:rsidRDefault="006617B8" w:rsidP="006617B8">
      <w:pPr>
        <w:pStyle w:val="PwCNormal"/>
        <w:numPr>
          <w:ilvl w:val="0"/>
          <w:numId w:val="0"/>
        </w:numPr>
      </w:pPr>
      <w:r>
        <w:t>Adjustments are made for patients whose stay at the hospital crosses financial years. Figure 2 below illustrates the four combinations of admission and discharge dates that can occur.</w:t>
      </w:r>
    </w:p>
    <w:p w:rsidR="006617B8" w:rsidRDefault="006617B8" w:rsidP="006617B8">
      <w:pPr>
        <w:pStyle w:val="Caption"/>
      </w:pPr>
      <w:r>
        <w:t xml:space="preserve">Figure </w:t>
      </w:r>
      <w:fldSimple w:instr=" SEQ Figure \* ARABIC ">
        <w:r w:rsidR="00575DFC">
          <w:rPr>
            <w:noProof/>
          </w:rPr>
          <w:t>2</w:t>
        </w:r>
      </w:fldSimple>
      <w:r>
        <w:t xml:space="preserve">: Treatment of </w:t>
      </w:r>
      <w:r w:rsidR="005914E9">
        <w:t>WIP</w:t>
      </w:r>
      <w:r>
        <w:t xml:space="preserve"> patients</w:t>
      </w:r>
    </w:p>
    <w:p w:rsidR="006617B8" w:rsidRDefault="00283DEC" w:rsidP="006617B8">
      <w:r w:rsidRPr="000D62BB">
        <w:rPr>
          <w:noProof/>
          <w:lang w:eastAsia="en-AU"/>
        </w:rPr>
        <w:drawing>
          <wp:inline distT="0" distB="0" distL="0" distR="0" wp14:anchorId="4E3DAB54" wp14:editId="2EE2A217">
            <wp:extent cx="5850255" cy="1530350"/>
            <wp:effectExtent l="0" t="0" r="0" b="0"/>
            <wp:docPr id="130" name="Picture 130" descr="This table outlines the treatment of work in progress patients. All patients who were admitted during the financial year were allocated costs, but only those discharged were in the financial year were submitted." title="Treatment of work in progres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255" cy="1530350"/>
                    </a:xfrm>
                    <a:prstGeom prst="rect">
                      <a:avLst/>
                    </a:prstGeom>
                    <a:noFill/>
                    <a:ln>
                      <a:noFill/>
                    </a:ln>
                  </pic:spPr>
                </pic:pic>
              </a:graphicData>
            </a:graphic>
          </wp:inline>
        </w:drawing>
      </w:r>
    </w:p>
    <w:p w:rsidR="006617B8" w:rsidRPr="002B7575" w:rsidRDefault="006617B8" w:rsidP="006617B8">
      <w:pPr>
        <w:pStyle w:val="PwCNormal"/>
      </w:pPr>
    </w:p>
    <w:p w:rsidR="006617B8" w:rsidRDefault="006617B8" w:rsidP="006617B8">
      <w:pPr>
        <w:pStyle w:val="PwCNormal"/>
        <w:numPr>
          <w:ilvl w:val="0"/>
          <w:numId w:val="0"/>
        </w:numPr>
      </w:pPr>
      <w:r>
        <w:t xml:space="preserve">The costs that are carried forward to future rounds only include costs for intermediate products, including items like pharmacy, pathology and imaging. The clinical costs (doctor and nursing salaries) are not adjusted in the WIP adjustments for Round 16 or 17 and are only allocated to patients that were discharged during the round. This is </w:t>
      </w:r>
      <w:r w:rsidR="00017735">
        <w:t>because</w:t>
      </w:r>
      <w:r>
        <w:t xml:space="preserve"> the ward transfer files that are generated only covering discharged patients. </w:t>
      </w:r>
    </w:p>
    <w:p w:rsidR="006617B8" w:rsidRDefault="006617B8" w:rsidP="006617B8">
      <w:pPr>
        <w:pStyle w:val="PwCNormal"/>
        <w:numPr>
          <w:ilvl w:val="0"/>
          <w:numId w:val="0"/>
        </w:numPr>
      </w:pPr>
      <w:r>
        <w:t xml:space="preserve">The impact of this is that the scenario 1 patients are allocated a higher proportion of the clinical costs than they should be, and the WIP patients from previous years or those removed from the current year are allocated less costs. </w:t>
      </w:r>
    </w:p>
    <w:p w:rsidR="006617B8" w:rsidRDefault="006617B8" w:rsidP="006617B8">
      <w:pPr>
        <w:pStyle w:val="PwCNormal"/>
        <w:numPr>
          <w:ilvl w:val="0"/>
          <w:numId w:val="0"/>
        </w:numPr>
      </w:pPr>
      <w:r>
        <w:t>In Round 17, Canberra Hospital patients in each of these scenarios were treated in the following ways:</w:t>
      </w:r>
    </w:p>
    <w:p w:rsidR="006617B8" w:rsidRDefault="006617B8" w:rsidP="006617B8">
      <w:pPr>
        <w:pStyle w:val="PwCNormal"/>
        <w:numPr>
          <w:ilvl w:val="0"/>
          <w:numId w:val="44"/>
        </w:numPr>
      </w:pPr>
      <w:r>
        <w:t xml:space="preserve">Scenario 1 patients were allocated </w:t>
      </w:r>
      <w:r w:rsidR="00283DEC">
        <w:t xml:space="preserve">FY </w:t>
      </w:r>
      <w:r>
        <w:t>2012/13 costs and were submitted to IHPA</w:t>
      </w:r>
    </w:p>
    <w:p w:rsidR="006617B8" w:rsidRDefault="006617B8" w:rsidP="006617B8">
      <w:pPr>
        <w:pStyle w:val="PwCNormal"/>
        <w:numPr>
          <w:ilvl w:val="0"/>
          <w:numId w:val="44"/>
        </w:numPr>
      </w:pPr>
      <w:r>
        <w:t xml:space="preserve">Scenario 2 patients were allocated </w:t>
      </w:r>
      <w:r w:rsidR="00283DEC">
        <w:t xml:space="preserve">FY </w:t>
      </w:r>
      <w:r>
        <w:t>2012/13 costs and were submitted to IHPA</w:t>
      </w:r>
    </w:p>
    <w:p w:rsidR="006617B8" w:rsidRDefault="006617B8" w:rsidP="006617B8">
      <w:pPr>
        <w:pStyle w:val="PwCNormal"/>
        <w:numPr>
          <w:ilvl w:val="0"/>
          <w:numId w:val="44"/>
        </w:numPr>
      </w:pPr>
      <w:r>
        <w:t>Scenario 3 and 4 patients were allocated</w:t>
      </w:r>
      <w:r w:rsidR="00283DEC">
        <w:t xml:space="preserve"> FY</w:t>
      </w:r>
      <w:r>
        <w:t xml:space="preserve"> 2012/13 costs and were not submitted to IHPA in Round 17. These patients will be submitted in a future round when they are discharged.</w:t>
      </w:r>
    </w:p>
    <w:p w:rsidR="006617B8" w:rsidRPr="00E22F8A" w:rsidRDefault="006617B8" w:rsidP="006617B8">
      <w:pPr>
        <w:pStyle w:val="Heading3"/>
      </w:pPr>
      <w:r w:rsidRPr="00E22F8A">
        <w:t>Sample patients</w:t>
      </w:r>
    </w:p>
    <w:p w:rsidR="006617B8" w:rsidRDefault="0008008B" w:rsidP="006617B8">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6617B8" w:rsidRPr="00E22F8A">
        <w:t xml:space="preserve">. </w:t>
      </w:r>
      <w:r w:rsidR="002729CE">
        <w:t xml:space="preserve">No variances were noted from the reconciliation, which is listed in </w:t>
      </w:r>
      <w:r w:rsidR="006617B8">
        <w:t>T</w:t>
      </w:r>
      <w:r w:rsidR="006617B8" w:rsidRPr="00E22F8A">
        <w:t xml:space="preserve">able </w:t>
      </w:r>
      <w:r w:rsidR="006617B8">
        <w:t xml:space="preserve">12 </w:t>
      </w:r>
      <w:r w:rsidR="006617B8" w:rsidRPr="00E22F8A">
        <w:t>below.</w:t>
      </w:r>
    </w:p>
    <w:p w:rsidR="006617B8" w:rsidRPr="00E22F8A" w:rsidRDefault="006617B8" w:rsidP="006617B8">
      <w:pPr>
        <w:pStyle w:val="Caption"/>
      </w:pPr>
      <w:r>
        <w:lastRenderedPageBreak/>
        <w:t xml:space="preserve">Table </w:t>
      </w:r>
      <w:fldSimple w:instr=" SEQ Table \* ARABIC ">
        <w:r w:rsidR="00575DFC">
          <w:rPr>
            <w:noProof/>
          </w:rPr>
          <w:t>12</w:t>
        </w:r>
      </w:fldSimple>
      <w:r>
        <w:t>: Sample patient reconciliation with IHPA</w:t>
      </w:r>
    </w:p>
    <w:p w:rsidR="006617B8" w:rsidRDefault="006617B8" w:rsidP="002729CE">
      <w:pPr>
        <w:pStyle w:val="PwCNormal"/>
        <w:numPr>
          <w:ilvl w:val="0"/>
          <w:numId w:val="0"/>
        </w:numPr>
      </w:pPr>
      <w:r w:rsidRPr="00646BAA">
        <w:rPr>
          <w:noProof/>
          <w:lang w:eastAsia="en-AU"/>
        </w:rPr>
        <w:drawing>
          <wp:inline distT="0" distB="0" distL="0" distR="0" wp14:anchorId="47710766" wp14:editId="5635B2FD">
            <wp:extent cx="3549600" cy="986400"/>
            <wp:effectExtent l="0" t="0" r="0" b="4445"/>
            <wp:docPr id="106" name="Picture 106" descr="This table outlines the outcome of the five sample patient reconciliation. The total costs submitted by the jurisdiction for all five patients agreed with what IHPA rec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49600" cy="986400"/>
                    </a:xfrm>
                    <a:prstGeom prst="rect">
                      <a:avLst/>
                    </a:prstGeom>
                    <a:noFill/>
                    <a:ln>
                      <a:noFill/>
                    </a:ln>
                  </pic:spPr>
                </pic:pic>
              </a:graphicData>
            </a:graphic>
          </wp:inline>
        </w:drawing>
      </w:r>
      <w:r>
        <w:br w:type="page"/>
      </w:r>
    </w:p>
    <w:p w:rsidR="006617B8" w:rsidRDefault="006617B8" w:rsidP="006617B8">
      <w:pPr>
        <w:pStyle w:val="Heading2"/>
        <w:spacing w:before="0" w:after="40"/>
      </w:pPr>
      <w:r>
        <w:lastRenderedPageBreak/>
        <w:t>Jurisdictional overview</w:t>
      </w:r>
    </w:p>
    <w:p w:rsidR="006617B8" w:rsidRDefault="006617B8" w:rsidP="006617B8">
      <w:pPr>
        <w:pStyle w:val="Heading3"/>
      </w:pPr>
      <w:r>
        <w:t>Overview of process</w:t>
      </w:r>
    </w:p>
    <w:p w:rsidR="006617B8" w:rsidRPr="00B618E7" w:rsidRDefault="006617B8" w:rsidP="006617B8">
      <w:pPr>
        <w:pStyle w:val="PwCNormal"/>
      </w:pPr>
      <w:r w:rsidRPr="00B618E7">
        <w:t xml:space="preserve">ACT Health is responsible for the costing process of Canberra </w:t>
      </w:r>
      <w:r>
        <w:t xml:space="preserve">Hospital </w:t>
      </w:r>
      <w:r w:rsidRPr="00B618E7">
        <w:t>and the other ACT facilities</w:t>
      </w:r>
      <w:r>
        <w:t>. T</w:t>
      </w:r>
      <w:r w:rsidRPr="00B618E7">
        <w:t>herefore</w:t>
      </w:r>
      <w:r>
        <w:t>,</w:t>
      </w:r>
      <w:r w:rsidRPr="00B618E7">
        <w:t xml:space="preserve"> </w:t>
      </w:r>
      <w:r>
        <w:t xml:space="preserve">there is no additional process than that discussed in </w:t>
      </w:r>
      <w:r w:rsidR="00F84A9F">
        <w:t xml:space="preserve">Section </w:t>
      </w:r>
      <w:r>
        <w:fldChar w:fldCharType="begin"/>
      </w:r>
      <w:r>
        <w:instrText xml:space="preserve"> REF _Ref403222066 \r \h </w:instrText>
      </w:r>
      <w:r>
        <w:fldChar w:fldCharType="separate"/>
      </w:r>
      <w:r w:rsidR="00575DFC">
        <w:t>3.2</w:t>
      </w:r>
      <w:r>
        <w:fldChar w:fldCharType="end"/>
      </w:r>
      <w:r w:rsidRPr="00B618E7">
        <w:t xml:space="preserve">. </w:t>
      </w:r>
    </w:p>
    <w:p w:rsidR="006617B8" w:rsidRDefault="006617B8" w:rsidP="006617B8">
      <w:pPr>
        <w:pStyle w:val="Heading3"/>
      </w:pPr>
      <w:r>
        <w:t>Adjustments to costed dataset</w:t>
      </w:r>
    </w:p>
    <w:p w:rsidR="006617B8" w:rsidRDefault="006617B8" w:rsidP="006617B8">
      <w:pPr>
        <w:pStyle w:val="PwCNormal"/>
        <w:numPr>
          <w:ilvl w:val="0"/>
          <w:numId w:val="0"/>
        </w:numPr>
      </w:pPr>
      <w:r>
        <w:t xml:space="preserve">In addition to the WIP adjustment mentioned in </w:t>
      </w:r>
      <w:r w:rsidR="008E7280">
        <w:t xml:space="preserve">Section </w:t>
      </w:r>
      <w:r w:rsidR="00575574">
        <w:fldChar w:fldCharType="begin"/>
      </w:r>
      <w:r w:rsidR="00575574">
        <w:instrText xml:space="preserve"> REF _Ref403229839 \r \h </w:instrText>
      </w:r>
      <w:r w:rsidR="00575574">
        <w:fldChar w:fldCharType="separate"/>
      </w:r>
      <w:r w:rsidR="00575DFC">
        <w:t>3.2.5</w:t>
      </w:r>
      <w:r w:rsidR="00575574">
        <w:fldChar w:fldCharType="end"/>
      </w:r>
      <w:r>
        <w:t>, adjustments are made for the:</w:t>
      </w:r>
    </w:p>
    <w:p w:rsidR="006617B8" w:rsidRDefault="006617B8" w:rsidP="006617B8">
      <w:pPr>
        <w:pStyle w:val="PwCNormal"/>
        <w:numPr>
          <w:ilvl w:val="0"/>
          <w:numId w:val="50"/>
        </w:numPr>
      </w:pPr>
      <w:r>
        <w:t xml:space="preserve">removal of </w:t>
      </w:r>
      <w:r w:rsidR="00783C14">
        <w:t>TTR</w:t>
      </w:r>
      <w:r>
        <w:t xml:space="preserve"> costs ($17,602,825) and activity (12 dummy records), as these were not submitted to IHPA in Round 17</w:t>
      </w:r>
    </w:p>
    <w:p w:rsidR="006617B8" w:rsidRDefault="006617B8" w:rsidP="006617B8">
      <w:pPr>
        <w:pStyle w:val="PwCNormal"/>
        <w:numPr>
          <w:ilvl w:val="0"/>
          <w:numId w:val="50"/>
        </w:numPr>
      </w:pPr>
      <w:r>
        <w:t>removal of Occasions of Service (OOS) costs ($</w:t>
      </w:r>
      <w:r w:rsidRPr="0026393A">
        <w:t>33,342,821</w:t>
      </w:r>
      <w:r>
        <w:t>) and activity (</w:t>
      </w:r>
      <w:r w:rsidRPr="0026393A">
        <w:t>437,232</w:t>
      </w:r>
      <w:r>
        <w:t xml:space="preserve"> records) as these records were unable to be linked to patients and therefore were not submitted to IHPA</w:t>
      </w:r>
    </w:p>
    <w:p w:rsidR="006617B8" w:rsidRDefault="006617B8" w:rsidP="006617B8">
      <w:pPr>
        <w:pStyle w:val="PwCNormal"/>
        <w:numPr>
          <w:ilvl w:val="0"/>
          <w:numId w:val="50"/>
        </w:numPr>
      </w:pPr>
      <w:proofErr w:type="gramStart"/>
      <w:r>
        <w:t>removal</w:t>
      </w:r>
      <w:proofErr w:type="gramEnd"/>
      <w:r>
        <w:t xml:space="preserve"> of sexual health costs ($4,070,591) as t</w:t>
      </w:r>
      <w:r w:rsidRPr="0026393A">
        <w:t xml:space="preserve">hese costs could not be reported </w:t>
      </w:r>
      <w:r>
        <w:t xml:space="preserve">to IHPA </w:t>
      </w:r>
      <w:r w:rsidRPr="0026393A">
        <w:t xml:space="preserve">(at the request of </w:t>
      </w:r>
      <w:r>
        <w:t xml:space="preserve">the Canberra Hospital </w:t>
      </w:r>
      <w:r w:rsidRPr="0026393A">
        <w:t>Sexual Health Service)</w:t>
      </w:r>
      <w:r>
        <w:t>.</w:t>
      </w:r>
    </w:p>
    <w:p w:rsidR="006617B8" w:rsidRPr="005B6050" w:rsidRDefault="006617B8" w:rsidP="006617B8">
      <w:pPr>
        <w:pStyle w:val="Heading3"/>
      </w:pPr>
      <w:r w:rsidRPr="005B6050">
        <w:t>Reconciliation with IHPA</w:t>
      </w:r>
    </w:p>
    <w:p w:rsidR="006617B8" w:rsidRDefault="00575574" w:rsidP="006617B8">
      <w:pPr>
        <w:pStyle w:val="PwCNormal"/>
        <w:numPr>
          <w:ilvl w:val="0"/>
          <w:numId w:val="0"/>
        </w:numPr>
      </w:pPr>
      <w:r>
        <w:fldChar w:fldCharType="begin"/>
      </w:r>
      <w:r>
        <w:instrText xml:space="preserve"> REF _Ref403229815 \h </w:instrText>
      </w:r>
      <w:r>
        <w:fldChar w:fldCharType="separate"/>
      </w:r>
      <w:r w:rsidR="00575DFC">
        <w:t xml:space="preserve">Table </w:t>
      </w:r>
      <w:r w:rsidR="00575DFC">
        <w:rPr>
          <w:noProof/>
        </w:rPr>
        <w:t>13</w:t>
      </w:r>
      <w:r>
        <w:fldChar w:fldCharType="end"/>
      </w:r>
      <w:r w:rsidR="00CB38E7">
        <w:t xml:space="preserve"> </w:t>
      </w:r>
      <w:r w:rsidR="006617B8" w:rsidRPr="005B6050">
        <w:t>below compares the total costs and activity</w:t>
      </w:r>
      <w:r w:rsidR="006617B8">
        <w:t xml:space="preserve"> records</w:t>
      </w:r>
      <w:r w:rsidR="006617B8" w:rsidRPr="005B6050">
        <w:t xml:space="preserve"> subm</w:t>
      </w:r>
      <w:r w:rsidR="006617B8">
        <w:t>itted by the jurisdiction with</w:t>
      </w:r>
      <w:r w:rsidR="006617B8" w:rsidRPr="005B6050">
        <w:t xml:space="preserve"> the total costs and activity </w:t>
      </w:r>
      <w:r w:rsidR="0008008B">
        <w:t>records that were received by IHPA</w:t>
      </w:r>
      <w:r w:rsidR="006617B8" w:rsidRPr="005B6050">
        <w:t xml:space="preserve">. </w:t>
      </w:r>
      <w:r w:rsidR="006617B8">
        <w:t xml:space="preserve">A total </w:t>
      </w:r>
      <w:r w:rsidR="00017735">
        <w:t xml:space="preserve">variance </w:t>
      </w:r>
      <w:r w:rsidR="006617B8">
        <w:t>of $126,000 and 162 records were identified and represent less than 0.02% of total submission</w:t>
      </w:r>
      <w:r w:rsidR="00017735">
        <w:t>.</w:t>
      </w:r>
    </w:p>
    <w:p w:rsidR="006617B8" w:rsidRPr="005B6050" w:rsidRDefault="006617B8" w:rsidP="006617B8">
      <w:pPr>
        <w:pStyle w:val="Caption"/>
      </w:pPr>
      <w:bookmarkStart w:id="47" w:name="_Ref403229815"/>
      <w:r>
        <w:t xml:space="preserve">Table </w:t>
      </w:r>
      <w:fldSimple w:instr=" SEQ Table \* ARABIC ">
        <w:r w:rsidR="00575DFC">
          <w:rPr>
            <w:noProof/>
          </w:rPr>
          <w:t>13</w:t>
        </w:r>
      </w:fldSimple>
      <w:bookmarkEnd w:id="47"/>
      <w:r>
        <w:t>: Reconciliation of total costs and activity submitted</w:t>
      </w:r>
    </w:p>
    <w:p w:rsidR="002729CE" w:rsidRDefault="006617B8" w:rsidP="006617B8">
      <w:pPr>
        <w:pStyle w:val="PwCNormal"/>
        <w:numPr>
          <w:ilvl w:val="0"/>
          <w:numId w:val="0"/>
        </w:numPr>
        <w:rPr>
          <w:highlight w:val="yellow"/>
        </w:rPr>
      </w:pPr>
      <w:r w:rsidRPr="00646BAA">
        <w:rPr>
          <w:noProof/>
          <w:lang w:eastAsia="en-AU"/>
        </w:rPr>
        <w:drawing>
          <wp:inline distT="0" distB="0" distL="0" distR="0" wp14:anchorId="65207311" wp14:editId="28EB473E">
            <wp:extent cx="2692800" cy="1753200"/>
            <wp:effectExtent l="0" t="0" r="0" b="0"/>
            <wp:docPr id="107" name="Picture 107" descr="This table details the costs and activity submitted by the jurisdiction and what was received by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2800" cy="1753200"/>
                    </a:xfrm>
                    <a:prstGeom prst="rect">
                      <a:avLst/>
                    </a:prstGeom>
                    <a:noFill/>
                    <a:ln>
                      <a:noFill/>
                    </a:ln>
                  </pic:spPr>
                </pic:pic>
              </a:graphicData>
            </a:graphic>
          </wp:inline>
        </w:drawing>
      </w:r>
    </w:p>
    <w:p w:rsidR="002729CE" w:rsidRDefault="002729CE">
      <w:pPr>
        <w:kinsoku/>
        <w:overflowPunct/>
        <w:autoSpaceDE/>
        <w:autoSpaceDN/>
        <w:adjustRightInd/>
        <w:snapToGrid/>
        <w:rPr>
          <w:highlight w:val="yellow"/>
        </w:rPr>
      </w:pPr>
      <w:r>
        <w:rPr>
          <w:highlight w:val="yellow"/>
        </w:rPr>
        <w:br w:type="page"/>
      </w:r>
    </w:p>
    <w:p w:rsidR="008D0D75" w:rsidRDefault="008D0D75" w:rsidP="008D0D75">
      <w:pPr>
        <w:pStyle w:val="Heading1"/>
      </w:pPr>
      <w:bookmarkStart w:id="48" w:name="_Toc404355504"/>
      <w:r>
        <w:lastRenderedPageBreak/>
        <w:t>New South Wales</w:t>
      </w:r>
      <w:bookmarkEnd w:id="48"/>
      <w:r>
        <w:tab/>
      </w:r>
    </w:p>
    <w:p w:rsidR="008D0D75" w:rsidRPr="0063671A" w:rsidRDefault="008D0D75" w:rsidP="008D0D75">
      <w:pPr>
        <w:pStyle w:val="Heading2"/>
        <w:spacing w:before="0" w:after="40"/>
      </w:pPr>
      <w:r w:rsidRPr="0063671A">
        <w:t xml:space="preserve">New South Wales </w:t>
      </w:r>
      <w:r w:rsidR="0063671A">
        <w:t>o</w:t>
      </w:r>
      <w:r w:rsidR="0063671A" w:rsidRPr="0063671A">
        <w:t>verall</w:t>
      </w:r>
    </w:p>
    <w:p w:rsidR="008D0D75" w:rsidRPr="0063671A" w:rsidRDefault="008D0D75" w:rsidP="008D0D75">
      <w:pPr>
        <w:pStyle w:val="PwCNormal"/>
        <w:numPr>
          <w:ilvl w:val="0"/>
          <w:numId w:val="0"/>
        </w:numPr>
      </w:pPr>
      <w:r w:rsidRPr="0063671A">
        <w:t xml:space="preserve">Each of </w:t>
      </w:r>
      <w:r w:rsidR="00B23FCF" w:rsidRPr="0063671A">
        <w:t xml:space="preserve">the </w:t>
      </w:r>
      <w:r w:rsidR="00324D03" w:rsidRPr="0063671A">
        <w:t>Local Health District</w:t>
      </w:r>
      <w:r w:rsidR="00B23FCF" w:rsidRPr="0063671A">
        <w:t>s</w:t>
      </w:r>
      <w:r w:rsidR="00324D03" w:rsidRPr="0063671A">
        <w:t xml:space="preserve"> (LHD) or Specialty Health Network</w:t>
      </w:r>
      <w:r w:rsidR="00B23FCF" w:rsidRPr="0063671A">
        <w:t>s</w:t>
      </w:r>
      <w:r w:rsidR="00324D03" w:rsidRPr="0063671A">
        <w:t xml:space="preserve"> (SHN) in NSW </w:t>
      </w:r>
      <w:r w:rsidRPr="0063671A">
        <w:t>is responsible for preparing, processing and submitting patient</w:t>
      </w:r>
      <w:r w:rsidR="00033E53" w:rsidRPr="00A92879">
        <w:t>-</w:t>
      </w:r>
      <w:r w:rsidRPr="0063671A">
        <w:t>level costing</w:t>
      </w:r>
      <w:r w:rsidR="00B23FCF" w:rsidRPr="0063671A">
        <w:t xml:space="preserve"> to the NSW Ministry of Health</w:t>
      </w:r>
      <w:r w:rsidR="001F2669" w:rsidRPr="0063671A">
        <w:t xml:space="preserve"> (the Ministry)</w:t>
      </w:r>
      <w:r w:rsidRPr="0063671A">
        <w:t>. The NSW patient</w:t>
      </w:r>
      <w:r w:rsidR="00033E53" w:rsidRPr="00A92879">
        <w:t>-</w:t>
      </w:r>
      <w:r w:rsidRPr="0063671A">
        <w:t xml:space="preserve">level costing </w:t>
      </w:r>
      <w:r w:rsidR="00324D03" w:rsidRPr="0063671A">
        <w:t xml:space="preserve">submission </w:t>
      </w:r>
      <w:r w:rsidR="00033E53" w:rsidRPr="00A92879">
        <w:t xml:space="preserve">– </w:t>
      </w:r>
      <w:r w:rsidRPr="0063671A">
        <w:t>the District and Network Return (DNR</w:t>
      </w:r>
      <w:r w:rsidR="00033E53" w:rsidRPr="00A92879">
        <w:t>) –</w:t>
      </w:r>
      <w:r w:rsidRPr="0063671A">
        <w:t xml:space="preserve"> is a single submission used for a number of purposes, such as </w:t>
      </w:r>
      <w:r w:rsidR="00033E53" w:rsidRPr="00A92879">
        <w:t>in developing</w:t>
      </w:r>
      <w:r w:rsidRPr="0063671A">
        <w:t xml:space="preserve"> the State Price and the NHCDC submission. </w:t>
      </w:r>
      <w:r w:rsidR="00033E53" w:rsidRPr="00A92879">
        <w:t>Having</w:t>
      </w:r>
      <w:r w:rsidRPr="0063671A">
        <w:t xml:space="preserve"> </w:t>
      </w:r>
      <w:r w:rsidR="00500B5B" w:rsidRPr="0063671A">
        <w:t xml:space="preserve">a single </w:t>
      </w:r>
      <w:r w:rsidRPr="0063671A">
        <w:t xml:space="preserve">submission </w:t>
      </w:r>
      <w:r w:rsidR="002D75A8" w:rsidRPr="0063671A">
        <w:t xml:space="preserve">helps to maintain consistency </w:t>
      </w:r>
      <w:r w:rsidRPr="0063671A">
        <w:t xml:space="preserve">between a number of </w:t>
      </w:r>
      <w:r w:rsidR="00033E53" w:rsidRPr="00A92879">
        <w:t xml:space="preserve">data </w:t>
      </w:r>
      <w:r w:rsidR="002D75A8" w:rsidRPr="0063671A">
        <w:t xml:space="preserve">collections, </w:t>
      </w:r>
      <w:r w:rsidRPr="0063671A">
        <w:t>such as the NHCDC,</w:t>
      </w:r>
      <w:r w:rsidR="00033E53" w:rsidRPr="00A92879">
        <w:t xml:space="preserve"> the</w:t>
      </w:r>
      <w:r w:rsidRPr="0063671A">
        <w:t xml:space="preserve"> Public Hospitals Establishment Collection and the Health Expenditure Report.</w:t>
      </w:r>
    </w:p>
    <w:p w:rsidR="008D0D75" w:rsidRPr="0063671A" w:rsidRDefault="00033E53" w:rsidP="008D0D75">
      <w:pPr>
        <w:pStyle w:val="PwCNormal"/>
        <w:numPr>
          <w:ilvl w:val="0"/>
          <w:numId w:val="0"/>
        </w:numPr>
      </w:pPr>
      <w:r w:rsidRPr="00A34592">
        <w:t xml:space="preserve">All LHDs and SHNs use the </w:t>
      </w:r>
      <w:r w:rsidR="008D0D75" w:rsidRPr="0063671A">
        <w:t xml:space="preserve">PPM2 costing application </w:t>
      </w:r>
      <w:r w:rsidRPr="00A92879">
        <w:t xml:space="preserve">to prepare their data </w:t>
      </w:r>
      <w:r w:rsidR="00324D03" w:rsidRPr="0063671A">
        <w:t>for the DNR.</w:t>
      </w:r>
      <w:r w:rsidR="008D0D75" w:rsidRPr="0063671A">
        <w:t xml:space="preserve"> </w:t>
      </w:r>
      <w:r w:rsidR="00CA6711" w:rsidRPr="0063671A">
        <w:t>GL</w:t>
      </w:r>
      <w:r w:rsidR="008D0D75" w:rsidRPr="0063671A">
        <w:t>s are reported at the LHD</w:t>
      </w:r>
      <w:r w:rsidRPr="00A92879">
        <w:t xml:space="preserve"> or </w:t>
      </w:r>
      <w:r w:rsidR="008D0D75" w:rsidRPr="0063671A">
        <w:t>SHN level. The ABF Taskforce manage</w:t>
      </w:r>
      <w:r w:rsidRPr="00A92879">
        <w:t>s</w:t>
      </w:r>
      <w:r w:rsidR="008D0D75" w:rsidRPr="0063671A">
        <w:t xml:space="preserve"> </w:t>
      </w:r>
      <w:r w:rsidR="002821F4" w:rsidRPr="0063671A">
        <w:t>state</w:t>
      </w:r>
      <w:r w:rsidR="00670DB2">
        <w:t xml:space="preserve"> </w:t>
      </w:r>
      <w:r w:rsidR="002821F4" w:rsidRPr="0063671A">
        <w:t>wide</w:t>
      </w:r>
      <w:r w:rsidR="008D0D75" w:rsidRPr="0063671A">
        <w:t xml:space="preserve"> </w:t>
      </w:r>
      <w:r w:rsidRPr="00A92879">
        <w:t>QA</w:t>
      </w:r>
      <w:r w:rsidR="008D0D75" w:rsidRPr="0063671A">
        <w:t xml:space="preserve"> and reconciliation procedures</w:t>
      </w:r>
      <w:r w:rsidRPr="00A92879">
        <w:t>,</w:t>
      </w:r>
      <w:r w:rsidR="008D0D75" w:rsidRPr="0063671A">
        <w:t xml:space="preserve"> and </w:t>
      </w:r>
      <w:r w:rsidRPr="00A92879">
        <w:t xml:space="preserve">is </w:t>
      </w:r>
      <w:r w:rsidR="008D0D75" w:rsidRPr="0063671A">
        <w:t>responsible for formatting and consolidating the LHD/SHN patient</w:t>
      </w:r>
      <w:r w:rsidRPr="00A92879">
        <w:t>-</w:t>
      </w:r>
      <w:r w:rsidR="008D0D75" w:rsidRPr="0063671A">
        <w:t>level cost</w:t>
      </w:r>
      <w:r w:rsidRPr="00A92879">
        <w:t>ing</w:t>
      </w:r>
      <w:r w:rsidR="008D0D75" w:rsidRPr="0063671A">
        <w:t xml:space="preserve"> data </w:t>
      </w:r>
      <w:r w:rsidRPr="00A92879">
        <w:t xml:space="preserve">before it is submitted </w:t>
      </w:r>
      <w:r w:rsidR="00A92879" w:rsidRPr="0063671A">
        <w:t xml:space="preserve">to </w:t>
      </w:r>
      <w:r w:rsidR="00A92879" w:rsidRPr="00A92879">
        <w:t xml:space="preserve">the </w:t>
      </w:r>
      <w:r w:rsidR="00A92879" w:rsidRPr="0063671A">
        <w:t>IHPA</w:t>
      </w:r>
      <w:r w:rsidR="008D0D75" w:rsidRPr="0063671A">
        <w:t>. The ABF Taskforce issues guidance to the LHD</w:t>
      </w:r>
      <w:r w:rsidRPr="00A92879">
        <w:t xml:space="preserve">s and </w:t>
      </w:r>
      <w:r w:rsidR="008D0D75" w:rsidRPr="0063671A">
        <w:t>SHNs to</w:t>
      </w:r>
      <w:r w:rsidRPr="00A92879">
        <w:t xml:space="preserve"> help</w:t>
      </w:r>
      <w:r w:rsidR="008D0D75" w:rsidRPr="0063671A">
        <w:t xml:space="preserve"> achieve consisten</w:t>
      </w:r>
      <w:r w:rsidRPr="00A92879">
        <w:t xml:space="preserve">t </w:t>
      </w:r>
      <w:r w:rsidRPr="0063671A">
        <w:t xml:space="preserve">costing </w:t>
      </w:r>
      <w:r w:rsidR="008D0D75" w:rsidRPr="0063671A">
        <w:t>outputs</w:t>
      </w:r>
      <w:r w:rsidRPr="00A92879">
        <w:t xml:space="preserve"> across the state</w:t>
      </w:r>
      <w:r w:rsidR="008D0D75" w:rsidRPr="0063671A">
        <w:t xml:space="preserve">. Costing is performed at the </w:t>
      </w:r>
      <w:r w:rsidRPr="00A92879">
        <w:t>six-</w:t>
      </w:r>
      <w:r w:rsidR="008D0D75" w:rsidRPr="0063671A">
        <w:t xml:space="preserve"> and 12</w:t>
      </w:r>
      <w:r w:rsidRPr="00A92879">
        <w:t>-</w:t>
      </w:r>
      <w:r w:rsidR="008D0D75" w:rsidRPr="0063671A">
        <w:t>month points of the fiscal year, allowing</w:t>
      </w:r>
      <w:r w:rsidRPr="00A92879">
        <w:t xml:space="preserve"> LHDs and SHNs to identify</w:t>
      </w:r>
      <w:r w:rsidR="008D0D75" w:rsidRPr="0063671A">
        <w:t xml:space="preserve"> </w:t>
      </w:r>
      <w:r w:rsidRPr="00A92879">
        <w:t xml:space="preserve">and correct </w:t>
      </w:r>
      <w:r w:rsidR="008D0D75" w:rsidRPr="0063671A">
        <w:t>any errors before the full</w:t>
      </w:r>
      <w:r w:rsidRPr="00A92879">
        <w:t>-</w:t>
      </w:r>
      <w:r w:rsidR="008D0D75" w:rsidRPr="0063671A">
        <w:t>year submission.</w:t>
      </w:r>
    </w:p>
    <w:p w:rsidR="00751212" w:rsidRPr="0063671A" w:rsidRDefault="00751212" w:rsidP="00751212">
      <w:pPr>
        <w:pStyle w:val="PwCNormal"/>
        <w:numPr>
          <w:ilvl w:val="0"/>
          <w:numId w:val="0"/>
        </w:numPr>
      </w:pPr>
      <w:r w:rsidRPr="0063671A">
        <w:t xml:space="preserve">Entire LHDs </w:t>
      </w:r>
      <w:r w:rsidR="00033E53" w:rsidRPr="00A92879">
        <w:t xml:space="preserve">– rather than individual hospitals – </w:t>
      </w:r>
      <w:r w:rsidRPr="0063671A">
        <w:t>were nominated for review</w:t>
      </w:r>
      <w:r w:rsidR="00033E53" w:rsidRPr="00A92879">
        <w:t xml:space="preserve">, so </w:t>
      </w:r>
      <w:r w:rsidRPr="0063671A">
        <w:t xml:space="preserve">the data presented in this review </w:t>
      </w:r>
      <w:r w:rsidR="00033E53" w:rsidRPr="00A92879">
        <w:t>includes</w:t>
      </w:r>
      <w:r w:rsidRPr="0063671A">
        <w:t xml:space="preserve"> </w:t>
      </w:r>
      <w:r w:rsidR="00033E53" w:rsidRPr="00A92879">
        <w:t xml:space="preserve">all </w:t>
      </w:r>
      <w:r w:rsidRPr="0063671A">
        <w:t>the facilities within these LHDs. Three LHDs participated in this review:</w:t>
      </w:r>
    </w:p>
    <w:p w:rsidR="00751212" w:rsidRPr="0063671A" w:rsidRDefault="00751212" w:rsidP="009C4A5D">
      <w:pPr>
        <w:pStyle w:val="PwCNormal"/>
        <w:numPr>
          <w:ilvl w:val="0"/>
          <w:numId w:val="53"/>
        </w:numPr>
      </w:pPr>
      <w:r w:rsidRPr="0063671A">
        <w:t>Sydney Local Health District (SLHD)</w:t>
      </w:r>
    </w:p>
    <w:p w:rsidR="00751212" w:rsidRPr="0063671A" w:rsidRDefault="00751212" w:rsidP="009C4A5D">
      <w:pPr>
        <w:pStyle w:val="PwCNormal"/>
        <w:numPr>
          <w:ilvl w:val="0"/>
          <w:numId w:val="53"/>
        </w:numPr>
      </w:pPr>
      <w:r w:rsidRPr="0063671A">
        <w:t>Mid North Coast Local Health District (MNCLHD)</w:t>
      </w:r>
    </w:p>
    <w:p w:rsidR="00751212" w:rsidRPr="0063671A" w:rsidRDefault="00751212" w:rsidP="009C4A5D">
      <w:pPr>
        <w:pStyle w:val="PwCNormal"/>
        <w:numPr>
          <w:ilvl w:val="0"/>
          <w:numId w:val="53"/>
        </w:numPr>
      </w:pPr>
      <w:r w:rsidRPr="0063671A">
        <w:t>South West Sydney Local Health District (SWSLHD)</w:t>
      </w:r>
      <w:r w:rsidR="00033E53" w:rsidRPr="00A92879">
        <w:t>.</w:t>
      </w:r>
    </w:p>
    <w:p w:rsidR="00324D03" w:rsidRPr="0063671A" w:rsidRDefault="00324D03" w:rsidP="00324D03">
      <w:pPr>
        <w:pStyle w:val="Heading3"/>
      </w:pPr>
      <w:r w:rsidRPr="0063671A">
        <w:t>Changes since Round 16</w:t>
      </w:r>
    </w:p>
    <w:p w:rsidR="008D0D75" w:rsidRDefault="008D0D75" w:rsidP="008D0D75">
      <w:pPr>
        <w:pStyle w:val="PwCNormal"/>
        <w:numPr>
          <w:ilvl w:val="0"/>
          <w:numId w:val="0"/>
        </w:numPr>
      </w:pPr>
      <w:r w:rsidRPr="0063671A">
        <w:t xml:space="preserve">The most notable change </w:t>
      </w:r>
      <w:r w:rsidR="00033E53" w:rsidRPr="00A92879">
        <w:t xml:space="preserve">in NSW since </w:t>
      </w:r>
      <w:r w:rsidRPr="0063671A">
        <w:t xml:space="preserve">Round 16 </w:t>
      </w:r>
      <w:r w:rsidR="00324D03" w:rsidRPr="0063671A">
        <w:t>was</w:t>
      </w:r>
      <w:r w:rsidRPr="0063671A">
        <w:t xml:space="preserve"> </w:t>
      </w:r>
      <w:r w:rsidR="00500B5B" w:rsidRPr="0063671A">
        <w:t xml:space="preserve">the establishment of </w:t>
      </w:r>
      <w:r w:rsidRPr="0063671A">
        <w:t>patient</w:t>
      </w:r>
      <w:r w:rsidR="00033E53" w:rsidRPr="00A92879">
        <w:t>-</w:t>
      </w:r>
      <w:r w:rsidRPr="0063671A">
        <w:t xml:space="preserve">level costing of non-admitted encounters. </w:t>
      </w:r>
      <w:r w:rsidR="00033E53" w:rsidRPr="00A92879">
        <w:t>Reporting</w:t>
      </w:r>
      <w:r w:rsidRPr="0063671A">
        <w:t xml:space="preserve"> of non</w:t>
      </w:r>
      <w:r w:rsidR="00033E53" w:rsidRPr="00A92879">
        <w:t>-</w:t>
      </w:r>
      <w:r w:rsidRPr="0063671A">
        <w:t>admitted patient</w:t>
      </w:r>
      <w:r w:rsidR="00033E53" w:rsidRPr="00A92879">
        <w:t>-</w:t>
      </w:r>
      <w:r w:rsidRPr="0063671A">
        <w:t xml:space="preserve">level activity is progressing at </w:t>
      </w:r>
      <w:r w:rsidR="00033E53" w:rsidRPr="00A92879">
        <w:t xml:space="preserve">varying </w:t>
      </w:r>
      <w:r w:rsidRPr="0063671A">
        <w:t>rates across the</w:t>
      </w:r>
      <w:r w:rsidR="00033E53" w:rsidRPr="00A92879">
        <w:t xml:space="preserve"> different</w:t>
      </w:r>
      <w:r w:rsidRPr="0063671A">
        <w:t xml:space="preserve"> LHD</w:t>
      </w:r>
      <w:r w:rsidR="002D75A8" w:rsidRPr="0063671A">
        <w:t>s</w:t>
      </w:r>
      <w:r w:rsidRPr="0063671A">
        <w:t>/SHNs</w:t>
      </w:r>
      <w:r w:rsidR="00033E53" w:rsidRPr="00A92879">
        <w:t>,</w:t>
      </w:r>
      <w:r w:rsidRPr="0063671A">
        <w:t xml:space="preserve"> </w:t>
      </w:r>
      <w:r w:rsidR="00033E53" w:rsidRPr="00A92879">
        <w:t xml:space="preserve">which </w:t>
      </w:r>
      <w:r w:rsidRPr="0063671A">
        <w:t>accounts for the significant variation in patient</w:t>
      </w:r>
      <w:r w:rsidR="00033E53" w:rsidRPr="00A92879">
        <w:t>-</w:t>
      </w:r>
      <w:r w:rsidRPr="0063671A">
        <w:t xml:space="preserve">level activity submitted for the </w:t>
      </w:r>
      <w:r w:rsidR="00033E53" w:rsidRPr="00A92879">
        <w:t xml:space="preserve">Round </w:t>
      </w:r>
      <w:r w:rsidR="00613A2F">
        <w:t>1</w:t>
      </w:r>
      <w:r w:rsidR="00033E53" w:rsidRPr="00A92879">
        <w:t xml:space="preserve">7 </w:t>
      </w:r>
      <w:r w:rsidRPr="0063671A">
        <w:t>NHCDC.</w:t>
      </w:r>
    </w:p>
    <w:p w:rsidR="008D0D75" w:rsidRDefault="008D0D75" w:rsidP="008D0D75">
      <w:pPr>
        <w:pStyle w:val="Heading2"/>
        <w:spacing w:before="0" w:after="40"/>
      </w:pPr>
      <w:r>
        <w:t>Sydney Local Health District</w:t>
      </w:r>
    </w:p>
    <w:p w:rsidR="008D0D75" w:rsidRPr="00D51442" w:rsidRDefault="008D0D75" w:rsidP="00CE5EF2">
      <w:pPr>
        <w:pStyle w:val="Heading3"/>
      </w:pPr>
      <w:r w:rsidRPr="00D51442">
        <w:t>Site overview</w:t>
      </w:r>
    </w:p>
    <w:p w:rsidR="008D0D75" w:rsidRPr="00296978" w:rsidRDefault="008D0D75" w:rsidP="008D0D75">
      <w:pPr>
        <w:pStyle w:val="PwCNormal"/>
        <w:rPr>
          <w:b/>
        </w:rPr>
      </w:pPr>
      <w:r>
        <w:t>The Sydney LHD is the health district that provides coverage to the inner Sydney metropolitan area. Its central location includes a diverse cultural and socio-economic patient demographic, with patients ranging from very low to very high socio-economic backgrounds.</w:t>
      </w:r>
    </w:p>
    <w:p w:rsidR="008D0D75" w:rsidRPr="00023AC3" w:rsidRDefault="008D0D75" w:rsidP="008D0D75">
      <w:pPr>
        <w:pStyle w:val="PwCNormal"/>
        <w:rPr>
          <w:b/>
        </w:rPr>
      </w:pPr>
      <w:r>
        <w:t xml:space="preserve">Its major facilities include Concord Hospital, Royal Prince Alfred Hospital, Balmain Hospital, and Canterbury Hospital. Of these facilities, the Royal Prince Alfred reports the highest volume of acute, ED and elective surgery episodes. Canterbury Hospital has had an increase in ED presentations as well as maternity-related cases. </w:t>
      </w:r>
    </w:p>
    <w:p w:rsidR="008D0D75" w:rsidRPr="00E0498A" w:rsidRDefault="008D0D75" w:rsidP="008D0D75">
      <w:pPr>
        <w:pStyle w:val="PwCNormal"/>
        <w:rPr>
          <w:b/>
        </w:rPr>
      </w:pPr>
      <w:r>
        <w:t xml:space="preserve">The table below is a summary </w:t>
      </w:r>
      <w:r w:rsidR="00FA1F79">
        <w:t xml:space="preserve">of </w:t>
      </w:r>
      <w:r>
        <w:t xml:space="preserve">costs beginning with total expenses from the </w:t>
      </w:r>
      <w:r w:rsidR="00FA1F79">
        <w:t xml:space="preserve">GL </w:t>
      </w:r>
      <w:r>
        <w:t>through to the total costs submitted to IHPA with the various adjustments made during the process. No variances were noted</w:t>
      </w:r>
      <w:r w:rsidR="00FA1F79">
        <w:t xml:space="preserve"> between the GL and the financial data submitted to </w:t>
      </w:r>
      <w:r w:rsidR="00B429AC">
        <w:t>IHPA.</w:t>
      </w:r>
    </w:p>
    <w:p w:rsidR="00E0498A" w:rsidRPr="00CC0806" w:rsidRDefault="00E0498A" w:rsidP="00E0498A">
      <w:pPr>
        <w:pStyle w:val="Caption"/>
        <w:rPr>
          <w:b w:val="0"/>
        </w:rPr>
      </w:pPr>
      <w:r>
        <w:lastRenderedPageBreak/>
        <w:t xml:space="preserve">Table </w:t>
      </w:r>
      <w:r w:rsidR="008379DC">
        <w:fldChar w:fldCharType="begin"/>
      </w:r>
      <w:r w:rsidR="009E64DF">
        <w:instrText xml:space="preserve"> SEQ Table \* ARABIC </w:instrText>
      </w:r>
      <w:r w:rsidR="008379DC">
        <w:fldChar w:fldCharType="separate"/>
      </w:r>
      <w:r w:rsidR="00575DFC">
        <w:rPr>
          <w:noProof/>
        </w:rPr>
        <w:t>14</w:t>
      </w:r>
      <w:r w:rsidR="008379DC">
        <w:rPr>
          <w:noProof/>
        </w:rPr>
        <w:fldChar w:fldCharType="end"/>
      </w:r>
      <w:r>
        <w:t xml:space="preserve">: </w:t>
      </w:r>
      <w:r w:rsidRPr="000D48EE">
        <w:t xml:space="preserve">Financial </w:t>
      </w:r>
      <w:r w:rsidR="000F4710">
        <w:t>o</w:t>
      </w:r>
      <w:r w:rsidR="000F4710" w:rsidRPr="000D48EE">
        <w:t xml:space="preserve">verview </w:t>
      </w:r>
      <w:r w:rsidRPr="000D48EE">
        <w:t xml:space="preserve">of </w:t>
      </w:r>
      <w:r>
        <w:t xml:space="preserve">Sydney </w:t>
      </w:r>
      <w:r w:rsidR="000F4710">
        <w:t>LHD</w:t>
      </w:r>
      <w:r w:rsidR="002C1CE6">
        <w:t>, FY 2012/13</w:t>
      </w:r>
    </w:p>
    <w:p w:rsidR="008D0D75" w:rsidRPr="00C50181" w:rsidRDefault="008D0D75" w:rsidP="008D0D75">
      <w:pPr>
        <w:pStyle w:val="PwCNormal"/>
        <w:rPr>
          <w:highlight w:val="yellow"/>
        </w:rPr>
      </w:pPr>
      <w:r w:rsidRPr="000F622D">
        <w:rPr>
          <w:noProof/>
          <w:lang w:eastAsia="en-AU"/>
        </w:rPr>
        <w:drawing>
          <wp:inline distT="0" distB="0" distL="0" distR="0" wp14:anchorId="6518D6DC" wp14:editId="04F79EC0">
            <wp:extent cx="5220335" cy="4418111"/>
            <wp:effectExtent l="0" t="0" r="0" b="0"/>
            <wp:docPr id="13" name="Picture 13" descr="This table outlines the flow of cost movements from the $1.3bn in the general ledger through to the $1.0bn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20335" cy="4418111"/>
                    </a:xfrm>
                    <a:prstGeom prst="rect">
                      <a:avLst/>
                    </a:prstGeom>
                    <a:noFill/>
                    <a:ln>
                      <a:noFill/>
                    </a:ln>
                  </pic:spPr>
                </pic:pic>
              </a:graphicData>
            </a:graphic>
          </wp:inline>
        </w:drawing>
      </w:r>
    </w:p>
    <w:p w:rsidR="008D0D75" w:rsidRPr="00DE22CA" w:rsidRDefault="00CB38E7" w:rsidP="00CE5EF2">
      <w:pPr>
        <w:pStyle w:val="Heading3"/>
      </w:pPr>
      <w:bookmarkStart w:id="49" w:name="_Ref402876403"/>
      <w:r>
        <w:t>Financial d</w:t>
      </w:r>
      <w:r w:rsidR="008D0D75" w:rsidRPr="00DE22CA">
        <w:t>ata</w:t>
      </w:r>
      <w:bookmarkEnd w:id="49"/>
    </w:p>
    <w:p w:rsidR="008D0D75" w:rsidRPr="00DE22CA" w:rsidRDefault="00CA6711" w:rsidP="008D0D75">
      <w:pPr>
        <w:pStyle w:val="PwCNormal"/>
        <w:numPr>
          <w:ilvl w:val="0"/>
          <w:numId w:val="0"/>
        </w:numPr>
        <w:rPr>
          <w:b/>
        </w:rPr>
      </w:pPr>
      <w:r>
        <w:rPr>
          <w:b/>
        </w:rPr>
        <w:t xml:space="preserve">General </w:t>
      </w:r>
      <w:r w:rsidR="00CD308F">
        <w:rPr>
          <w:b/>
        </w:rPr>
        <w:t>L</w:t>
      </w:r>
      <w:r w:rsidR="008D0D75" w:rsidRPr="00D51442">
        <w:rPr>
          <w:b/>
        </w:rPr>
        <w:t>edger (Item A)</w:t>
      </w:r>
    </w:p>
    <w:p w:rsidR="008D0D75" w:rsidRDefault="008D0D75" w:rsidP="008D0D75">
      <w:pPr>
        <w:pStyle w:val="PwCNormal"/>
        <w:numPr>
          <w:ilvl w:val="0"/>
          <w:numId w:val="0"/>
        </w:numPr>
      </w:pPr>
      <w:r>
        <w:t xml:space="preserve">Financial statements are published at the LHD/SHN level in NSW. The templates have been completed for all facilities within the Sydney LHD. </w:t>
      </w:r>
      <w:r w:rsidRPr="00DE22CA">
        <w:t>The total expenses per the financial</w:t>
      </w:r>
      <w:r>
        <w:t xml:space="preserve"> statements for FY 2012/13 were $1.38</w:t>
      </w:r>
      <w:r w:rsidR="008E7280">
        <w:t xml:space="preserve"> </w:t>
      </w:r>
      <w:r>
        <w:t>b</w:t>
      </w:r>
      <w:r w:rsidR="008E7280">
        <w:t>illion</w:t>
      </w:r>
      <w:r w:rsidRPr="00DE22CA">
        <w:t xml:space="preserve">. </w:t>
      </w:r>
      <w:r>
        <w:t xml:space="preserve">This reconciled to the total expenses of the </w:t>
      </w:r>
      <w:r w:rsidR="00CA6711">
        <w:t>GL</w:t>
      </w:r>
      <w:r>
        <w:t xml:space="preserve">. </w:t>
      </w:r>
    </w:p>
    <w:p w:rsidR="00E0498A" w:rsidRPr="00DE22CA" w:rsidRDefault="00E0498A" w:rsidP="00E0498A">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15</w:t>
      </w:r>
      <w:r w:rsidR="008379DC">
        <w:rPr>
          <w:noProof/>
        </w:rPr>
        <w:fldChar w:fldCharType="end"/>
      </w:r>
      <w:r>
        <w:t xml:space="preserve">: </w:t>
      </w:r>
      <w:r w:rsidRPr="00106826">
        <w:t>Treatment of specific cost items</w:t>
      </w:r>
    </w:p>
    <w:p w:rsidR="003E2562" w:rsidRDefault="003E2562" w:rsidP="008D0D75">
      <w:pPr>
        <w:pStyle w:val="PwCNormal"/>
        <w:numPr>
          <w:ilvl w:val="0"/>
          <w:numId w:val="0"/>
        </w:numPr>
      </w:pPr>
      <w:r w:rsidRPr="003E2562">
        <w:rPr>
          <w:noProof/>
          <w:lang w:eastAsia="en-AU"/>
        </w:rPr>
        <w:drawing>
          <wp:inline distT="0" distB="0" distL="0" distR="0" wp14:anchorId="2A91E3A6" wp14:editId="39D71E1D">
            <wp:extent cx="4586400" cy="2084400"/>
            <wp:effectExtent l="0" t="0" r="5080" b="0"/>
            <wp:docPr id="133" name="Picture 133" descr="This table outlines the treatment of some of the cost items in the site's general ledger." title="Treatment of sepcific cost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6400" cy="2084400"/>
                    </a:xfrm>
                    <a:prstGeom prst="rect">
                      <a:avLst/>
                    </a:prstGeom>
                    <a:noFill/>
                    <a:ln>
                      <a:noFill/>
                    </a:ln>
                  </pic:spPr>
                </pic:pic>
              </a:graphicData>
            </a:graphic>
          </wp:inline>
        </w:drawing>
      </w:r>
    </w:p>
    <w:p w:rsidR="0078519B" w:rsidRDefault="0078519B" w:rsidP="008D0D75">
      <w:pPr>
        <w:pStyle w:val="PwCNormal"/>
        <w:numPr>
          <w:ilvl w:val="0"/>
          <w:numId w:val="0"/>
        </w:numPr>
      </w:pPr>
      <w:r>
        <w:lastRenderedPageBreak/>
        <w:t xml:space="preserve">Table 15 above </w:t>
      </w:r>
      <w:r w:rsidR="002D75A8">
        <w:t>identifies specific costs</w:t>
      </w:r>
      <w:r w:rsidR="00207F27">
        <w:t xml:space="preserve"> </w:t>
      </w:r>
      <w:r w:rsidR="00B57F23">
        <w:t xml:space="preserve">that </w:t>
      </w:r>
      <w:r w:rsidR="002D75A8">
        <w:t>were reviewed to understand their treatment in the GL and the costing process</w:t>
      </w:r>
      <w:r w:rsidR="00207F27">
        <w:t>. Once these costs are allocated to final cost centres they are distributed to patients using the allocation methodology of that cost centre. Key cost treatments to note include:</w:t>
      </w:r>
    </w:p>
    <w:p w:rsidR="0073538F" w:rsidRDefault="0073538F" w:rsidP="009C4A5D">
      <w:pPr>
        <w:pStyle w:val="PwCNormal"/>
        <w:numPr>
          <w:ilvl w:val="0"/>
          <w:numId w:val="75"/>
        </w:numPr>
      </w:pPr>
      <w:r>
        <w:t xml:space="preserve">Superannuation contributions and defined employee benefit contributions are paid by the LHD from the cost centre where the staff member has their ordinary salaries and wages paid from. The same approach is taken for annual leave and long service leave liabilities. </w:t>
      </w:r>
    </w:p>
    <w:p w:rsidR="008D0D75" w:rsidRDefault="008D0D75" w:rsidP="009C4A5D">
      <w:pPr>
        <w:pStyle w:val="PwCNormal"/>
        <w:numPr>
          <w:ilvl w:val="0"/>
          <w:numId w:val="75"/>
        </w:numPr>
      </w:pPr>
      <w:r>
        <w:t>The NSW Government has an insurance and risk management scheme covering all the</w:t>
      </w:r>
      <w:r w:rsidR="00207F27">
        <w:t xml:space="preserve"> Government’s insurance risks. </w:t>
      </w:r>
      <w:r>
        <w:t xml:space="preserve">This scheme is </w:t>
      </w:r>
      <w:r w:rsidR="00207F27">
        <w:t xml:space="preserve">the NSW Treasury Managed Fund. </w:t>
      </w:r>
      <w:r>
        <w:t>Workers Compensation i</w:t>
      </w:r>
      <w:r w:rsidR="00207F27">
        <w:t xml:space="preserve">s managed through this scheme. </w:t>
      </w:r>
      <w:r>
        <w:t xml:space="preserve">Premium expense is distributed to each LHD/SHN and is included in their </w:t>
      </w:r>
      <w:r w:rsidR="00CA6711">
        <w:t>GL</w:t>
      </w:r>
      <w:r>
        <w:t>.</w:t>
      </w:r>
      <w:r w:rsidR="00207F27">
        <w:t xml:space="preserve"> </w:t>
      </w:r>
      <w:r>
        <w:t xml:space="preserve">In SLHD, </w:t>
      </w:r>
      <w:r w:rsidR="00207F27">
        <w:t xml:space="preserve">this </w:t>
      </w:r>
      <w:r w:rsidR="00FA1F79">
        <w:t xml:space="preserve">expense is </w:t>
      </w:r>
      <w:r>
        <w:t>recorded</w:t>
      </w:r>
      <w:r w:rsidRPr="00CA2D67">
        <w:t xml:space="preserve"> in the GL </w:t>
      </w:r>
      <w:r w:rsidR="00FA1F79">
        <w:t xml:space="preserve">as </w:t>
      </w:r>
      <w:r w:rsidRPr="00CA2D67">
        <w:t>an overhead cost centre</w:t>
      </w:r>
      <w:r w:rsidR="00207F27">
        <w:t xml:space="preserve"> and</w:t>
      </w:r>
      <w:r w:rsidRPr="00CA2D67">
        <w:t xml:space="preserve"> is allocated to direct cost centre</w:t>
      </w:r>
      <w:r>
        <w:t>s</w:t>
      </w:r>
      <w:r w:rsidRPr="00CA2D67">
        <w:t xml:space="preserve"> during the overhead allocation process</w:t>
      </w:r>
      <w:r w:rsidR="00FA1F79">
        <w:t>.</w:t>
      </w:r>
    </w:p>
    <w:p w:rsidR="008D0D75" w:rsidRDefault="00FB6D3A" w:rsidP="009C4A5D">
      <w:pPr>
        <w:pStyle w:val="PwCNormal"/>
        <w:numPr>
          <w:ilvl w:val="0"/>
          <w:numId w:val="75"/>
        </w:numPr>
      </w:pPr>
      <w:r>
        <w:t xml:space="preserve">NSW is not subscribed to the </w:t>
      </w:r>
      <w:r w:rsidR="00670DB2">
        <w:t>PBS</w:t>
      </w:r>
      <w:r>
        <w:t xml:space="preserve"> so no reven</w:t>
      </w:r>
      <w:r w:rsidR="00613A2F">
        <w:t xml:space="preserve">ue is received for those drugs. </w:t>
      </w:r>
    </w:p>
    <w:p w:rsidR="008D0D75" w:rsidRPr="00DE22CA" w:rsidRDefault="008D0D75" w:rsidP="009C4A5D">
      <w:pPr>
        <w:pStyle w:val="PwCNormal"/>
        <w:numPr>
          <w:ilvl w:val="0"/>
          <w:numId w:val="75"/>
        </w:numPr>
      </w:pPr>
      <w:r>
        <w:t xml:space="preserve">Asset valuations are undertaken every three years. An </w:t>
      </w:r>
      <w:r w:rsidR="002821F4">
        <w:t>upward</w:t>
      </w:r>
      <w:r>
        <w:t xml:space="preserve"> revaluation of land and buildings was done at 31 December 2012, resulting in an increased depreciation expense of $10.7</w:t>
      </w:r>
      <w:r w:rsidR="008E7280">
        <w:t xml:space="preserve"> </w:t>
      </w:r>
      <w:r>
        <w:t>m</w:t>
      </w:r>
      <w:r w:rsidR="008E7280">
        <w:t>illion</w:t>
      </w:r>
      <w:r>
        <w:t>.</w:t>
      </w:r>
    </w:p>
    <w:p w:rsidR="008D0D75" w:rsidRPr="00DE22CA" w:rsidRDefault="008D0D75" w:rsidP="008D0D75">
      <w:pPr>
        <w:pStyle w:val="PwCNormal"/>
        <w:numPr>
          <w:ilvl w:val="0"/>
          <w:numId w:val="0"/>
        </w:numPr>
        <w:rPr>
          <w:b/>
        </w:rPr>
      </w:pPr>
      <w:r w:rsidRPr="00DF21BA">
        <w:rPr>
          <w:b/>
        </w:rPr>
        <w:t>Inclusions and exclusions (Item B)</w:t>
      </w:r>
    </w:p>
    <w:p w:rsidR="008D0D75" w:rsidRDefault="008D0D75" w:rsidP="008D0D75">
      <w:pPr>
        <w:pStyle w:val="PwCNormal"/>
        <w:numPr>
          <w:ilvl w:val="0"/>
          <w:numId w:val="0"/>
        </w:numPr>
      </w:pPr>
      <w:r>
        <w:t xml:space="preserve">Sydney LHD reported two inclusions to their </w:t>
      </w:r>
      <w:r w:rsidR="00CA6711">
        <w:t>GL</w:t>
      </w:r>
      <w:r>
        <w:t xml:space="preserve"> costs for costing purposes:</w:t>
      </w:r>
    </w:p>
    <w:p w:rsidR="008D0D75" w:rsidRDefault="008D0D75" w:rsidP="009C4A5D">
      <w:pPr>
        <w:pStyle w:val="PwCNormal"/>
        <w:numPr>
          <w:ilvl w:val="0"/>
          <w:numId w:val="56"/>
        </w:numPr>
      </w:pPr>
      <w:r>
        <w:t>Medical indemnity costs of $16.94</w:t>
      </w:r>
      <w:r w:rsidR="008E7280">
        <w:t xml:space="preserve"> </w:t>
      </w:r>
      <w:r>
        <w:t>m</w:t>
      </w:r>
      <w:r w:rsidR="008E7280">
        <w:t>illion</w:t>
      </w:r>
      <w:r>
        <w:t xml:space="preserve"> </w:t>
      </w:r>
    </w:p>
    <w:p w:rsidR="008D0D75" w:rsidRDefault="008D0D75" w:rsidP="009C4A5D">
      <w:pPr>
        <w:pStyle w:val="PwCNormal"/>
        <w:numPr>
          <w:ilvl w:val="0"/>
          <w:numId w:val="56"/>
        </w:numPr>
      </w:pPr>
      <w:r>
        <w:t>Visiting medical officer (VMO) insurance premiums of$1.99</w:t>
      </w:r>
      <w:r w:rsidR="008E7280">
        <w:t xml:space="preserve"> </w:t>
      </w:r>
      <w:r>
        <w:t>m</w:t>
      </w:r>
      <w:r w:rsidR="008E7280">
        <w:t>illion.</w:t>
      </w:r>
      <w:r>
        <w:t xml:space="preserve"> </w:t>
      </w:r>
    </w:p>
    <w:p w:rsidR="008D0D75" w:rsidRPr="00DE22CA" w:rsidRDefault="008D0D75" w:rsidP="008D0D75">
      <w:pPr>
        <w:pStyle w:val="PwCNormal"/>
        <w:numPr>
          <w:ilvl w:val="0"/>
          <w:numId w:val="0"/>
        </w:numPr>
      </w:pPr>
      <w:r>
        <w:t xml:space="preserve">These values were calculated and provided by the Ministry of Health for inclusion into the </w:t>
      </w:r>
      <w:r w:rsidR="00CA6711">
        <w:t>GL</w:t>
      </w:r>
      <w:r>
        <w:t xml:space="preserve"> for costing to comply with AHPCS. No exclusion of costs was noted.</w:t>
      </w:r>
    </w:p>
    <w:p w:rsidR="008D0D75" w:rsidRPr="00DE22CA" w:rsidRDefault="008D0D75" w:rsidP="008D0D75">
      <w:pPr>
        <w:pStyle w:val="PwCNormal"/>
        <w:numPr>
          <w:ilvl w:val="0"/>
          <w:numId w:val="0"/>
        </w:numPr>
        <w:rPr>
          <w:b/>
        </w:rPr>
      </w:pPr>
      <w:r w:rsidRPr="00DF21BA">
        <w:rPr>
          <w:b/>
        </w:rPr>
        <w:t>Allocation of overheads (Item C)</w:t>
      </w:r>
    </w:p>
    <w:p w:rsidR="008D0D75" w:rsidRPr="00DE22CA" w:rsidRDefault="008D0D75" w:rsidP="008D0D75">
      <w:pPr>
        <w:pStyle w:val="PwCNormal"/>
        <w:numPr>
          <w:ilvl w:val="0"/>
          <w:numId w:val="0"/>
        </w:numPr>
      </w:pPr>
      <w:r>
        <w:t>Overheads are allocated based on allocation statistics guidance provided by the Ministry. Following the classification of cost centres, an appropriate allocation statistic such as FTEs or bed days is chosen in accordance with the AHPCS. Overhead costs for Sydney LHD amounted to $330.0</w:t>
      </w:r>
      <w:r w:rsidR="008E7280">
        <w:t xml:space="preserve"> </w:t>
      </w:r>
      <w:r>
        <w:t>m</w:t>
      </w:r>
      <w:r w:rsidR="008E7280">
        <w:t>illion</w:t>
      </w:r>
      <w:r>
        <w:t xml:space="preserve"> or 23.5% of total costs.</w:t>
      </w:r>
    </w:p>
    <w:p w:rsidR="008D0D75" w:rsidRPr="00DE22CA" w:rsidRDefault="008D0D75" w:rsidP="008D0D75">
      <w:pPr>
        <w:pStyle w:val="PwCNormal"/>
        <w:numPr>
          <w:ilvl w:val="0"/>
          <w:numId w:val="0"/>
        </w:numPr>
        <w:rPr>
          <w:b/>
        </w:rPr>
      </w:pPr>
      <w:r w:rsidRPr="00DF21BA">
        <w:rPr>
          <w:b/>
        </w:rPr>
        <w:t>Distribution of costs between hospital products (Item D)</w:t>
      </w:r>
    </w:p>
    <w:p w:rsidR="008D0D75" w:rsidRDefault="008D0D75" w:rsidP="008D0D75">
      <w:pPr>
        <w:pStyle w:val="PwCNormal"/>
        <w:numPr>
          <w:ilvl w:val="0"/>
          <w:numId w:val="0"/>
        </w:numPr>
      </w:pPr>
      <w:r>
        <w:t xml:space="preserve">PFRACS were used in </w:t>
      </w:r>
      <w:r w:rsidR="006A194B">
        <w:t>Round 17</w:t>
      </w:r>
      <w:r>
        <w:t xml:space="preserve"> for cost centres that provided services to more than one hospital product. After classifying cost centres based on the services provided, the costing staff will consult with clinical managers to determine an appropriate allocation proportion between the hospital products.</w:t>
      </w:r>
      <w:r w:rsidR="00FA1F79">
        <w:t xml:space="preserve"> This </w:t>
      </w:r>
      <w:r w:rsidR="0078114C">
        <w:t xml:space="preserve">happens </w:t>
      </w:r>
      <w:r w:rsidR="00FA1F79">
        <w:t xml:space="preserve">for each </w:t>
      </w:r>
      <w:r w:rsidR="00500B5B">
        <w:t xml:space="preserve">cycle </w:t>
      </w:r>
      <w:r w:rsidR="00FA1F79">
        <w:t>of the DNR</w:t>
      </w:r>
      <w:r w:rsidR="00F127B4">
        <w:t xml:space="preserve"> preparation which is six monthly.</w:t>
      </w:r>
    </w:p>
    <w:p w:rsidR="008D0D75" w:rsidRPr="004E0B72" w:rsidRDefault="008D0D75" w:rsidP="00CE5EF2">
      <w:pPr>
        <w:pStyle w:val="Heading3"/>
      </w:pPr>
      <w:r>
        <w:t>Activity information and costing methodology</w:t>
      </w:r>
    </w:p>
    <w:p w:rsidR="008D0D75" w:rsidRPr="002449AB" w:rsidRDefault="008D0D75" w:rsidP="008D0D75">
      <w:pPr>
        <w:pStyle w:val="PwCNormal"/>
        <w:numPr>
          <w:ilvl w:val="0"/>
          <w:numId w:val="0"/>
        </w:numPr>
        <w:rPr>
          <w:b/>
        </w:rPr>
      </w:pPr>
      <w:r>
        <w:rPr>
          <w:b/>
        </w:rPr>
        <w:t>Overview</w:t>
      </w:r>
    </w:p>
    <w:p w:rsidR="008D0D75" w:rsidRDefault="008D0D75" w:rsidP="008D0D75">
      <w:pPr>
        <w:pStyle w:val="PwCNormal"/>
        <w:numPr>
          <w:ilvl w:val="0"/>
          <w:numId w:val="0"/>
        </w:numPr>
      </w:pPr>
      <w:r>
        <w:t xml:space="preserve">A number of feeder systems are used across the LHD to allocate costs to patients across all care settings. As previously stated the most significant change in </w:t>
      </w:r>
      <w:r w:rsidR="006A194B">
        <w:t>Round 17</w:t>
      </w:r>
      <w:r>
        <w:t xml:space="preserve"> was the inclusion of non</w:t>
      </w:r>
      <w:r w:rsidR="008E7280">
        <w:t>-</w:t>
      </w:r>
      <w:r>
        <w:t>admitted patient level data in the DNR.</w:t>
      </w:r>
    </w:p>
    <w:p w:rsidR="008D0D75" w:rsidRDefault="008D0D75" w:rsidP="008D0D75">
      <w:pPr>
        <w:pStyle w:val="PwCNormal"/>
        <w:numPr>
          <w:ilvl w:val="0"/>
          <w:numId w:val="0"/>
        </w:numPr>
      </w:pPr>
      <w:r>
        <w:t>The table below outlines the costing methodology fo</w:t>
      </w:r>
      <w:r w:rsidR="001502E4">
        <w:t>r the various hospital products.</w:t>
      </w:r>
    </w:p>
    <w:p w:rsidR="001502E4" w:rsidRDefault="001502E4" w:rsidP="001502E4">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16</w:t>
      </w:r>
      <w:r w:rsidR="008379DC">
        <w:rPr>
          <w:noProof/>
        </w:rPr>
        <w:fldChar w:fldCharType="end"/>
      </w:r>
      <w:r>
        <w:t xml:space="preserve">: </w:t>
      </w:r>
      <w:r w:rsidRPr="00DA0CC8">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8D0D75" w:rsidTr="008D0D7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8D0D75" w:rsidRPr="00C53A14" w:rsidRDefault="008D0D75" w:rsidP="008D0D75">
            <w:pPr>
              <w:pStyle w:val="PwCNormal"/>
              <w:numPr>
                <w:ilvl w:val="0"/>
                <w:numId w:val="0"/>
              </w:numPr>
              <w:rPr>
                <w:b/>
              </w:rPr>
            </w:pPr>
            <w:r w:rsidRPr="00C53A14">
              <w:rPr>
                <w:b/>
              </w:rPr>
              <w:t>Hospital product</w:t>
            </w:r>
          </w:p>
        </w:tc>
        <w:tc>
          <w:tcPr>
            <w:tcW w:w="6237" w:type="dxa"/>
          </w:tcPr>
          <w:p w:rsidR="008D0D75" w:rsidRPr="00C53A14" w:rsidRDefault="008D0D75" w:rsidP="008D0D75">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C53A14">
              <w:rPr>
                <w:b/>
              </w:rPr>
              <w:t>Allocation overview</w:t>
            </w:r>
          </w:p>
        </w:tc>
      </w:tr>
      <w:tr w:rsidR="008D0D75" w:rsidTr="008D0D75">
        <w:tc>
          <w:tcPr>
            <w:tcW w:w="2376" w:type="dxa"/>
          </w:tcPr>
          <w:p w:rsidR="008D0D75" w:rsidRDefault="008D0D75" w:rsidP="008D0D75">
            <w:pPr>
              <w:pStyle w:val="PwCNormal"/>
              <w:numPr>
                <w:ilvl w:val="0"/>
                <w:numId w:val="0"/>
              </w:numPr>
            </w:pPr>
            <w:r>
              <w:lastRenderedPageBreak/>
              <w:t xml:space="preserve">Inpatient </w:t>
            </w:r>
            <w:r>
              <w:br/>
              <w:t xml:space="preserve">(acute and </w:t>
            </w:r>
            <w:r w:rsidR="006A7030">
              <w:t>sub-acute</w:t>
            </w:r>
            <w:r>
              <w:t>)</w:t>
            </w:r>
          </w:p>
        </w:tc>
        <w:tc>
          <w:tcPr>
            <w:tcW w:w="6237" w:type="dxa"/>
          </w:tcPr>
          <w:p w:rsidR="008D0D75" w:rsidRDefault="008D0D75" w:rsidP="008D0D75">
            <w:pPr>
              <w:pStyle w:val="PwCNormal"/>
              <w:numPr>
                <w:ilvl w:val="0"/>
                <w:numId w:val="0"/>
              </w:numPr>
            </w:pPr>
            <w:r>
              <w:t xml:space="preserve">Inpatients </w:t>
            </w:r>
            <w:r w:rsidR="00A92879">
              <w:t>were</w:t>
            </w:r>
            <w:r>
              <w:t xml:space="preserve"> allocated costs using various feeder </w:t>
            </w:r>
            <w:r w:rsidR="002821F4">
              <w:t>systems, which</w:t>
            </w:r>
            <w:r>
              <w:t xml:space="preserve"> indicate consumption of hospital resources or services. Acute patients </w:t>
            </w:r>
            <w:r w:rsidR="00A92879">
              <w:t>were</w:t>
            </w:r>
            <w:r>
              <w:t xml:space="preserve"> classified under AR-DRGs and sub-acute under AN-SNAP.</w:t>
            </w:r>
          </w:p>
          <w:p w:rsidR="008D0D75" w:rsidRDefault="008D0D75" w:rsidP="008D0D75">
            <w:pPr>
              <w:pStyle w:val="PwCNormal"/>
              <w:numPr>
                <w:ilvl w:val="0"/>
                <w:numId w:val="0"/>
              </w:numPr>
            </w:pPr>
            <w:r>
              <w:t xml:space="preserve">The actual charge of pathology tests attributed </w:t>
            </w:r>
            <w:r w:rsidR="002D75A8">
              <w:t>to</w:t>
            </w:r>
            <w:r>
              <w:t xml:space="preserve"> patients </w:t>
            </w:r>
            <w:r w:rsidR="00A92879">
              <w:t>was</w:t>
            </w:r>
            <w:r>
              <w:t xml:space="preserve"> used for allocating total pathology costs. Standard costs from imaging feeder (GE RIS / ISIS), pharmacy feeder (</w:t>
            </w:r>
            <w:proofErr w:type="spellStart"/>
            <w:r>
              <w:t>iPharmacy</w:t>
            </w:r>
            <w:proofErr w:type="spellEnd"/>
            <w:r>
              <w:t xml:space="preserve">), and a blood product feeder (Cerner PATHNET) </w:t>
            </w:r>
            <w:r w:rsidR="00A92879">
              <w:t>were</w:t>
            </w:r>
            <w:r>
              <w:t xml:space="preserve"> used to allocate cost of these services to patients.</w:t>
            </w:r>
          </w:p>
          <w:p w:rsidR="008D0D75" w:rsidRDefault="00A92879" w:rsidP="008D0D75">
            <w:pPr>
              <w:pStyle w:val="PwCNormal"/>
              <w:numPr>
                <w:ilvl w:val="0"/>
                <w:numId w:val="0"/>
              </w:numPr>
            </w:pPr>
            <w:r>
              <w:t>Bed days was</w:t>
            </w:r>
            <w:r w:rsidR="002821F4">
              <w:t xml:space="preserve"> used to allocate ward medical costs, while time in the ward derived from transfer files </w:t>
            </w:r>
            <w:r>
              <w:t>was</w:t>
            </w:r>
            <w:r w:rsidR="002821F4">
              <w:t xml:space="preserve"> used to allocate ward nursing costs. </w:t>
            </w:r>
          </w:p>
          <w:p w:rsidR="008D0D75" w:rsidRDefault="008D0D75" w:rsidP="008D0D75">
            <w:pPr>
              <w:pStyle w:val="PwCNormal"/>
              <w:numPr>
                <w:ilvl w:val="0"/>
                <w:numId w:val="0"/>
              </w:numPr>
            </w:pPr>
            <w:r>
              <w:t xml:space="preserve">Acute patients are costed at the episode level, utilising data from the HIE system and various feeder systems. </w:t>
            </w:r>
          </w:p>
          <w:p w:rsidR="008D0D75" w:rsidRDefault="008D0D75" w:rsidP="008D0D75">
            <w:pPr>
              <w:pStyle w:val="PwCNormal"/>
              <w:numPr>
                <w:ilvl w:val="0"/>
                <w:numId w:val="0"/>
              </w:numPr>
            </w:pPr>
            <w:r>
              <w:t>Sub-acute patients are also costed at the patient level. Palliative care is costed to the phase level (stable, unstable, deteriorating and terminal). Other sub-acute patients are costed at the care type level.</w:t>
            </w:r>
          </w:p>
        </w:tc>
      </w:tr>
      <w:tr w:rsidR="008D0D75" w:rsidTr="008D0D75">
        <w:tc>
          <w:tcPr>
            <w:tcW w:w="2376" w:type="dxa"/>
          </w:tcPr>
          <w:p w:rsidR="008D0D75" w:rsidRDefault="008D0D75" w:rsidP="008D0D75">
            <w:pPr>
              <w:pStyle w:val="PwCNormal"/>
              <w:numPr>
                <w:ilvl w:val="0"/>
                <w:numId w:val="0"/>
              </w:numPr>
            </w:pPr>
            <w:r w:rsidRPr="00EC0A33">
              <w:t>Emergency Department</w:t>
            </w:r>
            <w:r w:rsidR="002D75A8">
              <w:t xml:space="preserve"> (ED)</w:t>
            </w:r>
          </w:p>
        </w:tc>
        <w:tc>
          <w:tcPr>
            <w:tcW w:w="6237" w:type="dxa"/>
          </w:tcPr>
          <w:p w:rsidR="008D0D75" w:rsidRDefault="002D75A8" w:rsidP="002D75A8">
            <w:pPr>
              <w:pStyle w:val="PwCNormal"/>
              <w:numPr>
                <w:ilvl w:val="0"/>
                <w:numId w:val="0"/>
              </w:numPr>
            </w:pPr>
            <w:r>
              <w:t xml:space="preserve">ED costs are allocated using duration weighted for triage and mode of separation. </w:t>
            </w:r>
            <w:r w:rsidR="008D0D75">
              <w:t>ED encounters are allocated costs using feeder systems such as pathology and imaging.</w:t>
            </w:r>
          </w:p>
        </w:tc>
      </w:tr>
      <w:tr w:rsidR="008D0D75" w:rsidTr="008D0D75">
        <w:tc>
          <w:tcPr>
            <w:tcW w:w="2376" w:type="dxa"/>
          </w:tcPr>
          <w:p w:rsidR="008D0D75" w:rsidRDefault="008D0D75" w:rsidP="008D0D75">
            <w:pPr>
              <w:pStyle w:val="PwCNormal"/>
              <w:numPr>
                <w:ilvl w:val="0"/>
                <w:numId w:val="0"/>
              </w:numPr>
            </w:pPr>
            <w:r>
              <w:t>Outpatients</w:t>
            </w:r>
          </w:p>
        </w:tc>
        <w:tc>
          <w:tcPr>
            <w:tcW w:w="6237" w:type="dxa"/>
          </w:tcPr>
          <w:p w:rsidR="008D0D75" w:rsidRDefault="00C752BE" w:rsidP="000B189A">
            <w:pPr>
              <w:pStyle w:val="PwCNormal"/>
              <w:numPr>
                <w:ilvl w:val="0"/>
                <w:numId w:val="0"/>
              </w:numPr>
            </w:pPr>
            <w:r>
              <w:t xml:space="preserve">All </w:t>
            </w:r>
            <w:r w:rsidR="002D75A8">
              <w:t>outpatient</w:t>
            </w:r>
            <w:r>
              <w:t xml:space="preserve"> services are assigned a Tier 2 class. O</w:t>
            </w:r>
            <w:r w:rsidRPr="003A6D69">
              <w:t xml:space="preserve">utpatients are costed using PFRACS developed for cost centres following consultation from business managers. </w:t>
            </w:r>
            <w:r>
              <w:t>Costs are allocated using occasion of service level data and then reported at the service event level.</w:t>
            </w:r>
          </w:p>
        </w:tc>
      </w:tr>
      <w:tr w:rsidR="008D0D75" w:rsidTr="008D0D75">
        <w:tc>
          <w:tcPr>
            <w:tcW w:w="2376" w:type="dxa"/>
          </w:tcPr>
          <w:p w:rsidR="008D0D75" w:rsidRDefault="008D0D75" w:rsidP="008D0D75">
            <w:pPr>
              <w:pStyle w:val="PwCNormal"/>
              <w:numPr>
                <w:ilvl w:val="0"/>
                <w:numId w:val="0"/>
              </w:numPr>
            </w:pPr>
            <w:r>
              <w:t>Mental Health</w:t>
            </w:r>
          </w:p>
        </w:tc>
        <w:tc>
          <w:tcPr>
            <w:tcW w:w="6237" w:type="dxa"/>
          </w:tcPr>
          <w:p w:rsidR="008D0D75" w:rsidRDefault="008D0D75" w:rsidP="008D0D75">
            <w:pPr>
              <w:pStyle w:val="PwCNormal"/>
              <w:numPr>
                <w:ilvl w:val="0"/>
                <w:numId w:val="0"/>
              </w:numPr>
            </w:pPr>
            <w:r>
              <w:t>Mental health patients are costed according to the same methodology as acute and sub-acute inpatients.</w:t>
            </w:r>
          </w:p>
        </w:tc>
      </w:tr>
      <w:tr w:rsidR="008D0D75" w:rsidTr="008D0D75">
        <w:tc>
          <w:tcPr>
            <w:tcW w:w="2376" w:type="dxa"/>
          </w:tcPr>
          <w:p w:rsidR="008D0D75" w:rsidRDefault="008D0D75" w:rsidP="008D0D75">
            <w:pPr>
              <w:pStyle w:val="PwCNormal"/>
              <w:numPr>
                <w:ilvl w:val="0"/>
                <w:numId w:val="0"/>
              </w:numPr>
            </w:pPr>
            <w:r w:rsidRPr="005937DD">
              <w:t>Teaching, training and research</w:t>
            </w:r>
          </w:p>
        </w:tc>
        <w:tc>
          <w:tcPr>
            <w:tcW w:w="6237" w:type="dxa"/>
          </w:tcPr>
          <w:p w:rsidR="008D0D75" w:rsidRDefault="008D0D75" w:rsidP="008D0D75">
            <w:pPr>
              <w:pStyle w:val="PwCNormal"/>
              <w:numPr>
                <w:ilvl w:val="0"/>
                <w:numId w:val="0"/>
              </w:numPr>
            </w:pPr>
            <w:r>
              <w:t>Cost centres that perform direct teaching, training and research activities are mapped as such. On top of these costs are any costs from cost centres where the business manager fractioned out (during the PFRAC process) any costs related to direct training or research.</w:t>
            </w:r>
          </w:p>
          <w:p w:rsidR="008D0D75" w:rsidRDefault="008D0D75" w:rsidP="008D0D75">
            <w:pPr>
              <w:pStyle w:val="PwCNormal"/>
              <w:numPr>
                <w:ilvl w:val="0"/>
                <w:numId w:val="0"/>
              </w:numPr>
            </w:pPr>
            <w:r>
              <w:t xml:space="preserve">These costs are costed to a virtual patient in the costing system and are not submitted to IHPA. </w:t>
            </w:r>
          </w:p>
        </w:tc>
      </w:tr>
      <w:tr w:rsidR="008D0D75" w:rsidTr="008D0D75">
        <w:tc>
          <w:tcPr>
            <w:tcW w:w="2376" w:type="dxa"/>
          </w:tcPr>
          <w:p w:rsidR="008D0D75" w:rsidRDefault="008D0D75" w:rsidP="008D0D75">
            <w:pPr>
              <w:pStyle w:val="PwCNormal"/>
              <w:numPr>
                <w:ilvl w:val="0"/>
                <w:numId w:val="0"/>
              </w:numPr>
            </w:pPr>
            <w:r>
              <w:t>Other</w:t>
            </w:r>
          </w:p>
        </w:tc>
        <w:tc>
          <w:tcPr>
            <w:tcW w:w="6237" w:type="dxa"/>
          </w:tcPr>
          <w:p w:rsidR="008D0D75" w:rsidRDefault="008D0D75" w:rsidP="008D0D75">
            <w:pPr>
              <w:pStyle w:val="PwCNormal"/>
              <w:numPr>
                <w:ilvl w:val="0"/>
                <w:numId w:val="0"/>
              </w:numPr>
            </w:pPr>
            <w:r>
              <w:t xml:space="preserve">Where applicable, Organ and boarder costs are costed as part of the DNR.  </w:t>
            </w:r>
          </w:p>
        </w:tc>
      </w:tr>
    </w:tbl>
    <w:p w:rsidR="00A92879" w:rsidRDefault="00A92879" w:rsidP="008D0D75">
      <w:pPr>
        <w:pStyle w:val="PwCNormal"/>
        <w:numPr>
          <w:ilvl w:val="0"/>
          <w:numId w:val="0"/>
        </w:numPr>
        <w:rPr>
          <w:b/>
        </w:rPr>
      </w:pPr>
    </w:p>
    <w:p w:rsidR="00A92879" w:rsidRDefault="00A92879" w:rsidP="00A92879">
      <w:pPr>
        <w:pStyle w:val="PwCNormal"/>
      </w:pPr>
      <w:r>
        <w:br w:type="page"/>
      </w:r>
    </w:p>
    <w:p w:rsidR="008D0D75" w:rsidRPr="004E0B72" w:rsidRDefault="008D0D75" w:rsidP="00CE5EF2">
      <w:pPr>
        <w:pStyle w:val="Heading3"/>
      </w:pPr>
      <w:r>
        <w:lastRenderedPageBreak/>
        <w:t>Feeder data for sample areas</w:t>
      </w:r>
    </w:p>
    <w:p w:rsidR="008D0D75" w:rsidRPr="002449AB" w:rsidRDefault="008D0D75" w:rsidP="008D0D75">
      <w:pPr>
        <w:pStyle w:val="PwCNormal"/>
        <w:numPr>
          <w:ilvl w:val="0"/>
          <w:numId w:val="0"/>
        </w:numPr>
        <w:rPr>
          <w:b/>
        </w:rPr>
      </w:pPr>
      <w:r w:rsidRPr="00E86A6E">
        <w:rPr>
          <w:b/>
        </w:rPr>
        <w:t>Overview</w:t>
      </w:r>
    </w:p>
    <w:p w:rsidR="008D0D75" w:rsidRDefault="00500B5B" w:rsidP="008D0D75">
      <w:pPr>
        <w:pStyle w:val="PwCNormal"/>
        <w:numPr>
          <w:ilvl w:val="0"/>
          <w:numId w:val="0"/>
        </w:numPr>
      </w:pPr>
      <w:r>
        <w:t xml:space="preserve">Through </w:t>
      </w:r>
      <w:r w:rsidR="00C60863">
        <w:t>the costing process</w:t>
      </w:r>
      <w:r>
        <w:t>,</w:t>
      </w:r>
      <w:r w:rsidR="00C60863">
        <w:t xml:space="preserve"> different methodologies will be utilised to allocate costs to a patient level. The recommended methodology in the AHPCS is using a feeder </w:t>
      </w:r>
      <w:r w:rsidR="002821F4">
        <w:t>system, which</w:t>
      </w:r>
      <w:r w:rsidR="00C60863">
        <w:t xml:space="preserve"> uses direct patient activity data to allocate costs; however if this is not available then service weights or RVUs could be used. </w:t>
      </w:r>
      <w:r w:rsidR="008D0D75">
        <w:t>Some allocation methodologies</w:t>
      </w:r>
      <w:r w:rsidR="00C60863">
        <w:t xml:space="preserve"> at Sydney LHD</w:t>
      </w:r>
      <w:r w:rsidR="008D0D75">
        <w:t xml:space="preserve"> of note include:</w:t>
      </w:r>
    </w:p>
    <w:p w:rsidR="008D0D75" w:rsidRDefault="002D75A8" w:rsidP="009C4A5D">
      <w:pPr>
        <w:pStyle w:val="PwCNormal"/>
        <w:numPr>
          <w:ilvl w:val="0"/>
          <w:numId w:val="51"/>
        </w:numPr>
      </w:pPr>
      <w:r>
        <w:t>Blood product costs are</w:t>
      </w:r>
      <w:r w:rsidR="008D0D75">
        <w:t xml:space="preserve"> allocated directly to patients using information from a separate file received from Pathology. Any waste is allocated across all patients. </w:t>
      </w:r>
    </w:p>
    <w:p w:rsidR="008D0D75" w:rsidRDefault="002D75A8" w:rsidP="009C4A5D">
      <w:pPr>
        <w:pStyle w:val="PwCNormal"/>
        <w:numPr>
          <w:ilvl w:val="0"/>
          <w:numId w:val="51"/>
        </w:numPr>
      </w:pPr>
      <w:r>
        <w:t xml:space="preserve">Ward Medical </w:t>
      </w:r>
      <w:r w:rsidR="008D0D75">
        <w:t>costs are allocated based on the fractional bed days of the patient.</w:t>
      </w:r>
    </w:p>
    <w:p w:rsidR="002D75A8" w:rsidRDefault="002D75A8" w:rsidP="009C4A5D">
      <w:pPr>
        <w:pStyle w:val="PwCNormal"/>
        <w:numPr>
          <w:ilvl w:val="0"/>
          <w:numId w:val="51"/>
        </w:numPr>
      </w:pPr>
      <w:r>
        <w:t>At Concord Hospital, prosthetics costs are allocated directly to patients using actual costs data from the TMIS feeder. All other facilities in the LHD use an RVU to allocate prosthetic costs to patients.</w:t>
      </w:r>
    </w:p>
    <w:p w:rsidR="008D0D75" w:rsidRDefault="008D0D75" w:rsidP="008D0D75">
      <w:pPr>
        <w:pStyle w:val="PwCNormal"/>
        <w:numPr>
          <w:ilvl w:val="0"/>
          <w:numId w:val="0"/>
        </w:numPr>
        <w:rPr>
          <w:b/>
        </w:rPr>
      </w:pPr>
      <w:r w:rsidRPr="00491D27">
        <w:rPr>
          <w:b/>
        </w:rPr>
        <w:t>Pharmacy</w:t>
      </w:r>
    </w:p>
    <w:p w:rsidR="005D4480" w:rsidRDefault="008D0D75" w:rsidP="008D0D75">
      <w:pPr>
        <w:pStyle w:val="PwCNormal"/>
        <w:numPr>
          <w:ilvl w:val="0"/>
          <w:numId w:val="0"/>
        </w:numPr>
      </w:pPr>
      <w:r>
        <w:t xml:space="preserve">Sydney LHD uses </w:t>
      </w:r>
      <w:proofErr w:type="spellStart"/>
      <w:r>
        <w:t>iPharmacy</w:t>
      </w:r>
      <w:proofErr w:type="spellEnd"/>
      <w:r>
        <w:t xml:space="preserve">, which records consumption of pharmacy products by patients. </w:t>
      </w:r>
      <w:r w:rsidR="005D4480">
        <w:t xml:space="preserve">Dispensed drugs are allocated to those patients who consumed the drugs. </w:t>
      </w:r>
    </w:p>
    <w:p w:rsidR="005D4480" w:rsidRDefault="005D4480" w:rsidP="008D0D75">
      <w:pPr>
        <w:pStyle w:val="PwCNormal"/>
        <w:numPr>
          <w:ilvl w:val="0"/>
          <w:numId w:val="0"/>
        </w:numPr>
      </w:pPr>
      <w:r>
        <w:t>Dispensed drugs</w:t>
      </w:r>
      <w:r w:rsidR="000B189A">
        <w:t xml:space="preserve"> are linked to patients based on</w:t>
      </w:r>
      <w:r>
        <w:t xml:space="preserve"> their medical record number and date of service. It is first linked to ED patients, then to inpatients and finally to outpatients. The linking rules cycle through the products in that order, first linking feeder records to activity where the date of service is an exact match with that of the patient activity record. This then increases to one hour of the date of service, then one day. This increased to a maximum of one day for ED patients and inpatients, and 30 days for outpatients.</w:t>
      </w:r>
    </w:p>
    <w:p w:rsidR="005D4480" w:rsidRDefault="005D4480" w:rsidP="008D0D75">
      <w:pPr>
        <w:pStyle w:val="PwCNormal"/>
        <w:numPr>
          <w:ilvl w:val="0"/>
          <w:numId w:val="0"/>
        </w:numPr>
      </w:pPr>
      <w:proofErr w:type="spellStart"/>
      <w:r>
        <w:t>Imprest</w:t>
      </w:r>
      <w:proofErr w:type="spellEnd"/>
      <w:r>
        <w:t xml:space="preserve"> drugs are allocated to wards, and are then distributed to patients based o</w:t>
      </w:r>
      <w:r w:rsidR="000B189A">
        <w:t>n</w:t>
      </w:r>
      <w:r>
        <w:t xml:space="preserve"> fractional bed days.</w:t>
      </w:r>
    </w:p>
    <w:p w:rsidR="001502E4" w:rsidRDefault="001502E4" w:rsidP="001502E4">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17</w:t>
      </w:r>
      <w:r w:rsidR="008379DC">
        <w:rPr>
          <w:noProof/>
        </w:rPr>
        <w:fldChar w:fldCharType="end"/>
      </w:r>
      <w:r>
        <w:t xml:space="preserve">: </w:t>
      </w:r>
      <w:r w:rsidRPr="00736F3C">
        <w:t>Outcome of pharmacy feeder linking</w:t>
      </w:r>
    </w:p>
    <w:p w:rsidR="008D0D75" w:rsidRDefault="008D0D75" w:rsidP="008D0D75">
      <w:pPr>
        <w:pStyle w:val="PwCNormal"/>
        <w:numPr>
          <w:ilvl w:val="0"/>
          <w:numId w:val="0"/>
        </w:numPr>
      </w:pPr>
      <w:r w:rsidRPr="009F45F8">
        <w:rPr>
          <w:noProof/>
          <w:lang w:eastAsia="en-AU"/>
        </w:rPr>
        <w:drawing>
          <wp:inline distT="0" distB="0" distL="0" distR="0" wp14:anchorId="0CAB0AF7" wp14:editId="18D063B3">
            <wp:extent cx="3398520" cy="3145790"/>
            <wp:effectExtent l="0" t="0" r="0" b="0"/>
            <wp:docPr id="16" name="Picture 16"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98520" cy="3145790"/>
                    </a:xfrm>
                    <a:prstGeom prst="rect">
                      <a:avLst/>
                    </a:prstGeom>
                    <a:noFill/>
                    <a:ln>
                      <a:noFill/>
                    </a:ln>
                  </pic:spPr>
                </pic:pic>
              </a:graphicData>
            </a:graphic>
          </wp:inline>
        </w:drawing>
      </w:r>
    </w:p>
    <w:p w:rsidR="005D4480" w:rsidRDefault="005D4480" w:rsidP="005D4480">
      <w:pPr>
        <w:pStyle w:val="PwCNormal"/>
        <w:numPr>
          <w:ilvl w:val="0"/>
          <w:numId w:val="0"/>
        </w:numPr>
      </w:pPr>
      <w:r>
        <w:t>Approximately 74% of source records could be linked to inpatient encounters, while almost 15% were matched to outpatient encounters. Unlinked records made up 8.4% of source records, which were allocated costs and excluded from the submission.</w:t>
      </w:r>
    </w:p>
    <w:p w:rsidR="008D0D75" w:rsidRDefault="008D0D75" w:rsidP="008D0D75">
      <w:pPr>
        <w:pStyle w:val="PwCNormal"/>
        <w:numPr>
          <w:ilvl w:val="0"/>
          <w:numId w:val="0"/>
        </w:numPr>
        <w:rPr>
          <w:b/>
        </w:rPr>
      </w:pPr>
      <w:r w:rsidRPr="00E86A6E">
        <w:rPr>
          <w:b/>
        </w:rPr>
        <w:lastRenderedPageBreak/>
        <w:t>Theatre</w:t>
      </w:r>
    </w:p>
    <w:p w:rsidR="008D0D75" w:rsidRDefault="008D0D75" w:rsidP="008D0D75">
      <w:pPr>
        <w:pStyle w:val="PwCNormal"/>
        <w:numPr>
          <w:ilvl w:val="0"/>
          <w:numId w:val="0"/>
        </w:numPr>
      </w:pPr>
      <w:r>
        <w:t xml:space="preserve">Sydney LHD uses TMIS (Theatre Management Information System), which records various data points of the patient operation, such as theatre anaesthesia, theatre operating and theatre recovery. Data is extracted from the TMIS system and links to the patient encounter. Anaesthetic costs are allocated based on anaesthesia </w:t>
      </w:r>
      <w:r w:rsidR="002821F4">
        <w:t>time;</w:t>
      </w:r>
      <w:r>
        <w:t xml:space="preserve"> medical and nursing costs are allocated based on operating and recovery minutes. </w:t>
      </w:r>
    </w:p>
    <w:p w:rsidR="001502E4" w:rsidRDefault="001502E4" w:rsidP="001502E4">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18</w:t>
      </w:r>
      <w:r w:rsidR="008379DC">
        <w:rPr>
          <w:noProof/>
        </w:rPr>
        <w:fldChar w:fldCharType="end"/>
      </w:r>
      <w:r>
        <w:t xml:space="preserve">: </w:t>
      </w:r>
      <w:r w:rsidRPr="00641A71">
        <w:t>Outcome of theatre feeder linking</w:t>
      </w:r>
    </w:p>
    <w:p w:rsidR="008D0D75" w:rsidRDefault="008D0D75" w:rsidP="008D0D75">
      <w:pPr>
        <w:pStyle w:val="PwCNormal"/>
        <w:numPr>
          <w:ilvl w:val="0"/>
          <w:numId w:val="0"/>
        </w:numPr>
      </w:pPr>
      <w:r w:rsidRPr="009F45F8">
        <w:rPr>
          <w:noProof/>
          <w:lang w:eastAsia="en-AU"/>
        </w:rPr>
        <w:drawing>
          <wp:inline distT="0" distB="0" distL="0" distR="0" wp14:anchorId="0D8D85D3" wp14:editId="0953A12F">
            <wp:extent cx="3398520" cy="3145790"/>
            <wp:effectExtent l="0" t="0" r="0" b="0"/>
            <wp:docPr id="17" name="Picture 17"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98520" cy="3145790"/>
                    </a:xfrm>
                    <a:prstGeom prst="rect">
                      <a:avLst/>
                    </a:prstGeom>
                    <a:noFill/>
                    <a:ln>
                      <a:noFill/>
                    </a:ln>
                  </pic:spPr>
                </pic:pic>
              </a:graphicData>
            </a:graphic>
          </wp:inline>
        </w:drawing>
      </w:r>
    </w:p>
    <w:p w:rsidR="00723401" w:rsidRDefault="00723401" w:rsidP="00723401">
      <w:pPr>
        <w:pStyle w:val="PwCNormal"/>
        <w:numPr>
          <w:ilvl w:val="0"/>
          <w:numId w:val="0"/>
        </w:numPr>
      </w:pPr>
      <w:r>
        <w:t xml:space="preserve">In Round 17, nearly two thirds of theatre feeder records were matched to inpatient encounters, while a third were unable to be matched. This was due to a system fault with </w:t>
      </w:r>
      <w:r w:rsidR="002821F4">
        <w:t>TMIS, which</w:t>
      </w:r>
      <w:r>
        <w:t xml:space="preserve"> impacted data quality.</w:t>
      </w:r>
    </w:p>
    <w:p w:rsidR="008D0D75" w:rsidRPr="002449AB" w:rsidRDefault="008D0D75" w:rsidP="008D0D75">
      <w:pPr>
        <w:pStyle w:val="PwCNormal"/>
        <w:numPr>
          <w:ilvl w:val="0"/>
          <w:numId w:val="0"/>
        </w:numPr>
        <w:rPr>
          <w:b/>
        </w:rPr>
      </w:pPr>
      <w:r w:rsidRPr="009F45F8">
        <w:rPr>
          <w:b/>
        </w:rPr>
        <w:t>Ward Nursing</w:t>
      </w:r>
    </w:p>
    <w:p w:rsidR="008D0D75" w:rsidRDefault="008D0D75" w:rsidP="008D0D75">
      <w:pPr>
        <w:pStyle w:val="PwCNormal"/>
        <w:numPr>
          <w:ilvl w:val="0"/>
          <w:numId w:val="0"/>
        </w:numPr>
      </w:pPr>
      <w:r>
        <w:t xml:space="preserve">Sydney LHD PAS </w:t>
      </w:r>
      <w:r w:rsidR="00723401">
        <w:t>data is uploaded and stored in the LHD’s</w:t>
      </w:r>
      <w:r>
        <w:t xml:space="preserve"> Health Information Exchange (HIE). The HIE includes data on the patient’s encounter in hospital, such as the admission and discharge date and time, and transfers between wards. Data is extracted from the system and links directly to the patient encounter. </w:t>
      </w:r>
      <w:r w:rsidR="00CB38E7">
        <w:t xml:space="preserve">As </w:t>
      </w:r>
      <w:r w:rsidR="00CB38E7">
        <w:fldChar w:fldCharType="begin"/>
      </w:r>
      <w:r w:rsidR="00CB38E7">
        <w:instrText xml:space="preserve"> REF _Ref403373022 \h </w:instrText>
      </w:r>
      <w:r w:rsidR="00CB38E7">
        <w:fldChar w:fldCharType="separate"/>
      </w:r>
      <w:r w:rsidR="00575DFC">
        <w:t xml:space="preserve">Table </w:t>
      </w:r>
      <w:r w:rsidR="00575DFC">
        <w:rPr>
          <w:noProof/>
        </w:rPr>
        <w:t>19</w:t>
      </w:r>
      <w:r w:rsidR="00575DFC">
        <w:t xml:space="preserve">: </w:t>
      </w:r>
      <w:r w:rsidR="00575DFC" w:rsidRPr="001502E4">
        <w:t>Outcome of ward nursing feeder linking</w:t>
      </w:r>
      <w:r w:rsidR="00CB38E7">
        <w:fldChar w:fldCharType="end"/>
      </w:r>
      <w:r w:rsidR="00CB38E7">
        <w:t xml:space="preserve"> below demonstrates, t</w:t>
      </w:r>
      <w:r w:rsidR="00CB38E7" w:rsidRPr="00723401">
        <w:t xml:space="preserve">here were 142,917 records </w:t>
      </w:r>
      <w:r w:rsidR="00CB38E7">
        <w:t>extracted from the HIE and all were linked directly to inpatient episodes.</w:t>
      </w:r>
    </w:p>
    <w:p w:rsidR="008D0D75" w:rsidRDefault="008D0D75" w:rsidP="008D0D75">
      <w:pPr>
        <w:pStyle w:val="PwCNormal"/>
        <w:numPr>
          <w:ilvl w:val="0"/>
          <w:numId w:val="0"/>
        </w:numPr>
      </w:pPr>
      <w:r>
        <w:t>A weighted L</w:t>
      </w:r>
      <w:r w:rsidR="00EA1B8A">
        <w:t>O</w:t>
      </w:r>
      <w:r>
        <w:t>S is used as the basis of allocating costs. For example, the HDU and ICU cost centres have weightings of 1:2 and 1:1 respectively to reflect the increased intensity of resources consumed in these critical care units.</w:t>
      </w:r>
    </w:p>
    <w:p w:rsidR="001502E4" w:rsidRDefault="001502E4" w:rsidP="001502E4">
      <w:pPr>
        <w:pStyle w:val="Caption"/>
      </w:pPr>
      <w:bookmarkStart w:id="50" w:name="_Ref403373022"/>
      <w:r>
        <w:lastRenderedPageBreak/>
        <w:t xml:space="preserve">Table </w:t>
      </w:r>
      <w:r w:rsidR="008379DC">
        <w:fldChar w:fldCharType="begin"/>
      </w:r>
      <w:r w:rsidR="009E64DF">
        <w:instrText xml:space="preserve"> SEQ Table \* ARABIC </w:instrText>
      </w:r>
      <w:r w:rsidR="008379DC">
        <w:fldChar w:fldCharType="separate"/>
      </w:r>
      <w:r w:rsidR="00575DFC">
        <w:rPr>
          <w:noProof/>
        </w:rPr>
        <w:t>19</w:t>
      </w:r>
      <w:r w:rsidR="008379DC">
        <w:rPr>
          <w:noProof/>
        </w:rPr>
        <w:fldChar w:fldCharType="end"/>
      </w:r>
      <w:r>
        <w:t xml:space="preserve">: </w:t>
      </w:r>
      <w:r w:rsidRPr="001502E4">
        <w:t>Outcome of ward nursing feeder linking</w:t>
      </w:r>
      <w:bookmarkEnd w:id="50"/>
    </w:p>
    <w:p w:rsidR="008D0D75" w:rsidRDefault="008D0D75" w:rsidP="008D0D75">
      <w:pPr>
        <w:pStyle w:val="PwCNormal"/>
        <w:numPr>
          <w:ilvl w:val="0"/>
          <w:numId w:val="0"/>
        </w:numPr>
        <w:rPr>
          <w:b/>
        </w:rPr>
      </w:pPr>
      <w:r w:rsidRPr="009F45F8">
        <w:rPr>
          <w:noProof/>
          <w:lang w:eastAsia="en-AU"/>
        </w:rPr>
        <w:drawing>
          <wp:inline distT="0" distB="0" distL="0" distR="0" wp14:anchorId="685B3E05" wp14:editId="0F673DA1">
            <wp:extent cx="3398520" cy="3145790"/>
            <wp:effectExtent l="0" t="0" r="0" b="0"/>
            <wp:docPr id="18" name="Picture 18" descr="This table outlines the outcome of the ward nursing feeder linking rules to the different hospital produ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98520" cy="3145790"/>
                    </a:xfrm>
                    <a:prstGeom prst="rect">
                      <a:avLst/>
                    </a:prstGeom>
                    <a:noFill/>
                    <a:ln>
                      <a:noFill/>
                    </a:ln>
                  </pic:spPr>
                </pic:pic>
              </a:graphicData>
            </a:graphic>
          </wp:inline>
        </w:drawing>
      </w:r>
    </w:p>
    <w:p w:rsidR="008D0D75" w:rsidRPr="004E0B72" w:rsidRDefault="008D0D75" w:rsidP="00CE5EF2">
      <w:pPr>
        <w:pStyle w:val="Heading3"/>
      </w:pPr>
      <w:bookmarkStart w:id="51" w:name="_Ref402701590"/>
      <w:r>
        <w:t>The costed dataset</w:t>
      </w:r>
      <w:bookmarkEnd w:id="51"/>
    </w:p>
    <w:p w:rsidR="008D0D75" w:rsidRPr="002449AB" w:rsidRDefault="008D0D75" w:rsidP="008D0D75">
      <w:pPr>
        <w:pStyle w:val="PwCNormal"/>
        <w:numPr>
          <w:ilvl w:val="0"/>
          <w:numId w:val="0"/>
        </w:numPr>
        <w:rPr>
          <w:b/>
        </w:rPr>
      </w:pPr>
      <w:r w:rsidRPr="00E86A6E">
        <w:rPr>
          <w:b/>
        </w:rPr>
        <w:t>QA process</w:t>
      </w:r>
    </w:p>
    <w:p w:rsidR="008D0D75" w:rsidRDefault="008D0D75" w:rsidP="008D0D75">
      <w:pPr>
        <w:pStyle w:val="PwCNormal"/>
        <w:numPr>
          <w:ilvl w:val="0"/>
          <w:numId w:val="0"/>
        </w:numPr>
      </w:pPr>
      <w:r>
        <w:t xml:space="preserve">The QA processes are performed in accordance with the methods outlined in the Jurisdiction section of this chapter. The reconciliation schedule that is submitted to the ABF Taskforce is reviewed by the Manager of the Management Accounting team. A secondary review is completed by the internal audit function. For </w:t>
      </w:r>
      <w:r w:rsidR="006A194B">
        <w:t>Round 17</w:t>
      </w:r>
      <w:r>
        <w:t xml:space="preserve">, this internal audit stated all audit tests had been conducted and no material errors were identified. </w:t>
      </w:r>
    </w:p>
    <w:p w:rsidR="008D0D75" w:rsidRDefault="008D0D75" w:rsidP="008D0D75">
      <w:pPr>
        <w:pStyle w:val="PwCNormal"/>
        <w:numPr>
          <w:ilvl w:val="0"/>
          <w:numId w:val="0"/>
        </w:numPr>
      </w:pPr>
      <w:r>
        <w:t>Standard validation checks within PPM</w:t>
      </w:r>
      <w:r w:rsidR="0078114C">
        <w:t>2</w:t>
      </w:r>
      <w:r>
        <w:t xml:space="preserve"> are also run over the costed data, such as reconciling total costed allocated to patients with total costs loaded to the system. The ABF Taskforce also </w:t>
      </w:r>
      <w:r w:rsidR="002821F4">
        <w:t>provides</w:t>
      </w:r>
      <w:r>
        <w:t xml:space="preserve"> custom QA scripts to the </w:t>
      </w:r>
      <w:r w:rsidR="002821F4">
        <w:t>LHD, which</w:t>
      </w:r>
      <w:r>
        <w:t xml:space="preserve"> help extract and report on costed datasets using the </w:t>
      </w:r>
      <w:r w:rsidR="002821F4">
        <w:t>state</w:t>
      </w:r>
      <w:r w:rsidR="00F26B85">
        <w:t xml:space="preserve"> </w:t>
      </w:r>
      <w:r w:rsidR="002821F4">
        <w:t>wide</w:t>
      </w:r>
      <w:r>
        <w:t xml:space="preserve"> definitions and accounts. </w:t>
      </w:r>
    </w:p>
    <w:p w:rsidR="008D0D75" w:rsidRDefault="008D0D75" w:rsidP="008D0D75">
      <w:pPr>
        <w:pStyle w:val="PwCNormal"/>
        <w:numPr>
          <w:ilvl w:val="0"/>
          <w:numId w:val="0"/>
        </w:numPr>
      </w:pPr>
      <w:r>
        <w:t>The DNR Module in PPM2 incorporates a number of validation rules some of which are fatal and some are warnings. Fatal validations must be addressed before the DNR expense file can be generated.</w:t>
      </w:r>
    </w:p>
    <w:p w:rsidR="008D0D75" w:rsidRDefault="008D0D75" w:rsidP="008D0D75">
      <w:pPr>
        <w:pStyle w:val="PwCNormal"/>
        <w:numPr>
          <w:ilvl w:val="0"/>
          <w:numId w:val="0"/>
        </w:numPr>
      </w:pPr>
      <w:r>
        <w:t>The DNR submission process incorporates a draft submission period during which a reasonableness spreadsheet is produced by the ABF Taskforce to report average cost by product (</w:t>
      </w:r>
      <w:proofErr w:type="spellStart"/>
      <w:r>
        <w:t>ie</w:t>
      </w:r>
      <w:proofErr w:type="spellEnd"/>
      <w:r>
        <w:t xml:space="preserve"> DRG, URG, AN-SNAP and Tier 2) for each facility against peer group and state averages. Any adjustments required as a result of issues identified in the reasonableness spreadsheet were made by the costing team in PPM</w:t>
      </w:r>
      <w:r w:rsidR="0078114C">
        <w:t>2</w:t>
      </w:r>
      <w:r>
        <w:t xml:space="preserve">, before making another DNR submission. </w:t>
      </w:r>
    </w:p>
    <w:p w:rsidR="001F2669" w:rsidRDefault="0078114C" w:rsidP="008D0D75">
      <w:pPr>
        <w:pStyle w:val="PwCNormal"/>
        <w:numPr>
          <w:ilvl w:val="0"/>
          <w:numId w:val="0"/>
        </w:numPr>
      </w:pPr>
      <w:r>
        <w:t xml:space="preserve">The approval process that the LHD has adopted is that a </w:t>
      </w:r>
      <w:r w:rsidR="008D0D75">
        <w:t xml:space="preserve">Costing Officer from the LHD Performance Unit and a Management Accountant from the LHD Finance Department are primarily responsible for </w:t>
      </w:r>
      <w:r w:rsidR="00B429AC">
        <w:t xml:space="preserve">managing the </w:t>
      </w:r>
      <w:r w:rsidR="008D0D75">
        <w:t>DNR</w:t>
      </w:r>
      <w:r>
        <w:t xml:space="preserve"> </w:t>
      </w:r>
      <w:r w:rsidR="00B429AC">
        <w:t>including</w:t>
      </w:r>
      <w:r>
        <w:t xml:space="preserve"> reviewing the outputs.</w:t>
      </w:r>
      <w:r w:rsidR="00B429AC">
        <w:t xml:space="preserve"> Once the Costing Officer and Management Accountant are satisfied that the DNR is complete they will present the information to the two Directors </w:t>
      </w:r>
      <w:r w:rsidR="00500B5B">
        <w:t xml:space="preserve">in </w:t>
      </w:r>
      <w:r w:rsidR="00B429AC">
        <w:t>their Divisions for their review/comments</w:t>
      </w:r>
      <w:r w:rsidR="002821F4">
        <w:t>.</w:t>
      </w:r>
      <w:r w:rsidR="00B429AC">
        <w:t xml:space="preserve"> Once these two Directors have endorsed the DNR it is presented</w:t>
      </w:r>
      <w:r w:rsidR="008D0D75">
        <w:t xml:space="preserve"> </w:t>
      </w:r>
      <w:r w:rsidR="00B429AC">
        <w:t>to t</w:t>
      </w:r>
      <w:r w:rsidR="008D0D75">
        <w:t xml:space="preserve">he Chief Executive of Sydney LHD </w:t>
      </w:r>
      <w:r w:rsidR="00B429AC">
        <w:t xml:space="preserve">for review/comment and final </w:t>
      </w:r>
      <w:r w:rsidR="008D0D75">
        <w:t xml:space="preserve">signed off on the DNR prior to submission to the Jurisdiction. </w:t>
      </w:r>
    </w:p>
    <w:p w:rsidR="001F2669" w:rsidRDefault="001F2669">
      <w:pPr>
        <w:kinsoku/>
        <w:overflowPunct/>
        <w:autoSpaceDE/>
        <w:autoSpaceDN/>
        <w:adjustRightInd/>
        <w:snapToGrid/>
      </w:pPr>
      <w:r>
        <w:br w:type="page"/>
      </w:r>
    </w:p>
    <w:p w:rsidR="008D0D75" w:rsidRPr="002449AB" w:rsidRDefault="008D0D75" w:rsidP="008D0D75">
      <w:pPr>
        <w:pStyle w:val="PwCNormal"/>
        <w:numPr>
          <w:ilvl w:val="0"/>
          <w:numId w:val="0"/>
        </w:numPr>
        <w:rPr>
          <w:b/>
        </w:rPr>
      </w:pPr>
      <w:r w:rsidRPr="00E86A6E">
        <w:rPr>
          <w:b/>
        </w:rPr>
        <w:lastRenderedPageBreak/>
        <w:t>Adjustments</w:t>
      </w:r>
    </w:p>
    <w:p w:rsidR="008D0D75" w:rsidRDefault="008D0D75" w:rsidP="008D0D75">
      <w:pPr>
        <w:pStyle w:val="PwCNormal"/>
        <w:numPr>
          <w:ilvl w:val="0"/>
          <w:numId w:val="0"/>
        </w:numPr>
      </w:pPr>
      <w:r>
        <w:t>Adjustments to the dataset such as those required for WIP patients and other out of scope costs are made by the jurisdiction before submitting to IHPA. These adjustments have been outlined in the adjustments section of the Jurisdictional overview chapter.</w:t>
      </w:r>
    </w:p>
    <w:p w:rsidR="008D0D75" w:rsidRPr="002449AB" w:rsidRDefault="008D0D75" w:rsidP="008D0D75">
      <w:pPr>
        <w:pStyle w:val="PwCNormal"/>
        <w:numPr>
          <w:ilvl w:val="0"/>
          <w:numId w:val="0"/>
        </w:numPr>
        <w:rPr>
          <w:b/>
        </w:rPr>
      </w:pPr>
      <w:r w:rsidRPr="00E86A6E">
        <w:rPr>
          <w:b/>
        </w:rPr>
        <w:t>Work in progress (Item E)</w:t>
      </w:r>
    </w:p>
    <w:p w:rsidR="008D0D75" w:rsidRDefault="008D0D75" w:rsidP="008D0D75">
      <w:pPr>
        <w:pStyle w:val="PwCNormal"/>
        <w:numPr>
          <w:ilvl w:val="0"/>
          <w:numId w:val="0"/>
        </w:numPr>
      </w:pPr>
      <w:r>
        <w:t xml:space="preserve">Adjustments are made for patients whose stay at the hospital crosses the financial year. The diagram below illustrates the four combinations of admission and discharge dates that can occur. Sydney LHD uses a WIP flag in their costing datasets to identify WIP patients. </w:t>
      </w:r>
    </w:p>
    <w:p w:rsidR="001502E4" w:rsidRDefault="001502E4" w:rsidP="001502E4">
      <w:pPr>
        <w:pStyle w:val="Caption"/>
      </w:pPr>
      <w:r>
        <w:t xml:space="preserve">Figure </w:t>
      </w:r>
      <w:r w:rsidR="008379DC">
        <w:fldChar w:fldCharType="begin"/>
      </w:r>
      <w:r w:rsidR="009E64DF">
        <w:instrText xml:space="preserve"> SEQ Figure \* ARABIC </w:instrText>
      </w:r>
      <w:r w:rsidR="008379DC">
        <w:fldChar w:fldCharType="separate"/>
      </w:r>
      <w:r w:rsidR="00575DFC">
        <w:rPr>
          <w:noProof/>
        </w:rPr>
        <w:t>3</w:t>
      </w:r>
      <w:r w:rsidR="008379DC">
        <w:rPr>
          <w:noProof/>
        </w:rPr>
        <w:fldChar w:fldCharType="end"/>
      </w:r>
      <w:r>
        <w:t xml:space="preserve">: </w:t>
      </w:r>
      <w:r w:rsidRPr="00435206">
        <w:t xml:space="preserve">Treatment of </w:t>
      </w:r>
      <w:r w:rsidR="005914E9">
        <w:t>WIP</w:t>
      </w:r>
      <w:r w:rsidRPr="00435206">
        <w:t xml:space="preserve"> patients</w:t>
      </w:r>
    </w:p>
    <w:p w:rsidR="000D62BB" w:rsidRPr="000D62BB" w:rsidRDefault="000D62BB" w:rsidP="000D62BB">
      <w:pPr>
        <w:pStyle w:val="PwCNormal"/>
      </w:pPr>
      <w:r w:rsidRPr="000D62BB">
        <w:rPr>
          <w:noProof/>
          <w:lang w:eastAsia="en-AU"/>
        </w:rPr>
        <w:drawing>
          <wp:inline distT="0" distB="0" distL="0" distR="0" wp14:anchorId="06B40DFA" wp14:editId="4488E40C">
            <wp:extent cx="5850255" cy="1530977"/>
            <wp:effectExtent l="0" t="0" r="0" b="0"/>
            <wp:docPr id="19" name="Picture 19" descr="This table outlines the treatment of work in progress patients. All patients who were admitted during the financial year were allocated costs, but only those discharged were in the financial year were submitted." title="Treatment of work in progres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255" cy="1530977"/>
                    </a:xfrm>
                    <a:prstGeom prst="rect">
                      <a:avLst/>
                    </a:prstGeom>
                    <a:noFill/>
                    <a:ln>
                      <a:noFill/>
                    </a:ln>
                  </pic:spPr>
                </pic:pic>
              </a:graphicData>
            </a:graphic>
          </wp:inline>
        </w:drawing>
      </w:r>
    </w:p>
    <w:p w:rsidR="008D0D75" w:rsidRDefault="008D0D75" w:rsidP="008D0D75">
      <w:pPr>
        <w:pStyle w:val="PwCNormal"/>
        <w:numPr>
          <w:ilvl w:val="0"/>
          <w:numId w:val="0"/>
        </w:numPr>
      </w:pPr>
      <w:r>
        <w:t xml:space="preserve">For Sydney LHD in </w:t>
      </w:r>
      <w:r w:rsidR="006A194B">
        <w:t>Round 17</w:t>
      </w:r>
      <w:r>
        <w:t>, patients in each of these scenarios were treated the following ways:</w:t>
      </w:r>
    </w:p>
    <w:p w:rsidR="008D0D75" w:rsidRDefault="008D0D75" w:rsidP="009C4A5D">
      <w:pPr>
        <w:pStyle w:val="PwCNormal"/>
        <w:numPr>
          <w:ilvl w:val="0"/>
          <w:numId w:val="44"/>
        </w:numPr>
      </w:pPr>
      <w:r>
        <w:t xml:space="preserve">Scenario 1 patients </w:t>
      </w:r>
      <w:r w:rsidR="00723401">
        <w:t>were allocated</w:t>
      </w:r>
      <w:r>
        <w:t xml:space="preserve"> FY 2012/13 costs </w:t>
      </w:r>
      <w:r w:rsidR="00723401">
        <w:t>for their full length of stay</w:t>
      </w:r>
      <w:r>
        <w:t>. These encounters were submitted.</w:t>
      </w:r>
    </w:p>
    <w:p w:rsidR="008D0D75" w:rsidRDefault="008D0D75" w:rsidP="009C4A5D">
      <w:pPr>
        <w:pStyle w:val="PwCNormal"/>
        <w:numPr>
          <w:ilvl w:val="0"/>
          <w:numId w:val="44"/>
        </w:numPr>
      </w:pPr>
      <w:r>
        <w:t>Scenario 2 patients were allocated costs from both the current and previous financial years (back to FY 2011/12 only). Costs from the previous round were escalated in accordance with the AHPCS. The previous round escalation and consolidation with the current round costs was undertaken by the ABF Taskforce. These encounters were submitted to IHPA.</w:t>
      </w:r>
    </w:p>
    <w:p w:rsidR="00B429AC" w:rsidRPr="00901CAC" w:rsidRDefault="00B429AC" w:rsidP="009C4A5D">
      <w:pPr>
        <w:pStyle w:val="PwCNormal"/>
        <w:numPr>
          <w:ilvl w:val="0"/>
          <w:numId w:val="44"/>
        </w:numPr>
      </w:pPr>
      <w:r w:rsidRPr="008B4D6E">
        <w:t>Scenario 3 patients were allocated FY 2012/13 cost</w:t>
      </w:r>
      <w:r w:rsidR="00500B5B">
        <w:t>s</w:t>
      </w:r>
      <w:r w:rsidRPr="008B4D6E">
        <w:t xml:space="preserve"> for the portion of their stay that fell within the year. These patients were then set aside and will be submitted to IHPA </w:t>
      </w:r>
      <w:r w:rsidRPr="00901CAC">
        <w:t>in future rounds.</w:t>
      </w:r>
    </w:p>
    <w:p w:rsidR="008D0D75" w:rsidRDefault="008D0D75" w:rsidP="009C4A5D">
      <w:pPr>
        <w:pStyle w:val="PwCNormal"/>
        <w:numPr>
          <w:ilvl w:val="0"/>
          <w:numId w:val="44"/>
        </w:numPr>
      </w:pPr>
      <w:r>
        <w:t xml:space="preserve">Scenario 4 patients were allocated </w:t>
      </w:r>
      <w:r w:rsidR="00500B5B">
        <w:t xml:space="preserve">FY2012/13 </w:t>
      </w:r>
      <w:r>
        <w:t xml:space="preserve">costs. As these patients had not been discharged by the end of the financial year, they were not included in the submission to IHPA </w:t>
      </w:r>
    </w:p>
    <w:p w:rsidR="008D0D75" w:rsidRPr="002B2AD8" w:rsidRDefault="008D0D75" w:rsidP="00CE5EF2">
      <w:pPr>
        <w:pStyle w:val="Heading3"/>
      </w:pPr>
      <w:r w:rsidRPr="002B2AD8">
        <w:t>Sample patients</w:t>
      </w:r>
    </w:p>
    <w:p w:rsidR="008D0D75" w:rsidRDefault="002729CE" w:rsidP="008D0D75">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8D0D75">
        <w:t>. The table below lists the results</w:t>
      </w:r>
      <w:r>
        <w:t xml:space="preserve"> of the reconciliation, which identified no variances</w:t>
      </w:r>
      <w:r w:rsidR="00B429AC">
        <w:t>.</w:t>
      </w:r>
    </w:p>
    <w:p w:rsidR="001502E4" w:rsidRDefault="001502E4" w:rsidP="001502E4">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20</w:t>
      </w:r>
      <w:r w:rsidR="008379DC">
        <w:rPr>
          <w:noProof/>
        </w:rPr>
        <w:fldChar w:fldCharType="end"/>
      </w:r>
      <w:r>
        <w:t xml:space="preserve">: </w:t>
      </w:r>
      <w:r w:rsidRPr="00A70E8E">
        <w:t>Sample patient reconciliation with IHPA</w:t>
      </w:r>
    </w:p>
    <w:p w:rsidR="00C0444F" w:rsidRDefault="00A92879" w:rsidP="008D0D75">
      <w:pPr>
        <w:pStyle w:val="PwCNormal"/>
        <w:numPr>
          <w:ilvl w:val="0"/>
          <w:numId w:val="0"/>
        </w:numPr>
      </w:pPr>
      <w:r w:rsidRPr="00A92879">
        <w:t xml:space="preserve"> </w:t>
      </w:r>
      <w:r w:rsidRPr="00A92879">
        <w:rPr>
          <w:noProof/>
          <w:lang w:eastAsia="en-AU"/>
        </w:rPr>
        <w:drawing>
          <wp:inline distT="0" distB="0" distL="0" distR="0" wp14:anchorId="52A16AFD" wp14:editId="15924275">
            <wp:extent cx="3625702" cy="1005478"/>
            <wp:effectExtent l="0" t="0" r="0" b="4445"/>
            <wp:docPr id="4" name="Picture 4"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30402" cy="1006781"/>
                    </a:xfrm>
                    <a:prstGeom prst="rect">
                      <a:avLst/>
                    </a:prstGeom>
                    <a:noFill/>
                    <a:ln>
                      <a:noFill/>
                    </a:ln>
                  </pic:spPr>
                </pic:pic>
              </a:graphicData>
            </a:graphic>
          </wp:inline>
        </w:drawing>
      </w:r>
    </w:p>
    <w:p w:rsidR="008D0D75" w:rsidRDefault="008D0D75" w:rsidP="008D0D75">
      <w:pPr>
        <w:pStyle w:val="PwCNormal"/>
        <w:numPr>
          <w:ilvl w:val="0"/>
          <w:numId w:val="0"/>
        </w:numPr>
      </w:pPr>
      <w:r>
        <w:br w:type="page"/>
      </w:r>
    </w:p>
    <w:p w:rsidR="008D0D75" w:rsidRPr="003A6D69" w:rsidRDefault="008D0D75" w:rsidP="008D0D75">
      <w:pPr>
        <w:pStyle w:val="Heading2"/>
        <w:spacing w:before="0" w:after="40"/>
      </w:pPr>
      <w:bookmarkStart w:id="52" w:name="_Toc396482159"/>
      <w:r w:rsidRPr="003A6D69">
        <w:lastRenderedPageBreak/>
        <w:t>Mid North Coast Local Health District</w:t>
      </w:r>
      <w:bookmarkEnd w:id="52"/>
    </w:p>
    <w:p w:rsidR="008D0D75" w:rsidRPr="003A6D69" w:rsidRDefault="008D0D75" w:rsidP="00CE5EF2">
      <w:pPr>
        <w:pStyle w:val="Heading3"/>
      </w:pPr>
      <w:bookmarkStart w:id="53" w:name="_Toc396482160"/>
      <w:r w:rsidRPr="003A6D69">
        <w:t>Site overview</w:t>
      </w:r>
      <w:bookmarkEnd w:id="53"/>
    </w:p>
    <w:p w:rsidR="008D0D75" w:rsidRPr="003A6D69" w:rsidRDefault="008D0D75" w:rsidP="008D0D75">
      <w:pPr>
        <w:pStyle w:val="PwCNormal"/>
      </w:pPr>
      <w:r w:rsidRPr="003A6D69">
        <w:t xml:space="preserve">The MNCLHD is considered a health district in rural and regional NSW. It is comprised of three key networks: Coffs Harbour Base (Coffs Network), Port Macquarie Base (Port Macquarie Network) and Kempsey (Hastings-Maclean Network). Of the 19 sites included in this LHD, 4 are ABF facilities. The district services </w:t>
      </w:r>
      <w:r w:rsidR="00500B5B">
        <w:t>c</w:t>
      </w:r>
      <w:r w:rsidRPr="003A6D69">
        <w:t xml:space="preserve">over 200,000 people of which approximately 15% are over 65. There is a large </w:t>
      </w:r>
      <w:r w:rsidR="002117EE">
        <w:t xml:space="preserve">Aboriginal and Torres Strait Islander (ATSI) </w:t>
      </w:r>
      <w:r w:rsidRPr="003A6D69">
        <w:t xml:space="preserve">population around the Kempsey area. </w:t>
      </w:r>
    </w:p>
    <w:p w:rsidR="008D0D75" w:rsidRPr="003A6D69" w:rsidRDefault="008D0D75" w:rsidP="008D0D75">
      <w:pPr>
        <w:pStyle w:val="PwCNormal"/>
      </w:pPr>
      <w:r w:rsidRPr="003A6D69">
        <w:t xml:space="preserve">MNCLHD uses PPM2 to perform their costing. </w:t>
      </w:r>
      <w:r w:rsidR="00907EFA">
        <w:t>T</w:t>
      </w:r>
      <w:r w:rsidRPr="003A6D69">
        <w:t xml:space="preserve">he single most significant change to costing from the previous Round 16 was the patient level costing of non-admitted patients. </w:t>
      </w:r>
    </w:p>
    <w:p w:rsidR="008D0D75" w:rsidRPr="003A6D69" w:rsidRDefault="008D0D75" w:rsidP="008D0D75">
      <w:pPr>
        <w:pStyle w:val="PwCNormal"/>
        <w:rPr>
          <w:b/>
        </w:rPr>
      </w:pPr>
      <w:r w:rsidRPr="003A6D69">
        <w:t xml:space="preserve">The table below is a summary </w:t>
      </w:r>
      <w:r w:rsidR="00B429AC">
        <w:t xml:space="preserve">of </w:t>
      </w:r>
      <w:r w:rsidRPr="003A6D69">
        <w:t xml:space="preserve">costs beginning with total expenses from the </w:t>
      </w:r>
      <w:r w:rsidR="00CA6711">
        <w:t>GL</w:t>
      </w:r>
      <w:r w:rsidRPr="003A6D69">
        <w:t xml:space="preserve"> through to the total costs submitted to IHPA with the various adjustments made during the process. No variances were noted</w:t>
      </w:r>
      <w:r w:rsidR="00922F5B">
        <w:t xml:space="preserve"> between the GL and the financial data submitted to IHPA</w:t>
      </w:r>
      <w:r w:rsidRPr="003A6D69">
        <w:t>.</w:t>
      </w:r>
    </w:p>
    <w:p w:rsidR="001502E4" w:rsidRDefault="001502E4" w:rsidP="001502E4">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21</w:t>
      </w:r>
      <w:r w:rsidR="008379DC">
        <w:rPr>
          <w:noProof/>
        </w:rPr>
        <w:fldChar w:fldCharType="end"/>
      </w:r>
      <w:r>
        <w:t xml:space="preserve">: Financial </w:t>
      </w:r>
      <w:r w:rsidR="000F4710">
        <w:t xml:space="preserve">overview </w:t>
      </w:r>
      <w:r>
        <w:t xml:space="preserve">of Mid North Coast </w:t>
      </w:r>
      <w:r w:rsidR="000F4710">
        <w:t>LHD</w:t>
      </w:r>
      <w:r w:rsidR="002C1CE6">
        <w:t>, FY 2012/13</w:t>
      </w:r>
    </w:p>
    <w:p w:rsidR="008D0D75" w:rsidRPr="003A6D69" w:rsidRDefault="008D0D75" w:rsidP="008D0D75">
      <w:pPr>
        <w:pStyle w:val="PwCNormal"/>
      </w:pPr>
      <w:r w:rsidRPr="009F45F8">
        <w:rPr>
          <w:noProof/>
          <w:lang w:eastAsia="en-AU"/>
        </w:rPr>
        <w:drawing>
          <wp:inline distT="0" distB="0" distL="0" distR="0" wp14:anchorId="270C2E1D" wp14:editId="1951DD70">
            <wp:extent cx="5220335" cy="4455752"/>
            <wp:effectExtent l="0" t="0" r="0" b="0"/>
            <wp:docPr id="20" name="Picture 20" descr="This table outlines the flow of cost movements from the $483m in the general ledger through to the $295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20335" cy="4455752"/>
                    </a:xfrm>
                    <a:prstGeom prst="rect">
                      <a:avLst/>
                    </a:prstGeom>
                    <a:noFill/>
                    <a:ln>
                      <a:noFill/>
                    </a:ln>
                  </pic:spPr>
                </pic:pic>
              </a:graphicData>
            </a:graphic>
          </wp:inline>
        </w:drawing>
      </w:r>
    </w:p>
    <w:p w:rsidR="008D0D75" w:rsidRPr="003A6D69" w:rsidRDefault="00CB38E7" w:rsidP="00CE5EF2">
      <w:pPr>
        <w:pStyle w:val="Heading3"/>
      </w:pPr>
      <w:bookmarkStart w:id="54" w:name="_Toc396482161"/>
      <w:r>
        <w:t>Financial d</w:t>
      </w:r>
      <w:r w:rsidR="008D0D75" w:rsidRPr="003A6D69">
        <w:t>ata</w:t>
      </w:r>
      <w:bookmarkEnd w:id="54"/>
    </w:p>
    <w:p w:rsidR="008D0D75" w:rsidRPr="003A6D69" w:rsidRDefault="00CA6711" w:rsidP="008D0D75">
      <w:pPr>
        <w:pStyle w:val="PwCNormal"/>
        <w:numPr>
          <w:ilvl w:val="0"/>
          <w:numId w:val="0"/>
        </w:numPr>
        <w:rPr>
          <w:b/>
        </w:rPr>
      </w:pPr>
      <w:r>
        <w:rPr>
          <w:b/>
        </w:rPr>
        <w:t xml:space="preserve">General </w:t>
      </w:r>
      <w:r w:rsidR="00CD308F">
        <w:rPr>
          <w:b/>
        </w:rPr>
        <w:t>L</w:t>
      </w:r>
      <w:r w:rsidR="008D0D75" w:rsidRPr="003A6D69">
        <w:rPr>
          <w:b/>
        </w:rPr>
        <w:t>edger (Item A)</w:t>
      </w:r>
    </w:p>
    <w:p w:rsidR="008D0D75" w:rsidRPr="003A6D69" w:rsidRDefault="008D0D75" w:rsidP="008D0D75">
      <w:pPr>
        <w:pStyle w:val="PwCNormal"/>
        <w:numPr>
          <w:ilvl w:val="0"/>
          <w:numId w:val="0"/>
        </w:numPr>
      </w:pPr>
      <w:r w:rsidRPr="003A6D69">
        <w:t>Financial statements are published at the LHD level in NSW. The total expenses per the financial statements for FY 2012/13 were $483.0</w:t>
      </w:r>
      <w:r w:rsidR="008E7280">
        <w:t xml:space="preserve"> </w:t>
      </w:r>
      <w:r w:rsidRPr="003A6D69">
        <w:t>m</w:t>
      </w:r>
      <w:r w:rsidR="008E7280">
        <w:t>illion</w:t>
      </w:r>
      <w:r w:rsidRPr="003A6D69">
        <w:t xml:space="preserve">. No variance was noted between total expenses per the financial statements, and the </w:t>
      </w:r>
      <w:r w:rsidR="00CA6711">
        <w:t>GL</w:t>
      </w:r>
      <w:r w:rsidRPr="003A6D69">
        <w:t xml:space="preserve"> used for costing</w:t>
      </w:r>
      <w:r w:rsidR="00922F5B">
        <w:t>.</w:t>
      </w:r>
      <w:r w:rsidR="000E72AF">
        <w:t xml:space="preserve"> Further, MNCLHD applies the same treatment of costs as SLHD. Please see </w:t>
      </w:r>
      <w:r w:rsidR="00F84A9F">
        <w:t xml:space="preserve">Section </w:t>
      </w:r>
      <w:r w:rsidR="000E72AF">
        <w:fldChar w:fldCharType="begin"/>
      </w:r>
      <w:r w:rsidR="000E72AF">
        <w:instrText xml:space="preserve"> REF _Ref402876403 \r \h </w:instrText>
      </w:r>
      <w:r w:rsidR="000E72AF">
        <w:fldChar w:fldCharType="separate"/>
      </w:r>
      <w:r w:rsidR="00575DFC">
        <w:t>4.2.2</w:t>
      </w:r>
      <w:r w:rsidR="000E72AF">
        <w:fldChar w:fldCharType="end"/>
      </w:r>
      <w:r w:rsidR="000E72AF">
        <w:t xml:space="preserve"> for more details on spe</w:t>
      </w:r>
      <w:r w:rsidR="007D34C5">
        <w:t>cific cost items identified and treatment by MNCLHD.</w:t>
      </w:r>
    </w:p>
    <w:p w:rsidR="008D0D75" w:rsidRPr="003A6D69" w:rsidRDefault="008D0D75" w:rsidP="008D0D75">
      <w:pPr>
        <w:pStyle w:val="PwCNormal"/>
        <w:numPr>
          <w:ilvl w:val="0"/>
          <w:numId w:val="0"/>
        </w:numPr>
        <w:rPr>
          <w:b/>
        </w:rPr>
      </w:pPr>
      <w:r w:rsidRPr="003A6D69">
        <w:rPr>
          <w:b/>
        </w:rPr>
        <w:lastRenderedPageBreak/>
        <w:t>Inclusions and exclusions (Item B)</w:t>
      </w:r>
    </w:p>
    <w:p w:rsidR="008D0D75" w:rsidRPr="003A6D69" w:rsidRDefault="008D0D75" w:rsidP="008D0D75">
      <w:pPr>
        <w:pStyle w:val="PwCNormal"/>
        <w:numPr>
          <w:ilvl w:val="0"/>
          <w:numId w:val="0"/>
        </w:numPr>
      </w:pPr>
      <w:r w:rsidRPr="003A6D69">
        <w:t xml:space="preserve">MNCLHD reported two inclusions to their </w:t>
      </w:r>
      <w:r w:rsidR="00CA6711">
        <w:t>GL</w:t>
      </w:r>
      <w:r w:rsidRPr="003A6D69">
        <w:t xml:space="preserve"> costs for costing:</w:t>
      </w:r>
    </w:p>
    <w:p w:rsidR="008D0D75" w:rsidRPr="003A6D69" w:rsidRDefault="008D0D75" w:rsidP="009C4A5D">
      <w:pPr>
        <w:pStyle w:val="PwCNormal"/>
        <w:numPr>
          <w:ilvl w:val="0"/>
          <w:numId w:val="57"/>
        </w:numPr>
      </w:pPr>
      <w:r w:rsidRPr="003A6D69">
        <w:t xml:space="preserve">Medical indemnity costs </w:t>
      </w:r>
      <w:r w:rsidR="008E7280">
        <w:t>of</w:t>
      </w:r>
      <w:r w:rsidRPr="003A6D69">
        <w:t xml:space="preserve"> $5.7</w:t>
      </w:r>
      <w:r w:rsidR="008E7280">
        <w:t xml:space="preserve"> </w:t>
      </w:r>
      <w:r w:rsidRPr="003A6D69">
        <w:t>m</w:t>
      </w:r>
      <w:r w:rsidR="008E7280">
        <w:t>illion</w:t>
      </w:r>
    </w:p>
    <w:p w:rsidR="008D0D75" w:rsidRPr="003A6D69" w:rsidRDefault="008D0D75" w:rsidP="009C4A5D">
      <w:pPr>
        <w:pStyle w:val="PwCNormal"/>
        <w:numPr>
          <w:ilvl w:val="0"/>
          <w:numId w:val="57"/>
        </w:numPr>
      </w:pPr>
      <w:r w:rsidRPr="003A6D69">
        <w:t>VMO insurance premiums of $2.1</w:t>
      </w:r>
      <w:r w:rsidR="008E7280">
        <w:t xml:space="preserve"> </w:t>
      </w:r>
      <w:r w:rsidRPr="003A6D69">
        <w:t>m</w:t>
      </w:r>
      <w:r w:rsidR="008E7280">
        <w:t>illion</w:t>
      </w:r>
      <w:r w:rsidRPr="003A6D69">
        <w:t xml:space="preserve">. </w:t>
      </w:r>
    </w:p>
    <w:p w:rsidR="008D0D75" w:rsidRPr="003A6D69" w:rsidRDefault="008D0D75" w:rsidP="008D0D75">
      <w:pPr>
        <w:pStyle w:val="PwCNormal"/>
        <w:numPr>
          <w:ilvl w:val="0"/>
          <w:numId w:val="0"/>
        </w:numPr>
      </w:pPr>
      <w:r w:rsidRPr="003A6D69">
        <w:t xml:space="preserve">These amounts were calculated and provided by the Ministry of Health to comply with </w:t>
      </w:r>
      <w:r>
        <w:t>APHCS</w:t>
      </w:r>
      <w:r w:rsidRPr="003A6D69">
        <w:t>. Medical indemnity costs have been allocated to salary staff, while the VMO insurance premiums are allocated based on an allocation statistic.</w:t>
      </w:r>
    </w:p>
    <w:p w:rsidR="008D0D75" w:rsidRPr="003A6D69" w:rsidRDefault="008D0D75" w:rsidP="008D0D75">
      <w:pPr>
        <w:pStyle w:val="PwCNormal"/>
        <w:numPr>
          <w:ilvl w:val="0"/>
          <w:numId w:val="0"/>
        </w:numPr>
      </w:pPr>
      <w:r w:rsidRPr="003A6D69">
        <w:t xml:space="preserve">An item for a shared services charge to </w:t>
      </w:r>
      <w:r>
        <w:t>NNSWLHD</w:t>
      </w:r>
      <w:r w:rsidRPr="003A6D69">
        <w:t xml:space="preserve"> amounting to $4.6</w:t>
      </w:r>
      <w:r w:rsidR="008E7280">
        <w:t xml:space="preserve"> </w:t>
      </w:r>
      <w:r w:rsidRPr="003A6D69">
        <w:t>m</w:t>
      </w:r>
      <w:r w:rsidR="008E7280">
        <w:t>illion</w:t>
      </w:r>
      <w:r w:rsidRPr="003A6D69">
        <w:t xml:space="preserve"> was </w:t>
      </w:r>
      <w:r>
        <w:t>adjusted in the</w:t>
      </w:r>
      <w:r w:rsidRPr="003A6D69">
        <w:t xml:space="preserve"> GL for costing.</w:t>
      </w:r>
      <w:r>
        <w:t xml:space="preserve"> This adjustment is reflected in the DNR Reconciliation Schedule.</w:t>
      </w:r>
      <w:r w:rsidRPr="003A6D69">
        <w:t xml:space="preserve"> </w:t>
      </w:r>
      <w:r>
        <w:t xml:space="preserve">This adjustment is also reflected in the NNSWLHD DNR to ensure the system as a whole reports the total expense. </w:t>
      </w:r>
      <w:r w:rsidRPr="003A6D69">
        <w:t>These shared services costs are the result of historical arrangements and are gradually being phased out.</w:t>
      </w:r>
    </w:p>
    <w:p w:rsidR="008D0D75" w:rsidRPr="003A6D69" w:rsidRDefault="008D0D75" w:rsidP="008D0D75">
      <w:pPr>
        <w:pStyle w:val="PwCNormal"/>
        <w:numPr>
          <w:ilvl w:val="0"/>
          <w:numId w:val="0"/>
        </w:numPr>
        <w:rPr>
          <w:b/>
        </w:rPr>
      </w:pPr>
      <w:r w:rsidRPr="003A6D69">
        <w:rPr>
          <w:b/>
        </w:rPr>
        <w:t>Allocation of overheads (Item C)</w:t>
      </w:r>
    </w:p>
    <w:p w:rsidR="008D0D75" w:rsidRPr="003A6D69" w:rsidRDefault="008D0D75" w:rsidP="008D0D75">
      <w:pPr>
        <w:pStyle w:val="PwCNormal"/>
        <w:numPr>
          <w:ilvl w:val="0"/>
          <w:numId w:val="0"/>
        </w:numPr>
      </w:pPr>
      <w:r w:rsidRPr="003A6D69">
        <w:t>Overheads are allocated based on allocation statistics guidance provided by the Ministry. Following the classification of cost centres, an appropriate allocation statistic such as FTEs or bed days is chosen in accordance with the AHPC</w:t>
      </w:r>
      <w:r>
        <w:t>S</w:t>
      </w:r>
      <w:r w:rsidRPr="003A6D69">
        <w:t xml:space="preserve">. </w:t>
      </w:r>
    </w:p>
    <w:p w:rsidR="008D0D75" w:rsidRPr="003A6D69" w:rsidRDefault="008D0D75" w:rsidP="008D0D75">
      <w:pPr>
        <w:pStyle w:val="PwCNormal"/>
        <w:numPr>
          <w:ilvl w:val="0"/>
          <w:numId w:val="0"/>
        </w:numPr>
      </w:pPr>
      <w:r w:rsidRPr="003A6D69">
        <w:t>Overhead costs for MNCLHD amounted to $30.0</w:t>
      </w:r>
      <w:r w:rsidR="008E7280">
        <w:t xml:space="preserve"> </w:t>
      </w:r>
      <w:r w:rsidRPr="003A6D69">
        <w:t>m</w:t>
      </w:r>
      <w:r w:rsidR="008E7280">
        <w:t>illion</w:t>
      </w:r>
      <w:r w:rsidRPr="003A6D69">
        <w:t xml:space="preserve"> or 6.2% of total costs.</w:t>
      </w:r>
    </w:p>
    <w:p w:rsidR="008D0D75" w:rsidRPr="003A6D69" w:rsidRDefault="008D0D75" w:rsidP="008D0D75">
      <w:pPr>
        <w:pStyle w:val="PwCNormal"/>
        <w:numPr>
          <w:ilvl w:val="0"/>
          <w:numId w:val="0"/>
        </w:numPr>
        <w:rPr>
          <w:b/>
        </w:rPr>
      </w:pPr>
      <w:r w:rsidRPr="003A6D69">
        <w:rPr>
          <w:b/>
        </w:rPr>
        <w:t>Distribution of costs between hospital products (Item D)</w:t>
      </w:r>
    </w:p>
    <w:p w:rsidR="00922F5B" w:rsidRDefault="008D0D75" w:rsidP="00922F5B">
      <w:pPr>
        <w:pStyle w:val="PwCNormal"/>
        <w:numPr>
          <w:ilvl w:val="0"/>
          <w:numId w:val="0"/>
        </w:numPr>
      </w:pPr>
      <w:r>
        <w:t xml:space="preserve">PFRACS were used in </w:t>
      </w:r>
      <w:r w:rsidR="006A194B">
        <w:t>Round 17</w:t>
      </w:r>
      <w:r>
        <w:t xml:space="preserve"> for cost centres that provided services to more than one hospital product. After classifying cost centres based on the services provided, the costing staff consulted with the business managers and the finance director of each facility to determine an appropriate allocation proportion between the hospital products. </w:t>
      </w:r>
      <w:r w:rsidR="00907EFA">
        <w:t>This happens for each cycle of the DNR preparation which is six monthly.</w:t>
      </w:r>
    </w:p>
    <w:p w:rsidR="008D0D75" w:rsidRPr="003A6D69" w:rsidRDefault="008D0D75" w:rsidP="00CE5EF2">
      <w:pPr>
        <w:pStyle w:val="Heading3"/>
      </w:pPr>
      <w:bookmarkStart w:id="55" w:name="_Toc396482162"/>
      <w:r w:rsidRPr="003A6D69">
        <w:t>Activity information and costing methodology</w:t>
      </w:r>
      <w:bookmarkEnd w:id="55"/>
    </w:p>
    <w:p w:rsidR="008D0D75" w:rsidRPr="003A6D69" w:rsidRDefault="008D0D75" w:rsidP="008D0D75">
      <w:pPr>
        <w:pStyle w:val="PwCNormal"/>
        <w:numPr>
          <w:ilvl w:val="0"/>
          <w:numId w:val="0"/>
        </w:numPr>
        <w:rPr>
          <w:b/>
        </w:rPr>
      </w:pPr>
      <w:r w:rsidRPr="003A6D69">
        <w:rPr>
          <w:b/>
        </w:rPr>
        <w:t>Overview</w:t>
      </w:r>
    </w:p>
    <w:p w:rsidR="00F26B85" w:rsidRDefault="008D0D75" w:rsidP="003149FF">
      <w:pPr>
        <w:pStyle w:val="PwCNormal"/>
        <w:numPr>
          <w:ilvl w:val="0"/>
          <w:numId w:val="0"/>
        </w:numPr>
        <w:rPr>
          <w:rFonts w:asciiTheme="majorHAnsi" w:hAnsiTheme="majorHAnsi"/>
          <w:b/>
          <w:bCs/>
          <w:color w:val="A32020" w:themeColor="text2"/>
          <w:szCs w:val="18"/>
        </w:rPr>
      </w:pPr>
      <w:r w:rsidRPr="003A6D69">
        <w:t>The table below outlines the costing methodology fo</w:t>
      </w:r>
      <w:r w:rsidR="003A3791">
        <w:t>r the various hospital products.</w:t>
      </w:r>
    </w:p>
    <w:p w:rsidR="003A3791" w:rsidRPr="003A6D69" w:rsidRDefault="003A3791" w:rsidP="003A3791">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22</w:t>
      </w:r>
      <w:r w:rsidR="008379DC">
        <w:rPr>
          <w:noProof/>
        </w:rPr>
        <w:fldChar w:fldCharType="end"/>
      </w:r>
      <w:r>
        <w:t xml:space="preserve">: </w:t>
      </w:r>
      <w:r w:rsidRPr="000D2D2E">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8D0D75" w:rsidRPr="003A6D69" w:rsidTr="0049598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8D0D75" w:rsidRPr="003A6D69" w:rsidRDefault="008D0D75" w:rsidP="008D0D75">
            <w:pPr>
              <w:pStyle w:val="PwCNormal"/>
              <w:numPr>
                <w:ilvl w:val="0"/>
                <w:numId w:val="0"/>
              </w:numPr>
              <w:rPr>
                <w:b/>
              </w:rPr>
            </w:pPr>
            <w:r w:rsidRPr="003A6D69">
              <w:rPr>
                <w:b/>
              </w:rPr>
              <w:t>Hospital product</w:t>
            </w:r>
          </w:p>
        </w:tc>
        <w:tc>
          <w:tcPr>
            <w:tcW w:w="6237" w:type="dxa"/>
          </w:tcPr>
          <w:p w:rsidR="008D0D75" w:rsidRPr="003A6D69" w:rsidRDefault="008D0D75" w:rsidP="008D0D75">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3A6D69">
              <w:rPr>
                <w:b/>
              </w:rPr>
              <w:t>Allocation overview</w:t>
            </w:r>
          </w:p>
        </w:tc>
      </w:tr>
      <w:tr w:rsidR="008D0D75" w:rsidRPr="003A6D69" w:rsidTr="0049598D">
        <w:tc>
          <w:tcPr>
            <w:tcW w:w="2376" w:type="dxa"/>
          </w:tcPr>
          <w:p w:rsidR="008D0D75" w:rsidRPr="003A6D69" w:rsidRDefault="008D0D75" w:rsidP="008D0D75">
            <w:pPr>
              <w:pStyle w:val="PwCNormal"/>
              <w:numPr>
                <w:ilvl w:val="0"/>
                <w:numId w:val="0"/>
              </w:numPr>
            </w:pPr>
            <w:r w:rsidRPr="003A6D69">
              <w:t xml:space="preserve">Inpatient </w:t>
            </w:r>
            <w:r w:rsidRPr="003A6D69">
              <w:br/>
              <w:t xml:space="preserve">(acute and </w:t>
            </w:r>
            <w:r w:rsidR="006A7030">
              <w:t>sub-acute</w:t>
            </w:r>
            <w:r w:rsidRPr="003A6D69">
              <w:t>)</w:t>
            </w:r>
          </w:p>
        </w:tc>
        <w:tc>
          <w:tcPr>
            <w:tcW w:w="6237" w:type="dxa"/>
          </w:tcPr>
          <w:p w:rsidR="008D0D75" w:rsidRPr="005A1647" w:rsidRDefault="008D0D75" w:rsidP="008D0D75">
            <w:pPr>
              <w:pStyle w:val="PwCNormal"/>
            </w:pPr>
            <w:r>
              <w:t xml:space="preserve">Admitted </w:t>
            </w:r>
            <w:r w:rsidRPr="005A1647">
              <w:t xml:space="preserve">patients (acute and </w:t>
            </w:r>
            <w:r w:rsidR="006A7030">
              <w:t>sub-acute</w:t>
            </w:r>
            <w:r w:rsidRPr="005A1647">
              <w:t>) are costed using various patient level activity data (feeder data) representing actual consumption of hospital resources and services where possible.</w:t>
            </w:r>
            <w:r>
              <w:t xml:space="preserve"> Acute patients are classified under AR-DRGs and sub-acute under AN-SNAP.</w:t>
            </w:r>
          </w:p>
          <w:p w:rsidR="008D0D75" w:rsidRPr="003A6D69" w:rsidRDefault="008D0D75" w:rsidP="008D0D75">
            <w:pPr>
              <w:pStyle w:val="PwCNormal"/>
              <w:numPr>
                <w:ilvl w:val="0"/>
                <w:numId w:val="0"/>
              </w:numPr>
            </w:pPr>
            <w:r w:rsidRPr="003A6D69">
              <w:t>The transfer file from the patient administration system is used to develop a patient level encounter profile. Areas such as Critical care, ICU, Ward Nursing and Ward Medical use this fractional bed day information as a cost driver.</w:t>
            </w:r>
          </w:p>
          <w:p w:rsidR="008D0D75" w:rsidRPr="003A6D69" w:rsidRDefault="008D0D75" w:rsidP="008D0D75">
            <w:pPr>
              <w:pStyle w:val="PwCNormal"/>
              <w:numPr>
                <w:ilvl w:val="0"/>
                <w:numId w:val="0"/>
              </w:numPr>
            </w:pPr>
            <w:r w:rsidRPr="003A6D69">
              <w:t xml:space="preserve">Allied health uses procedure codes </w:t>
            </w:r>
            <w:r>
              <w:t xml:space="preserve">to </w:t>
            </w:r>
            <w:r w:rsidRPr="003A6D69">
              <w:t>allocate costs.</w:t>
            </w:r>
          </w:p>
          <w:p w:rsidR="008D0D75" w:rsidRDefault="008D0D75" w:rsidP="008D0D75">
            <w:pPr>
              <w:pStyle w:val="PwCNormal"/>
              <w:numPr>
                <w:ilvl w:val="0"/>
                <w:numId w:val="0"/>
              </w:numPr>
            </w:pPr>
            <w:r>
              <w:t xml:space="preserve">MNC LHD team noted some challenges with the </w:t>
            </w:r>
            <w:proofErr w:type="spellStart"/>
            <w:r w:rsidR="002821F4">
              <w:t>statewide</w:t>
            </w:r>
            <w:proofErr w:type="spellEnd"/>
            <w:r>
              <w:t xml:space="preserve"> implementation of </w:t>
            </w:r>
            <w:proofErr w:type="spellStart"/>
            <w:r>
              <w:t>Surginet</w:t>
            </w:r>
            <w:proofErr w:type="spellEnd"/>
            <w:r>
              <w:t xml:space="preserve"> theatre management system. As a result, instead of actual theatre</w:t>
            </w:r>
            <w:r w:rsidRPr="003A6D69">
              <w:t xml:space="preserve"> </w:t>
            </w:r>
            <w:r>
              <w:t xml:space="preserve">utilisation or operating </w:t>
            </w:r>
            <w:r w:rsidRPr="003A6D69">
              <w:t>minutes</w:t>
            </w:r>
            <w:r>
              <w:t>,</w:t>
            </w:r>
            <w:r w:rsidRPr="003A6D69">
              <w:t xml:space="preserve"> </w:t>
            </w:r>
            <w:r w:rsidRPr="003A6D69">
              <w:lastRenderedPageBreak/>
              <w:t xml:space="preserve">MBS codes were used </w:t>
            </w:r>
            <w:r>
              <w:t>to determine weightings for different procedures for allocating surgical costs.</w:t>
            </w:r>
          </w:p>
          <w:p w:rsidR="008D0D75" w:rsidRPr="003A6D69" w:rsidRDefault="008D0D75" w:rsidP="008D0D75">
            <w:pPr>
              <w:pStyle w:val="PwCNormal"/>
              <w:numPr>
                <w:ilvl w:val="0"/>
                <w:numId w:val="0"/>
              </w:numPr>
            </w:pPr>
            <w:r w:rsidRPr="004F5B04">
              <w:t>The actual c</w:t>
            </w:r>
            <w:r>
              <w:t>harge</w:t>
            </w:r>
            <w:r w:rsidRPr="004F5B04">
              <w:t xml:space="preserve"> of pathology tests </w:t>
            </w:r>
            <w:r>
              <w:t>are utilised (using Cerner billing information) for allocating pathology costs.</w:t>
            </w:r>
          </w:p>
          <w:p w:rsidR="008D0D75" w:rsidRPr="003A6D69" w:rsidRDefault="008D0D75" w:rsidP="008D0D75">
            <w:pPr>
              <w:pStyle w:val="PwCNormal"/>
              <w:numPr>
                <w:ilvl w:val="0"/>
                <w:numId w:val="0"/>
              </w:numPr>
            </w:pPr>
            <w:r w:rsidRPr="003A6D69">
              <w:t>Pharmacy</w:t>
            </w:r>
            <w:r>
              <w:t xml:space="preserve"> and</w:t>
            </w:r>
            <w:r w:rsidRPr="003A6D69">
              <w:t xml:space="preserve"> imaging cost were allocated using service weights as data issues were identified in the feeder records.</w:t>
            </w:r>
          </w:p>
          <w:p w:rsidR="008D0D75" w:rsidRDefault="008D0D75" w:rsidP="008D0D75">
            <w:pPr>
              <w:pStyle w:val="PwCNormal"/>
              <w:numPr>
                <w:ilvl w:val="0"/>
                <w:numId w:val="0"/>
              </w:numPr>
            </w:pPr>
            <w:r w:rsidRPr="003A6D69">
              <w:t xml:space="preserve">Palliative care </w:t>
            </w:r>
            <w:r>
              <w:t>in</w:t>
            </w:r>
            <w:r w:rsidRPr="003A6D69">
              <w:t xml:space="preserve"> the sub-acute setting is costed in four phases: Stable, unstable, deteriorating and terminal.</w:t>
            </w:r>
          </w:p>
          <w:p w:rsidR="008D0D75" w:rsidRPr="003A6D69" w:rsidRDefault="008D0D75" w:rsidP="008D0D75">
            <w:pPr>
              <w:pStyle w:val="PwCNormal"/>
              <w:numPr>
                <w:ilvl w:val="0"/>
                <w:numId w:val="0"/>
              </w:numPr>
            </w:pPr>
            <w:r>
              <w:t>Other a</w:t>
            </w:r>
            <w:r w:rsidRPr="0031383B">
              <w:t xml:space="preserve">dmitted </w:t>
            </w:r>
            <w:r w:rsidR="006A7030">
              <w:t>sub-acute</w:t>
            </w:r>
            <w:r w:rsidRPr="0031383B">
              <w:t xml:space="preserve"> patients are costed using the same costing methodology as other hospital services</w:t>
            </w:r>
            <w:r>
              <w:t>.</w:t>
            </w:r>
          </w:p>
        </w:tc>
      </w:tr>
      <w:tr w:rsidR="008D0D75" w:rsidRPr="003A6D69" w:rsidTr="0049598D">
        <w:tc>
          <w:tcPr>
            <w:tcW w:w="2376" w:type="dxa"/>
          </w:tcPr>
          <w:p w:rsidR="008D0D75" w:rsidRPr="003A6D69" w:rsidRDefault="008D0D75" w:rsidP="008D0D75">
            <w:pPr>
              <w:pStyle w:val="PwCNormal"/>
              <w:numPr>
                <w:ilvl w:val="0"/>
                <w:numId w:val="0"/>
              </w:numPr>
            </w:pPr>
            <w:r w:rsidRPr="003A6D69">
              <w:lastRenderedPageBreak/>
              <w:t>Emergency Department</w:t>
            </w:r>
            <w:r w:rsidR="002D75A8">
              <w:t xml:space="preserve"> (ED)</w:t>
            </w:r>
          </w:p>
        </w:tc>
        <w:tc>
          <w:tcPr>
            <w:tcW w:w="6237" w:type="dxa"/>
          </w:tcPr>
          <w:p w:rsidR="008D0D75" w:rsidRPr="003A6D69" w:rsidRDefault="002D75A8" w:rsidP="002D75A8">
            <w:pPr>
              <w:pStyle w:val="PwCNormal"/>
              <w:numPr>
                <w:ilvl w:val="0"/>
                <w:numId w:val="0"/>
              </w:numPr>
            </w:pPr>
            <w:r>
              <w:t>ED costs are allocated using duration weighted for triage and mode of separation. ED</w:t>
            </w:r>
            <w:r w:rsidR="008D0D75">
              <w:t xml:space="preserve"> encounters are allocated costs using feeder systems such as pathology and imaging.  </w:t>
            </w:r>
          </w:p>
        </w:tc>
      </w:tr>
      <w:tr w:rsidR="008D0D75" w:rsidRPr="003A6D69" w:rsidTr="0049598D">
        <w:tc>
          <w:tcPr>
            <w:tcW w:w="2376" w:type="dxa"/>
          </w:tcPr>
          <w:p w:rsidR="008D0D75" w:rsidRPr="003A6D69" w:rsidRDefault="008D0D75" w:rsidP="008D0D75">
            <w:pPr>
              <w:pStyle w:val="PwCNormal"/>
              <w:numPr>
                <w:ilvl w:val="0"/>
                <w:numId w:val="0"/>
              </w:numPr>
            </w:pPr>
            <w:r w:rsidRPr="003A6D69">
              <w:t>Outpatients</w:t>
            </w:r>
          </w:p>
        </w:tc>
        <w:tc>
          <w:tcPr>
            <w:tcW w:w="6237" w:type="dxa"/>
          </w:tcPr>
          <w:p w:rsidR="008D0D75" w:rsidRPr="003A6D69" w:rsidRDefault="008D0D75" w:rsidP="000B189A">
            <w:pPr>
              <w:pStyle w:val="PwCNormal"/>
              <w:numPr>
                <w:ilvl w:val="0"/>
                <w:numId w:val="0"/>
              </w:numPr>
            </w:pPr>
            <w:r>
              <w:t xml:space="preserve">All </w:t>
            </w:r>
            <w:r w:rsidR="002D75A8">
              <w:t>outpatient</w:t>
            </w:r>
            <w:r>
              <w:t xml:space="preserve"> services are assigned a Tier 2 class. O</w:t>
            </w:r>
            <w:r w:rsidRPr="003A6D69">
              <w:t xml:space="preserve">utpatients are costed using PFRACS developed for cost centres following consultation from business managers. </w:t>
            </w:r>
            <w:r>
              <w:t>Costs are allocated using occasion of service level data and then reported at the service event level.</w:t>
            </w:r>
          </w:p>
        </w:tc>
      </w:tr>
      <w:tr w:rsidR="008D0D75" w:rsidRPr="003A6D69" w:rsidTr="0049598D">
        <w:tc>
          <w:tcPr>
            <w:tcW w:w="2376" w:type="dxa"/>
          </w:tcPr>
          <w:p w:rsidR="008D0D75" w:rsidRPr="003A6D69" w:rsidRDefault="008D0D75" w:rsidP="008D0D75">
            <w:pPr>
              <w:pStyle w:val="PwCNormal"/>
              <w:numPr>
                <w:ilvl w:val="0"/>
                <w:numId w:val="0"/>
              </w:numPr>
            </w:pPr>
            <w:r w:rsidRPr="003A6D69">
              <w:t>Mental Health</w:t>
            </w:r>
          </w:p>
        </w:tc>
        <w:tc>
          <w:tcPr>
            <w:tcW w:w="6237" w:type="dxa"/>
          </w:tcPr>
          <w:p w:rsidR="008D0D75" w:rsidRPr="003A6D69" w:rsidRDefault="008D0D75" w:rsidP="008D0D75">
            <w:pPr>
              <w:pStyle w:val="PwCNormal"/>
              <w:numPr>
                <w:ilvl w:val="0"/>
                <w:numId w:val="0"/>
              </w:numPr>
            </w:pPr>
            <w:r w:rsidRPr="003A6D69">
              <w:t xml:space="preserve">Mental health patients are costed according to the same methodology as acute and sub-acute inpatients. </w:t>
            </w:r>
          </w:p>
        </w:tc>
      </w:tr>
      <w:tr w:rsidR="008D0D75" w:rsidRPr="003A6D69" w:rsidTr="0049598D">
        <w:tc>
          <w:tcPr>
            <w:tcW w:w="2376" w:type="dxa"/>
          </w:tcPr>
          <w:p w:rsidR="008D0D75" w:rsidRPr="003A6D69" w:rsidRDefault="008D0D75" w:rsidP="008D0D75">
            <w:pPr>
              <w:pStyle w:val="PwCNormal"/>
              <w:numPr>
                <w:ilvl w:val="0"/>
                <w:numId w:val="0"/>
              </w:numPr>
            </w:pPr>
            <w:r w:rsidRPr="003A6D69">
              <w:t>Teaching, training and research</w:t>
            </w:r>
          </w:p>
        </w:tc>
        <w:tc>
          <w:tcPr>
            <w:tcW w:w="6237" w:type="dxa"/>
          </w:tcPr>
          <w:p w:rsidR="008D0D75" w:rsidRPr="003A6D69" w:rsidRDefault="008D0D75" w:rsidP="008D0D75">
            <w:pPr>
              <w:pStyle w:val="PwCNormal"/>
              <w:numPr>
                <w:ilvl w:val="0"/>
                <w:numId w:val="0"/>
              </w:numPr>
            </w:pPr>
            <w:r w:rsidRPr="003A6D69">
              <w:t>Cost centres that perform direct teaching, training and research activities are mapped as such. On top of these costs are any costs from cost centres where the business manager fractioned out (during the PFRAC process) any costs related to direct training or research.</w:t>
            </w:r>
          </w:p>
          <w:p w:rsidR="008D0D75" w:rsidRPr="003A6D69" w:rsidRDefault="008D0D75" w:rsidP="008D0D75">
            <w:pPr>
              <w:pStyle w:val="PwCNormal"/>
              <w:numPr>
                <w:ilvl w:val="0"/>
                <w:numId w:val="0"/>
              </w:numPr>
            </w:pPr>
            <w:r w:rsidRPr="003A6D69">
              <w:t xml:space="preserve">These costs are costed to a virtual patient in the costing system and are not submitted to IHPA. </w:t>
            </w:r>
          </w:p>
        </w:tc>
      </w:tr>
      <w:tr w:rsidR="008D0D75" w:rsidRPr="003A6D69" w:rsidTr="0049598D">
        <w:tc>
          <w:tcPr>
            <w:tcW w:w="2376" w:type="dxa"/>
          </w:tcPr>
          <w:p w:rsidR="008D0D75" w:rsidRPr="003A6D69" w:rsidRDefault="008D0D75" w:rsidP="008D0D75">
            <w:pPr>
              <w:pStyle w:val="PwCNormal"/>
              <w:numPr>
                <w:ilvl w:val="0"/>
                <w:numId w:val="0"/>
              </w:numPr>
            </w:pPr>
            <w:r w:rsidRPr="003A6D69">
              <w:t>Other</w:t>
            </w:r>
          </w:p>
        </w:tc>
        <w:tc>
          <w:tcPr>
            <w:tcW w:w="6237" w:type="dxa"/>
          </w:tcPr>
          <w:p w:rsidR="008D0D75" w:rsidRPr="003A6D69" w:rsidRDefault="008D0D75" w:rsidP="008D0D75">
            <w:pPr>
              <w:pStyle w:val="PwCNormal"/>
              <w:numPr>
                <w:ilvl w:val="0"/>
                <w:numId w:val="0"/>
              </w:numPr>
            </w:pPr>
            <w:r>
              <w:t xml:space="preserve">Where applicable, </w:t>
            </w:r>
            <w:r w:rsidRPr="003A6D69">
              <w:t xml:space="preserve">Organ and boarder costs are costed </w:t>
            </w:r>
            <w:r>
              <w:t>as part of the DNR.</w:t>
            </w:r>
          </w:p>
        </w:tc>
      </w:tr>
    </w:tbl>
    <w:p w:rsidR="008D0D75" w:rsidRPr="003A6D69" w:rsidRDefault="008D0D75" w:rsidP="00CE5EF2">
      <w:pPr>
        <w:pStyle w:val="Heading3"/>
      </w:pPr>
      <w:bookmarkStart w:id="56" w:name="_Toc396482163"/>
      <w:r w:rsidRPr="003A6D69">
        <w:t>Feeder data for sample areas</w:t>
      </w:r>
      <w:bookmarkEnd w:id="56"/>
    </w:p>
    <w:p w:rsidR="008D0D75" w:rsidRPr="003A6D69" w:rsidRDefault="008D0D75" w:rsidP="008D0D75">
      <w:pPr>
        <w:pStyle w:val="PwCNormal"/>
        <w:numPr>
          <w:ilvl w:val="0"/>
          <w:numId w:val="0"/>
        </w:numPr>
        <w:rPr>
          <w:b/>
        </w:rPr>
      </w:pPr>
      <w:r w:rsidRPr="003A6D69">
        <w:rPr>
          <w:b/>
        </w:rPr>
        <w:t>Overview</w:t>
      </w:r>
    </w:p>
    <w:p w:rsidR="00922F5B" w:rsidRDefault="00922F5B" w:rsidP="008D0D75">
      <w:pPr>
        <w:pStyle w:val="PwCNormal"/>
        <w:numPr>
          <w:ilvl w:val="0"/>
          <w:numId w:val="0"/>
        </w:numPr>
      </w:pPr>
      <w:r>
        <w:t>As part of the costing process</w:t>
      </w:r>
      <w:r w:rsidR="00907EFA">
        <w:t>,</w:t>
      </w:r>
      <w:r>
        <w:t xml:space="preserve"> differ</w:t>
      </w:r>
      <w:r w:rsidR="00907EFA">
        <w:t>ing</w:t>
      </w:r>
      <w:r>
        <w:t xml:space="preserve"> methodologies</w:t>
      </w:r>
      <w:r w:rsidR="00597FBD">
        <w:t xml:space="preserve"> </w:t>
      </w:r>
      <w:r w:rsidR="00907EFA">
        <w:t xml:space="preserve">are </w:t>
      </w:r>
      <w:r>
        <w:t>utilised to allocate costs to a patient level. The recommended methodology in the AHPCS is using a feeder system</w:t>
      </w:r>
      <w:r w:rsidR="00597FBD">
        <w:t>,</w:t>
      </w:r>
      <w:r>
        <w:t xml:space="preserve"> which uses direct patient activity data to allocate costs; however if this is not available then service weights or RVUs could be used.  </w:t>
      </w:r>
    </w:p>
    <w:p w:rsidR="008D0D75" w:rsidRPr="003A6D69" w:rsidRDefault="00922F5B" w:rsidP="008D0D75">
      <w:pPr>
        <w:pStyle w:val="PwCNormal"/>
        <w:numPr>
          <w:ilvl w:val="0"/>
          <w:numId w:val="0"/>
        </w:numPr>
      </w:pPr>
      <w:r>
        <w:t>MNCLHD f</w:t>
      </w:r>
      <w:r w:rsidR="008D0D75" w:rsidRPr="003A6D69">
        <w:t>eeder systems were used</w:t>
      </w:r>
      <w:r w:rsidR="008D0D75">
        <w:t xml:space="preserve"> for</w:t>
      </w:r>
      <w:r w:rsidR="008D0D75" w:rsidRPr="003A6D69">
        <w:t xml:space="preserve"> Pathology, ED and Outpatient Clinics in </w:t>
      </w:r>
      <w:r w:rsidR="006A194B">
        <w:t>Round 17</w:t>
      </w:r>
      <w:r w:rsidR="008D0D75" w:rsidRPr="003A6D69">
        <w:t xml:space="preserve">. A feeder system did exist for Imaging and Theatre however it was not used in this round due to irregularities in the data such as completeness and reconciliation issues. </w:t>
      </w:r>
    </w:p>
    <w:p w:rsidR="008D0D75" w:rsidRPr="003A6D69" w:rsidRDefault="008D0D75" w:rsidP="008D0D75">
      <w:pPr>
        <w:pStyle w:val="PwCNormal"/>
        <w:numPr>
          <w:ilvl w:val="0"/>
          <w:numId w:val="0"/>
        </w:numPr>
      </w:pPr>
      <w:r w:rsidRPr="003A6D69">
        <w:t xml:space="preserve">Critical care, ICU, Ward Nursing and Ward Medical used patient transfer files to build a patient level profile of an encounter. </w:t>
      </w:r>
      <w:r>
        <w:t>Transfer activities</w:t>
      </w:r>
      <w:r w:rsidRPr="003A6D69">
        <w:t xml:space="preserve"> were used for Ward Nursing Ward Medical</w:t>
      </w:r>
      <w:r>
        <w:t xml:space="preserve"> and Critical Care costs</w:t>
      </w:r>
      <w:r w:rsidRPr="003A6D69">
        <w:t xml:space="preserve"> using duration</w:t>
      </w:r>
      <w:r>
        <w:t xml:space="preserve"> (fractional</w:t>
      </w:r>
      <w:r w:rsidRPr="003A6D69">
        <w:t xml:space="preserve"> bed days</w:t>
      </w:r>
      <w:r>
        <w:t>)</w:t>
      </w:r>
      <w:r w:rsidRPr="003A6D69">
        <w:t xml:space="preserve"> to allocate costs respectively. </w:t>
      </w:r>
    </w:p>
    <w:p w:rsidR="008D0D75" w:rsidRPr="003A6D69" w:rsidRDefault="008D0D75" w:rsidP="008D0D75">
      <w:pPr>
        <w:pStyle w:val="PwCNormal"/>
        <w:numPr>
          <w:ilvl w:val="0"/>
          <w:numId w:val="0"/>
        </w:numPr>
      </w:pPr>
      <w:r w:rsidRPr="003A6D69">
        <w:lastRenderedPageBreak/>
        <w:t>Allied health</w:t>
      </w:r>
      <w:r>
        <w:t xml:space="preserve">, </w:t>
      </w:r>
      <w:r w:rsidRPr="003A6D69">
        <w:t>pharmacy costs</w:t>
      </w:r>
      <w:r>
        <w:t xml:space="preserve"> and blood products</w:t>
      </w:r>
      <w:r w:rsidRPr="003A6D69">
        <w:t xml:space="preserve"> were allocated using service weights in </w:t>
      </w:r>
      <w:r w:rsidR="006A194B">
        <w:t>Round 17</w:t>
      </w:r>
      <w:r w:rsidRPr="003A6D69">
        <w:t>.</w:t>
      </w:r>
    </w:p>
    <w:p w:rsidR="008D0D75" w:rsidRPr="003A6D69" w:rsidRDefault="008D0D75" w:rsidP="008D0D75">
      <w:pPr>
        <w:pStyle w:val="PwCNormal"/>
        <w:numPr>
          <w:ilvl w:val="0"/>
          <w:numId w:val="0"/>
        </w:numPr>
      </w:pPr>
      <w:r w:rsidRPr="003A6D69">
        <w:t>Some allocation methodologies of note include:</w:t>
      </w:r>
    </w:p>
    <w:p w:rsidR="008D0D75" w:rsidRPr="003A6D69" w:rsidRDefault="008D0D75" w:rsidP="009C4A5D">
      <w:pPr>
        <w:pStyle w:val="PwCNormal"/>
        <w:numPr>
          <w:ilvl w:val="0"/>
          <w:numId w:val="51"/>
        </w:numPr>
      </w:pPr>
      <w:r w:rsidRPr="003A6D69">
        <w:t>The patient’s length of stay is used to allocate ward medical cost</w:t>
      </w:r>
    </w:p>
    <w:p w:rsidR="008D0D75" w:rsidRPr="003A6D69" w:rsidRDefault="008D0D75" w:rsidP="009C4A5D">
      <w:pPr>
        <w:pStyle w:val="PwCNormal"/>
        <w:numPr>
          <w:ilvl w:val="0"/>
          <w:numId w:val="51"/>
        </w:numPr>
      </w:pPr>
      <w:r>
        <w:t xml:space="preserve">MNCLHD utilised the </w:t>
      </w:r>
      <w:r w:rsidRPr="003A6D69">
        <w:t>NSW developed service weights to allocate prosthetic costs.</w:t>
      </w:r>
      <w:r>
        <w:t xml:space="preserve"> These service weights were developed by ABF Taskforce utilising patient level prosthesis cost data from those LHD/SHNs that had patient level prosthesis data in Round 16.</w:t>
      </w:r>
    </w:p>
    <w:p w:rsidR="008D0D75" w:rsidRPr="003A6D69" w:rsidRDefault="008D0D75" w:rsidP="008D0D75">
      <w:pPr>
        <w:pStyle w:val="PwCNormal"/>
        <w:numPr>
          <w:ilvl w:val="0"/>
          <w:numId w:val="0"/>
        </w:numPr>
        <w:rPr>
          <w:b/>
        </w:rPr>
      </w:pPr>
      <w:r w:rsidRPr="003A6D69">
        <w:rPr>
          <w:b/>
        </w:rPr>
        <w:t>Pharmacy</w:t>
      </w:r>
    </w:p>
    <w:p w:rsidR="002E0158" w:rsidRPr="003A6D69" w:rsidRDefault="008D0D75" w:rsidP="008D0D75">
      <w:pPr>
        <w:pStyle w:val="PwCNormal"/>
        <w:numPr>
          <w:ilvl w:val="0"/>
          <w:numId w:val="0"/>
        </w:numPr>
      </w:pPr>
      <w:r w:rsidRPr="003A6D69">
        <w:t>No pharmacy feeder existed for MNCLHD resulting in pharmacy costs being allocated to patients using a service weight.</w:t>
      </w:r>
    </w:p>
    <w:p w:rsidR="008D0D75" w:rsidRPr="003A6D69" w:rsidRDefault="008D0D75" w:rsidP="008D0D75">
      <w:pPr>
        <w:pStyle w:val="PwCNormal"/>
        <w:numPr>
          <w:ilvl w:val="0"/>
          <w:numId w:val="0"/>
        </w:numPr>
        <w:rPr>
          <w:b/>
        </w:rPr>
      </w:pPr>
      <w:r w:rsidRPr="003A6D69">
        <w:rPr>
          <w:b/>
        </w:rPr>
        <w:t>Theatre</w:t>
      </w:r>
    </w:p>
    <w:p w:rsidR="008D0D75" w:rsidRPr="003A6D69" w:rsidRDefault="008D0D75" w:rsidP="008D0D75">
      <w:pPr>
        <w:pStyle w:val="PwCNormal"/>
        <w:numPr>
          <w:ilvl w:val="0"/>
          <w:numId w:val="0"/>
        </w:numPr>
      </w:pPr>
      <w:r w:rsidRPr="003A6D69">
        <w:t xml:space="preserve">The </w:t>
      </w:r>
      <w:proofErr w:type="spellStart"/>
      <w:r w:rsidRPr="003A6D69">
        <w:t>Surginet</w:t>
      </w:r>
      <w:proofErr w:type="spellEnd"/>
      <w:r w:rsidRPr="003A6D69">
        <w:t xml:space="preserve"> feeder was not used in </w:t>
      </w:r>
      <w:r w:rsidR="006A194B">
        <w:t>Round 17</w:t>
      </w:r>
      <w:r w:rsidRPr="003A6D69">
        <w:t xml:space="preserve"> due to the identification of data discrepancies. </w:t>
      </w:r>
      <w:r>
        <w:t xml:space="preserve">Instead, </w:t>
      </w:r>
      <w:r w:rsidRPr="003A6D69">
        <w:t xml:space="preserve">MBS codes were used </w:t>
      </w:r>
      <w:r>
        <w:t>to determine weightings for different procedures for allocating surgical costs.</w:t>
      </w:r>
    </w:p>
    <w:p w:rsidR="008D0D75" w:rsidRPr="003A6D69" w:rsidRDefault="008D0D75" w:rsidP="008D0D75">
      <w:pPr>
        <w:pStyle w:val="PwCNormal"/>
        <w:numPr>
          <w:ilvl w:val="0"/>
          <w:numId w:val="0"/>
        </w:numPr>
        <w:rPr>
          <w:b/>
        </w:rPr>
      </w:pPr>
      <w:r w:rsidRPr="0060727C">
        <w:rPr>
          <w:b/>
        </w:rPr>
        <w:t>Ward Nursing</w:t>
      </w:r>
    </w:p>
    <w:p w:rsidR="008D0D75" w:rsidRPr="00637505" w:rsidRDefault="008D0D75" w:rsidP="008D0D75">
      <w:pPr>
        <w:pStyle w:val="PwCNormal"/>
        <w:numPr>
          <w:ilvl w:val="0"/>
          <w:numId w:val="0"/>
        </w:numPr>
        <w:spacing w:after="360"/>
      </w:pPr>
      <w:r w:rsidRPr="003A6D69">
        <w:t>Fractional bed days/</w:t>
      </w:r>
      <w:r w:rsidR="00EA1B8A" w:rsidRPr="003A6D69">
        <w:t>L</w:t>
      </w:r>
      <w:r w:rsidR="00EA1B8A">
        <w:t>O</w:t>
      </w:r>
      <w:r w:rsidR="00EA1B8A" w:rsidRPr="003A6D69">
        <w:t xml:space="preserve">S </w:t>
      </w:r>
      <w:r w:rsidRPr="003A6D69">
        <w:t>(derived fr</w:t>
      </w:r>
      <w:r>
        <w:t xml:space="preserve">om the ward transfer activities recorded </w:t>
      </w:r>
      <w:r w:rsidRPr="003A6D69">
        <w:t xml:space="preserve">in the hospital </w:t>
      </w:r>
      <w:r>
        <w:t>PAS) were used to allocate nursing (general ward, HDU and CCU) costs</w:t>
      </w:r>
      <w:r w:rsidRPr="003A6D69">
        <w:t>.</w:t>
      </w:r>
      <w:r>
        <w:t xml:space="preserve"> </w:t>
      </w:r>
    </w:p>
    <w:p w:rsidR="003A3791" w:rsidRDefault="003A3791" w:rsidP="003A3791">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23</w:t>
      </w:r>
      <w:r w:rsidR="008379DC">
        <w:rPr>
          <w:noProof/>
        </w:rPr>
        <w:fldChar w:fldCharType="end"/>
      </w:r>
      <w:r>
        <w:t xml:space="preserve">: </w:t>
      </w:r>
      <w:r w:rsidRPr="00221A9F">
        <w:t>Outcome of ward nursing feeder linking</w:t>
      </w:r>
    </w:p>
    <w:p w:rsidR="001F2669" w:rsidRDefault="008D0D75" w:rsidP="003149FF">
      <w:pPr>
        <w:pStyle w:val="PwCNormal"/>
        <w:numPr>
          <w:ilvl w:val="0"/>
          <w:numId w:val="0"/>
        </w:numPr>
      </w:pPr>
      <w:r w:rsidRPr="0060727C">
        <w:rPr>
          <w:noProof/>
          <w:lang w:eastAsia="en-AU"/>
        </w:rPr>
        <w:drawing>
          <wp:inline distT="0" distB="0" distL="0" distR="0" wp14:anchorId="35D7A3B9" wp14:editId="2CB0D357">
            <wp:extent cx="3398520" cy="3145790"/>
            <wp:effectExtent l="0" t="0" r="0" b="0"/>
            <wp:docPr id="21" name="Picture 21"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98520" cy="3145790"/>
                    </a:xfrm>
                    <a:prstGeom prst="rect">
                      <a:avLst/>
                    </a:prstGeom>
                    <a:noFill/>
                    <a:ln>
                      <a:noFill/>
                    </a:ln>
                  </pic:spPr>
                </pic:pic>
              </a:graphicData>
            </a:graphic>
          </wp:inline>
        </w:drawing>
      </w:r>
    </w:p>
    <w:p w:rsidR="008D0D75" w:rsidRPr="003A6D69" w:rsidRDefault="008D0D75" w:rsidP="00CE5EF2">
      <w:pPr>
        <w:pStyle w:val="Heading3"/>
      </w:pPr>
      <w:bookmarkStart w:id="57" w:name="_Toc396482164"/>
      <w:bookmarkStart w:id="58" w:name="_Ref402880189"/>
      <w:r w:rsidRPr="003A6D69">
        <w:t>The costed dataset</w:t>
      </w:r>
      <w:bookmarkEnd w:id="57"/>
      <w:bookmarkEnd w:id="58"/>
    </w:p>
    <w:p w:rsidR="008D0D75" w:rsidRPr="003A6D69" w:rsidRDefault="008D0D75" w:rsidP="008D0D75">
      <w:pPr>
        <w:pStyle w:val="PwCNormal"/>
        <w:numPr>
          <w:ilvl w:val="0"/>
          <w:numId w:val="0"/>
        </w:numPr>
        <w:rPr>
          <w:b/>
        </w:rPr>
      </w:pPr>
      <w:r w:rsidRPr="003A6D69">
        <w:rPr>
          <w:b/>
        </w:rPr>
        <w:t>QA process</w:t>
      </w:r>
    </w:p>
    <w:p w:rsidR="008D0D75" w:rsidRPr="003A6D69" w:rsidRDefault="00DC0A98" w:rsidP="00DC0A98">
      <w:pPr>
        <w:pStyle w:val="PwCNormal"/>
        <w:numPr>
          <w:ilvl w:val="0"/>
          <w:numId w:val="0"/>
        </w:numPr>
      </w:pPr>
      <w:r>
        <w:t xml:space="preserve">MNCLHD performs the same </w:t>
      </w:r>
      <w:r w:rsidR="002821F4">
        <w:t>state</w:t>
      </w:r>
      <w:r w:rsidR="00700789">
        <w:t xml:space="preserve"> </w:t>
      </w:r>
      <w:r w:rsidR="002821F4">
        <w:t>wide</w:t>
      </w:r>
      <w:r>
        <w:t xml:space="preserve"> QA processes as set out by NSW Health. Descriptions of these processes can be found in sections </w:t>
      </w:r>
      <w:r w:rsidR="000B189A">
        <w:fldChar w:fldCharType="begin"/>
      </w:r>
      <w:r w:rsidR="000B189A">
        <w:instrText xml:space="preserve"> REF _Ref402701590 \r \h </w:instrText>
      </w:r>
      <w:r w:rsidR="000B189A">
        <w:fldChar w:fldCharType="separate"/>
      </w:r>
      <w:r w:rsidR="00575DFC">
        <w:t>4.2.5</w:t>
      </w:r>
      <w:r w:rsidR="000B189A">
        <w:fldChar w:fldCharType="end"/>
      </w:r>
      <w:r>
        <w:t xml:space="preserve"> and </w:t>
      </w:r>
      <w:r>
        <w:fldChar w:fldCharType="begin"/>
      </w:r>
      <w:r>
        <w:instrText xml:space="preserve"> REF _Ref402880229 \r \h </w:instrText>
      </w:r>
      <w:r>
        <w:fldChar w:fldCharType="separate"/>
      </w:r>
      <w:r w:rsidR="00575DFC">
        <w:t>4.5.1</w:t>
      </w:r>
      <w:r>
        <w:fldChar w:fldCharType="end"/>
      </w:r>
      <w:r>
        <w:t>.</w:t>
      </w:r>
    </w:p>
    <w:p w:rsidR="008D0D75" w:rsidRPr="003A6D69" w:rsidRDefault="008D0D75" w:rsidP="008D0D75">
      <w:pPr>
        <w:pStyle w:val="PwCNormal"/>
        <w:numPr>
          <w:ilvl w:val="0"/>
          <w:numId w:val="0"/>
        </w:numPr>
        <w:rPr>
          <w:b/>
        </w:rPr>
      </w:pPr>
      <w:r w:rsidRPr="003A6D69">
        <w:rPr>
          <w:b/>
        </w:rPr>
        <w:t>Adjustments</w:t>
      </w:r>
    </w:p>
    <w:p w:rsidR="008D0D75" w:rsidRPr="003A6D69" w:rsidRDefault="008D0D75" w:rsidP="008D0D75">
      <w:pPr>
        <w:pStyle w:val="PwCNormal"/>
        <w:numPr>
          <w:ilvl w:val="0"/>
          <w:numId w:val="0"/>
        </w:numPr>
      </w:pPr>
      <w:r w:rsidRPr="003A6D69">
        <w:lastRenderedPageBreak/>
        <w:t xml:space="preserve">Adjustments to the dataset such as those required for WIP patients and other out of scope costs are made by the jurisdiction before submitting to IHPA. These adjustments have been outlined in </w:t>
      </w:r>
      <w:r w:rsidR="00F84A9F">
        <w:t xml:space="preserve">Section </w:t>
      </w:r>
      <w:r w:rsidR="007B2B15">
        <w:fldChar w:fldCharType="begin"/>
      </w:r>
      <w:r w:rsidR="007B2B15">
        <w:instrText xml:space="preserve"> REF _Ref402882259 \r \h </w:instrText>
      </w:r>
      <w:r w:rsidR="007B2B15">
        <w:fldChar w:fldCharType="separate"/>
      </w:r>
      <w:r w:rsidR="00575DFC">
        <w:t>4.5.2</w:t>
      </w:r>
      <w:r w:rsidR="007B2B15">
        <w:fldChar w:fldCharType="end"/>
      </w:r>
      <w:r w:rsidRPr="003A6D69">
        <w:t xml:space="preserve"> </w:t>
      </w:r>
      <w:r w:rsidR="007B2B15">
        <w:t>and explain the impact on both costs and activity.</w:t>
      </w:r>
    </w:p>
    <w:p w:rsidR="008D0D75" w:rsidRPr="003A6D69" w:rsidRDefault="008D0D75" w:rsidP="008D0D75">
      <w:pPr>
        <w:pStyle w:val="PwCNormal"/>
        <w:numPr>
          <w:ilvl w:val="0"/>
          <w:numId w:val="0"/>
        </w:numPr>
        <w:rPr>
          <w:b/>
        </w:rPr>
      </w:pPr>
      <w:r w:rsidRPr="003A6D69">
        <w:rPr>
          <w:b/>
        </w:rPr>
        <w:t>Work in progress (Item E)</w:t>
      </w:r>
    </w:p>
    <w:p w:rsidR="00C752BE" w:rsidRDefault="00C752BE" w:rsidP="008D0D75">
      <w:pPr>
        <w:pStyle w:val="PwCNormal"/>
        <w:numPr>
          <w:ilvl w:val="0"/>
          <w:numId w:val="0"/>
        </w:numPr>
      </w:pPr>
      <w:r>
        <w:t>The a</w:t>
      </w:r>
      <w:r w:rsidR="008D0D75" w:rsidRPr="003A6D69">
        <w:t xml:space="preserve">djustments </w:t>
      </w:r>
      <w:r>
        <w:t>that were</w:t>
      </w:r>
      <w:r w:rsidR="008D0D75" w:rsidRPr="003A6D69">
        <w:t xml:space="preserve"> made for patients whose stay at the hospital crosses the financial year</w:t>
      </w:r>
      <w:r>
        <w:t xml:space="preserve"> is consistent with approach taken at SLHD. Please see </w:t>
      </w:r>
      <w:r w:rsidR="00F84A9F">
        <w:t xml:space="preserve">Section </w:t>
      </w:r>
      <w:r w:rsidR="008379DC">
        <w:fldChar w:fldCharType="begin"/>
      </w:r>
      <w:r>
        <w:instrText xml:space="preserve"> REF _Ref402701590 \r \h </w:instrText>
      </w:r>
      <w:r w:rsidR="008379DC">
        <w:fldChar w:fldCharType="separate"/>
      </w:r>
      <w:r w:rsidR="00575DFC">
        <w:t>4.2.5</w:t>
      </w:r>
      <w:r w:rsidR="008379DC">
        <w:fldChar w:fldCharType="end"/>
      </w:r>
      <w:r>
        <w:t xml:space="preserve"> for more details.</w:t>
      </w:r>
    </w:p>
    <w:p w:rsidR="008D0D75" w:rsidRPr="003A6D69" w:rsidRDefault="008D0D75" w:rsidP="00CE5EF2">
      <w:pPr>
        <w:pStyle w:val="Heading3"/>
      </w:pPr>
      <w:bookmarkStart w:id="59" w:name="_Toc396482165"/>
      <w:r w:rsidRPr="003A6D69">
        <w:t>Sample patients</w:t>
      </w:r>
      <w:bookmarkEnd w:id="59"/>
    </w:p>
    <w:p w:rsidR="008D0D75" w:rsidRPr="003A6D69" w:rsidRDefault="002729CE" w:rsidP="008D0D75">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8D0D75" w:rsidRPr="003A6D69">
        <w:t>. The table below lists the results.</w:t>
      </w:r>
    </w:p>
    <w:p w:rsidR="003A3791" w:rsidRDefault="003A3791" w:rsidP="003A3791">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24</w:t>
      </w:r>
      <w:r w:rsidR="008379DC">
        <w:rPr>
          <w:noProof/>
        </w:rPr>
        <w:fldChar w:fldCharType="end"/>
      </w:r>
      <w:r>
        <w:t xml:space="preserve">: </w:t>
      </w:r>
      <w:r w:rsidRPr="00292406">
        <w:t>Sample patient reconciliation with IHPA</w:t>
      </w:r>
    </w:p>
    <w:p w:rsidR="002E6E70" w:rsidRDefault="002E6E70" w:rsidP="008D0D75">
      <w:pPr>
        <w:pStyle w:val="PwCNormal"/>
        <w:numPr>
          <w:ilvl w:val="0"/>
          <w:numId w:val="0"/>
        </w:numPr>
      </w:pPr>
      <w:r w:rsidRPr="002E6E70">
        <w:rPr>
          <w:noProof/>
          <w:lang w:eastAsia="en-AU"/>
        </w:rPr>
        <w:drawing>
          <wp:inline distT="0" distB="0" distL="0" distR="0" wp14:anchorId="77EC07F1" wp14:editId="34F9B112">
            <wp:extent cx="3718800" cy="968400"/>
            <wp:effectExtent l="0" t="0" r="0" b="3175"/>
            <wp:docPr id="5" name="Picture 5"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18800" cy="968400"/>
                    </a:xfrm>
                    <a:prstGeom prst="rect">
                      <a:avLst/>
                    </a:prstGeom>
                    <a:noFill/>
                    <a:ln>
                      <a:noFill/>
                    </a:ln>
                  </pic:spPr>
                </pic:pic>
              </a:graphicData>
            </a:graphic>
          </wp:inline>
        </w:drawing>
      </w:r>
    </w:p>
    <w:p w:rsidR="003A3791" w:rsidRDefault="008D0D75" w:rsidP="008D0D75">
      <w:pPr>
        <w:pStyle w:val="PwCNormal"/>
        <w:numPr>
          <w:ilvl w:val="0"/>
          <w:numId w:val="0"/>
        </w:numPr>
      </w:pPr>
      <w:r>
        <w:t>Variances between the jurisdiction’s records and the data received by IHPA were noted for two of the records sampled. For both of these records, the variance was 0.04% of the encounter cost.</w:t>
      </w:r>
    </w:p>
    <w:p w:rsidR="003A3791" w:rsidRDefault="003A3791">
      <w:pPr>
        <w:kinsoku/>
        <w:overflowPunct/>
        <w:autoSpaceDE/>
        <w:autoSpaceDN/>
        <w:adjustRightInd/>
        <w:snapToGrid/>
      </w:pPr>
      <w:r>
        <w:br w:type="page"/>
      </w:r>
    </w:p>
    <w:p w:rsidR="008D0D75" w:rsidRDefault="008D0D75" w:rsidP="008D0D75">
      <w:pPr>
        <w:pStyle w:val="Heading2"/>
        <w:spacing w:before="0" w:after="40"/>
      </w:pPr>
      <w:r>
        <w:lastRenderedPageBreak/>
        <w:t>South Western Sydney Local Health District</w:t>
      </w:r>
    </w:p>
    <w:p w:rsidR="008D0D75" w:rsidRPr="00D51442" w:rsidRDefault="008D0D75" w:rsidP="00CE5EF2">
      <w:pPr>
        <w:pStyle w:val="Heading3"/>
      </w:pPr>
      <w:bookmarkStart w:id="60" w:name="_Toc396481449"/>
      <w:r w:rsidRPr="00D51442">
        <w:t>Site overview</w:t>
      </w:r>
      <w:bookmarkEnd w:id="60"/>
    </w:p>
    <w:p w:rsidR="008D0D75" w:rsidRPr="00F51A2E" w:rsidRDefault="008D0D75" w:rsidP="008D0D75">
      <w:pPr>
        <w:pStyle w:val="PwCNormal"/>
        <w:spacing w:before="240"/>
        <w:rPr>
          <w:b/>
        </w:rPr>
      </w:pPr>
      <w:r>
        <w:t xml:space="preserve">The </w:t>
      </w:r>
      <w:r w:rsidR="00700789" w:rsidRPr="0063671A">
        <w:t>SWSLHD</w:t>
      </w:r>
      <w:r w:rsidR="00700789" w:rsidDel="00700789">
        <w:t xml:space="preserve"> </w:t>
      </w:r>
      <w:r>
        <w:t xml:space="preserve">operates six acute </w:t>
      </w:r>
      <w:r w:rsidR="002821F4">
        <w:t>hospitals, which</w:t>
      </w:r>
      <w:r>
        <w:t xml:space="preserve"> are Liverpool Hospital, Bankstown-Lidcombe Hospital, Bowral Hospital, Campbelltown Hospital, </w:t>
      </w:r>
      <w:r w:rsidR="002821F4">
        <w:t>Camden</w:t>
      </w:r>
      <w:r>
        <w:t xml:space="preserve"> Hospital, and Fairfield Hospital. Braeside Hospital is a sub</w:t>
      </w:r>
      <w:r w:rsidR="009353FA">
        <w:t>-</w:t>
      </w:r>
      <w:r>
        <w:t xml:space="preserve">acute facility. Of these facilities, Liverpool Hospital is the major health service for </w:t>
      </w:r>
      <w:r w:rsidR="00700789">
        <w:t xml:space="preserve">South Western </w:t>
      </w:r>
      <w:r w:rsidR="002821F4">
        <w:t>Sydney, which</w:t>
      </w:r>
      <w:r>
        <w:t xml:space="preserve"> provides </w:t>
      </w:r>
      <w:r w:rsidR="002821F4">
        <w:t>state</w:t>
      </w:r>
      <w:r w:rsidR="00700789">
        <w:t xml:space="preserve"> </w:t>
      </w:r>
      <w:r w:rsidR="002821F4">
        <w:t>wide</w:t>
      </w:r>
      <w:r>
        <w:t xml:space="preserve"> services in areas such as critical care and trauma, neonatal intensive care and brain injury rehabilitation.</w:t>
      </w:r>
    </w:p>
    <w:p w:rsidR="008D0D75" w:rsidRPr="00515C23" w:rsidRDefault="008D0D75" w:rsidP="008D0D75">
      <w:pPr>
        <w:pStyle w:val="PwCNormal"/>
        <w:spacing w:before="240"/>
        <w:rPr>
          <w:b/>
        </w:rPr>
      </w:pPr>
      <w:r>
        <w:t xml:space="preserve">The LHD also operates 14 community health centres providing a range of community based treatment, palliative care and rehabilitation services. SWSLHD provides coverage for seven Local Government Areas from Bankstown to </w:t>
      </w:r>
      <w:proofErr w:type="spellStart"/>
      <w:r w:rsidRPr="000D3513">
        <w:t>Wingecarribee</w:t>
      </w:r>
      <w:proofErr w:type="spellEnd"/>
      <w:r>
        <w:t xml:space="preserve">. SWSLHD services a rapidly growing and culturally diverse demographic of over 800,000 people. Its catchment area is diverse covering significant residential, suburban and rural areas that are experiencing rapid population growth. A large proportion of the population is culturally and linguistically diverse. </w:t>
      </w:r>
    </w:p>
    <w:p w:rsidR="008D0D75" w:rsidRPr="00F51A2E" w:rsidRDefault="008D0D75" w:rsidP="008D0D75">
      <w:pPr>
        <w:pStyle w:val="PwCNormal"/>
        <w:spacing w:before="240"/>
        <w:rPr>
          <w:b/>
        </w:rPr>
      </w:pPr>
      <w:r>
        <w:t>SWSLHD performs the costing function half yearly using the PPM2 costing software. Once the costing process is completed by the Performance Unit at SWSLHD, the cost and activity information is submitted to the Jurisdiction. The DNR is signed off by the LHD CEO for submission to the ABF Taskforce.</w:t>
      </w:r>
    </w:p>
    <w:p w:rsidR="008D0D75" w:rsidRPr="00C0455E" w:rsidRDefault="008D0D75" w:rsidP="008D0D75">
      <w:pPr>
        <w:pStyle w:val="PwCNormal"/>
        <w:rPr>
          <w:b/>
        </w:rPr>
      </w:pPr>
      <w:r>
        <w:t xml:space="preserve">The table below is a summary of costs beginning with total expenses from the </w:t>
      </w:r>
      <w:r w:rsidR="009353FA">
        <w:t>GL</w:t>
      </w:r>
      <w:r>
        <w:t xml:space="preserve"> through to the total costs submitted to IHPA with the various adjustments made during the process. </w:t>
      </w:r>
    </w:p>
    <w:p w:rsidR="003A3791" w:rsidRDefault="003A3791" w:rsidP="003A3791">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25</w:t>
      </w:r>
      <w:r w:rsidR="008379DC">
        <w:rPr>
          <w:noProof/>
        </w:rPr>
        <w:fldChar w:fldCharType="end"/>
      </w:r>
      <w:r>
        <w:t xml:space="preserve">: </w:t>
      </w:r>
      <w:r w:rsidRPr="0071013E">
        <w:t xml:space="preserve">Financial </w:t>
      </w:r>
      <w:r w:rsidR="000F4710">
        <w:t>o</w:t>
      </w:r>
      <w:r w:rsidR="000F4710" w:rsidRPr="0071013E">
        <w:t xml:space="preserve">verview </w:t>
      </w:r>
      <w:r w:rsidRPr="0071013E">
        <w:t xml:space="preserve">of </w:t>
      </w:r>
      <w:r>
        <w:t xml:space="preserve">South West Sydney </w:t>
      </w:r>
      <w:r w:rsidR="000F4710">
        <w:t>LHD</w:t>
      </w:r>
      <w:r w:rsidR="002C1CE6">
        <w:t>, FY 2012/13</w:t>
      </w:r>
    </w:p>
    <w:p w:rsidR="00E84CF1" w:rsidRPr="00AF30CD" w:rsidRDefault="00E84CF1" w:rsidP="00E84CF1">
      <w:pPr>
        <w:pStyle w:val="PwCNormal"/>
      </w:pPr>
      <w:r w:rsidRPr="00E84CF1">
        <w:rPr>
          <w:noProof/>
          <w:lang w:eastAsia="en-AU"/>
        </w:rPr>
        <w:drawing>
          <wp:inline distT="0" distB="0" distL="0" distR="0" wp14:anchorId="6A0AD76D" wp14:editId="3CF77346">
            <wp:extent cx="5216461" cy="4352925"/>
            <wp:effectExtent l="0" t="0" r="0" b="0"/>
            <wp:docPr id="119" name="Picture 119" descr="This table outlines the flow of cost movements from the $1.4bn in the general ledger through to the $984m submitted to IHPA." title="Financial overview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23978" cy="4359197"/>
                    </a:xfrm>
                    <a:prstGeom prst="rect">
                      <a:avLst/>
                    </a:prstGeom>
                    <a:noFill/>
                    <a:ln>
                      <a:noFill/>
                    </a:ln>
                  </pic:spPr>
                </pic:pic>
              </a:graphicData>
            </a:graphic>
          </wp:inline>
        </w:drawing>
      </w:r>
    </w:p>
    <w:p w:rsidR="008D0D75" w:rsidRPr="00DE22CA" w:rsidRDefault="00CB38E7" w:rsidP="00CE5EF2">
      <w:pPr>
        <w:pStyle w:val="Heading3"/>
      </w:pPr>
      <w:r>
        <w:lastRenderedPageBreak/>
        <w:t>Financial d</w:t>
      </w:r>
      <w:r w:rsidR="008D0D75" w:rsidRPr="00DE22CA">
        <w:t>ata</w:t>
      </w:r>
    </w:p>
    <w:p w:rsidR="008D0D75" w:rsidRPr="00DE22CA" w:rsidRDefault="00CA6711" w:rsidP="008D0D75">
      <w:pPr>
        <w:pStyle w:val="PwCNormal"/>
        <w:numPr>
          <w:ilvl w:val="0"/>
          <w:numId w:val="0"/>
        </w:numPr>
        <w:rPr>
          <w:b/>
        </w:rPr>
      </w:pPr>
      <w:r>
        <w:rPr>
          <w:b/>
        </w:rPr>
        <w:t xml:space="preserve">General </w:t>
      </w:r>
      <w:r w:rsidR="00CD308F">
        <w:rPr>
          <w:b/>
        </w:rPr>
        <w:t>L</w:t>
      </w:r>
      <w:r w:rsidR="008D0D75" w:rsidRPr="00D51442">
        <w:rPr>
          <w:b/>
        </w:rPr>
        <w:t>edger (Item A)</w:t>
      </w:r>
    </w:p>
    <w:p w:rsidR="008D0D75" w:rsidRDefault="008D0D75" w:rsidP="008D0D75">
      <w:pPr>
        <w:pStyle w:val="PwCNormal"/>
        <w:numPr>
          <w:ilvl w:val="0"/>
          <w:numId w:val="0"/>
        </w:numPr>
      </w:pPr>
      <w:r>
        <w:t xml:space="preserve">Financial statements are published at the LHD level in NSW. </w:t>
      </w:r>
      <w:r w:rsidRPr="00DE22CA">
        <w:t xml:space="preserve">The total expenses per the financial statements for FY 2012/13 were </w:t>
      </w:r>
      <w:r w:rsidRPr="00BD4211">
        <w:t>$1</w:t>
      </w:r>
      <w:r w:rsidR="008E7280">
        <w:t>.</w:t>
      </w:r>
      <w:r w:rsidRPr="00BD4211">
        <w:t>39</w:t>
      </w:r>
      <w:r w:rsidR="008E7280">
        <w:t xml:space="preserve"> </w:t>
      </w:r>
      <w:r>
        <w:t>b</w:t>
      </w:r>
      <w:r w:rsidR="008E7280">
        <w:t>illion</w:t>
      </w:r>
      <w:r w:rsidRPr="00DE22CA">
        <w:t xml:space="preserve">. </w:t>
      </w:r>
      <w:r>
        <w:t xml:space="preserve">A variance of $47,609 (which represents 0.003% of total expenses) was noted between total expenses per the financial statements and the </w:t>
      </w:r>
      <w:r w:rsidR="00CA6711">
        <w:t>GL</w:t>
      </w:r>
      <w:r>
        <w:t xml:space="preserve"> used for costing. This expense was related to Special Purpose Funds and not General Funds (GFs). As only GFs are allocated at a patient level, </w:t>
      </w:r>
      <w:r w:rsidR="000773A0">
        <w:t>there was no impact on the NHCDC</w:t>
      </w:r>
      <w:r>
        <w:t>.</w:t>
      </w:r>
      <w:r w:rsidR="007D34C5">
        <w:t xml:space="preserve"> Further, SWSLHD applies the same treatment of costs as SLHD. Please see </w:t>
      </w:r>
      <w:r w:rsidR="00F84A9F">
        <w:t xml:space="preserve">Section </w:t>
      </w:r>
      <w:r w:rsidR="007D34C5">
        <w:fldChar w:fldCharType="begin"/>
      </w:r>
      <w:r w:rsidR="007D34C5">
        <w:instrText xml:space="preserve"> REF _Ref402876403 \r \h </w:instrText>
      </w:r>
      <w:r w:rsidR="007D34C5">
        <w:fldChar w:fldCharType="separate"/>
      </w:r>
      <w:r w:rsidR="00575DFC">
        <w:t>4.2.2</w:t>
      </w:r>
      <w:r w:rsidR="007D34C5">
        <w:fldChar w:fldCharType="end"/>
      </w:r>
      <w:r w:rsidR="007D34C5">
        <w:t xml:space="preserve"> for more details on specific cost items identified and treatment by SWSLHD.</w:t>
      </w:r>
    </w:p>
    <w:p w:rsidR="008D0D75" w:rsidRPr="00DE22CA" w:rsidRDefault="008D0D75" w:rsidP="008D0D75">
      <w:pPr>
        <w:pStyle w:val="PwCNormal"/>
        <w:numPr>
          <w:ilvl w:val="0"/>
          <w:numId w:val="0"/>
        </w:numPr>
        <w:rPr>
          <w:b/>
        </w:rPr>
      </w:pPr>
      <w:r w:rsidRPr="005E0260">
        <w:rPr>
          <w:b/>
        </w:rPr>
        <w:t>Inclusions and exclusions (Item B)</w:t>
      </w:r>
    </w:p>
    <w:p w:rsidR="008D0D75" w:rsidRDefault="008D0D75" w:rsidP="008D0D75">
      <w:pPr>
        <w:pStyle w:val="PwCNormal"/>
        <w:numPr>
          <w:ilvl w:val="0"/>
          <w:numId w:val="0"/>
        </w:numPr>
      </w:pPr>
      <w:r w:rsidRPr="002B523F">
        <w:t>A total of $</w:t>
      </w:r>
      <w:r>
        <w:t>20.2</w:t>
      </w:r>
      <w:r w:rsidR="00597FBD">
        <w:t xml:space="preserve"> </w:t>
      </w:r>
      <w:r>
        <w:t>m</w:t>
      </w:r>
      <w:r w:rsidR="00597FBD">
        <w:t>illion</w:t>
      </w:r>
      <w:r w:rsidRPr="002B523F">
        <w:t xml:space="preserve"> </w:t>
      </w:r>
      <w:r>
        <w:t>was</w:t>
      </w:r>
      <w:r w:rsidRPr="002B523F">
        <w:t xml:space="preserve"> added to the extracted </w:t>
      </w:r>
      <w:r w:rsidR="00CA6711">
        <w:t>GL</w:t>
      </w:r>
      <w:r w:rsidRPr="002B523F">
        <w:t xml:space="preserve"> before uploading the total hospital costs into the costing system. Th</w:t>
      </w:r>
      <w:r>
        <w:t>is included medical indemnity costs</w:t>
      </w:r>
      <w:r w:rsidR="00597FBD">
        <w:t>,</w:t>
      </w:r>
      <w:r>
        <w:t xml:space="preserve"> which amounted to </w:t>
      </w:r>
      <w:r w:rsidRPr="00D83C84">
        <w:t>$</w:t>
      </w:r>
      <w:r>
        <w:t>20.5</w:t>
      </w:r>
      <w:r w:rsidR="00597FBD">
        <w:t xml:space="preserve"> </w:t>
      </w:r>
      <w:r>
        <w:t>m</w:t>
      </w:r>
      <w:r w:rsidR="00597FBD">
        <w:t>illion</w:t>
      </w:r>
      <w:r w:rsidR="009A6065">
        <w:t xml:space="preserve"> and a negative adjustment of $0.3</w:t>
      </w:r>
      <w:r w:rsidR="00597FBD">
        <w:t xml:space="preserve"> </w:t>
      </w:r>
      <w:r w:rsidR="009A6065">
        <w:t>m</w:t>
      </w:r>
      <w:r w:rsidR="00597FBD">
        <w:t>illion</w:t>
      </w:r>
      <w:r w:rsidR="009A6065">
        <w:t xml:space="preserve"> for the </w:t>
      </w:r>
      <w:r w:rsidR="00D55CF5">
        <w:t>transfer of costs related to shared services with another LHD</w:t>
      </w:r>
      <w:r>
        <w:t>.</w:t>
      </w:r>
      <w:r w:rsidR="000773A0">
        <w:t xml:space="preserve"> </w:t>
      </w:r>
      <w:r w:rsidRPr="007309FB">
        <w:t xml:space="preserve">These values were calculated and provided by the Ministry of Health for inclusion into the </w:t>
      </w:r>
      <w:r w:rsidR="00CA6711">
        <w:t>GL</w:t>
      </w:r>
      <w:r w:rsidRPr="007309FB">
        <w:t xml:space="preserve"> for costing</w:t>
      </w:r>
      <w:r>
        <w:t xml:space="preserve"> to comply with the AHPCS</w:t>
      </w:r>
      <w:r w:rsidRPr="007309FB">
        <w:t>. No exclusion</w:t>
      </w:r>
      <w:r>
        <w:t xml:space="preserve">s were made for </w:t>
      </w:r>
      <w:r w:rsidR="006A194B">
        <w:t>Round 17</w:t>
      </w:r>
      <w:r w:rsidRPr="007309FB">
        <w:t xml:space="preserve">. </w:t>
      </w:r>
    </w:p>
    <w:p w:rsidR="008D0D75" w:rsidRPr="00DE22CA" w:rsidRDefault="008D0D75" w:rsidP="008D0D75">
      <w:pPr>
        <w:pStyle w:val="PwCNormal"/>
        <w:numPr>
          <w:ilvl w:val="0"/>
          <w:numId w:val="0"/>
        </w:numPr>
        <w:rPr>
          <w:b/>
        </w:rPr>
      </w:pPr>
      <w:r w:rsidRPr="005E0260">
        <w:rPr>
          <w:b/>
        </w:rPr>
        <w:t>Allocation of overheads (Item C)</w:t>
      </w:r>
    </w:p>
    <w:p w:rsidR="008D0D75" w:rsidRPr="00DE22CA" w:rsidRDefault="008D0D75" w:rsidP="008D0D75">
      <w:pPr>
        <w:pStyle w:val="PwCNormal"/>
        <w:numPr>
          <w:ilvl w:val="0"/>
          <w:numId w:val="0"/>
        </w:numPr>
      </w:pPr>
      <w:r>
        <w:t xml:space="preserve">Overheads are allocated based on allocation statistic guidance provided by the Ministry. Following the classification of cost centres, an appropriate allocation statistic such as number of FTEs or bed days is selected in accordance with the AHPCs. </w:t>
      </w:r>
      <w:r w:rsidR="000773A0">
        <w:t>Total o</w:t>
      </w:r>
      <w:r>
        <w:t>verhead costs for SWSLHD amounted to $349</w:t>
      </w:r>
      <w:r w:rsidR="00D04304">
        <w:t>.</w:t>
      </w:r>
      <w:r>
        <w:t>1</w:t>
      </w:r>
      <w:r w:rsidR="008E7280">
        <w:t xml:space="preserve"> million</w:t>
      </w:r>
      <w:r>
        <w:t>, which represents 24% of total costs.</w:t>
      </w:r>
    </w:p>
    <w:p w:rsidR="008D0D75" w:rsidRDefault="008D0D75" w:rsidP="008D0D75">
      <w:pPr>
        <w:pStyle w:val="PwCNormal"/>
        <w:numPr>
          <w:ilvl w:val="0"/>
          <w:numId w:val="0"/>
        </w:numPr>
        <w:rPr>
          <w:b/>
        </w:rPr>
      </w:pPr>
      <w:r w:rsidRPr="00CF6B3B">
        <w:rPr>
          <w:b/>
        </w:rPr>
        <w:t>Distribution of costs between hospital products (Item D)</w:t>
      </w:r>
    </w:p>
    <w:p w:rsidR="00D04304" w:rsidRDefault="008D0D75" w:rsidP="00D04304">
      <w:pPr>
        <w:pStyle w:val="PwCNormal"/>
        <w:numPr>
          <w:ilvl w:val="0"/>
          <w:numId w:val="0"/>
        </w:numPr>
      </w:pPr>
      <w:r>
        <w:t xml:space="preserve">PFRACS were used in </w:t>
      </w:r>
      <w:r w:rsidR="006A194B">
        <w:t>Round 17</w:t>
      </w:r>
      <w:r>
        <w:t xml:space="preserve"> for cost centres that provided services to more than one hospital product. After classifying cost centres based on the services provided, the costing staff consulted with the business managers and the finance director of each facility to determine an appropriate allocation proportion between the hospital products. </w:t>
      </w:r>
      <w:r w:rsidR="00907EFA">
        <w:t>This happens for each cycle of the DNR preparation which is six monthly</w:t>
      </w:r>
      <w:r w:rsidR="00D04304">
        <w:t>.</w:t>
      </w:r>
    </w:p>
    <w:p w:rsidR="008D0D75" w:rsidRPr="004E0B72" w:rsidRDefault="008D0D75" w:rsidP="00CE5EF2">
      <w:pPr>
        <w:pStyle w:val="Heading3"/>
      </w:pPr>
      <w:r>
        <w:t>Activity information and costing methodology</w:t>
      </w:r>
    </w:p>
    <w:p w:rsidR="008D0D75" w:rsidRPr="002449AB" w:rsidRDefault="008D0D75" w:rsidP="008D0D75">
      <w:pPr>
        <w:pStyle w:val="PwCNormal"/>
        <w:numPr>
          <w:ilvl w:val="0"/>
          <w:numId w:val="0"/>
        </w:numPr>
        <w:rPr>
          <w:b/>
        </w:rPr>
      </w:pPr>
      <w:r>
        <w:rPr>
          <w:b/>
        </w:rPr>
        <w:t>Overview</w:t>
      </w:r>
    </w:p>
    <w:p w:rsidR="00700789" w:rsidRDefault="008D0D75" w:rsidP="00A856DC">
      <w:pPr>
        <w:pStyle w:val="PwCNormal"/>
        <w:numPr>
          <w:ilvl w:val="0"/>
          <w:numId w:val="0"/>
        </w:numPr>
      </w:pPr>
      <w:r>
        <w:t>A number of feeder systems are used across the LHD to allocate costs to patients across all care settings. The table below outlines the costing methodology fo</w:t>
      </w:r>
      <w:r w:rsidR="00ED1512">
        <w:t>r the various hospital products.</w:t>
      </w:r>
      <w:r w:rsidR="00700789">
        <w:br w:type="page"/>
      </w:r>
    </w:p>
    <w:p w:rsidR="00ED1512" w:rsidRDefault="00ED1512" w:rsidP="00ED1512">
      <w:pPr>
        <w:pStyle w:val="Caption"/>
      </w:pPr>
      <w:r>
        <w:lastRenderedPageBreak/>
        <w:t xml:space="preserve">Table </w:t>
      </w:r>
      <w:r w:rsidR="008379DC">
        <w:fldChar w:fldCharType="begin"/>
      </w:r>
      <w:r w:rsidR="009E64DF">
        <w:instrText xml:space="preserve"> SEQ Table \* ARABIC </w:instrText>
      </w:r>
      <w:r w:rsidR="008379DC">
        <w:fldChar w:fldCharType="separate"/>
      </w:r>
      <w:r w:rsidR="00575DFC">
        <w:rPr>
          <w:noProof/>
        </w:rPr>
        <w:t>26</w:t>
      </w:r>
      <w:r w:rsidR="008379DC">
        <w:rPr>
          <w:noProof/>
        </w:rPr>
        <w:fldChar w:fldCharType="end"/>
      </w:r>
      <w:r>
        <w:t xml:space="preserve">: </w:t>
      </w:r>
      <w:r w:rsidRPr="00AF188F">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8D0D75" w:rsidTr="008D0D7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8D0D75" w:rsidRPr="005C0217" w:rsidRDefault="008D0D75" w:rsidP="008D0D75">
            <w:pPr>
              <w:pStyle w:val="PwCNormal"/>
              <w:numPr>
                <w:ilvl w:val="0"/>
                <w:numId w:val="0"/>
              </w:numPr>
              <w:rPr>
                <w:b/>
              </w:rPr>
            </w:pPr>
            <w:r w:rsidRPr="005C0217">
              <w:rPr>
                <w:b/>
              </w:rPr>
              <w:t>Hospital product</w:t>
            </w:r>
          </w:p>
        </w:tc>
        <w:tc>
          <w:tcPr>
            <w:tcW w:w="6237" w:type="dxa"/>
          </w:tcPr>
          <w:p w:rsidR="008D0D75" w:rsidRPr="005C0217" w:rsidRDefault="008D0D75" w:rsidP="008D0D75">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5C0217">
              <w:rPr>
                <w:b/>
              </w:rPr>
              <w:t>Allocation overview</w:t>
            </w:r>
          </w:p>
        </w:tc>
      </w:tr>
      <w:tr w:rsidR="008D0D75" w:rsidTr="008D0D75">
        <w:tc>
          <w:tcPr>
            <w:tcW w:w="2376" w:type="dxa"/>
          </w:tcPr>
          <w:p w:rsidR="008D0D75" w:rsidRPr="002D1334" w:rsidRDefault="008D0D75" w:rsidP="008D0D75">
            <w:pPr>
              <w:pStyle w:val="PwCNormal"/>
              <w:numPr>
                <w:ilvl w:val="0"/>
                <w:numId w:val="0"/>
              </w:numPr>
              <w:rPr>
                <w:highlight w:val="yellow"/>
              </w:rPr>
            </w:pPr>
            <w:r w:rsidRPr="005C0217">
              <w:t xml:space="preserve">Inpatient </w:t>
            </w:r>
            <w:r w:rsidRPr="005C0217">
              <w:br/>
              <w:t xml:space="preserve">(acute and </w:t>
            </w:r>
            <w:r w:rsidR="006A7030">
              <w:t>sub-acute</w:t>
            </w:r>
            <w:r w:rsidRPr="005C0217">
              <w:t>)</w:t>
            </w:r>
          </w:p>
        </w:tc>
        <w:tc>
          <w:tcPr>
            <w:tcW w:w="6237" w:type="dxa"/>
          </w:tcPr>
          <w:p w:rsidR="008D0D75" w:rsidRPr="005C0217" w:rsidRDefault="008D0D75" w:rsidP="008D0D75">
            <w:pPr>
              <w:pStyle w:val="PwCNormal"/>
              <w:numPr>
                <w:ilvl w:val="0"/>
                <w:numId w:val="0"/>
              </w:numPr>
            </w:pPr>
            <w:r w:rsidRPr="005C0217">
              <w:t xml:space="preserve">Inpatients are allocated costs using various feeder </w:t>
            </w:r>
            <w:r w:rsidR="002821F4" w:rsidRPr="005C0217">
              <w:t>systems, which</w:t>
            </w:r>
            <w:r w:rsidRPr="005C0217">
              <w:t xml:space="preserve"> indicate consumption of hospital resources or services. </w:t>
            </w:r>
            <w:r>
              <w:t>Acute patients are classified under AR-DRG and sub-acute patients under AN-SNAP.</w:t>
            </w:r>
          </w:p>
          <w:p w:rsidR="008D0D75" w:rsidRDefault="008D0D75" w:rsidP="008D0D75">
            <w:pPr>
              <w:pStyle w:val="PwCNormal"/>
              <w:numPr>
                <w:ilvl w:val="0"/>
                <w:numId w:val="0"/>
              </w:numPr>
            </w:pPr>
            <w:r w:rsidRPr="0031383B">
              <w:t xml:space="preserve">Non-surgical medical costs, critical care and nursing costs </w:t>
            </w:r>
            <w:r>
              <w:t>are</w:t>
            </w:r>
            <w:r w:rsidRPr="0031383B">
              <w:t xml:space="preserve"> allocated </w:t>
            </w:r>
            <w:r>
              <w:t xml:space="preserve">using patients </w:t>
            </w:r>
            <w:r w:rsidRPr="0031383B">
              <w:t>LOS</w:t>
            </w:r>
            <w:r>
              <w:t xml:space="preserve"> (fractional day/hours)</w:t>
            </w:r>
            <w:r w:rsidRPr="0031383B">
              <w:t xml:space="preserve"> in a ward</w:t>
            </w:r>
            <w:r>
              <w:t xml:space="preserve">. Fractional bed days/LOS are </w:t>
            </w:r>
            <w:r w:rsidRPr="0031383B">
              <w:t>derived from</w:t>
            </w:r>
            <w:r>
              <w:t xml:space="preserve"> the ward transfer activities recorded in the hospital PAS.</w:t>
            </w:r>
          </w:p>
          <w:p w:rsidR="008D0D75" w:rsidRDefault="008D0D75" w:rsidP="008D0D75">
            <w:pPr>
              <w:pStyle w:val="PwCNormal"/>
              <w:numPr>
                <w:ilvl w:val="0"/>
                <w:numId w:val="0"/>
              </w:numPr>
            </w:pPr>
            <w:r w:rsidRPr="004F5B04">
              <w:t>The actual c</w:t>
            </w:r>
            <w:r>
              <w:t>harge</w:t>
            </w:r>
            <w:r w:rsidRPr="004F5B04">
              <w:t xml:space="preserve"> of pathology tests </w:t>
            </w:r>
            <w:r>
              <w:t>are utilised (using Cerner billing information) for allocating pathology costs. Standard costs from Cerner imaging system (Cerner – RIS) are used to allocate imaging costs to patient.</w:t>
            </w:r>
          </w:p>
          <w:p w:rsidR="008D0D75" w:rsidRDefault="008D0D75" w:rsidP="008D0D75">
            <w:pPr>
              <w:pStyle w:val="PwCNormal"/>
              <w:numPr>
                <w:ilvl w:val="0"/>
                <w:numId w:val="0"/>
              </w:numPr>
            </w:pPr>
            <w:r>
              <w:t xml:space="preserve">In </w:t>
            </w:r>
            <w:r w:rsidR="006A194B">
              <w:t>Round 17</w:t>
            </w:r>
            <w:r>
              <w:t>, service weights were used to allocate pharmacy</w:t>
            </w:r>
            <w:r w:rsidRPr="00B45BDB">
              <w:t xml:space="preserve"> </w:t>
            </w:r>
            <w:r>
              <w:t xml:space="preserve">costs to patients. SWSLHD team also noted some challenges with the implementation of </w:t>
            </w:r>
            <w:proofErr w:type="spellStart"/>
            <w:r>
              <w:t>Surginet</w:t>
            </w:r>
            <w:proofErr w:type="spellEnd"/>
            <w:r>
              <w:t xml:space="preserve"> theatre management system. As a result, service weights were used for allocating theatre and surgical implants/prostheses costs.</w:t>
            </w:r>
          </w:p>
          <w:p w:rsidR="008D0D75" w:rsidRPr="002D1334" w:rsidRDefault="008D0D75" w:rsidP="008D0D75">
            <w:pPr>
              <w:pStyle w:val="PwCNormal"/>
              <w:numPr>
                <w:ilvl w:val="0"/>
                <w:numId w:val="0"/>
              </w:numPr>
              <w:rPr>
                <w:highlight w:val="yellow"/>
              </w:rPr>
            </w:pPr>
            <w:r w:rsidRPr="0031383B">
              <w:t xml:space="preserve">Admitted </w:t>
            </w:r>
            <w:r w:rsidR="006A7030">
              <w:t>sub-acute</w:t>
            </w:r>
            <w:r w:rsidRPr="0031383B">
              <w:t xml:space="preserve"> patients are costed using the same costing methodology as other hospital services</w:t>
            </w:r>
            <w:r>
              <w:t>.</w:t>
            </w:r>
          </w:p>
        </w:tc>
      </w:tr>
      <w:tr w:rsidR="008D0D75" w:rsidTr="008D0D75">
        <w:tc>
          <w:tcPr>
            <w:tcW w:w="2376" w:type="dxa"/>
          </w:tcPr>
          <w:p w:rsidR="008D0D75" w:rsidRPr="002D1334" w:rsidRDefault="008D0D75" w:rsidP="008D0D75">
            <w:pPr>
              <w:pStyle w:val="PwCNormal"/>
              <w:numPr>
                <w:ilvl w:val="0"/>
                <w:numId w:val="0"/>
              </w:numPr>
              <w:rPr>
                <w:highlight w:val="yellow"/>
              </w:rPr>
            </w:pPr>
            <w:r w:rsidRPr="005C0217">
              <w:t>Emergency Department</w:t>
            </w:r>
            <w:r w:rsidR="002D75A8">
              <w:t xml:space="preserve"> (ED)</w:t>
            </w:r>
          </w:p>
        </w:tc>
        <w:tc>
          <w:tcPr>
            <w:tcW w:w="6237" w:type="dxa"/>
          </w:tcPr>
          <w:p w:rsidR="008D0D75" w:rsidRPr="002D1334" w:rsidRDefault="002D75A8" w:rsidP="002D75A8">
            <w:pPr>
              <w:pStyle w:val="PwCNormal"/>
              <w:numPr>
                <w:ilvl w:val="0"/>
                <w:numId w:val="0"/>
              </w:numPr>
              <w:rPr>
                <w:highlight w:val="yellow"/>
              </w:rPr>
            </w:pPr>
            <w:r>
              <w:t xml:space="preserve">ED costs are allocated using duration weighted for triage and mode of separation. </w:t>
            </w:r>
            <w:r w:rsidR="008D0D75">
              <w:t>ED encounters are allocated costs using feeder systems such as pathology and imaging.</w:t>
            </w:r>
          </w:p>
        </w:tc>
      </w:tr>
      <w:tr w:rsidR="008D0D75" w:rsidTr="008D0D75">
        <w:tc>
          <w:tcPr>
            <w:tcW w:w="2376" w:type="dxa"/>
          </w:tcPr>
          <w:p w:rsidR="008D0D75" w:rsidRPr="005C0217" w:rsidRDefault="008D0D75" w:rsidP="008D0D75">
            <w:pPr>
              <w:pStyle w:val="PwCNormal"/>
              <w:numPr>
                <w:ilvl w:val="0"/>
                <w:numId w:val="0"/>
              </w:numPr>
            </w:pPr>
            <w:r w:rsidRPr="005C0217">
              <w:t>Outpatients</w:t>
            </w:r>
          </w:p>
        </w:tc>
        <w:tc>
          <w:tcPr>
            <w:tcW w:w="6237" w:type="dxa"/>
          </w:tcPr>
          <w:p w:rsidR="00C752BE" w:rsidRDefault="00C752BE" w:rsidP="008D0D75">
            <w:pPr>
              <w:pStyle w:val="PwCNormal"/>
              <w:numPr>
                <w:ilvl w:val="0"/>
                <w:numId w:val="0"/>
              </w:numPr>
            </w:pPr>
            <w:r>
              <w:t xml:space="preserve">All </w:t>
            </w:r>
            <w:r w:rsidR="002D75A8">
              <w:t xml:space="preserve">outpatient </w:t>
            </w:r>
            <w:r>
              <w:t>services are assigned a Tier 2 class. O</w:t>
            </w:r>
            <w:r w:rsidRPr="003A6D69">
              <w:t xml:space="preserve">utpatients are costed using PFRACS developed for cost centres following consultation from business managers. </w:t>
            </w:r>
            <w:r>
              <w:t>Costs are allocated using occasion of service level data and then reported a</w:t>
            </w:r>
            <w:r w:rsidR="000B189A">
              <w:t>t the service event level.</w:t>
            </w:r>
          </w:p>
          <w:p w:rsidR="008D0D75" w:rsidRPr="00847E40" w:rsidRDefault="008D0D75" w:rsidP="008D0D75">
            <w:pPr>
              <w:pStyle w:val="PwCNormal"/>
              <w:numPr>
                <w:ilvl w:val="0"/>
                <w:numId w:val="0"/>
              </w:numPr>
            </w:pPr>
            <w:r>
              <w:t xml:space="preserve">However, due to limited data availability, only 17 clinics had patient level data for the full 12 months. The remainder of </w:t>
            </w:r>
            <w:r w:rsidR="002821F4">
              <w:t>non-admitted</w:t>
            </w:r>
            <w:r>
              <w:t xml:space="preserve"> patient activity was costed as aggregate activity.</w:t>
            </w:r>
          </w:p>
        </w:tc>
      </w:tr>
      <w:tr w:rsidR="008D0D75" w:rsidTr="008D0D75">
        <w:tc>
          <w:tcPr>
            <w:tcW w:w="2376" w:type="dxa"/>
          </w:tcPr>
          <w:p w:rsidR="008D0D75" w:rsidRPr="005C0217" w:rsidRDefault="008D0D75" w:rsidP="008D0D75">
            <w:pPr>
              <w:pStyle w:val="PwCNormal"/>
              <w:numPr>
                <w:ilvl w:val="0"/>
                <w:numId w:val="0"/>
              </w:numPr>
            </w:pPr>
            <w:r w:rsidRPr="005C0217">
              <w:t>Mental Health</w:t>
            </w:r>
          </w:p>
        </w:tc>
        <w:tc>
          <w:tcPr>
            <w:tcW w:w="6237" w:type="dxa"/>
          </w:tcPr>
          <w:p w:rsidR="008D0D75" w:rsidRPr="002D1334" w:rsidRDefault="008D0D75" w:rsidP="008D0D75">
            <w:pPr>
              <w:pStyle w:val="PwCNormal"/>
              <w:numPr>
                <w:ilvl w:val="0"/>
                <w:numId w:val="0"/>
              </w:numPr>
              <w:rPr>
                <w:highlight w:val="yellow"/>
              </w:rPr>
            </w:pPr>
            <w:r w:rsidRPr="009E3215">
              <w:t>Mental health patients are costed according to the same methodology as acute and sub-acute inpatients. All overheads including overhead costs from mental health cost centres are grouped into facility overheads and allocated to patient care areas including mental health services.</w:t>
            </w:r>
          </w:p>
        </w:tc>
      </w:tr>
      <w:tr w:rsidR="008D0D75" w:rsidTr="008D0D75">
        <w:tc>
          <w:tcPr>
            <w:tcW w:w="2376" w:type="dxa"/>
          </w:tcPr>
          <w:p w:rsidR="008D0D75" w:rsidRPr="005C0217" w:rsidRDefault="008D0D75" w:rsidP="008D0D75">
            <w:pPr>
              <w:pStyle w:val="PwCNormal"/>
              <w:numPr>
                <w:ilvl w:val="0"/>
                <w:numId w:val="0"/>
              </w:numPr>
            </w:pPr>
            <w:r w:rsidRPr="005C0217">
              <w:t>Teaching, training and research</w:t>
            </w:r>
          </w:p>
        </w:tc>
        <w:tc>
          <w:tcPr>
            <w:tcW w:w="6237" w:type="dxa"/>
          </w:tcPr>
          <w:p w:rsidR="008D0D75" w:rsidRPr="00CA1211" w:rsidRDefault="008D0D75" w:rsidP="008D0D75">
            <w:pPr>
              <w:pStyle w:val="PwCNormal"/>
              <w:numPr>
                <w:ilvl w:val="0"/>
                <w:numId w:val="0"/>
              </w:numPr>
            </w:pPr>
            <w:r w:rsidRPr="00CA1211">
              <w:t>Cost centres that perform direct teaching, training and research activities are mapped as such. On top of these costs are any costs from cost centres where the business manager fractioned out (during the PFRAC process) any costs related to direct training or research.</w:t>
            </w:r>
            <w:r>
              <w:t xml:space="preserve"> This was reviewed by external contractors.</w:t>
            </w:r>
          </w:p>
          <w:p w:rsidR="008D0D75" w:rsidRPr="002D1334" w:rsidRDefault="008D0D75" w:rsidP="008D0D75">
            <w:pPr>
              <w:pStyle w:val="PwCNormal"/>
              <w:numPr>
                <w:ilvl w:val="0"/>
                <w:numId w:val="0"/>
              </w:numPr>
              <w:rPr>
                <w:highlight w:val="yellow"/>
              </w:rPr>
            </w:pPr>
            <w:r w:rsidRPr="00CA1211">
              <w:t xml:space="preserve">These costs are costed to a virtual patient in the costing system and are not submitted to IHPA. </w:t>
            </w:r>
          </w:p>
        </w:tc>
      </w:tr>
      <w:tr w:rsidR="008D0D75" w:rsidTr="008D0D75">
        <w:tc>
          <w:tcPr>
            <w:tcW w:w="2376" w:type="dxa"/>
          </w:tcPr>
          <w:p w:rsidR="008D0D75" w:rsidRPr="005C0217" w:rsidRDefault="008D0D75" w:rsidP="008D0D75">
            <w:pPr>
              <w:pStyle w:val="PwCNormal"/>
              <w:numPr>
                <w:ilvl w:val="0"/>
                <w:numId w:val="0"/>
              </w:numPr>
            </w:pPr>
            <w:r w:rsidRPr="005C0217">
              <w:t>Other</w:t>
            </w:r>
          </w:p>
        </w:tc>
        <w:tc>
          <w:tcPr>
            <w:tcW w:w="6237" w:type="dxa"/>
          </w:tcPr>
          <w:p w:rsidR="008D0D75" w:rsidRPr="002D1334" w:rsidRDefault="008D0D75" w:rsidP="008D0D75">
            <w:pPr>
              <w:pStyle w:val="PwCNormal"/>
              <w:numPr>
                <w:ilvl w:val="0"/>
                <w:numId w:val="0"/>
              </w:numPr>
              <w:rPr>
                <w:highlight w:val="yellow"/>
              </w:rPr>
            </w:pPr>
            <w:r w:rsidRPr="00CA1211">
              <w:t xml:space="preserve">Organ procurement and boarder costs </w:t>
            </w:r>
            <w:r>
              <w:t xml:space="preserve">are costed as part of the </w:t>
            </w:r>
            <w:r>
              <w:lastRenderedPageBreak/>
              <w:t>DNR</w:t>
            </w:r>
            <w:r w:rsidRPr="005A1647">
              <w:t>.</w:t>
            </w:r>
          </w:p>
        </w:tc>
      </w:tr>
    </w:tbl>
    <w:p w:rsidR="008D0D75" w:rsidRPr="004E0B72" w:rsidRDefault="008D0D75" w:rsidP="00CE5EF2">
      <w:pPr>
        <w:pStyle w:val="Heading3"/>
      </w:pPr>
      <w:r>
        <w:lastRenderedPageBreak/>
        <w:t>Feeder data for sample areas</w:t>
      </w:r>
    </w:p>
    <w:p w:rsidR="008D0D75" w:rsidRPr="002449AB" w:rsidRDefault="008D0D75" w:rsidP="008D0D75">
      <w:pPr>
        <w:pStyle w:val="PwCNormal"/>
        <w:numPr>
          <w:ilvl w:val="0"/>
          <w:numId w:val="0"/>
        </w:numPr>
        <w:rPr>
          <w:b/>
        </w:rPr>
      </w:pPr>
      <w:r>
        <w:rPr>
          <w:b/>
        </w:rPr>
        <w:t>Overview</w:t>
      </w:r>
    </w:p>
    <w:p w:rsidR="008D0D75" w:rsidRDefault="00D04304" w:rsidP="00F20521">
      <w:pPr>
        <w:kinsoku/>
        <w:overflowPunct/>
        <w:autoSpaceDE/>
        <w:autoSpaceDN/>
        <w:adjustRightInd/>
        <w:snapToGrid/>
        <w:rPr>
          <w:b/>
        </w:rPr>
      </w:pPr>
      <w:r>
        <w:t>As part of the costing process</w:t>
      </w:r>
      <w:r w:rsidR="00907EFA">
        <w:t>,</w:t>
      </w:r>
      <w:r>
        <w:t xml:space="preserve"> differ</w:t>
      </w:r>
      <w:r w:rsidR="00907EFA">
        <w:t>ing</w:t>
      </w:r>
      <w:r>
        <w:t xml:space="preserve"> methodologies </w:t>
      </w:r>
      <w:r w:rsidR="00907EFA">
        <w:t xml:space="preserve">are </w:t>
      </w:r>
      <w:r>
        <w:t xml:space="preserve">utilised to allocate costs to a patient level. The recommended methodology in the AHPCS is using a feeder </w:t>
      </w:r>
      <w:r w:rsidR="002821F4">
        <w:t>system, which</w:t>
      </w:r>
      <w:r>
        <w:t xml:space="preserve"> uses direct patient activity data to allocate costs; however if this is not available then service weights or RVUs could be used. </w:t>
      </w:r>
      <w:r w:rsidR="008D0D75" w:rsidRPr="002D50FF">
        <w:t xml:space="preserve">A variety of methods are used to allocate costs at </w:t>
      </w:r>
      <w:r w:rsidR="008D0D75">
        <w:t>SWSLHD</w:t>
      </w:r>
      <w:r w:rsidR="008D0D75" w:rsidRPr="002D50FF">
        <w:t xml:space="preserve"> including the following areas: imaging, pathology, emergency department, outpatient clinic, and blood </w:t>
      </w:r>
      <w:proofErr w:type="spellStart"/>
      <w:r w:rsidR="008D0D75" w:rsidRPr="002D50FF">
        <w:t>produc</w:t>
      </w:r>
      <w:r w:rsidR="00A856DC">
        <w:t>ts.</w:t>
      </w:r>
      <w:r w:rsidR="008D0D75">
        <w:rPr>
          <w:b/>
        </w:rPr>
        <w:t>Pharmacy</w:t>
      </w:r>
      <w:proofErr w:type="spellEnd"/>
    </w:p>
    <w:p w:rsidR="008D0D75" w:rsidRPr="00937581" w:rsidRDefault="002821F4" w:rsidP="008D0D75">
      <w:pPr>
        <w:pStyle w:val="PwCNormal"/>
        <w:numPr>
          <w:ilvl w:val="0"/>
          <w:numId w:val="0"/>
        </w:numPr>
      </w:pPr>
      <w:r w:rsidRPr="00937581">
        <w:t xml:space="preserve">SWS LHD used </w:t>
      </w:r>
      <w:r>
        <w:t>p</w:t>
      </w:r>
      <w:r w:rsidRPr="00937581">
        <w:t xml:space="preserve">harmacy service weights in </w:t>
      </w:r>
      <w:r>
        <w:t>Round 17</w:t>
      </w:r>
      <w:r w:rsidRPr="00937581">
        <w:t xml:space="preserve"> to allocate costs to patients</w:t>
      </w:r>
      <w:r>
        <w:t xml:space="preserve">, </w:t>
      </w:r>
      <w:proofErr w:type="gramStart"/>
      <w:r>
        <w:t>which</w:t>
      </w:r>
      <w:proofErr w:type="gramEnd"/>
      <w:r>
        <w:t xml:space="preserve"> were provide by the Ministry</w:t>
      </w:r>
      <w:r w:rsidRPr="00937581">
        <w:t xml:space="preserve">. </w:t>
      </w:r>
      <w:r w:rsidR="008D0D75" w:rsidRPr="00937581">
        <w:t xml:space="preserve">As such, no </w:t>
      </w:r>
      <w:r w:rsidR="008D0D75">
        <w:t xml:space="preserve">sample feeder </w:t>
      </w:r>
      <w:r w:rsidR="008D0D75" w:rsidRPr="00937581">
        <w:t xml:space="preserve">data was provided for the </w:t>
      </w:r>
      <w:r w:rsidR="008D0D75">
        <w:t>Pharmacy</w:t>
      </w:r>
      <w:r w:rsidR="008D0D75" w:rsidRPr="00937581">
        <w:t>.</w:t>
      </w:r>
    </w:p>
    <w:p w:rsidR="008D0D75" w:rsidRPr="00637505" w:rsidRDefault="008D0D75" w:rsidP="008D0D75">
      <w:pPr>
        <w:pStyle w:val="PwCNormal"/>
        <w:numPr>
          <w:ilvl w:val="0"/>
          <w:numId w:val="0"/>
        </w:numPr>
        <w:rPr>
          <w:b/>
        </w:rPr>
      </w:pPr>
      <w:r w:rsidRPr="00637505">
        <w:rPr>
          <w:b/>
        </w:rPr>
        <w:t>Theatre</w:t>
      </w:r>
    </w:p>
    <w:p w:rsidR="008D0D75" w:rsidRPr="00637505" w:rsidRDefault="00311E91" w:rsidP="008D0D75">
      <w:pPr>
        <w:pStyle w:val="PwCNormal"/>
        <w:numPr>
          <w:ilvl w:val="0"/>
          <w:numId w:val="0"/>
        </w:numPr>
      </w:pPr>
      <w:r>
        <w:t>S</w:t>
      </w:r>
      <w:r w:rsidR="008D0D75" w:rsidRPr="00637505">
        <w:t xml:space="preserve">ervice weights were also used for allocating theatre costs in </w:t>
      </w:r>
      <w:r w:rsidR="006A194B">
        <w:t>Round 17</w:t>
      </w:r>
      <w:r w:rsidR="008D0D75" w:rsidRPr="00637505">
        <w:t xml:space="preserve"> as </w:t>
      </w:r>
      <w:proofErr w:type="spellStart"/>
      <w:r w:rsidR="008D0D75" w:rsidRPr="00637505">
        <w:t>Surginet</w:t>
      </w:r>
      <w:proofErr w:type="spellEnd"/>
      <w:r w:rsidR="008D0D75" w:rsidRPr="00637505">
        <w:t xml:space="preserve"> was in the process of being </w:t>
      </w:r>
      <w:r w:rsidR="008D0D75">
        <w:t>implemented</w:t>
      </w:r>
      <w:r w:rsidR="008D0D75" w:rsidRPr="00637505">
        <w:t xml:space="preserve">. Therefore, no </w:t>
      </w:r>
      <w:r w:rsidR="008D0D75">
        <w:t xml:space="preserve">sample feeder </w:t>
      </w:r>
      <w:r w:rsidR="008D0D75" w:rsidRPr="00637505">
        <w:t>data was provided for the Th</w:t>
      </w:r>
      <w:r w:rsidR="008D0D75">
        <w:t>eatre</w:t>
      </w:r>
      <w:r w:rsidR="008D0D75" w:rsidRPr="00637505">
        <w:t>.</w:t>
      </w:r>
      <w:r w:rsidR="008D0D75">
        <w:t xml:space="preserve"> </w:t>
      </w:r>
      <w:r>
        <w:t>These service weights were also provided by NSW Health.</w:t>
      </w:r>
    </w:p>
    <w:p w:rsidR="008D0D75" w:rsidRPr="00637505" w:rsidRDefault="008D0D75" w:rsidP="008D0D75">
      <w:pPr>
        <w:pStyle w:val="PwCNormal"/>
        <w:numPr>
          <w:ilvl w:val="0"/>
          <w:numId w:val="0"/>
        </w:numPr>
        <w:rPr>
          <w:b/>
        </w:rPr>
      </w:pPr>
      <w:r w:rsidRPr="00637505">
        <w:rPr>
          <w:b/>
        </w:rPr>
        <w:t>Ward Nursing</w:t>
      </w:r>
    </w:p>
    <w:p w:rsidR="008D0D75" w:rsidRDefault="008D0D75" w:rsidP="008D0D75">
      <w:pPr>
        <w:pStyle w:val="PwCNormal"/>
        <w:numPr>
          <w:ilvl w:val="0"/>
          <w:numId w:val="0"/>
        </w:numPr>
        <w:spacing w:after="360"/>
      </w:pPr>
      <w:r w:rsidRPr="003A6D69">
        <w:t xml:space="preserve">Fractional bed days/LOS </w:t>
      </w:r>
      <w:r>
        <w:t>were used to allocate nursing (general ward, HDU and CCU) costs</w:t>
      </w:r>
      <w:r w:rsidRPr="003A6D69">
        <w:t>.</w:t>
      </w:r>
      <w:r w:rsidR="00723401">
        <w:t xml:space="preserve"> This was derived from the ward transfer records in the hospital PAS.</w:t>
      </w:r>
    </w:p>
    <w:p w:rsidR="00ED1512" w:rsidRDefault="00ED1512" w:rsidP="00ED1512">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27</w:t>
      </w:r>
      <w:r w:rsidR="008379DC">
        <w:rPr>
          <w:noProof/>
        </w:rPr>
        <w:fldChar w:fldCharType="end"/>
      </w:r>
      <w:r>
        <w:t xml:space="preserve">: </w:t>
      </w:r>
      <w:r w:rsidRPr="00730BBF">
        <w:t>Outcome of ward nursing feeder linking</w:t>
      </w:r>
    </w:p>
    <w:p w:rsidR="008D0D75" w:rsidRDefault="008D0D75" w:rsidP="008D0D75">
      <w:pPr>
        <w:pStyle w:val="PwCNormal"/>
        <w:numPr>
          <w:ilvl w:val="0"/>
          <w:numId w:val="0"/>
        </w:numPr>
        <w:spacing w:after="360"/>
      </w:pPr>
      <w:r w:rsidRPr="00F45B00">
        <w:rPr>
          <w:noProof/>
          <w:lang w:eastAsia="en-AU"/>
        </w:rPr>
        <w:drawing>
          <wp:inline distT="0" distB="0" distL="0" distR="0" wp14:anchorId="7C0E15E0" wp14:editId="436A1D39">
            <wp:extent cx="3398520" cy="3145790"/>
            <wp:effectExtent l="0" t="0" r="0" b="0"/>
            <wp:docPr id="24" name="Picture 24"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8520" cy="3145790"/>
                    </a:xfrm>
                    <a:prstGeom prst="rect">
                      <a:avLst/>
                    </a:prstGeom>
                    <a:noFill/>
                    <a:ln>
                      <a:noFill/>
                    </a:ln>
                  </pic:spPr>
                </pic:pic>
              </a:graphicData>
            </a:graphic>
          </wp:inline>
        </w:drawing>
      </w:r>
    </w:p>
    <w:p w:rsidR="00723401" w:rsidRPr="00723401" w:rsidRDefault="00723401" w:rsidP="00723401">
      <w:pPr>
        <w:pStyle w:val="PwCNormal"/>
        <w:numPr>
          <w:ilvl w:val="0"/>
          <w:numId w:val="0"/>
        </w:numPr>
      </w:pPr>
      <w:r>
        <w:t>There were 184</w:t>
      </w:r>
      <w:r w:rsidRPr="00723401">
        <w:t>,</w:t>
      </w:r>
      <w:r>
        <w:t>604</w:t>
      </w:r>
      <w:r w:rsidRPr="00723401">
        <w:t xml:space="preserve"> records </w:t>
      </w:r>
      <w:r>
        <w:t>extracted from the PAS and all were linked directly to inpatient episodes.</w:t>
      </w:r>
    </w:p>
    <w:p w:rsidR="008D0D75" w:rsidRPr="004E0B72" w:rsidRDefault="008D0D75" w:rsidP="00CE5EF2">
      <w:pPr>
        <w:pStyle w:val="Heading3"/>
      </w:pPr>
      <w:r>
        <w:t>The costed dataset</w:t>
      </w:r>
    </w:p>
    <w:p w:rsidR="008D0D75" w:rsidRPr="002449AB" w:rsidRDefault="008D0D75" w:rsidP="008D0D75">
      <w:pPr>
        <w:pStyle w:val="PwCNormal"/>
        <w:numPr>
          <w:ilvl w:val="0"/>
          <w:numId w:val="0"/>
        </w:numPr>
        <w:rPr>
          <w:b/>
        </w:rPr>
      </w:pPr>
      <w:r w:rsidRPr="008C7C07">
        <w:rPr>
          <w:b/>
        </w:rPr>
        <w:t>QA process</w:t>
      </w:r>
    </w:p>
    <w:p w:rsidR="007B2B15" w:rsidRPr="003A6D69" w:rsidRDefault="007B2B15" w:rsidP="007B2B15">
      <w:pPr>
        <w:pStyle w:val="PwCNormal"/>
        <w:numPr>
          <w:ilvl w:val="0"/>
          <w:numId w:val="0"/>
        </w:numPr>
      </w:pPr>
      <w:r>
        <w:lastRenderedPageBreak/>
        <w:t xml:space="preserve">SWSLHD performs the same </w:t>
      </w:r>
      <w:r w:rsidR="002821F4">
        <w:t>state</w:t>
      </w:r>
      <w:r w:rsidR="00B641D5">
        <w:t xml:space="preserve"> </w:t>
      </w:r>
      <w:r w:rsidR="002821F4">
        <w:t>wide</w:t>
      </w:r>
      <w:r>
        <w:t xml:space="preserve"> QA processes as set out by NSW Health. Descriptions of these processes can be found in sections </w:t>
      </w:r>
      <w:r w:rsidR="000B189A">
        <w:fldChar w:fldCharType="begin"/>
      </w:r>
      <w:r w:rsidR="000B189A">
        <w:instrText xml:space="preserve"> REF _Ref402701590 \r \h </w:instrText>
      </w:r>
      <w:r w:rsidR="000B189A">
        <w:fldChar w:fldCharType="separate"/>
      </w:r>
      <w:r w:rsidR="00575DFC">
        <w:t>4.2.5</w:t>
      </w:r>
      <w:r w:rsidR="000B189A">
        <w:fldChar w:fldCharType="end"/>
      </w:r>
      <w:r>
        <w:t xml:space="preserve"> and </w:t>
      </w:r>
      <w:r>
        <w:fldChar w:fldCharType="begin"/>
      </w:r>
      <w:r>
        <w:instrText xml:space="preserve"> REF _Ref402880229 \r \h </w:instrText>
      </w:r>
      <w:r>
        <w:fldChar w:fldCharType="separate"/>
      </w:r>
      <w:r w:rsidR="00575DFC">
        <w:t>4.5.1</w:t>
      </w:r>
      <w:r>
        <w:fldChar w:fldCharType="end"/>
      </w:r>
      <w:r>
        <w:t>.</w:t>
      </w:r>
    </w:p>
    <w:p w:rsidR="008D0D75" w:rsidRPr="002449AB" w:rsidRDefault="008D0D75" w:rsidP="008D0D75">
      <w:pPr>
        <w:pStyle w:val="PwCNormal"/>
        <w:numPr>
          <w:ilvl w:val="0"/>
          <w:numId w:val="0"/>
        </w:numPr>
        <w:rPr>
          <w:b/>
        </w:rPr>
      </w:pPr>
      <w:r w:rsidRPr="008C7C07">
        <w:rPr>
          <w:b/>
        </w:rPr>
        <w:t>Adjustments</w:t>
      </w:r>
    </w:p>
    <w:p w:rsidR="00027213" w:rsidRDefault="00352FFC" w:rsidP="00A856DC">
      <w:pPr>
        <w:pStyle w:val="PwCNormal"/>
        <w:numPr>
          <w:ilvl w:val="0"/>
          <w:numId w:val="0"/>
        </w:numPr>
      </w:pPr>
      <w:r w:rsidRPr="003A6D69">
        <w:t xml:space="preserve">Adjustments to the dataset such as those required for WIP patients and other out of scope costs are made by the jurisdiction before submitting to IHPA. These adjustments have been outlined in </w:t>
      </w:r>
      <w:r>
        <w:t xml:space="preserve">section </w:t>
      </w:r>
      <w:r>
        <w:fldChar w:fldCharType="begin"/>
      </w:r>
      <w:r>
        <w:instrText xml:space="preserve"> REF _Ref402882259 \r \h </w:instrText>
      </w:r>
      <w:r>
        <w:fldChar w:fldCharType="separate"/>
      </w:r>
      <w:r w:rsidR="00575DFC">
        <w:t>4.5.2</w:t>
      </w:r>
      <w:r>
        <w:fldChar w:fldCharType="end"/>
      </w:r>
      <w:r w:rsidRPr="003A6D69">
        <w:t xml:space="preserve"> </w:t>
      </w:r>
      <w:r>
        <w:t>and explain the impact on both costs and activity.</w:t>
      </w:r>
    </w:p>
    <w:p w:rsidR="008D0D75" w:rsidRPr="002449AB" w:rsidRDefault="008D0D75" w:rsidP="00A856DC">
      <w:pPr>
        <w:kinsoku/>
        <w:overflowPunct/>
        <w:autoSpaceDE/>
        <w:autoSpaceDN/>
        <w:adjustRightInd/>
        <w:snapToGrid/>
        <w:rPr>
          <w:b/>
        </w:rPr>
      </w:pPr>
      <w:r w:rsidRPr="008C7C07">
        <w:rPr>
          <w:b/>
        </w:rPr>
        <w:t>Work in progress (Item E)</w:t>
      </w:r>
    </w:p>
    <w:p w:rsidR="00F15024" w:rsidRDefault="00F15024" w:rsidP="00F15024">
      <w:pPr>
        <w:pStyle w:val="PwCNormal"/>
        <w:numPr>
          <w:ilvl w:val="0"/>
          <w:numId w:val="0"/>
        </w:numPr>
      </w:pPr>
      <w:r>
        <w:t>The a</w:t>
      </w:r>
      <w:r w:rsidRPr="003A6D69">
        <w:t xml:space="preserve">djustments </w:t>
      </w:r>
      <w:r>
        <w:t>that were</w:t>
      </w:r>
      <w:r w:rsidRPr="003A6D69">
        <w:t xml:space="preserve"> made for patients whose stay at the hospital crosses the financial year</w:t>
      </w:r>
      <w:r>
        <w:t xml:space="preserve"> is consistent with approach taken at SLHD. Please see </w:t>
      </w:r>
      <w:r w:rsidR="00F84A9F">
        <w:t>S</w:t>
      </w:r>
      <w:r>
        <w:t xml:space="preserve">ection </w:t>
      </w:r>
      <w:r w:rsidR="008379DC">
        <w:fldChar w:fldCharType="begin"/>
      </w:r>
      <w:r>
        <w:instrText xml:space="preserve"> REF _Ref402701590 \r \h </w:instrText>
      </w:r>
      <w:r w:rsidR="008379DC">
        <w:fldChar w:fldCharType="separate"/>
      </w:r>
      <w:r w:rsidR="00575DFC">
        <w:t>4.2.5</w:t>
      </w:r>
      <w:r w:rsidR="008379DC">
        <w:fldChar w:fldCharType="end"/>
      </w:r>
      <w:r>
        <w:t xml:space="preserve"> for more details.</w:t>
      </w:r>
    </w:p>
    <w:p w:rsidR="008D0D75" w:rsidRPr="00CF6B3B" w:rsidRDefault="008D0D75" w:rsidP="00CE5EF2">
      <w:pPr>
        <w:pStyle w:val="Heading3"/>
      </w:pPr>
      <w:r w:rsidRPr="00CF6B3B">
        <w:t>Sample patients</w:t>
      </w:r>
    </w:p>
    <w:p w:rsidR="008D0D75" w:rsidRDefault="002729CE" w:rsidP="008D0D75">
      <w:pPr>
        <w:pStyle w:val="PwCNormal"/>
        <w:numPr>
          <w:ilvl w:val="0"/>
          <w:numId w:val="0"/>
        </w:numPr>
        <w:spacing w:after="0"/>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8D0D75">
        <w:t>. The table below lists the results</w:t>
      </w:r>
      <w:r w:rsidR="0034613B">
        <w:t xml:space="preserve"> of the reconciliation, in which no variances were noted</w:t>
      </w:r>
      <w:r w:rsidR="008D0D75">
        <w:t>.</w:t>
      </w:r>
    </w:p>
    <w:p w:rsidR="00CE5EF2" w:rsidRDefault="00CE5EF2" w:rsidP="00CE5EF2">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28</w:t>
      </w:r>
      <w:r w:rsidR="008379DC">
        <w:rPr>
          <w:noProof/>
        </w:rPr>
        <w:fldChar w:fldCharType="end"/>
      </w:r>
      <w:r>
        <w:t xml:space="preserve">: </w:t>
      </w:r>
      <w:r w:rsidRPr="00E12802">
        <w:t>Sample patient reconciliation with IHPA</w:t>
      </w:r>
    </w:p>
    <w:p w:rsidR="002E6E70" w:rsidRDefault="002E6E70" w:rsidP="008D0D75">
      <w:pPr>
        <w:pStyle w:val="PwCNormal"/>
        <w:numPr>
          <w:ilvl w:val="0"/>
          <w:numId w:val="0"/>
        </w:numPr>
      </w:pPr>
      <w:r w:rsidRPr="002E6E70">
        <w:rPr>
          <w:noProof/>
          <w:lang w:eastAsia="en-AU"/>
        </w:rPr>
        <w:drawing>
          <wp:inline distT="0" distB="0" distL="0" distR="0" wp14:anchorId="58EFEE4B" wp14:editId="0795A43E">
            <wp:extent cx="3625702" cy="995495"/>
            <wp:effectExtent l="0" t="0" r="0" b="0"/>
            <wp:docPr id="6" name="Picture 6"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25598" cy="995467"/>
                    </a:xfrm>
                    <a:prstGeom prst="rect">
                      <a:avLst/>
                    </a:prstGeom>
                    <a:noFill/>
                    <a:ln>
                      <a:noFill/>
                    </a:ln>
                  </pic:spPr>
                </pic:pic>
              </a:graphicData>
            </a:graphic>
          </wp:inline>
        </w:drawing>
      </w:r>
    </w:p>
    <w:p w:rsidR="00CE5EF2" w:rsidRDefault="00CE5EF2">
      <w:pPr>
        <w:kinsoku/>
        <w:overflowPunct/>
        <w:autoSpaceDE/>
        <w:autoSpaceDN/>
        <w:adjustRightInd/>
        <w:snapToGrid/>
      </w:pPr>
      <w:r>
        <w:br w:type="page"/>
      </w:r>
    </w:p>
    <w:p w:rsidR="008D0D75" w:rsidRDefault="008D0D75" w:rsidP="008D0D75">
      <w:pPr>
        <w:pStyle w:val="Heading2"/>
        <w:spacing w:before="0" w:after="40"/>
      </w:pPr>
      <w:r>
        <w:lastRenderedPageBreak/>
        <w:t>Jurisdictional overview</w:t>
      </w:r>
    </w:p>
    <w:p w:rsidR="008D0D75" w:rsidRDefault="008D0D75" w:rsidP="00CE5EF2">
      <w:pPr>
        <w:pStyle w:val="Heading3"/>
      </w:pPr>
      <w:bookmarkStart w:id="61" w:name="_Ref402880229"/>
      <w:r w:rsidRPr="00CE5EF2">
        <w:t>Overview</w:t>
      </w:r>
      <w:r>
        <w:t xml:space="preserve"> of process</w:t>
      </w:r>
      <w:bookmarkEnd w:id="61"/>
    </w:p>
    <w:p w:rsidR="008D0D75" w:rsidRDefault="008D0D75" w:rsidP="00723401">
      <w:pPr>
        <w:pStyle w:val="PwCNormal"/>
        <w:numPr>
          <w:ilvl w:val="0"/>
          <w:numId w:val="0"/>
        </w:numPr>
      </w:pPr>
      <w:r>
        <w:t xml:space="preserve">In </w:t>
      </w:r>
      <w:r w:rsidR="006A194B">
        <w:t>Round 17</w:t>
      </w:r>
      <w:r>
        <w:t xml:space="preserve">, NSW focused on improving the quality of the DNR and the costing of </w:t>
      </w:r>
      <w:r w:rsidR="002821F4">
        <w:t>non-admitted</w:t>
      </w:r>
      <w:r w:rsidR="00723401">
        <w:t xml:space="preserve"> patient activity. </w:t>
      </w:r>
      <w:r>
        <w:t xml:space="preserve">In order to achieve this, the Ministry provides guidance in the form of </w:t>
      </w:r>
      <w:r w:rsidR="002821F4">
        <w:t>state</w:t>
      </w:r>
      <w:r w:rsidR="00B641D5">
        <w:t xml:space="preserve"> </w:t>
      </w:r>
      <w:r w:rsidR="002821F4">
        <w:t>wide</w:t>
      </w:r>
      <w:r>
        <w:t xml:space="preserve"> standards (Cost Accounting Guidelines) to each of the LHD/SHNs, provides oversight and practical assistance to costing officers in the LHD/SHNs. The ABF Taskforce have developed and implemented tools and strategies that all LHD/SHNs are required to use. These include: </w:t>
      </w:r>
    </w:p>
    <w:p w:rsidR="008D0D75" w:rsidRDefault="008D0D75" w:rsidP="009C4A5D">
      <w:pPr>
        <w:pStyle w:val="PwCNormal"/>
        <w:numPr>
          <w:ilvl w:val="0"/>
          <w:numId w:val="59"/>
        </w:numPr>
        <w:spacing w:after="120"/>
      </w:pPr>
      <w:r>
        <w:t xml:space="preserve">standard extracts for the Non Admitted Patient data (from the </w:t>
      </w:r>
      <w:proofErr w:type="spellStart"/>
      <w:r>
        <w:t>WebNAP</w:t>
      </w:r>
      <w:proofErr w:type="spellEnd"/>
      <w:r>
        <w:t xml:space="preserve"> Reporting Server), </w:t>
      </w:r>
    </w:p>
    <w:p w:rsidR="008D0D75" w:rsidRDefault="008D0D75" w:rsidP="009C4A5D">
      <w:pPr>
        <w:pStyle w:val="PwCNormal"/>
        <w:numPr>
          <w:ilvl w:val="0"/>
          <w:numId w:val="59"/>
        </w:numPr>
        <w:spacing w:after="120"/>
      </w:pPr>
      <w:r>
        <w:t>a database called ‘The Extractor’ which extracts the admitted patient and emergency department patient, encounter, service, transfer, diagnosis and procedure files from the HIE data warehouse in a standard format</w:t>
      </w:r>
    </w:p>
    <w:p w:rsidR="008D0D75" w:rsidRDefault="008D0D75" w:rsidP="009C4A5D">
      <w:pPr>
        <w:pStyle w:val="PwCNormal"/>
        <w:numPr>
          <w:ilvl w:val="0"/>
          <w:numId w:val="59"/>
        </w:numPr>
        <w:spacing w:after="120"/>
      </w:pPr>
      <w:r>
        <w:t>the development of PPM2 standard reports that are available for LHD/SHNs to run and check prior to DNR submission</w:t>
      </w:r>
    </w:p>
    <w:p w:rsidR="008D0D75" w:rsidRDefault="008D0D75" w:rsidP="009C4A5D">
      <w:pPr>
        <w:pStyle w:val="PwCNormal"/>
        <w:numPr>
          <w:ilvl w:val="0"/>
          <w:numId w:val="59"/>
        </w:numPr>
        <w:spacing w:after="120"/>
      </w:pPr>
      <w:r>
        <w:t>the development of fatal and warning validations in the DNR Module in PPM2, of which the fatal validations must be addressed to enable the production of the DNR expense file</w:t>
      </w:r>
    </w:p>
    <w:p w:rsidR="008D0D75" w:rsidRDefault="008D0D75" w:rsidP="009C4A5D">
      <w:pPr>
        <w:pStyle w:val="PwCNormal"/>
        <w:numPr>
          <w:ilvl w:val="0"/>
          <w:numId w:val="59"/>
        </w:numPr>
        <w:spacing w:after="120"/>
      </w:pPr>
      <w:r>
        <w:t>a draft submission period that encourages LHD/SHNs to submit DNR expense files as many times as is required to identify and address material issues</w:t>
      </w:r>
    </w:p>
    <w:p w:rsidR="008D0D75" w:rsidRDefault="008D0D75" w:rsidP="009C4A5D">
      <w:pPr>
        <w:pStyle w:val="PwCNormal"/>
        <w:numPr>
          <w:ilvl w:val="0"/>
          <w:numId w:val="59"/>
        </w:numPr>
        <w:spacing w:after="120"/>
      </w:pPr>
      <w:r>
        <w:t>the “Reasonableness Spreadsheet” to report average cost by product (</w:t>
      </w:r>
      <w:proofErr w:type="spellStart"/>
      <w:r>
        <w:t>ie</w:t>
      </w:r>
      <w:proofErr w:type="spellEnd"/>
      <w:r>
        <w:t xml:space="preserve"> DRG, URG, AN-SNAP and Tier 2) for each facility against peer group and state average that can be used by costing teams in the LHD/SHNs to assess the quality of their DNR at an aggregate level</w:t>
      </w:r>
    </w:p>
    <w:p w:rsidR="008D0D75" w:rsidRDefault="008D0D75" w:rsidP="009C4A5D">
      <w:pPr>
        <w:pStyle w:val="PwCNormal"/>
        <w:numPr>
          <w:ilvl w:val="0"/>
          <w:numId w:val="59"/>
        </w:numPr>
        <w:spacing w:after="120"/>
      </w:pPr>
      <w:proofErr w:type="gramStart"/>
      <w:r>
        <w:t>data</w:t>
      </w:r>
      <w:proofErr w:type="gramEnd"/>
      <w:r>
        <w:t xml:space="preserve"> quality checks identifying individual patient records requiring review. These checks are based on the NHCDC data quality checks as well as a series of checks that are particularly pertinent to NSW.</w:t>
      </w:r>
    </w:p>
    <w:p w:rsidR="008D0D75" w:rsidRDefault="008D0D75" w:rsidP="008D0D75">
      <w:pPr>
        <w:pStyle w:val="PwCNormal"/>
        <w:numPr>
          <w:ilvl w:val="0"/>
          <w:numId w:val="0"/>
        </w:numPr>
      </w:pPr>
      <w:r>
        <w:t>Once a final DNR is submitted and signed off by the LHD/SHN Chief Executive, the ABF Taskforce does not alter the submitted results in any way. Any change that needed to be made will require a resubmission and new sign off from the Chief Executive.</w:t>
      </w:r>
    </w:p>
    <w:p w:rsidR="008D0D75" w:rsidRPr="00C0455E" w:rsidRDefault="008D0D75" w:rsidP="00CE5EF2">
      <w:pPr>
        <w:pStyle w:val="Heading3"/>
      </w:pPr>
      <w:bookmarkStart w:id="62" w:name="_Ref402882259"/>
      <w:r w:rsidRPr="00C0455E">
        <w:t>Adjustments to costed dataset</w:t>
      </w:r>
      <w:bookmarkEnd w:id="62"/>
    </w:p>
    <w:p w:rsidR="008D0D75" w:rsidRDefault="008D0D75" w:rsidP="008D0D75">
      <w:pPr>
        <w:pStyle w:val="PwCNormal"/>
        <w:numPr>
          <w:ilvl w:val="0"/>
          <w:numId w:val="0"/>
        </w:numPr>
      </w:pPr>
      <w:r>
        <w:t>The following adjustments for each of the LHDs were made to the dataset before submission was made to IHPA.</w:t>
      </w:r>
    </w:p>
    <w:p w:rsidR="008D0D75" w:rsidRPr="00317EA9" w:rsidRDefault="008D0D75" w:rsidP="008D0D75">
      <w:pPr>
        <w:pStyle w:val="PwCNormal"/>
        <w:numPr>
          <w:ilvl w:val="0"/>
          <w:numId w:val="0"/>
        </w:numPr>
        <w:rPr>
          <w:i/>
          <w:color w:val="A32020" w:themeColor="text2"/>
          <w:sz w:val="24"/>
          <w:szCs w:val="24"/>
        </w:rPr>
      </w:pPr>
      <w:r w:rsidRPr="00317EA9">
        <w:rPr>
          <w:i/>
          <w:color w:val="A32020" w:themeColor="text2"/>
          <w:sz w:val="24"/>
          <w:szCs w:val="24"/>
        </w:rPr>
        <w:t>Sydney LHD</w:t>
      </w:r>
    </w:p>
    <w:p w:rsidR="008D0D75" w:rsidRPr="00F45B00" w:rsidRDefault="008D0D75" w:rsidP="009C4A5D">
      <w:pPr>
        <w:pStyle w:val="PwCNormal"/>
        <w:numPr>
          <w:ilvl w:val="0"/>
          <w:numId w:val="55"/>
        </w:numPr>
      </w:pPr>
      <w:r>
        <w:t>A cost inclusion of $32.4</w:t>
      </w:r>
      <w:r w:rsidR="008E7280">
        <w:t xml:space="preserve"> </w:t>
      </w:r>
      <w:r>
        <w:t>m</w:t>
      </w:r>
      <w:r w:rsidR="008E7280">
        <w:t>illion</w:t>
      </w:r>
      <w:r>
        <w:t xml:space="preserve"> for the escalation of previous rounds costs to be submitted for WIP </w:t>
      </w:r>
      <w:r w:rsidRPr="00F45B00">
        <w:t>patients. This amount included negative cost adjustments.</w:t>
      </w:r>
    </w:p>
    <w:p w:rsidR="008D0D75" w:rsidRPr="00F45B00" w:rsidRDefault="008D0D75" w:rsidP="009C4A5D">
      <w:pPr>
        <w:pStyle w:val="PwCNormal"/>
        <w:numPr>
          <w:ilvl w:val="0"/>
          <w:numId w:val="55"/>
        </w:numPr>
      </w:pPr>
      <w:r w:rsidRPr="00F45B00">
        <w:t>A cost exclusion of $160.2</w:t>
      </w:r>
      <w:r w:rsidR="008E7280">
        <w:t xml:space="preserve"> </w:t>
      </w:r>
      <w:r w:rsidRPr="00F45B00">
        <w:t>m</w:t>
      </w:r>
      <w:r w:rsidR="008E7280">
        <w:t>illion</w:t>
      </w:r>
      <w:r w:rsidRPr="00F45B00">
        <w:t xml:space="preserve"> for WIP patients not yet discharged from ABF facilities.</w:t>
      </w:r>
    </w:p>
    <w:p w:rsidR="008D0D75" w:rsidRPr="00F45B00" w:rsidRDefault="008D0D75" w:rsidP="009C4A5D">
      <w:pPr>
        <w:pStyle w:val="PwCNormal"/>
        <w:numPr>
          <w:ilvl w:val="0"/>
          <w:numId w:val="55"/>
        </w:numPr>
      </w:pPr>
      <w:r w:rsidRPr="00F45B00">
        <w:t>A cost exclusion of $95.8</w:t>
      </w:r>
      <w:r w:rsidR="008E7280">
        <w:t xml:space="preserve"> </w:t>
      </w:r>
      <w:r w:rsidRPr="00F45B00">
        <w:t>m</w:t>
      </w:r>
      <w:r w:rsidR="008E7280">
        <w:t>illion</w:t>
      </w:r>
      <w:r w:rsidRPr="00F45B00">
        <w:t xml:space="preserve"> for costed products such as </w:t>
      </w:r>
      <w:r w:rsidR="002E6E70">
        <w:t xml:space="preserve">out of scope </w:t>
      </w:r>
      <w:r w:rsidRPr="00F45B00">
        <w:t>products not requiring submission to IHPA as detailed in the AHPCS</w:t>
      </w:r>
      <w:r w:rsidR="00783C14">
        <w:t>,</w:t>
      </w:r>
      <w:r w:rsidRPr="00F45B00">
        <w:t xml:space="preserve"> or aggregate level costs such as </w:t>
      </w:r>
      <w:r w:rsidR="00783C14">
        <w:t>TTR</w:t>
      </w:r>
      <w:r w:rsidRPr="00F45B00">
        <w:t xml:space="preserve"> in ABF facilities.</w:t>
      </w:r>
    </w:p>
    <w:p w:rsidR="008D0D75" w:rsidRDefault="008D0D75" w:rsidP="009C4A5D">
      <w:pPr>
        <w:pStyle w:val="PwCNormal"/>
        <w:numPr>
          <w:ilvl w:val="0"/>
          <w:numId w:val="55"/>
        </w:numPr>
      </w:pPr>
      <w:r>
        <w:t>A cost exclusion of $162.1</w:t>
      </w:r>
      <w:r w:rsidR="008E7280">
        <w:t xml:space="preserve"> </w:t>
      </w:r>
      <w:r>
        <w:t>m</w:t>
      </w:r>
      <w:r w:rsidR="008E7280">
        <w:t>illion</w:t>
      </w:r>
      <w:r>
        <w:t xml:space="preserve"> for costed products of non-ABF facilities not requiring submission.</w:t>
      </w:r>
    </w:p>
    <w:p w:rsidR="008D0D75" w:rsidRDefault="008D0D75" w:rsidP="008D0D75">
      <w:pPr>
        <w:pStyle w:val="PwCNormal"/>
        <w:numPr>
          <w:ilvl w:val="0"/>
          <w:numId w:val="0"/>
        </w:numPr>
      </w:pPr>
      <w:r>
        <w:t>The impact of these adjustments on activity submitted across the hospital products is listed below:</w:t>
      </w:r>
    </w:p>
    <w:p w:rsidR="008D0D75" w:rsidRDefault="008D0D75" w:rsidP="009C4A5D">
      <w:pPr>
        <w:pStyle w:val="PwCNormal"/>
        <w:numPr>
          <w:ilvl w:val="0"/>
          <w:numId w:val="58"/>
        </w:numPr>
      </w:pPr>
      <w:r>
        <w:t>Acute –</w:t>
      </w:r>
      <w:r w:rsidR="00783C14">
        <w:t xml:space="preserve"> </w:t>
      </w:r>
      <w:r>
        <w:t>5,333 encounters</w:t>
      </w:r>
      <w:r w:rsidR="00783C14" w:rsidRPr="00783C14">
        <w:t xml:space="preserve"> </w:t>
      </w:r>
      <w:r w:rsidR="00783C14">
        <w:t>excluded</w:t>
      </w:r>
    </w:p>
    <w:p w:rsidR="008D0D75" w:rsidRDefault="008D0D75" w:rsidP="009C4A5D">
      <w:pPr>
        <w:pStyle w:val="PwCNormal"/>
        <w:numPr>
          <w:ilvl w:val="0"/>
          <w:numId w:val="58"/>
        </w:numPr>
      </w:pPr>
      <w:r>
        <w:t>Outpatients –</w:t>
      </w:r>
      <w:r w:rsidR="00783C14">
        <w:t xml:space="preserve"> </w:t>
      </w:r>
      <w:r>
        <w:t>11,975 encounters</w:t>
      </w:r>
      <w:r w:rsidR="00783C14" w:rsidRPr="00783C14">
        <w:t xml:space="preserve"> </w:t>
      </w:r>
      <w:r w:rsidR="00783C14">
        <w:t>excluded</w:t>
      </w:r>
    </w:p>
    <w:p w:rsidR="008D0D75" w:rsidRDefault="008D0D75" w:rsidP="009C4A5D">
      <w:pPr>
        <w:pStyle w:val="PwCNormal"/>
        <w:numPr>
          <w:ilvl w:val="0"/>
          <w:numId w:val="58"/>
        </w:numPr>
      </w:pPr>
      <w:r>
        <w:lastRenderedPageBreak/>
        <w:t>Emergency –</w:t>
      </w:r>
      <w:r w:rsidR="00783C14">
        <w:t xml:space="preserve"> </w:t>
      </w:r>
      <w:r>
        <w:t>47 encounters</w:t>
      </w:r>
      <w:r w:rsidR="00783C14" w:rsidRPr="00783C14">
        <w:t xml:space="preserve"> </w:t>
      </w:r>
      <w:r w:rsidR="00783C14">
        <w:t>excluded</w:t>
      </w:r>
    </w:p>
    <w:p w:rsidR="008D0D75" w:rsidRDefault="008D0D75" w:rsidP="009C4A5D">
      <w:pPr>
        <w:pStyle w:val="PwCNormal"/>
        <w:numPr>
          <w:ilvl w:val="0"/>
          <w:numId w:val="58"/>
        </w:numPr>
      </w:pPr>
      <w:r>
        <w:t>Sub-acute –</w:t>
      </w:r>
      <w:r w:rsidR="00783C14">
        <w:t xml:space="preserve"> </w:t>
      </w:r>
      <w:r>
        <w:t>497 encounters</w:t>
      </w:r>
      <w:r w:rsidR="00783C14" w:rsidRPr="00783C14">
        <w:t xml:space="preserve"> </w:t>
      </w:r>
      <w:r w:rsidR="00783C14">
        <w:t>excluded</w:t>
      </w:r>
    </w:p>
    <w:p w:rsidR="008D0D75" w:rsidRDefault="008D0D75" w:rsidP="009C4A5D">
      <w:pPr>
        <w:pStyle w:val="PwCNormal"/>
        <w:numPr>
          <w:ilvl w:val="0"/>
          <w:numId w:val="58"/>
        </w:numPr>
      </w:pPr>
      <w:r>
        <w:t>Mental Heath</w:t>
      </w:r>
      <w:r w:rsidR="00783C14">
        <w:t xml:space="preserve"> – </w:t>
      </w:r>
      <w:r>
        <w:t>12 encounters</w:t>
      </w:r>
      <w:r w:rsidR="00783C14" w:rsidRPr="00783C14">
        <w:t xml:space="preserve"> </w:t>
      </w:r>
      <w:r w:rsidR="00783C14">
        <w:t>excluded</w:t>
      </w:r>
    </w:p>
    <w:p w:rsidR="008D0D75" w:rsidRDefault="008D0D75" w:rsidP="009C4A5D">
      <w:pPr>
        <w:pStyle w:val="PwCNormal"/>
        <w:numPr>
          <w:ilvl w:val="0"/>
          <w:numId w:val="58"/>
        </w:numPr>
      </w:pPr>
      <w:r>
        <w:t>Other –</w:t>
      </w:r>
      <w:r w:rsidR="00783C14">
        <w:t xml:space="preserve"> </w:t>
      </w:r>
      <w:r>
        <w:t>135 encounters</w:t>
      </w:r>
      <w:r w:rsidR="00783C14" w:rsidRPr="00783C14">
        <w:t xml:space="preserve"> </w:t>
      </w:r>
      <w:r w:rsidR="00783C14">
        <w:t>excluded.</w:t>
      </w:r>
    </w:p>
    <w:p w:rsidR="008D0D75" w:rsidRPr="00317EA9" w:rsidRDefault="008D0D75" w:rsidP="008D0D75">
      <w:pPr>
        <w:pStyle w:val="PwCNormal"/>
        <w:numPr>
          <w:ilvl w:val="0"/>
          <w:numId w:val="0"/>
        </w:numPr>
        <w:rPr>
          <w:i/>
          <w:color w:val="A32020" w:themeColor="text2"/>
          <w:sz w:val="24"/>
          <w:szCs w:val="24"/>
        </w:rPr>
      </w:pPr>
      <w:r w:rsidRPr="00317EA9">
        <w:rPr>
          <w:i/>
          <w:color w:val="A32020" w:themeColor="text2"/>
          <w:sz w:val="24"/>
          <w:szCs w:val="24"/>
        </w:rPr>
        <w:t>Mid North Coast LHD</w:t>
      </w:r>
    </w:p>
    <w:p w:rsidR="008D0D75" w:rsidRDefault="00D55CF5" w:rsidP="009C4A5D">
      <w:pPr>
        <w:pStyle w:val="PwCNormal"/>
        <w:numPr>
          <w:ilvl w:val="0"/>
          <w:numId w:val="54"/>
        </w:numPr>
      </w:pPr>
      <w:r>
        <w:t>A cost inclusion of $5.7</w:t>
      </w:r>
      <w:r w:rsidR="008E7280">
        <w:t xml:space="preserve"> </w:t>
      </w:r>
      <w:r>
        <w:t>m</w:t>
      </w:r>
      <w:r w:rsidR="008E7280">
        <w:t>illion</w:t>
      </w:r>
      <w:r>
        <w:t xml:space="preserve"> for the escalation of previous rounds costs to be submitted for WIP </w:t>
      </w:r>
      <w:r w:rsidRPr="00F45B00">
        <w:t>patients. This amount included negative cost adjustments</w:t>
      </w:r>
      <w:r>
        <w:t>.</w:t>
      </w:r>
    </w:p>
    <w:p w:rsidR="008D0D75" w:rsidRPr="00F45B00" w:rsidRDefault="008D0D75" w:rsidP="009C4A5D">
      <w:pPr>
        <w:pStyle w:val="PwCNormal"/>
        <w:numPr>
          <w:ilvl w:val="0"/>
          <w:numId w:val="54"/>
        </w:numPr>
      </w:pPr>
      <w:r>
        <w:t xml:space="preserve">Cost </w:t>
      </w:r>
      <w:r w:rsidRPr="00F45B00">
        <w:t>exclusions for WIP patients not discharged at the end of the year amounted to $59.7</w:t>
      </w:r>
      <w:r w:rsidR="002E6E70">
        <w:t xml:space="preserve"> </w:t>
      </w:r>
      <w:r w:rsidRPr="00F45B00">
        <w:t>m</w:t>
      </w:r>
      <w:r w:rsidR="008E7280">
        <w:t>illion.</w:t>
      </w:r>
    </w:p>
    <w:p w:rsidR="008D0D75" w:rsidRPr="00F45B00" w:rsidRDefault="008D0D75" w:rsidP="009C4A5D">
      <w:pPr>
        <w:pStyle w:val="PwCNormal"/>
        <w:numPr>
          <w:ilvl w:val="0"/>
          <w:numId w:val="54"/>
        </w:numPr>
      </w:pPr>
      <w:r w:rsidRPr="00F45B00">
        <w:t>Cost exclusions of $30.9</w:t>
      </w:r>
      <w:r w:rsidR="008E7280">
        <w:t xml:space="preserve"> </w:t>
      </w:r>
      <w:r w:rsidRPr="00F45B00">
        <w:t>m</w:t>
      </w:r>
      <w:r w:rsidR="008E7280">
        <w:t>illion</w:t>
      </w:r>
      <w:r w:rsidRPr="00F45B00">
        <w:t xml:space="preserve"> for costed products such as out of scope products not requiring submission to IHPA as detailed in the AHPCS or aggregate level costs such as </w:t>
      </w:r>
      <w:proofErr w:type="gramStart"/>
      <w:r w:rsidR="00B641D5">
        <w:t xml:space="preserve">TTR </w:t>
      </w:r>
      <w:r w:rsidRPr="00F45B00">
        <w:t xml:space="preserve"> in</w:t>
      </w:r>
      <w:proofErr w:type="gramEnd"/>
      <w:r w:rsidRPr="00F45B00">
        <w:t xml:space="preserve"> ABF facilities</w:t>
      </w:r>
      <w:r w:rsidR="008E7280">
        <w:t>.</w:t>
      </w:r>
    </w:p>
    <w:p w:rsidR="008D0D75" w:rsidRDefault="008D0D75" w:rsidP="009C4A5D">
      <w:pPr>
        <w:pStyle w:val="PwCNormal"/>
        <w:numPr>
          <w:ilvl w:val="0"/>
          <w:numId w:val="54"/>
        </w:numPr>
      </w:pPr>
      <w:r>
        <w:t>Cost exclusions for non-ABF facilities amounted to $106.1</w:t>
      </w:r>
      <w:r w:rsidR="008E7280">
        <w:t xml:space="preserve"> </w:t>
      </w:r>
      <w:r>
        <w:t>m</w:t>
      </w:r>
      <w:r w:rsidR="008E7280">
        <w:t>illion.</w:t>
      </w:r>
    </w:p>
    <w:p w:rsidR="008D0D75" w:rsidRDefault="008D0D75" w:rsidP="008D0D75">
      <w:pPr>
        <w:pStyle w:val="PwCNormal"/>
        <w:numPr>
          <w:ilvl w:val="0"/>
          <w:numId w:val="0"/>
        </w:numPr>
      </w:pPr>
      <w:r>
        <w:t>The impact of these adjustments on activity submitted across the hospital products is listed below:</w:t>
      </w:r>
    </w:p>
    <w:p w:rsidR="008D0D75" w:rsidRDefault="008D0D75" w:rsidP="009C4A5D">
      <w:pPr>
        <w:pStyle w:val="PwCNormal"/>
        <w:numPr>
          <w:ilvl w:val="0"/>
          <w:numId w:val="58"/>
        </w:numPr>
      </w:pPr>
      <w:r>
        <w:t>Acute –</w:t>
      </w:r>
      <w:r w:rsidR="00783C14">
        <w:t xml:space="preserve"> </w:t>
      </w:r>
      <w:r>
        <w:t>6,104 encounters</w:t>
      </w:r>
      <w:r w:rsidR="00783C14" w:rsidRPr="00783C14">
        <w:t xml:space="preserve"> </w:t>
      </w:r>
      <w:r w:rsidR="00783C14">
        <w:t>excluded</w:t>
      </w:r>
    </w:p>
    <w:p w:rsidR="008D0D75" w:rsidRDefault="008D0D75" w:rsidP="009C4A5D">
      <w:pPr>
        <w:pStyle w:val="PwCNormal"/>
        <w:numPr>
          <w:ilvl w:val="0"/>
          <w:numId w:val="58"/>
        </w:numPr>
      </w:pPr>
      <w:r>
        <w:t>Outpatients –</w:t>
      </w:r>
      <w:r w:rsidR="00783C14">
        <w:t xml:space="preserve"> </w:t>
      </w:r>
      <w:r>
        <w:t>50,574 encounters</w:t>
      </w:r>
      <w:r w:rsidR="00783C14" w:rsidRPr="00783C14">
        <w:t xml:space="preserve"> </w:t>
      </w:r>
      <w:r w:rsidR="00783C14">
        <w:t>excluded</w:t>
      </w:r>
    </w:p>
    <w:p w:rsidR="008D0D75" w:rsidRDefault="008D0D75" w:rsidP="009C4A5D">
      <w:pPr>
        <w:pStyle w:val="PwCNormal"/>
        <w:numPr>
          <w:ilvl w:val="0"/>
          <w:numId w:val="58"/>
        </w:numPr>
      </w:pPr>
      <w:r>
        <w:t>Emergency –</w:t>
      </w:r>
      <w:r w:rsidR="00783C14">
        <w:t xml:space="preserve"> </w:t>
      </w:r>
      <w:r>
        <w:t>26,307 encounters</w:t>
      </w:r>
      <w:r w:rsidR="00783C14" w:rsidRPr="00783C14">
        <w:t xml:space="preserve"> </w:t>
      </w:r>
      <w:r w:rsidR="00783C14">
        <w:t>excluded</w:t>
      </w:r>
    </w:p>
    <w:p w:rsidR="008D0D75" w:rsidRDefault="008D0D75" w:rsidP="009C4A5D">
      <w:pPr>
        <w:pStyle w:val="PwCNormal"/>
        <w:numPr>
          <w:ilvl w:val="0"/>
          <w:numId w:val="58"/>
        </w:numPr>
      </w:pPr>
      <w:r>
        <w:t>Sub-acute –</w:t>
      </w:r>
      <w:r w:rsidR="00783C14">
        <w:t xml:space="preserve"> </w:t>
      </w:r>
      <w:r>
        <w:t>1,251 encounters</w:t>
      </w:r>
      <w:r w:rsidR="00783C14" w:rsidRPr="00783C14">
        <w:t xml:space="preserve"> </w:t>
      </w:r>
      <w:r w:rsidR="00783C14">
        <w:t>excluded</w:t>
      </w:r>
    </w:p>
    <w:p w:rsidR="008D0D75" w:rsidRDefault="008D0D75" w:rsidP="009C4A5D">
      <w:pPr>
        <w:pStyle w:val="PwCNormal"/>
        <w:numPr>
          <w:ilvl w:val="0"/>
          <w:numId w:val="58"/>
        </w:numPr>
      </w:pPr>
      <w:r>
        <w:t>Mental Heath</w:t>
      </w:r>
      <w:r w:rsidR="008E7280">
        <w:t xml:space="preserve"> –</w:t>
      </w:r>
      <w:r w:rsidR="00783C14">
        <w:t xml:space="preserve"> </w:t>
      </w:r>
      <w:r>
        <w:t>22,548 encounters</w:t>
      </w:r>
      <w:r w:rsidR="00783C14" w:rsidRPr="00783C14">
        <w:t xml:space="preserve"> </w:t>
      </w:r>
      <w:r w:rsidR="00783C14">
        <w:t>excluded</w:t>
      </w:r>
    </w:p>
    <w:p w:rsidR="008D0D75" w:rsidRDefault="008D0D75" w:rsidP="009C4A5D">
      <w:pPr>
        <w:pStyle w:val="PwCNormal"/>
        <w:numPr>
          <w:ilvl w:val="0"/>
          <w:numId w:val="58"/>
        </w:numPr>
      </w:pPr>
      <w:r>
        <w:t>Other –</w:t>
      </w:r>
      <w:r w:rsidR="00783C14">
        <w:t xml:space="preserve"> </w:t>
      </w:r>
      <w:r w:rsidR="008E7280">
        <w:t xml:space="preserve">one </w:t>
      </w:r>
      <w:r>
        <w:t>encounter</w:t>
      </w:r>
      <w:r w:rsidR="00783C14" w:rsidRPr="00783C14">
        <w:t xml:space="preserve"> </w:t>
      </w:r>
      <w:r w:rsidR="00783C14">
        <w:t>excluded</w:t>
      </w:r>
      <w:r w:rsidR="008E7280">
        <w:t>.</w:t>
      </w:r>
    </w:p>
    <w:p w:rsidR="008D0D75" w:rsidRPr="00317EA9" w:rsidRDefault="008D0D75" w:rsidP="008D0D75">
      <w:pPr>
        <w:pStyle w:val="PwCNormal"/>
        <w:numPr>
          <w:ilvl w:val="0"/>
          <w:numId w:val="0"/>
        </w:numPr>
        <w:rPr>
          <w:i/>
          <w:color w:val="A32020" w:themeColor="text2"/>
          <w:sz w:val="24"/>
          <w:szCs w:val="24"/>
        </w:rPr>
      </w:pPr>
      <w:r>
        <w:rPr>
          <w:i/>
          <w:color w:val="A32020" w:themeColor="text2"/>
          <w:sz w:val="24"/>
          <w:szCs w:val="24"/>
        </w:rPr>
        <w:t>South Western Sydney</w:t>
      </w:r>
      <w:r w:rsidRPr="00317EA9">
        <w:rPr>
          <w:i/>
          <w:color w:val="A32020" w:themeColor="text2"/>
          <w:sz w:val="24"/>
          <w:szCs w:val="24"/>
        </w:rPr>
        <w:t xml:space="preserve"> LHD</w:t>
      </w:r>
    </w:p>
    <w:p w:rsidR="008D0D75" w:rsidRDefault="008D0D75" w:rsidP="009C4A5D">
      <w:pPr>
        <w:pStyle w:val="PwCNormal"/>
        <w:numPr>
          <w:ilvl w:val="0"/>
          <w:numId w:val="54"/>
        </w:numPr>
      </w:pPr>
      <w:r>
        <w:t>Adjustments relating to WIP and negative cost adjustments amounted to $29.9</w:t>
      </w:r>
      <w:r w:rsidR="008E7280">
        <w:t xml:space="preserve"> </w:t>
      </w:r>
      <w:r>
        <w:t>m</w:t>
      </w:r>
      <w:r w:rsidR="008E7280">
        <w:t>illion</w:t>
      </w:r>
      <w:r>
        <w:t>.</w:t>
      </w:r>
    </w:p>
    <w:p w:rsidR="008D0D75" w:rsidRPr="00F45B00" w:rsidRDefault="008D0D75" w:rsidP="009C4A5D">
      <w:pPr>
        <w:pStyle w:val="PwCNormal"/>
        <w:numPr>
          <w:ilvl w:val="0"/>
          <w:numId w:val="54"/>
        </w:numPr>
      </w:pPr>
      <w:r>
        <w:t xml:space="preserve">Cost </w:t>
      </w:r>
      <w:r w:rsidRPr="00F45B00">
        <w:t>exclusions for WIP patients not discharged at the end of the year amounted to $301.1</w:t>
      </w:r>
      <w:r w:rsidR="002E6E70">
        <w:t xml:space="preserve"> </w:t>
      </w:r>
      <w:r w:rsidRPr="00F45B00">
        <w:t>m</w:t>
      </w:r>
      <w:r w:rsidR="008E7280">
        <w:t>illion</w:t>
      </w:r>
      <w:r w:rsidRPr="00F45B00">
        <w:t>.</w:t>
      </w:r>
    </w:p>
    <w:p w:rsidR="000B189A" w:rsidRDefault="008D0D75" w:rsidP="009C4A5D">
      <w:pPr>
        <w:pStyle w:val="PwCNormal"/>
        <w:numPr>
          <w:ilvl w:val="0"/>
          <w:numId w:val="54"/>
        </w:numPr>
      </w:pPr>
      <w:r w:rsidRPr="00F45B00">
        <w:t>Cost exclusions of $103.6</w:t>
      </w:r>
      <w:r w:rsidR="008E7280">
        <w:t xml:space="preserve"> </w:t>
      </w:r>
      <w:r w:rsidRPr="00F45B00">
        <w:t>m</w:t>
      </w:r>
      <w:r w:rsidR="008E7280">
        <w:t>illion</w:t>
      </w:r>
      <w:r w:rsidRPr="00F45B00">
        <w:t xml:space="preserve"> for costed products such as out of scope</w:t>
      </w:r>
      <w:r w:rsidR="001F2669">
        <w:t xml:space="preserve"> </w:t>
      </w:r>
      <w:r w:rsidRPr="00F45B00">
        <w:t>products not requiring submission to IHPA as detailed in the AHPCS or aggregate level costs such as Teaching, Training and Research in ABF facilities</w:t>
      </w:r>
      <w:r w:rsidR="000B189A">
        <w:t>.</w:t>
      </w:r>
    </w:p>
    <w:p w:rsidR="008D0D75" w:rsidRPr="00F45B00" w:rsidRDefault="008D0D75" w:rsidP="009C4A5D">
      <w:pPr>
        <w:pStyle w:val="PwCNormal"/>
        <w:numPr>
          <w:ilvl w:val="0"/>
          <w:numId w:val="54"/>
        </w:numPr>
      </w:pPr>
      <w:r w:rsidRPr="00F45B00">
        <w:t>Cost exclusions for non-ABF facilities amounted to $52.6</w:t>
      </w:r>
      <w:r w:rsidR="008E7280">
        <w:t xml:space="preserve"> </w:t>
      </w:r>
      <w:r w:rsidRPr="00F45B00">
        <w:t>m</w:t>
      </w:r>
      <w:r w:rsidR="008E7280">
        <w:t>illion</w:t>
      </w:r>
      <w:r w:rsidRPr="00F45B00">
        <w:t>.</w:t>
      </w:r>
    </w:p>
    <w:p w:rsidR="008D0D75" w:rsidRDefault="008D0D75" w:rsidP="008D0D75">
      <w:pPr>
        <w:pStyle w:val="PwCNormal"/>
        <w:numPr>
          <w:ilvl w:val="0"/>
          <w:numId w:val="0"/>
        </w:numPr>
      </w:pPr>
      <w:r>
        <w:t>The impact of these adjustments on activity submitted across the hospital products is listed below:</w:t>
      </w:r>
    </w:p>
    <w:p w:rsidR="008D0D75" w:rsidRDefault="008D0D75" w:rsidP="009C4A5D">
      <w:pPr>
        <w:pStyle w:val="PwCNormal"/>
        <w:numPr>
          <w:ilvl w:val="0"/>
          <w:numId w:val="58"/>
        </w:numPr>
      </w:pPr>
      <w:r>
        <w:t>Acute –</w:t>
      </w:r>
      <w:r w:rsidR="00783C14">
        <w:t xml:space="preserve"> </w:t>
      </w:r>
      <w:r w:rsidRPr="00B925B6">
        <w:t>2</w:t>
      </w:r>
      <w:r>
        <w:t>,</w:t>
      </w:r>
      <w:r w:rsidRPr="00B925B6">
        <w:t>077</w:t>
      </w:r>
      <w:r>
        <w:t xml:space="preserve"> encounters</w:t>
      </w:r>
      <w:r w:rsidR="00783C14" w:rsidRPr="00783C14">
        <w:t xml:space="preserve"> </w:t>
      </w:r>
      <w:r w:rsidR="00783C14">
        <w:t>excluded</w:t>
      </w:r>
    </w:p>
    <w:p w:rsidR="008D0D75" w:rsidRDefault="008D0D75" w:rsidP="009C4A5D">
      <w:pPr>
        <w:pStyle w:val="PwCNormal"/>
        <w:numPr>
          <w:ilvl w:val="0"/>
          <w:numId w:val="58"/>
        </w:numPr>
      </w:pPr>
      <w:r>
        <w:t>Outpatients –</w:t>
      </w:r>
      <w:r w:rsidR="00783C14">
        <w:t xml:space="preserve"> </w:t>
      </w:r>
      <w:r>
        <w:t>3,607 encounters</w:t>
      </w:r>
      <w:r w:rsidR="00783C14" w:rsidRPr="00783C14">
        <w:t xml:space="preserve"> </w:t>
      </w:r>
      <w:r w:rsidR="00783C14">
        <w:t>excluded</w:t>
      </w:r>
    </w:p>
    <w:p w:rsidR="008D0D75" w:rsidRDefault="008D0D75" w:rsidP="009C4A5D">
      <w:pPr>
        <w:pStyle w:val="PwCNormal"/>
        <w:numPr>
          <w:ilvl w:val="0"/>
          <w:numId w:val="58"/>
        </w:numPr>
      </w:pPr>
      <w:r>
        <w:t>Emergency –</w:t>
      </w:r>
      <w:r w:rsidR="00783C14">
        <w:t xml:space="preserve"> </w:t>
      </w:r>
      <w:r>
        <w:t>18,095 encounters</w:t>
      </w:r>
      <w:r w:rsidR="00783C14" w:rsidRPr="00783C14">
        <w:t xml:space="preserve"> </w:t>
      </w:r>
      <w:r w:rsidR="00783C14">
        <w:t>excluded</w:t>
      </w:r>
    </w:p>
    <w:p w:rsidR="008D0D75" w:rsidRDefault="008D0D75" w:rsidP="009C4A5D">
      <w:pPr>
        <w:pStyle w:val="PwCNormal"/>
        <w:numPr>
          <w:ilvl w:val="0"/>
          <w:numId w:val="58"/>
        </w:numPr>
        <w:spacing w:after="360"/>
        <w:ind w:left="714" w:hanging="357"/>
      </w:pPr>
      <w:r>
        <w:lastRenderedPageBreak/>
        <w:t>Sub-acute –</w:t>
      </w:r>
      <w:r w:rsidR="00783C14">
        <w:t xml:space="preserve"> </w:t>
      </w:r>
      <w:r>
        <w:t>579 encounters</w:t>
      </w:r>
      <w:r w:rsidR="00783C14" w:rsidRPr="00783C14">
        <w:t xml:space="preserve"> </w:t>
      </w:r>
      <w:r w:rsidR="00783C14">
        <w:t>excluded.</w:t>
      </w:r>
    </w:p>
    <w:p w:rsidR="008D0D75" w:rsidRPr="00C0455E" w:rsidRDefault="008D0D75" w:rsidP="00CE5EF2">
      <w:pPr>
        <w:pStyle w:val="Heading3"/>
      </w:pPr>
      <w:r w:rsidRPr="00C0455E">
        <w:t>Reconciliation with IHPA</w:t>
      </w:r>
    </w:p>
    <w:p w:rsidR="008D0D75" w:rsidRDefault="0008008B" w:rsidP="008D0D75">
      <w:pPr>
        <w:pStyle w:val="PwCNormal"/>
        <w:numPr>
          <w:ilvl w:val="0"/>
          <w:numId w:val="0"/>
        </w:numPr>
      </w:pPr>
      <w:r>
        <w:fldChar w:fldCharType="begin"/>
      </w:r>
      <w:r>
        <w:instrText xml:space="preserve"> REF _Ref402879599 \h </w:instrText>
      </w:r>
      <w:r>
        <w:fldChar w:fldCharType="separate"/>
      </w:r>
      <w:r w:rsidR="00575DFC">
        <w:t xml:space="preserve">Table </w:t>
      </w:r>
      <w:r w:rsidR="00575DFC">
        <w:rPr>
          <w:noProof/>
        </w:rPr>
        <w:t>29</w:t>
      </w:r>
      <w:r>
        <w:fldChar w:fldCharType="end"/>
      </w:r>
      <w:r w:rsidR="00CB38E7">
        <w:t xml:space="preserve"> </w:t>
      </w:r>
      <w:r w:rsidRPr="005B6050">
        <w:t>below compares the total costs and activity</w:t>
      </w:r>
      <w:r>
        <w:t xml:space="preserve"> records</w:t>
      </w:r>
      <w:r w:rsidRPr="005B6050">
        <w:t xml:space="preserve"> subm</w:t>
      </w:r>
      <w:r>
        <w:t>itted by the jurisdiction with</w:t>
      </w:r>
      <w:r w:rsidRPr="005B6050">
        <w:t xml:space="preserve"> the total costs and activity </w:t>
      </w:r>
      <w:r>
        <w:t>records that were received by IHPA</w:t>
      </w:r>
      <w:r w:rsidR="00C464C5">
        <w:t xml:space="preserve">. </w:t>
      </w:r>
      <w:r>
        <w:t>No variances were identified from this reconciliation.</w:t>
      </w:r>
    </w:p>
    <w:p w:rsidR="00E231B5" w:rsidRDefault="00E231B5" w:rsidP="00E231B5">
      <w:pPr>
        <w:pStyle w:val="Caption"/>
      </w:pPr>
      <w:bookmarkStart w:id="63" w:name="_Ref402879599"/>
      <w:r>
        <w:t xml:space="preserve">Table </w:t>
      </w:r>
      <w:r w:rsidR="008379DC">
        <w:fldChar w:fldCharType="begin"/>
      </w:r>
      <w:r w:rsidR="009E64DF">
        <w:instrText xml:space="preserve"> SEQ Table \* ARABIC </w:instrText>
      </w:r>
      <w:r w:rsidR="008379DC">
        <w:fldChar w:fldCharType="separate"/>
      </w:r>
      <w:r w:rsidR="00575DFC">
        <w:rPr>
          <w:noProof/>
        </w:rPr>
        <w:t>29</w:t>
      </w:r>
      <w:r w:rsidR="008379DC">
        <w:rPr>
          <w:noProof/>
        </w:rPr>
        <w:fldChar w:fldCharType="end"/>
      </w:r>
      <w:bookmarkEnd w:id="63"/>
      <w:r>
        <w:t xml:space="preserve">: </w:t>
      </w:r>
      <w:r w:rsidRPr="00AC1ECE">
        <w:t>Reconciliation of total costs and activity submitted</w:t>
      </w:r>
    </w:p>
    <w:p w:rsidR="00C464C5" w:rsidRDefault="00C464C5" w:rsidP="00C464C5">
      <w:r w:rsidRPr="00C464C5">
        <w:rPr>
          <w:noProof/>
          <w:lang w:eastAsia="en-AU"/>
        </w:rPr>
        <w:drawing>
          <wp:inline distT="0" distB="0" distL="0" distR="0" wp14:anchorId="12CA8EB5" wp14:editId="7FD1615C">
            <wp:extent cx="4903200" cy="1760400"/>
            <wp:effectExtent l="0" t="0" r="0" b="0"/>
            <wp:docPr id="128" name="Picture 128" descr="This table details the costs and activity submitted by the jurisdiction and what was received by IHPA." title="Reconciliation of total costs and activity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03200" cy="1760400"/>
                    </a:xfrm>
                    <a:prstGeom prst="rect">
                      <a:avLst/>
                    </a:prstGeom>
                    <a:noFill/>
                    <a:ln>
                      <a:noFill/>
                    </a:ln>
                  </pic:spPr>
                </pic:pic>
              </a:graphicData>
            </a:graphic>
          </wp:inline>
        </w:drawing>
      </w:r>
    </w:p>
    <w:p w:rsidR="00C464C5" w:rsidRPr="00C464C5" w:rsidRDefault="00C464C5" w:rsidP="00C464C5">
      <w:pPr>
        <w:pStyle w:val="PwCNormal"/>
      </w:pPr>
    </w:p>
    <w:p w:rsidR="008D0D75" w:rsidRDefault="008D0D75" w:rsidP="008D0D75">
      <w:pPr>
        <w:pStyle w:val="Heading1"/>
      </w:pPr>
      <w:bookmarkStart w:id="64" w:name="_Toc404355505"/>
      <w:r>
        <w:lastRenderedPageBreak/>
        <w:t>Northern Territory</w:t>
      </w:r>
      <w:bookmarkEnd w:id="64"/>
    </w:p>
    <w:p w:rsidR="008D0D75" w:rsidRPr="00B7394C" w:rsidRDefault="008D0D75" w:rsidP="008D0D75">
      <w:pPr>
        <w:pStyle w:val="Heading2"/>
        <w:spacing w:before="0" w:after="40"/>
      </w:pPr>
      <w:r w:rsidRPr="00B7394C">
        <w:t xml:space="preserve">Northern Territory </w:t>
      </w:r>
      <w:r w:rsidR="0063671A">
        <w:t>o</w:t>
      </w:r>
      <w:r w:rsidR="0063671A" w:rsidRPr="00B7394C">
        <w:t>verall</w:t>
      </w:r>
    </w:p>
    <w:p w:rsidR="008D0D75" w:rsidRPr="00B7394C" w:rsidRDefault="008D0D75" w:rsidP="008D0D75">
      <w:pPr>
        <w:pStyle w:val="PwCNormal"/>
      </w:pPr>
      <w:r w:rsidRPr="00B7394C">
        <w:t xml:space="preserve">Hospitals in the </w:t>
      </w:r>
      <w:r w:rsidR="00EA1B8A">
        <w:t>NT</w:t>
      </w:r>
      <w:r w:rsidRPr="00B7394C">
        <w:t xml:space="preserve"> </w:t>
      </w:r>
      <w:r w:rsidR="00B7394C">
        <w:t>belong to one of</w:t>
      </w:r>
      <w:r w:rsidR="009F2BCF" w:rsidRPr="00B7394C">
        <w:t xml:space="preserve"> two LHNs</w:t>
      </w:r>
      <w:r w:rsidR="00B7394C" w:rsidRPr="002E6E70">
        <w:t>:</w:t>
      </w:r>
      <w:r w:rsidR="00B7394C">
        <w:t xml:space="preserve"> the</w:t>
      </w:r>
      <w:r w:rsidR="009F2BCF" w:rsidRPr="00B7394C">
        <w:t xml:space="preserve"> Top End Hospital Network (TEHN) and </w:t>
      </w:r>
      <w:r w:rsidR="00B7394C">
        <w:t xml:space="preserve">the </w:t>
      </w:r>
      <w:r w:rsidR="009F2BCF" w:rsidRPr="00B7394C">
        <w:t xml:space="preserve">Central Australian Hospital Network (CAHN). </w:t>
      </w:r>
      <w:r w:rsidR="00B7394C" w:rsidRPr="002E6E70">
        <w:t>However, the NT Department of Health (NT Health) ABF team</w:t>
      </w:r>
      <w:r w:rsidR="00B7394C">
        <w:t xml:space="preserve"> performed the</w:t>
      </w:r>
      <w:r w:rsidR="00B7394C" w:rsidRPr="002E6E70">
        <w:t xml:space="preserve"> cost</w:t>
      </w:r>
      <w:r w:rsidR="00B7394C">
        <w:t>ing for</w:t>
      </w:r>
      <w:r w:rsidR="00B7394C" w:rsidRPr="002E6E70">
        <w:t xml:space="preserve"> all NT </w:t>
      </w:r>
      <w:r w:rsidR="009F2BCF" w:rsidRPr="00B7394C">
        <w:t>hospitals</w:t>
      </w:r>
      <w:r w:rsidR="00B7394C">
        <w:t xml:space="preserve"> in Round 17</w:t>
      </w:r>
      <w:r w:rsidRPr="00B7394C">
        <w:t xml:space="preserve">, with support from </w:t>
      </w:r>
      <w:proofErr w:type="spellStart"/>
      <w:r w:rsidRPr="00B7394C">
        <w:t>Visasys</w:t>
      </w:r>
      <w:proofErr w:type="spellEnd"/>
      <w:r w:rsidRPr="00B7394C">
        <w:t>. The</w:t>
      </w:r>
      <w:r w:rsidR="00B7394C" w:rsidRPr="002E6E70">
        <w:t xml:space="preserve"> team processed the</w:t>
      </w:r>
      <w:r w:rsidRPr="00B7394C">
        <w:t xml:space="preserve"> costing </w:t>
      </w:r>
      <w:r w:rsidR="00B7394C" w:rsidRPr="002E6E70">
        <w:t xml:space="preserve">data </w:t>
      </w:r>
      <w:r w:rsidRPr="00B7394C">
        <w:t xml:space="preserve">and </w:t>
      </w:r>
      <w:r w:rsidR="00B7394C" w:rsidRPr="002E6E70">
        <w:t>performed QA</w:t>
      </w:r>
      <w:r w:rsidRPr="00B7394C">
        <w:t xml:space="preserve"> procedures in consultation with hospital staff and clinicians </w:t>
      </w:r>
      <w:r w:rsidR="00B7394C">
        <w:t>t</w:t>
      </w:r>
      <w:r w:rsidR="00B7394C" w:rsidRPr="002E6E70">
        <w:t>o ensure the results were</w:t>
      </w:r>
      <w:r w:rsidRPr="00B7394C">
        <w:t xml:space="preserve"> appropriate</w:t>
      </w:r>
      <w:r w:rsidR="00B7394C" w:rsidRPr="002E6E70">
        <w:t>ly</w:t>
      </w:r>
      <w:r w:rsidRPr="00B7394C">
        <w:t xml:space="preserve"> review</w:t>
      </w:r>
      <w:r w:rsidR="00B7394C" w:rsidRPr="002E6E70">
        <w:t>ed</w:t>
      </w:r>
      <w:r w:rsidRPr="00B7394C">
        <w:t>.</w:t>
      </w:r>
    </w:p>
    <w:p w:rsidR="008D0D75" w:rsidRPr="002E6E70" w:rsidRDefault="00B57F23" w:rsidP="008D0D75">
      <w:pPr>
        <w:pStyle w:val="PwCNormal"/>
      </w:pPr>
      <w:r w:rsidRPr="00B7394C">
        <w:t>Round 17 was</w:t>
      </w:r>
      <w:r w:rsidR="009F2BCF" w:rsidRPr="00B7394C">
        <w:t xml:space="preserve"> the third </w:t>
      </w:r>
      <w:r w:rsidR="00B7394C" w:rsidRPr="002E6E70">
        <w:t xml:space="preserve">time the </w:t>
      </w:r>
      <w:r w:rsidR="009F2BCF" w:rsidRPr="00B7394C">
        <w:t xml:space="preserve">NT </w:t>
      </w:r>
      <w:r w:rsidR="00305DC7" w:rsidRPr="00B7394C">
        <w:t>has</w:t>
      </w:r>
      <w:r w:rsidR="009F2BCF" w:rsidRPr="00B7394C">
        <w:t xml:space="preserve"> participated in the NHCDC, </w:t>
      </w:r>
      <w:r w:rsidR="00B7394C" w:rsidRPr="002E6E70">
        <w:t xml:space="preserve">and </w:t>
      </w:r>
      <w:r w:rsidR="009F2BCF" w:rsidRPr="00B7394C">
        <w:t>the central</w:t>
      </w:r>
      <w:r w:rsidR="00305DC7" w:rsidRPr="00B7394C">
        <w:t>ised</w:t>
      </w:r>
      <w:r w:rsidR="009F2BCF" w:rsidRPr="00B7394C">
        <w:t xml:space="preserve"> costing team </w:t>
      </w:r>
      <w:r w:rsidR="00B7394C">
        <w:t xml:space="preserve">this time </w:t>
      </w:r>
      <w:r w:rsidR="00B7394C" w:rsidRPr="002E6E70">
        <w:t>focused its</w:t>
      </w:r>
      <w:r w:rsidR="009F2BCF" w:rsidRPr="00B7394C">
        <w:t xml:space="preserve"> effort</w:t>
      </w:r>
      <w:r w:rsidR="00B7394C" w:rsidRPr="002E6E70">
        <w:t>s</w:t>
      </w:r>
      <w:r w:rsidR="009F2BCF" w:rsidRPr="00B7394C">
        <w:t xml:space="preserve"> on improving </w:t>
      </w:r>
      <w:proofErr w:type="spellStart"/>
      <w:r w:rsidR="009F2BCF" w:rsidRPr="00B7394C">
        <w:t>costing</w:t>
      </w:r>
      <w:r w:rsidR="00B7394C">
        <w:t>s</w:t>
      </w:r>
      <w:proofErr w:type="spellEnd"/>
      <w:r w:rsidR="009F2BCF" w:rsidRPr="00B7394C">
        <w:t xml:space="preserve"> and increa</w:t>
      </w:r>
      <w:r w:rsidR="00305DC7" w:rsidRPr="00B7394C">
        <w:t>sing engagement with hospitals.</w:t>
      </w:r>
      <w:r w:rsidRPr="00B7394C">
        <w:t xml:space="preserve"> </w:t>
      </w:r>
      <w:r w:rsidR="00B7394C">
        <w:t>C</w:t>
      </w:r>
      <w:r w:rsidR="00B7394C" w:rsidRPr="00B7394C">
        <w:t xml:space="preserve">osting </w:t>
      </w:r>
      <w:r w:rsidRPr="00B7394C">
        <w:t>results</w:t>
      </w:r>
      <w:r w:rsidR="00B7394C">
        <w:t xml:space="preserve"> are generally included</w:t>
      </w:r>
      <w:r w:rsidRPr="00B7394C">
        <w:t xml:space="preserve"> in management reporting to hospitals and </w:t>
      </w:r>
      <w:r w:rsidR="00033E53">
        <w:t>used</w:t>
      </w:r>
      <w:r w:rsidR="00B7394C" w:rsidRPr="00B7394C">
        <w:t xml:space="preserve"> </w:t>
      </w:r>
      <w:r w:rsidR="00033E53">
        <w:t>to analyse</w:t>
      </w:r>
      <w:r w:rsidRPr="00B7394C">
        <w:t xml:space="preserve"> hospital performance.</w:t>
      </w:r>
      <w:r w:rsidR="00352FFC" w:rsidRPr="00B7394C">
        <w:t xml:space="preserve"> </w:t>
      </w:r>
      <w:r w:rsidR="00B7394C" w:rsidRPr="002E6E70">
        <w:t>The NT team</w:t>
      </w:r>
      <w:r w:rsidR="008D0D75" w:rsidRPr="00B7394C">
        <w:t xml:space="preserve"> nominated </w:t>
      </w:r>
      <w:r w:rsidR="00B7394C" w:rsidRPr="002E6E70">
        <w:t xml:space="preserve">Katherine Hospital, part of the TEHN, </w:t>
      </w:r>
      <w:r w:rsidR="008D0D75" w:rsidRPr="00B7394C">
        <w:t xml:space="preserve">as the participating hospital for </w:t>
      </w:r>
      <w:r w:rsidR="00352FFC" w:rsidRPr="00B7394C">
        <w:t>this</w:t>
      </w:r>
      <w:r w:rsidR="008D0D75" w:rsidRPr="00B7394C">
        <w:t xml:space="preserve"> review.</w:t>
      </w:r>
    </w:p>
    <w:p w:rsidR="008D0D75" w:rsidRPr="00B7394C" w:rsidRDefault="008D0D75" w:rsidP="00CE5EF2">
      <w:pPr>
        <w:pStyle w:val="Heading3"/>
      </w:pPr>
      <w:r w:rsidRPr="00B7394C">
        <w:t>Changes since Round 16</w:t>
      </w:r>
    </w:p>
    <w:p w:rsidR="008D0D75" w:rsidRPr="00B7394C" w:rsidRDefault="00B7394C" w:rsidP="008D0D75">
      <w:pPr>
        <w:pStyle w:val="PwCNormal"/>
      </w:pPr>
      <w:r w:rsidRPr="002E6E70">
        <w:t xml:space="preserve">Among some other changes, since </w:t>
      </w:r>
      <w:r w:rsidR="008D0D75" w:rsidRPr="00B7394C">
        <w:t>Round 16:</w:t>
      </w:r>
    </w:p>
    <w:p w:rsidR="008D0D75" w:rsidRPr="00B7394C" w:rsidRDefault="00B7394C" w:rsidP="009C4A5D">
      <w:pPr>
        <w:pStyle w:val="PwCNormal"/>
        <w:numPr>
          <w:ilvl w:val="0"/>
          <w:numId w:val="60"/>
        </w:numPr>
        <w:spacing w:after="120"/>
        <w:ind w:left="714" w:hanging="357"/>
      </w:pPr>
      <w:r w:rsidRPr="002E6E70">
        <w:t xml:space="preserve">NT Health pushed data ownership </w:t>
      </w:r>
      <w:r w:rsidR="008D0D75" w:rsidRPr="00B7394C">
        <w:t xml:space="preserve">back out to the hospitals in </w:t>
      </w:r>
      <w:r w:rsidR="006A194B" w:rsidRPr="00B7394C">
        <w:t>Round 17</w:t>
      </w:r>
      <w:r w:rsidRPr="002E6E70">
        <w:t>, leading</w:t>
      </w:r>
      <w:r w:rsidR="008D0D75" w:rsidRPr="00B7394C">
        <w:t xml:space="preserve"> to greater involvement by hospital staff and clinicians in the overall costing process</w:t>
      </w:r>
    </w:p>
    <w:p w:rsidR="008D0D75" w:rsidRPr="00B7394C" w:rsidRDefault="00B7394C" w:rsidP="009C4A5D">
      <w:pPr>
        <w:pStyle w:val="PwCNormal"/>
        <w:numPr>
          <w:ilvl w:val="0"/>
          <w:numId w:val="60"/>
        </w:numPr>
        <w:spacing w:after="360"/>
        <w:ind w:left="714" w:hanging="357"/>
      </w:pPr>
      <w:proofErr w:type="gramStart"/>
      <w:r w:rsidRPr="002E6E70">
        <w:t>outreach</w:t>
      </w:r>
      <w:proofErr w:type="gramEnd"/>
      <w:r w:rsidRPr="002E6E70">
        <w:t xml:space="preserve"> </w:t>
      </w:r>
      <w:r w:rsidR="008D0D75" w:rsidRPr="00B7394C">
        <w:t xml:space="preserve">and </w:t>
      </w:r>
      <w:r w:rsidRPr="002E6E70">
        <w:t>m</w:t>
      </w:r>
      <w:r w:rsidRPr="00B7394C">
        <w:t xml:space="preserve">ental </w:t>
      </w:r>
      <w:r w:rsidRPr="002E6E70">
        <w:t xml:space="preserve">health </w:t>
      </w:r>
      <w:r w:rsidR="008D0D75" w:rsidRPr="00B7394C">
        <w:t>programs have started to collect patient activity data</w:t>
      </w:r>
      <w:r w:rsidRPr="002E6E70">
        <w:t>,</w:t>
      </w:r>
      <w:r w:rsidR="008D0D75" w:rsidRPr="00B7394C">
        <w:t xml:space="preserve"> </w:t>
      </w:r>
      <w:r w:rsidRPr="002E6E70">
        <w:t>so</w:t>
      </w:r>
      <w:r w:rsidR="008D0D75" w:rsidRPr="00B7394C">
        <w:t xml:space="preserve"> </w:t>
      </w:r>
      <w:r w:rsidRPr="002E6E70">
        <w:t xml:space="preserve">the team was able to cost </w:t>
      </w:r>
      <w:r w:rsidR="008D0D75" w:rsidRPr="00B7394C">
        <w:t xml:space="preserve">these programs and </w:t>
      </w:r>
      <w:r w:rsidRPr="00B7394C">
        <w:t xml:space="preserve">submit the resulting data </w:t>
      </w:r>
      <w:r w:rsidR="008D0D75" w:rsidRPr="00B7394C">
        <w:t xml:space="preserve">in </w:t>
      </w:r>
      <w:r w:rsidR="006A194B" w:rsidRPr="00B7394C">
        <w:t>Round 17</w:t>
      </w:r>
      <w:r w:rsidR="008D0D75" w:rsidRPr="00B7394C">
        <w:t>.</w:t>
      </w:r>
    </w:p>
    <w:p w:rsidR="008D0D75" w:rsidRDefault="008D0D75" w:rsidP="008D0D75">
      <w:pPr>
        <w:pStyle w:val="Heading2"/>
        <w:spacing w:before="0" w:after="40"/>
      </w:pPr>
      <w:bookmarkStart w:id="65" w:name="_Ref402885681"/>
      <w:r>
        <w:t>Katherine Hospital</w:t>
      </w:r>
      <w:bookmarkEnd w:id="65"/>
    </w:p>
    <w:p w:rsidR="008D0D75" w:rsidRPr="004E0B72" w:rsidRDefault="008D0D75" w:rsidP="00CE5EF2">
      <w:pPr>
        <w:pStyle w:val="Heading3"/>
      </w:pPr>
      <w:r>
        <w:t>Site overview</w:t>
      </w:r>
    </w:p>
    <w:p w:rsidR="008D0D75" w:rsidRDefault="008D0D75" w:rsidP="008D0D75">
      <w:pPr>
        <w:pStyle w:val="PwCNormal"/>
      </w:pPr>
      <w:r>
        <w:t xml:space="preserve">Katherine hospital is a 60 bed public hospital that serves an area of approximately 340,000 square kilometres between the </w:t>
      </w:r>
      <w:r w:rsidR="00EA1B8A">
        <w:t>WA</w:t>
      </w:r>
      <w:r>
        <w:t xml:space="preserve"> and </w:t>
      </w:r>
      <w:r w:rsidR="00EA1B8A">
        <w:t xml:space="preserve">QLD </w:t>
      </w:r>
      <w:r>
        <w:t xml:space="preserve">borders. While the catchment population from this area is relatively small, the hospital services an annual tourist presence in excess of 500,000 visitor nights. </w:t>
      </w:r>
    </w:p>
    <w:p w:rsidR="008D0D75" w:rsidRDefault="008D0D75" w:rsidP="008D0D75">
      <w:pPr>
        <w:pStyle w:val="PwCNormal"/>
      </w:pPr>
      <w:r>
        <w:t>The hospital provides medical, diagnostic and treatment services with specialist services including general surgery, paediatrics, medicine, gynaecology, orthopaedics, cardiology and paediatric cardiology, ophthalmology, ear, nose and throat treatments. For more complex cases or specialist treatments, patients are transferred to the Royal Darwin Hospital or interstate.</w:t>
      </w:r>
    </w:p>
    <w:p w:rsidR="00B57F23" w:rsidRPr="00AB4287" w:rsidRDefault="008379DC" w:rsidP="00B57F23">
      <w:pPr>
        <w:pStyle w:val="PwCNormal"/>
      </w:pPr>
      <w:r>
        <w:fldChar w:fldCharType="begin"/>
      </w:r>
      <w:r w:rsidR="00B57F23">
        <w:instrText xml:space="preserve"> REF _Ref402713717 \h </w:instrText>
      </w:r>
      <w:r>
        <w:fldChar w:fldCharType="separate"/>
      </w:r>
      <w:r w:rsidR="00575DFC">
        <w:t xml:space="preserve">Table </w:t>
      </w:r>
      <w:r w:rsidR="00575DFC">
        <w:rPr>
          <w:noProof/>
        </w:rPr>
        <w:t>30</w:t>
      </w:r>
      <w:r>
        <w:fldChar w:fldCharType="end"/>
      </w:r>
      <w:r w:rsidR="00B57F23">
        <w:t xml:space="preserve"> below is a summary of costs beginning with total expenses from the GL through to the total costs submitted to IHPA with the various adjustments made during the process. </w:t>
      </w:r>
      <w:r w:rsidR="00B57F23" w:rsidRPr="00AB4287">
        <w:t>We note a $159,000 variance from the total hospital expenses loaded into the costing system and the allocation of cost to patients. This represents 0.36% of total costs.</w:t>
      </w:r>
    </w:p>
    <w:p w:rsidR="00B57F23" w:rsidRPr="00E0498A" w:rsidRDefault="00B57F23" w:rsidP="00B57F23">
      <w:pPr>
        <w:pStyle w:val="PwCNormal"/>
        <w:rPr>
          <w:b/>
        </w:rPr>
      </w:pPr>
    </w:p>
    <w:p w:rsidR="00B57F23" w:rsidRPr="00DE22CA" w:rsidRDefault="00B57F23" w:rsidP="008D0D75">
      <w:pPr>
        <w:pStyle w:val="PwCNormal"/>
      </w:pPr>
    </w:p>
    <w:p w:rsidR="00D124D7" w:rsidRDefault="00D124D7" w:rsidP="00D124D7">
      <w:pPr>
        <w:pStyle w:val="Caption"/>
      </w:pPr>
      <w:bookmarkStart w:id="66" w:name="_Ref402713717"/>
      <w:r>
        <w:lastRenderedPageBreak/>
        <w:t xml:space="preserve">Table </w:t>
      </w:r>
      <w:r w:rsidR="008379DC">
        <w:fldChar w:fldCharType="begin"/>
      </w:r>
      <w:r w:rsidR="009E64DF">
        <w:instrText xml:space="preserve"> SEQ Table \* ARABIC </w:instrText>
      </w:r>
      <w:r w:rsidR="008379DC">
        <w:fldChar w:fldCharType="separate"/>
      </w:r>
      <w:r w:rsidR="00575DFC">
        <w:rPr>
          <w:noProof/>
        </w:rPr>
        <w:t>30</w:t>
      </w:r>
      <w:r w:rsidR="008379DC">
        <w:rPr>
          <w:noProof/>
        </w:rPr>
        <w:fldChar w:fldCharType="end"/>
      </w:r>
      <w:bookmarkEnd w:id="66"/>
      <w:r>
        <w:t xml:space="preserve">: </w:t>
      </w:r>
      <w:r w:rsidRPr="00E21BD9">
        <w:t xml:space="preserve">Financial </w:t>
      </w:r>
      <w:r w:rsidR="000F4710">
        <w:t>o</w:t>
      </w:r>
      <w:r w:rsidRPr="00E21BD9">
        <w:t xml:space="preserve">verview of </w:t>
      </w:r>
      <w:r>
        <w:t>Katherine</w:t>
      </w:r>
      <w:r w:rsidRPr="00E21BD9">
        <w:t xml:space="preserve"> Hospital</w:t>
      </w:r>
      <w:r w:rsidR="002C1CE6">
        <w:t>, FY 2012/13</w:t>
      </w:r>
      <w:r w:rsidRPr="00E21BD9">
        <w:t xml:space="preserve"> </w:t>
      </w:r>
    </w:p>
    <w:p w:rsidR="00E84CF1" w:rsidRPr="00AB4287" w:rsidRDefault="00E84CF1" w:rsidP="00E84CF1">
      <w:pPr>
        <w:pStyle w:val="PwCNormal"/>
      </w:pPr>
      <w:r w:rsidRPr="00E84CF1">
        <w:rPr>
          <w:noProof/>
          <w:lang w:eastAsia="en-AU"/>
        </w:rPr>
        <w:drawing>
          <wp:inline distT="0" distB="0" distL="0" distR="0" wp14:anchorId="1E90FBB0" wp14:editId="3B144CC1">
            <wp:extent cx="5238750" cy="4283033"/>
            <wp:effectExtent l="0" t="0" r="0" b="0"/>
            <wp:docPr id="122" name="Picture 122" descr="This table outlines the flow of cost movements from the $43m in the general ledger through to the $35mm submitted to IHPA." title="Financial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42203" cy="4285856"/>
                    </a:xfrm>
                    <a:prstGeom prst="rect">
                      <a:avLst/>
                    </a:prstGeom>
                    <a:noFill/>
                    <a:ln>
                      <a:noFill/>
                    </a:ln>
                  </pic:spPr>
                </pic:pic>
              </a:graphicData>
            </a:graphic>
          </wp:inline>
        </w:drawing>
      </w:r>
    </w:p>
    <w:p w:rsidR="008D0D75" w:rsidRPr="00DE22CA" w:rsidRDefault="00CB38E7" w:rsidP="00CE5EF2">
      <w:pPr>
        <w:pStyle w:val="Heading3"/>
      </w:pPr>
      <w:bookmarkStart w:id="67" w:name="_Ref402885302"/>
      <w:r>
        <w:t>Financial d</w:t>
      </w:r>
      <w:r w:rsidR="008D0D75" w:rsidRPr="00DE22CA">
        <w:t>ata</w:t>
      </w:r>
      <w:bookmarkEnd w:id="67"/>
    </w:p>
    <w:p w:rsidR="008D0D75" w:rsidRPr="00DE22CA" w:rsidRDefault="00CA6711" w:rsidP="008D0D75">
      <w:pPr>
        <w:pStyle w:val="PwCNormal"/>
        <w:numPr>
          <w:ilvl w:val="0"/>
          <w:numId w:val="0"/>
        </w:numPr>
        <w:rPr>
          <w:b/>
        </w:rPr>
      </w:pPr>
      <w:r>
        <w:rPr>
          <w:b/>
        </w:rPr>
        <w:t xml:space="preserve">General </w:t>
      </w:r>
      <w:r w:rsidR="00CD308F">
        <w:rPr>
          <w:b/>
        </w:rPr>
        <w:t>L</w:t>
      </w:r>
      <w:r w:rsidR="008D0D75" w:rsidRPr="00DE22CA">
        <w:rPr>
          <w:b/>
        </w:rPr>
        <w:t>edger (Item A)</w:t>
      </w:r>
    </w:p>
    <w:p w:rsidR="008D0D75" w:rsidRPr="00DE22CA" w:rsidRDefault="008D0D75" w:rsidP="008D0D75">
      <w:pPr>
        <w:pStyle w:val="PwCNormal"/>
        <w:numPr>
          <w:ilvl w:val="0"/>
          <w:numId w:val="0"/>
        </w:numPr>
      </w:pPr>
      <w:r>
        <w:t xml:space="preserve">The </w:t>
      </w:r>
      <w:r w:rsidR="0033116C">
        <w:t>NT</w:t>
      </w:r>
      <w:r>
        <w:t xml:space="preserve"> releases financial statements on a health network level. The costing team was able </w:t>
      </w:r>
      <w:r w:rsidR="00907EFA">
        <w:t xml:space="preserve">to </w:t>
      </w:r>
      <w:r>
        <w:t xml:space="preserve">demonstrate how the costs were broken down to a hospital level using internal reconciliations. </w:t>
      </w:r>
      <w:r w:rsidRPr="00A77DB7">
        <w:t>The total expenses for Katherine in FY 2012/13 were $35.7</w:t>
      </w:r>
      <w:r w:rsidR="008E7280">
        <w:t xml:space="preserve"> </w:t>
      </w:r>
      <w:r w:rsidRPr="00A77DB7">
        <w:t>m</w:t>
      </w:r>
      <w:r w:rsidR="008E7280">
        <w:t>illion</w:t>
      </w:r>
      <w:r w:rsidRPr="00A77DB7">
        <w:t>.</w:t>
      </w:r>
    </w:p>
    <w:p w:rsidR="00D124D7" w:rsidRDefault="00D124D7" w:rsidP="00D124D7">
      <w:pPr>
        <w:pStyle w:val="Caption"/>
      </w:pPr>
      <w:bookmarkStart w:id="68" w:name="_Ref402714200"/>
      <w:r>
        <w:t xml:space="preserve">Table </w:t>
      </w:r>
      <w:r w:rsidR="008379DC">
        <w:fldChar w:fldCharType="begin"/>
      </w:r>
      <w:r w:rsidR="009E64DF">
        <w:instrText xml:space="preserve"> SEQ Table \* ARABIC </w:instrText>
      </w:r>
      <w:r w:rsidR="008379DC">
        <w:fldChar w:fldCharType="separate"/>
      </w:r>
      <w:r w:rsidR="00575DFC">
        <w:rPr>
          <w:noProof/>
        </w:rPr>
        <w:t>31</w:t>
      </w:r>
      <w:r w:rsidR="008379DC">
        <w:rPr>
          <w:noProof/>
        </w:rPr>
        <w:fldChar w:fldCharType="end"/>
      </w:r>
      <w:bookmarkEnd w:id="68"/>
      <w:r>
        <w:t xml:space="preserve">: </w:t>
      </w:r>
      <w:r w:rsidRPr="00F7461D">
        <w:t>Treatment of specific cost items</w:t>
      </w:r>
    </w:p>
    <w:p w:rsidR="00EA1B8A" w:rsidRDefault="003E2562" w:rsidP="00A856DC">
      <w:pPr>
        <w:pStyle w:val="PwCNormal"/>
        <w:kinsoku/>
        <w:overflowPunct/>
        <w:autoSpaceDE/>
        <w:autoSpaceDN/>
        <w:adjustRightInd/>
        <w:snapToGrid/>
      </w:pPr>
      <w:r w:rsidRPr="003E2562">
        <w:rPr>
          <w:noProof/>
          <w:lang w:eastAsia="en-AU"/>
        </w:rPr>
        <w:drawing>
          <wp:inline distT="0" distB="0" distL="0" distR="0" wp14:anchorId="6CB36151" wp14:editId="38A962CD">
            <wp:extent cx="4586400" cy="2084400"/>
            <wp:effectExtent l="0" t="0" r="5080" b="0"/>
            <wp:docPr id="134" name="Picture 134" descr="Superannuation, Professional indemnity insurance, workers' compensation, defined benefit scheme contributions, annual leave costs and long service leave costs are all included in the hospital GL and included in the costing. &#10;&#10;PBS rebates and trade discounts on pharmaceuticals are not included in the co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86400" cy="2084400"/>
                    </a:xfrm>
                    <a:prstGeom prst="rect">
                      <a:avLst/>
                    </a:prstGeom>
                    <a:noFill/>
                    <a:ln>
                      <a:noFill/>
                    </a:ln>
                  </pic:spPr>
                </pic:pic>
              </a:graphicData>
            </a:graphic>
          </wp:inline>
        </w:drawing>
      </w:r>
      <w:r w:rsidR="00EA1B8A">
        <w:br w:type="page"/>
      </w:r>
    </w:p>
    <w:p w:rsidR="00B57F23" w:rsidRDefault="008379DC" w:rsidP="00B57F23">
      <w:pPr>
        <w:pStyle w:val="PwCNormal"/>
        <w:numPr>
          <w:ilvl w:val="0"/>
          <w:numId w:val="0"/>
        </w:numPr>
      </w:pPr>
      <w:r>
        <w:lastRenderedPageBreak/>
        <w:fldChar w:fldCharType="begin"/>
      </w:r>
      <w:r w:rsidR="00B57F23">
        <w:instrText xml:space="preserve"> REF _Ref402714200 \h </w:instrText>
      </w:r>
      <w:r>
        <w:fldChar w:fldCharType="separate"/>
      </w:r>
      <w:r w:rsidR="00575DFC">
        <w:t xml:space="preserve">Table </w:t>
      </w:r>
      <w:r w:rsidR="00575DFC">
        <w:rPr>
          <w:noProof/>
        </w:rPr>
        <w:t>31</w:t>
      </w:r>
      <w:r>
        <w:fldChar w:fldCharType="end"/>
      </w:r>
      <w:r w:rsidR="00B57F23">
        <w:t xml:space="preserve"> above </w:t>
      </w:r>
      <w:r w:rsidR="002D75A8">
        <w:t>identifies specific costs</w:t>
      </w:r>
      <w:r w:rsidR="00B57F23">
        <w:t xml:space="preserve"> that </w:t>
      </w:r>
      <w:r w:rsidR="002D75A8">
        <w:t>were reviewed to understand their treatment in the GL and the costing process</w:t>
      </w:r>
      <w:r w:rsidR="00B57F23">
        <w:t>. Once these costs are allocated to final cost centres they are distributed to patients using the allocation methodology of that cost centre. Key cost treatments to note include:</w:t>
      </w:r>
    </w:p>
    <w:p w:rsidR="008D0D75" w:rsidRPr="00AB4287" w:rsidRDefault="008D0D75" w:rsidP="009C4A5D">
      <w:pPr>
        <w:pStyle w:val="PwCNormal"/>
        <w:numPr>
          <w:ilvl w:val="0"/>
          <w:numId w:val="79"/>
        </w:numPr>
        <w:spacing w:before="240"/>
        <w:ind w:left="567" w:hanging="283"/>
      </w:pPr>
      <w:r w:rsidRPr="00AB4287">
        <w:t xml:space="preserve">Staff members on defined benefit schemes are paid a contribution into a </w:t>
      </w:r>
      <w:r w:rsidR="002821F4" w:rsidRPr="00AB4287">
        <w:t>fund, which</w:t>
      </w:r>
      <w:r w:rsidRPr="00AB4287">
        <w:t xml:space="preserve"> they receive on retirement</w:t>
      </w:r>
      <w:r w:rsidR="00B57F23">
        <w:t>.</w:t>
      </w:r>
      <w:r w:rsidRPr="00AB4287">
        <w:t xml:space="preserve"> </w:t>
      </w:r>
      <w:r w:rsidR="00B57F23">
        <w:t>This</w:t>
      </w:r>
      <w:r w:rsidRPr="00AB4287">
        <w:t xml:space="preserve"> is paid for by the NT government and does not get allocated down to patients.</w:t>
      </w:r>
      <w:r>
        <w:t xml:space="preserve"> Employee superannuation contributions and NT Government contributions for non-defined benefit staff are included in the cost centres from where the staff member is paid.</w:t>
      </w:r>
    </w:p>
    <w:p w:rsidR="008D0D75" w:rsidRDefault="008D0D75" w:rsidP="009C4A5D">
      <w:pPr>
        <w:pStyle w:val="PwCNormal"/>
        <w:numPr>
          <w:ilvl w:val="0"/>
          <w:numId w:val="79"/>
        </w:numPr>
        <w:ind w:left="567" w:hanging="283"/>
      </w:pPr>
      <w:r>
        <w:t xml:space="preserve">The NT government self-insures </w:t>
      </w:r>
      <w:r w:rsidR="00907EFA">
        <w:t xml:space="preserve">Workers’ Compensation risk </w:t>
      </w:r>
      <w:r>
        <w:t>so expenses related to workers compensation claims and professional negligence claims are paid when incurred at the cost centre level.</w:t>
      </w:r>
    </w:p>
    <w:p w:rsidR="008D0D75" w:rsidRDefault="008D0D75" w:rsidP="009C4A5D">
      <w:pPr>
        <w:pStyle w:val="PwCNormal"/>
        <w:numPr>
          <w:ilvl w:val="0"/>
          <w:numId w:val="79"/>
        </w:numPr>
        <w:ind w:left="567" w:hanging="283"/>
      </w:pPr>
      <w:r w:rsidRPr="00100B5F">
        <w:t>Annual leave expenses sit in the cost centre</w:t>
      </w:r>
      <w:r>
        <w:t xml:space="preserve"> from</w:t>
      </w:r>
      <w:r w:rsidRPr="00100B5F">
        <w:t xml:space="preserve"> where the staff member is paid and no additional allocation is required</w:t>
      </w:r>
      <w:r w:rsidRPr="000C7DF6">
        <w:t>. Long service leave expenses are held at treasury and manually included for costing.</w:t>
      </w:r>
    </w:p>
    <w:p w:rsidR="008D0D75" w:rsidRDefault="008D0D75" w:rsidP="009C4A5D">
      <w:pPr>
        <w:pStyle w:val="PwCNormal"/>
        <w:numPr>
          <w:ilvl w:val="0"/>
          <w:numId w:val="79"/>
        </w:numPr>
        <w:ind w:left="567" w:hanging="283"/>
      </w:pPr>
      <w:r>
        <w:t>PBS rebates and trade discounts sit within revenue accounts and are not brought in for costing purposes.</w:t>
      </w:r>
    </w:p>
    <w:p w:rsidR="008D0D75" w:rsidRDefault="00A80673" w:rsidP="009C4A5D">
      <w:pPr>
        <w:pStyle w:val="PwCNormal"/>
        <w:numPr>
          <w:ilvl w:val="0"/>
          <w:numId w:val="79"/>
        </w:numPr>
        <w:ind w:left="567" w:hanging="283"/>
      </w:pPr>
      <w:r>
        <w:t>Assets are revalued every five years and the depreciation in the GL is adjusted accordingly.</w:t>
      </w:r>
    </w:p>
    <w:p w:rsidR="008D0D75" w:rsidRPr="00DE22CA" w:rsidRDefault="008D0D75" w:rsidP="008D0D75">
      <w:pPr>
        <w:pStyle w:val="PwCNormal"/>
        <w:numPr>
          <w:ilvl w:val="0"/>
          <w:numId w:val="0"/>
        </w:numPr>
        <w:rPr>
          <w:b/>
        </w:rPr>
      </w:pPr>
      <w:r w:rsidRPr="00DE22CA">
        <w:rPr>
          <w:b/>
        </w:rPr>
        <w:t>Inclusions and exclusions (Item B)</w:t>
      </w:r>
    </w:p>
    <w:p w:rsidR="008D0D75" w:rsidRPr="00E00C9D" w:rsidRDefault="008D0D75" w:rsidP="008D0D75">
      <w:pPr>
        <w:pStyle w:val="PwCNormal"/>
        <w:numPr>
          <w:ilvl w:val="0"/>
          <w:numId w:val="0"/>
        </w:numPr>
      </w:pPr>
      <w:r w:rsidRPr="00E00C9D">
        <w:t>A total of $8.02</w:t>
      </w:r>
      <w:r w:rsidR="008E7280">
        <w:t xml:space="preserve"> </w:t>
      </w:r>
      <w:r w:rsidRPr="00E00C9D">
        <w:t>m</w:t>
      </w:r>
      <w:r w:rsidR="008E7280">
        <w:t>illion</w:t>
      </w:r>
      <w:r w:rsidRPr="00E00C9D">
        <w:t xml:space="preserve"> was added to the extracted </w:t>
      </w:r>
      <w:r w:rsidR="004646ED">
        <w:t>GL</w:t>
      </w:r>
      <w:r w:rsidRPr="00E00C9D">
        <w:t xml:space="preserve"> before uploading the total hospital costs into the costing system. This was made up of:</w:t>
      </w:r>
    </w:p>
    <w:p w:rsidR="008D0D75" w:rsidRPr="00E00C9D" w:rsidRDefault="008D0D75" w:rsidP="009C4A5D">
      <w:pPr>
        <w:pStyle w:val="PwCNormal"/>
        <w:numPr>
          <w:ilvl w:val="0"/>
          <w:numId w:val="60"/>
        </w:numPr>
      </w:pPr>
      <w:r w:rsidRPr="00E00C9D">
        <w:t>$0.50</w:t>
      </w:r>
      <w:r w:rsidR="008E7280">
        <w:t xml:space="preserve"> </w:t>
      </w:r>
      <w:r w:rsidRPr="00E00C9D">
        <w:t>m</w:t>
      </w:r>
      <w:r w:rsidR="008E7280">
        <w:t>illion</w:t>
      </w:r>
      <w:r>
        <w:t xml:space="preserve"> for outpatient doctor costs in Royal Darwin Hospitals’ </w:t>
      </w:r>
      <w:r w:rsidR="00CA6711">
        <w:t>GL</w:t>
      </w:r>
    </w:p>
    <w:p w:rsidR="008D0D75" w:rsidRPr="00E00C9D" w:rsidRDefault="008D0D75" w:rsidP="009C4A5D">
      <w:pPr>
        <w:pStyle w:val="PwCNormal"/>
        <w:numPr>
          <w:ilvl w:val="0"/>
          <w:numId w:val="60"/>
        </w:numPr>
      </w:pPr>
      <w:r w:rsidRPr="00E00C9D">
        <w:t>$0.32</w:t>
      </w:r>
      <w:r w:rsidR="008E7280">
        <w:t xml:space="preserve"> </w:t>
      </w:r>
      <w:r w:rsidRPr="00E00C9D">
        <w:t>m</w:t>
      </w:r>
      <w:r w:rsidR="008E7280">
        <w:t>illion</w:t>
      </w:r>
      <w:r>
        <w:t xml:space="preserve"> for TEHN executive costs</w:t>
      </w:r>
    </w:p>
    <w:p w:rsidR="008D0D75" w:rsidRPr="00E00C9D" w:rsidRDefault="008D0D75" w:rsidP="009C4A5D">
      <w:pPr>
        <w:pStyle w:val="PwCNormal"/>
        <w:numPr>
          <w:ilvl w:val="0"/>
          <w:numId w:val="60"/>
        </w:numPr>
      </w:pPr>
      <w:r w:rsidRPr="00E00C9D">
        <w:t>$5.33</w:t>
      </w:r>
      <w:r w:rsidR="008E7280">
        <w:t xml:space="preserve"> </w:t>
      </w:r>
      <w:r w:rsidRPr="00E00C9D">
        <w:t>m</w:t>
      </w:r>
      <w:r w:rsidR="008E7280">
        <w:t>illion</w:t>
      </w:r>
      <w:r>
        <w:t xml:space="preserve"> for TEHN financial and information services costs</w:t>
      </w:r>
    </w:p>
    <w:p w:rsidR="008D0D75" w:rsidRPr="00E00C9D" w:rsidRDefault="008D0D75" w:rsidP="009C4A5D">
      <w:pPr>
        <w:pStyle w:val="PwCNormal"/>
        <w:numPr>
          <w:ilvl w:val="0"/>
          <w:numId w:val="60"/>
        </w:numPr>
      </w:pPr>
      <w:r w:rsidRPr="00E00C9D">
        <w:t>$1.87</w:t>
      </w:r>
      <w:r w:rsidR="008E7280">
        <w:t xml:space="preserve"> </w:t>
      </w:r>
      <w:r w:rsidRPr="00E00C9D">
        <w:t>m</w:t>
      </w:r>
      <w:r w:rsidR="008E7280">
        <w:t>illion</w:t>
      </w:r>
      <w:r>
        <w:t xml:space="preserve"> for TEHN shared corporate services</w:t>
      </w:r>
    </w:p>
    <w:p w:rsidR="008D0D75" w:rsidRPr="00DE22CA" w:rsidRDefault="008D0D75" w:rsidP="008D0D75">
      <w:pPr>
        <w:pStyle w:val="PwCNormal"/>
        <w:numPr>
          <w:ilvl w:val="0"/>
          <w:numId w:val="0"/>
        </w:numPr>
      </w:pPr>
      <w:r w:rsidRPr="002B75B1">
        <w:t xml:space="preserve">No costs were removed from the GL at this </w:t>
      </w:r>
      <w:r>
        <w:t>stage of the costing process.</w:t>
      </w:r>
      <w:r w:rsidR="00352FFC">
        <w:t xml:space="preserve"> </w:t>
      </w:r>
      <w:r w:rsidRPr="00E00C9D">
        <w:t xml:space="preserve">After </w:t>
      </w:r>
      <w:r w:rsidR="00352FFC">
        <w:t>the above items were included to the GL</w:t>
      </w:r>
      <w:r w:rsidRPr="00E00C9D">
        <w:t xml:space="preserve">, </w:t>
      </w:r>
      <w:r w:rsidR="00352FFC">
        <w:t xml:space="preserve">the </w:t>
      </w:r>
      <w:r w:rsidRPr="00E00C9D">
        <w:t xml:space="preserve">total expenses </w:t>
      </w:r>
      <w:r w:rsidR="00352FFC">
        <w:t xml:space="preserve">loaded into the costing system for </w:t>
      </w:r>
      <w:r w:rsidRPr="00E00C9D">
        <w:t xml:space="preserve">Katherine </w:t>
      </w:r>
      <w:r w:rsidR="008E7280">
        <w:t xml:space="preserve">Hospital </w:t>
      </w:r>
      <w:r w:rsidRPr="00E00C9D">
        <w:t>were $43.76</w:t>
      </w:r>
      <w:r w:rsidR="002E6E70">
        <w:t xml:space="preserve"> </w:t>
      </w:r>
      <w:r w:rsidRPr="00E00C9D">
        <w:t>m</w:t>
      </w:r>
      <w:r w:rsidR="008E7280">
        <w:t>illion</w:t>
      </w:r>
      <w:r w:rsidRPr="00E00C9D">
        <w:t>.</w:t>
      </w:r>
    </w:p>
    <w:p w:rsidR="008D0D75" w:rsidRPr="00DE22CA" w:rsidRDefault="008D0D75" w:rsidP="008D0D75">
      <w:pPr>
        <w:pStyle w:val="PwCNormal"/>
        <w:numPr>
          <w:ilvl w:val="0"/>
          <w:numId w:val="0"/>
        </w:numPr>
        <w:rPr>
          <w:b/>
        </w:rPr>
      </w:pPr>
      <w:r w:rsidRPr="00DE22CA">
        <w:rPr>
          <w:b/>
        </w:rPr>
        <w:t>Allocation of overheads (Item C)</w:t>
      </w:r>
    </w:p>
    <w:p w:rsidR="008D0D75" w:rsidRPr="00DE22CA" w:rsidRDefault="008D0D75" w:rsidP="008D0D75">
      <w:pPr>
        <w:pStyle w:val="PwCNormal"/>
        <w:numPr>
          <w:ilvl w:val="0"/>
          <w:numId w:val="0"/>
        </w:numPr>
      </w:pPr>
      <w:r w:rsidRPr="00B24E3E">
        <w:t xml:space="preserve">For </w:t>
      </w:r>
      <w:r w:rsidR="00CA6711">
        <w:t>FY</w:t>
      </w:r>
      <w:r w:rsidRPr="00B24E3E">
        <w:t xml:space="preserve"> 2012/13, overhead costs totalled $13.6 m</w:t>
      </w:r>
      <w:r w:rsidR="008E7280">
        <w:t>illion,</w:t>
      </w:r>
      <w:r w:rsidRPr="00B24E3E">
        <w:t xml:space="preserve"> which represents 31.1% of total costs for Katherine. These costs were allocated to the patient care areas based on a variety of allocation statistics, but the major statistics utilised for </w:t>
      </w:r>
      <w:r w:rsidR="006A194B">
        <w:t>Round 17</w:t>
      </w:r>
      <w:r w:rsidRPr="00B24E3E">
        <w:t xml:space="preserve"> was nursing salaries and wages, ward days, and number of patients in clinics. The allocation statistics were determined based on the preferred hierarchy of allocation statistics in the AHPCS along with what reliable information was available.</w:t>
      </w:r>
    </w:p>
    <w:p w:rsidR="008D0D75" w:rsidRPr="00DE22CA" w:rsidRDefault="008D0D75" w:rsidP="008D0D75">
      <w:pPr>
        <w:pStyle w:val="PwCNormal"/>
        <w:numPr>
          <w:ilvl w:val="0"/>
          <w:numId w:val="0"/>
        </w:numPr>
        <w:rPr>
          <w:b/>
        </w:rPr>
      </w:pPr>
      <w:r w:rsidRPr="00DE22CA">
        <w:rPr>
          <w:b/>
        </w:rPr>
        <w:t>Distribution of costs between hospital products</w:t>
      </w:r>
      <w:r>
        <w:rPr>
          <w:b/>
        </w:rPr>
        <w:t xml:space="preserve"> (Item D)</w:t>
      </w:r>
    </w:p>
    <w:p w:rsidR="00A80673" w:rsidRDefault="008D0D75" w:rsidP="008D0D75">
      <w:pPr>
        <w:pStyle w:val="PwCNormal"/>
        <w:numPr>
          <w:ilvl w:val="0"/>
          <w:numId w:val="0"/>
        </w:numPr>
      </w:pPr>
      <w:r w:rsidRPr="00B24E3E">
        <w:t>Where some cost centres delivered services to multiple hospital products (such as medical cost centres servicing inpatients and outpatients along with some teaching), PFRACs were developed.</w:t>
      </w:r>
      <w:r w:rsidR="00352FFC">
        <w:t xml:space="preserve"> </w:t>
      </w:r>
      <w:r>
        <w:t>These PFRACs are reviewed on an annual basis in consultation with hospital staff and clinicians</w:t>
      </w:r>
      <w:r w:rsidR="00352FFC">
        <w:t>, and were reviewed for the Round 17 submission</w:t>
      </w:r>
      <w:r>
        <w:t>.</w:t>
      </w:r>
      <w:r w:rsidR="00352FFC">
        <w:t xml:space="preserve"> PFRACs are</w:t>
      </w:r>
      <w:r>
        <w:t xml:space="preserve"> </w:t>
      </w:r>
      <w:r w:rsidR="00352FFC">
        <w:t>reviewed alongside activity information and w</w:t>
      </w:r>
      <w:r>
        <w:t xml:space="preserve">here there is a material difference between the </w:t>
      </w:r>
      <w:r w:rsidR="00352FFC">
        <w:t xml:space="preserve">existing </w:t>
      </w:r>
      <w:r>
        <w:t xml:space="preserve">PFRAC and the activity, the PFRACS are </w:t>
      </w:r>
      <w:r w:rsidR="00A80673">
        <w:t>amended accordingly.</w:t>
      </w:r>
    </w:p>
    <w:p w:rsidR="00A80673" w:rsidRDefault="00A80673">
      <w:pPr>
        <w:kinsoku/>
        <w:overflowPunct/>
        <w:autoSpaceDE/>
        <w:autoSpaceDN/>
        <w:adjustRightInd/>
        <w:snapToGrid/>
      </w:pPr>
      <w:r>
        <w:br w:type="page"/>
      </w:r>
    </w:p>
    <w:p w:rsidR="008D0D75" w:rsidRPr="004E0B72" w:rsidRDefault="008D0D75" w:rsidP="00CE5EF2">
      <w:pPr>
        <w:pStyle w:val="Heading3"/>
      </w:pPr>
      <w:r>
        <w:lastRenderedPageBreak/>
        <w:t>Activity information and costing methodology</w:t>
      </w:r>
    </w:p>
    <w:p w:rsidR="008D0D75" w:rsidRPr="002449AB" w:rsidRDefault="008D0D75" w:rsidP="008D0D75">
      <w:pPr>
        <w:pStyle w:val="PwCNormal"/>
        <w:numPr>
          <w:ilvl w:val="0"/>
          <w:numId w:val="0"/>
        </w:numPr>
        <w:rPr>
          <w:b/>
        </w:rPr>
      </w:pPr>
      <w:r>
        <w:rPr>
          <w:b/>
        </w:rPr>
        <w:t>Overview</w:t>
      </w:r>
    </w:p>
    <w:p w:rsidR="008D0D75" w:rsidRDefault="008D0D75" w:rsidP="008D0D75">
      <w:pPr>
        <w:pStyle w:val="PwCNormal"/>
        <w:numPr>
          <w:ilvl w:val="0"/>
          <w:numId w:val="0"/>
        </w:numPr>
      </w:pPr>
      <w:r w:rsidRPr="0076484E">
        <w:t>Once costs are split into the various cost areas and are ready to be allocated, a variety of feeder systems are used to allocate costs to patients across all hospital products de</w:t>
      </w:r>
      <w:r>
        <w:t>pending on the type of patient.</w:t>
      </w:r>
      <w:r w:rsidR="00352FFC">
        <w:t xml:space="preserve"> </w:t>
      </w:r>
      <w:r>
        <w:t>The table below outlines the costing methodology fo</w:t>
      </w:r>
      <w:r w:rsidR="00D124D7">
        <w:t xml:space="preserve">r </w:t>
      </w:r>
      <w:r w:rsidR="00352FFC">
        <w:t xml:space="preserve">some of the major </w:t>
      </w:r>
      <w:r w:rsidR="00D124D7">
        <w:t>hospital products.</w:t>
      </w:r>
    </w:p>
    <w:p w:rsidR="00D124D7" w:rsidRDefault="00D124D7" w:rsidP="00D124D7">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32</w:t>
      </w:r>
      <w:r w:rsidR="008379DC">
        <w:rPr>
          <w:noProof/>
        </w:rPr>
        <w:fldChar w:fldCharType="end"/>
      </w:r>
      <w:r>
        <w:t xml:space="preserve">: </w:t>
      </w:r>
      <w:r w:rsidRPr="00FA1570">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8D0D75" w:rsidTr="008D0D7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8D0D75" w:rsidRPr="00C53A14" w:rsidRDefault="008D0D75" w:rsidP="008D0D75">
            <w:pPr>
              <w:pStyle w:val="PwCNormal"/>
              <w:numPr>
                <w:ilvl w:val="0"/>
                <w:numId w:val="0"/>
              </w:numPr>
              <w:rPr>
                <w:b/>
              </w:rPr>
            </w:pPr>
            <w:r w:rsidRPr="00C53A14">
              <w:rPr>
                <w:b/>
              </w:rPr>
              <w:t>Hospital product</w:t>
            </w:r>
          </w:p>
        </w:tc>
        <w:tc>
          <w:tcPr>
            <w:tcW w:w="6237" w:type="dxa"/>
          </w:tcPr>
          <w:p w:rsidR="008D0D75" w:rsidRPr="00C53A14" w:rsidRDefault="008D0D75" w:rsidP="008D0D75">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C53A14">
              <w:rPr>
                <w:b/>
              </w:rPr>
              <w:t>Allocation overview</w:t>
            </w:r>
          </w:p>
        </w:tc>
      </w:tr>
      <w:tr w:rsidR="008D0D75" w:rsidTr="008D0D75">
        <w:tc>
          <w:tcPr>
            <w:tcW w:w="2376" w:type="dxa"/>
          </w:tcPr>
          <w:p w:rsidR="008D0D75" w:rsidRDefault="008D0D75" w:rsidP="008D0D75">
            <w:pPr>
              <w:pStyle w:val="PwCNormal"/>
              <w:numPr>
                <w:ilvl w:val="0"/>
                <w:numId w:val="0"/>
              </w:numPr>
            </w:pPr>
            <w:r>
              <w:t xml:space="preserve">Inpatient </w:t>
            </w:r>
            <w:r>
              <w:br/>
              <w:t xml:space="preserve">(acute and </w:t>
            </w:r>
            <w:r w:rsidR="006A7030">
              <w:t>sub-acute</w:t>
            </w:r>
            <w:r>
              <w:t>)</w:t>
            </w:r>
          </w:p>
        </w:tc>
        <w:tc>
          <w:tcPr>
            <w:tcW w:w="6237" w:type="dxa"/>
          </w:tcPr>
          <w:p w:rsidR="008D0D75" w:rsidRPr="00CA244E" w:rsidRDefault="008D0D75" w:rsidP="008D0D75">
            <w:pPr>
              <w:pStyle w:val="PwCNormal"/>
              <w:numPr>
                <w:ilvl w:val="0"/>
                <w:numId w:val="0"/>
              </w:numPr>
            </w:pPr>
            <w:r>
              <w:t>I</w:t>
            </w:r>
            <w:r w:rsidRPr="00CA244E">
              <w:t xml:space="preserve">npatients are costed at the episode level, utilising data from </w:t>
            </w:r>
            <w:proofErr w:type="spellStart"/>
            <w:r w:rsidRPr="00CA244E">
              <w:t>CareSysNT</w:t>
            </w:r>
            <w:proofErr w:type="spellEnd"/>
            <w:r w:rsidRPr="00CA244E">
              <w:t>.</w:t>
            </w:r>
            <w:r>
              <w:t xml:space="preserve"> Acute patients are classified using AR-DRGs and sub-acute patients are mapped to care types.</w:t>
            </w:r>
          </w:p>
          <w:p w:rsidR="008D0D75" w:rsidRPr="009B7C17" w:rsidRDefault="008D0D75" w:rsidP="008D0D75">
            <w:pPr>
              <w:pStyle w:val="PwCNormal"/>
              <w:numPr>
                <w:ilvl w:val="0"/>
                <w:numId w:val="0"/>
              </w:numPr>
              <w:rPr>
                <w:highlight w:val="yellow"/>
              </w:rPr>
            </w:pPr>
            <w:r w:rsidRPr="00CA244E">
              <w:t xml:space="preserve">Inpatients are allocated costs using various feeder </w:t>
            </w:r>
            <w:r w:rsidR="002821F4" w:rsidRPr="00CA244E">
              <w:t>systems, which</w:t>
            </w:r>
            <w:r w:rsidRPr="00CA244E">
              <w:t xml:space="preserve"> indicate consumption of hospital resources or services. Nursing costs are allocated using a combination of </w:t>
            </w:r>
            <w:r w:rsidR="00EA1B8A" w:rsidRPr="00CA244E">
              <w:t>L</w:t>
            </w:r>
            <w:r w:rsidR="00EA1B8A">
              <w:t>O</w:t>
            </w:r>
            <w:r w:rsidR="00EA1B8A" w:rsidRPr="00CA244E">
              <w:t xml:space="preserve">S </w:t>
            </w:r>
            <w:r w:rsidRPr="00CA244E">
              <w:t xml:space="preserve">and service weights. Ward medical costs are allocated based on </w:t>
            </w:r>
            <w:r w:rsidR="00EA1B8A" w:rsidRPr="00CA244E">
              <w:t>L</w:t>
            </w:r>
            <w:r w:rsidR="00EA1B8A">
              <w:t>O</w:t>
            </w:r>
            <w:r w:rsidR="00EA1B8A" w:rsidRPr="00CA244E">
              <w:t>S</w:t>
            </w:r>
            <w:r w:rsidRPr="00CA244E">
              <w:t xml:space="preserve">. </w:t>
            </w:r>
            <w:r w:rsidRPr="00434EBF">
              <w:t>Diagnostics tests (such as imaging and pathology), pharmacy, theatre</w:t>
            </w:r>
            <w:r>
              <w:t>,</w:t>
            </w:r>
            <w:r w:rsidRPr="00434EBF">
              <w:t xml:space="preserve"> and allied health costs use feeder data to allocate costs with RVUs </w:t>
            </w:r>
            <w:r>
              <w:t>derived</w:t>
            </w:r>
            <w:r w:rsidRPr="00434EBF">
              <w:t xml:space="preserve"> from either </w:t>
            </w:r>
            <w:r>
              <w:t>MBS schedules</w:t>
            </w:r>
            <w:r w:rsidRPr="00434EBF">
              <w:t xml:space="preserve"> or minutes.</w:t>
            </w:r>
          </w:p>
          <w:p w:rsidR="008D0D75" w:rsidRDefault="008D0D75" w:rsidP="008D0D75">
            <w:pPr>
              <w:pStyle w:val="PwCNormal"/>
              <w:numPr>
                <w:ilvl w:val="0"/>
                <w:numId w:val="0"/>
              </w:numPr>
            </w:pPr>
            <w:r w:rsidRPr="001B4824">
              <w:t>Prosthetics costs are cost modelled t</w:t>
            </w:r>
            <w:r>
              <w:t xml:space="preserve">o </w:t>
            </w:r>
            <w:r w:rsidRPr="001B4824">
              <w:t xml:space="preserve">patients </w:t>
            </w:r>
            <w:r>
              <w:t>using their ICD10 codes and the</w:t>
            </w:r>
            <w:r w:rsidRPr="001B4824">
              <w:t xml:space="preserve"> vendor price list</w:t>
            </w:r>
            <w:r>
              <w:t>.</w:t>
            </w:r>
          </w:p>
        </w:tc>
      </w:tr>
      <w:tr w:rsidR="008D0D75" w:rsidTr="008D0D75">
        <w:tc>
          <w:tcPr>
            <w:tcW w:w="2376" w:type="dxa"/>
          </w:tcPr>
          <w:p w:rsidR="008D0D75" w:rsidRDefault="008D0D75" w:rsidP="008D0D75">
            <w:pPr>
              <w:pStyle w:val="PwCNormal"/>
              <w:numPr>
                <w:ilvl w:val="0"/>
                <w:numId w:val="0"/>
              </w:numPr>
            </w:pPr>
            <w:r>
              <w:t>Emergency Department</w:t>
            </w:r>
          </w:p>
        </w:tc>
        <w:tc>
          <w:tcPr>
            <w:tcW w:w="6237" w:type="dxa"/>
          </w:tcPr>
          <w:p w:rsidR="008D0D75" w:rsidRPr="009F7353" w:rsidRDefault="008D0D75" w:rsidP="008D0D75">
            <w:pPr>
              <w:pStyle w:val="PwCNormal"/>
              <w:numPr>
                <w:ilvl w:val="0"/>
                <w:numId w:val="0"/>
              </w:numPr>
            </w:pPr>
            <w:r w:rsidRPr="00AE5209">
              <w:t xml:space="preserve">Patients are allocated costs </w:t>
            </w:r>
            <w:r>
              <w:t>using cost modelling. The model weights presentations based on where the patient waited over/under 120 mins, was admitted or not, and what the patient’s triage. If the patient waited more than four hours additional costs were added.</w:t>
            </w:r>
          </w:p>
          <w:p w:rsidR="008D0D75" w:rsidRPr="00CA244E" w:rsidRDefault="008D0D75" w:rsidP="008D0D75">
            <w:pPr>
              <w:pStyle w:val="PwCNormal"/>
              <w:numPr>
                <w:ilvl w:val="0"/>
                <w:numId w:val="0"/>
              </w:numPr>
              <w:rPr>
                <w:highlight w:val="yellow"/>
              </w:rPr>
            </w:pPr>
            <w:r w:rsidRPr="009F7353">
              <w:t>Diagnostic tests and dispensed pharmaceuticals are allocated to patients directly based on consumption.</w:t>
            </w:r>
          </w:p>
        </w:tc>
      </w:tr>
      <w:tr w:rsidR="008D0D75" w:rsidTr="008D0D75">
        <w:tc>
          <w:tcPr>
            <w:tcW w:w="2376" w:type="dxa"/>
          </w:tcPr>
          <w:p w:rsidR="008D0D75" w:rsidRDefault="008D0D75" w:rsidP="008D0D75">
            <w:pPr>
              <w:pStyle w:val="PwCNormal"/>
              <w:numPr>
                <w:ilvl w:val="0"/>
                <w:numId w:val="0"/>
              </w:numPr>
            </w:pPr>
            <w:r>
              <w:t>Outpatients</w:t>
            </w:r>
          </w:p>
        </w:tc>
        <w:tc>
          <w:tcPr>
            <w:tcW w:w="6237" w:type="dxa"/>
          </w:tcPr>
          <w:p w:rsidR="008D0D75" w:rsidRPr="009F7353" w:rsidRDefault="008D0D75" w:rsidP="008D0D75">
            <w:pPr>
              <w:pStyle w:val="PwCNormal"/>
              <w:numPr>
                <w:ilvl w:val="0"/>
                <w:numId w:val="0"/>
              </w:numPr>
            </w:pPr>
            <w:r w:rsidRPr="00CA244E">
              <w:t xml:space="preserve">All outpatient activity is classified under Tier 2. </w:t>
            </w:r>
            <w:r w:rsidRPr="00523623">
              <w:t xml:space="preserve">Most outpatient costs sit within one cost centre. Outpatient costs are allocated based on </w:t>
            </w:r>
            <w:r w:rsidR="00077E50">
              <w:t>T</w:t>
            </w:r>
            <w:r w:rsidR="00077E50" w:rsidRPr="00523623">
              <w:t xml:space="preserve">ier </w:t>
            </w:r>
            <w:r w:rsidRPr="00523623">
              <w:t>2 service weights, nursing service weights, doctor service weights, and clinic service weights.</w:t>
            </w:r>
          </w:p>
          <w:p w:rsidR="008D0D75" w:rsidRDefault="008D0D75" w:rsidP="008D0D75">
            <w:pPr>
              <w:pStyle w:val="PwCNormal"/>
              <w:numPr>
                <w:ilvl w:val="0"/>
                <w:numId w:val="0"/>
              </w:numPr>
            </w:pPr>
            <w:r w:rsidRPr="009F7353">
              <w:t>Diagnostic tests and dispensed pharmaceuticals are allocated to patients directly based on consumption.</w:t>
            </w:r>
          </w:p>
        </w:tc>
      </w:tr>
      <w:tr w:rsidR="008D0D75" w:rsidTr="008D0D75">
        <w:tc>
          <w:tcPr>
            <w:tcW w:w="2376" w:type="dxa"/>
          </w:tcPr>
          <w:p w:rsidR="008D0D75" w:rsidRDefault="008D0D75" w:rsidP="008D0D75">
            <w:pPr>
              <w:pStyle w:val="PwCNormal"/>
              <w:numPr>
                <w:ilvl w:val="0"/>
                <w:numId w:val="0"/>
              </w:numPr>
            </w:pPr>
            <w:r>
              <w:t>Mental Health</w:t>
            </w:r>
          </w:p>
        </w:tc>
        <w:tc>
          <w:tcPr>
            <w:tcW w:w="6237" w:type="dxa"/>
          </w:tcPr>
          <w:p w:rsidR="008D0D75" w:rsidRDefault="008D0D75" w:rsidP="008D0D75">
            <w:pPr>
              <w:pStyle w:val="PwCNormal"/>
              <w:numPr>
                <w:ilvl w:val="0"/>
                <w:numId w:val="0"/>
              </w:numPr>
            </w:pPr>
            <w:r w:rsidRPr="00FF1D89">
              <w:t>Mental health patients are treated as inpatients and costed according to the same acute and sub-acute methodologies.</w:t>
            </w:r>
          </w:p>
        </w:tc>
      </w:tr>
      <w:tr w:rsidR="008D0D75" w:rsidTr="008D0D75">
        <w:tc>
          <w:tcPr>
            <w:tcW w:w="2376" w:type="dxa"/>
          </w:tcPr>
          <w:p w:rsidR="008D0D75" w:rsidRDefault="008D0D75" w:rsidP="008D0D75">
            <w:pPr>
              <w:pStyle w:val="PwCNormal"/>
              <w:numPr>
                <w:ilvl w:val="0"/>
                <w:numId w:val="0"/>
              </w:numPr>
            </w:pPr>
            <w:r>
              <w:t>Teaching, training and research</w:t>
            </w:r>
          </w:p>
        </w:tc>
        <w:tc>
          <w:tcPr>
            <w:tcW w:w="6237" w:type="dxa"/>
          </w:tcPr>
          <w:p w:rsidR="008D0D75" w:rsidRPr="009B7C17" w:rsidRDefault="008D0D75" w:rsidP="008D0D75">
            <w:pPr>
              <w:pStyle w:val="PwCNormal"/>
              <w:numPr>
                <w:ilvl w:val="0"/>
                <w:numId w:val="0"/>
              </w:numPr>
              <w:rPr>
                <w:highlight w:val="yellow"/>
              </w:rPr>
            </w:pPr>
            <w:r w:rsidRPr="00875718">
              <w:t xml:space="preserve">Direct </w:t>
            </w:r>
            <w:r>
              <w:t>teaching costs are identified when costs sit in a designated teaching cost centre</w:t>
            </w:r>
            <w:r w:rsidRPr="00875718">
              <w:t>.</w:t>
            </w:r>
            <w:r>
              <w:t xml:space="preserve"> Additional costs are added where PFRACs identify teaching effort in other cost centres.</w:t>
            </w:r>
          </w:p>
        </w:tc>
      </w:tr>
      <w:tr w:rsidR="008D0D75" w:rsidTr="008D0D75">
        <w:tc>
          <w:tcPr>
            <w:tcW w:w="2376" w:type="dxa"/>
          </w:tcPr>
          <w:p w:rsidR="008D0D75" w:rsidRDefault="008D0D75" w:rsidP="008D0D75">
            <w:pPr>
              <w:pStyle w:val="PwCNormal"/>
              <w:numPr>
                <w:ilvl w:val="0"/>
                <w:numId w:val="0"/>
              </w:numPr>
            </w:pPr>
            <w:r>
              <w:t>Other</w:t>
            </w:r>
          </w:p>
        </w:tc>
        <w:tc>
          <w:tcPr>
            <w:tcW w:w="6237" w:type="dxa"/>
          </w:tcPr>
          <w:p w:rsidR="008D0D75" w:rsidRPr="009B7C17" w:rsidRDefault="008D0D75" w:rsidP="008D0D75">
            <w:pPr>
              <w:pStyle w:val="PwCNormal"/>
              <w:numPr>
                <w:ilvl w:val="0"/>
                <w:numId w:val="0"/>
              </w:numPr>
              <w:rPr>
                <w:highlight w:val="yellow"/>
              </w:rPr>
            </w:pPr>
            <w:r w:rsidRPr="00FF1D89">
              <w:t>Boarders are costed in line with other inpatients.</w:t>
            </w:r>
          </w:p>
        </w:tc>
      </w:tr>
    </w:tbl>
    <w:p w:rsidR="00F20459" w:rsidRDefault="00F20459" w:rsidP="008D0D75">
      <w:pPr>
        <w:pStyle w:val="PwCNormal"/>
        <w:numPr>
          <w:ilvl w:val="0"/>
          <w:numId w:val="0"/>
        </w:numPr>
      </w:pPr>
    </w:p>
    <w:p w:rsidR="00F20459" w:rsidRDefault="00F20459">
      <w:pPr>
        <w:kinsoku/>
        <w:overflowPunct/>
        <w:autoSpaceDE/>
        <w:autoSpaceDN/>
        <w:adjustRightInd/>
        <w:snapToGrid/>
      </w:pPr>
      <w:r>
        <w:br w:type="page"/>
      </w:r>
    </w:p>
    <w:p w:rsidR="008D0D75" w:rsidRPr="004E0B72" w:rsidRDefault="008D0D75" w:rsidP="00CE5EF2">
      <w:pPr>
        <w:pStyle w:val="Heading3"/>
      </w:pPr>
      <w:r>
        <w:lastRenderedPageBreak/>
        <w:t>Feeder data for sample areas</w:t>
      </w:r>
    </w:p>
    <w:p w:rsidR="008D0D75" w:rsidRPr="002449AB" w:rsidRDefault="008D0D75" w:rsidP="008D0D75">
      <w:pPr>
        <w:pStyle w:val="PwCNormal"/>
        <w:numPr>
          <w:ilvl w:val="0"/>
          <w:numId w:val="0"/>
        </w:numPr>
        <w:rPr>
          <w:b/>
        </w:rPr>
      </w:pPr>
      <w:r>
        <w:rPr>
          <w:b/>
        </w:rPr>
        <w:t>Overview</w:t>
      </w:r>
    </w:p>
    <w:p w:rsidR="008D0D75" w:rsidRPr="0069517E" w:rsidRDefault="008D0D75" w:rsidP="008D0D75">
      <w:pPr>
        <w:pStyle w:val="PwCNormal"/>
        <w:numPr>
          <w:ilvl w:val="0"/>
          <w:numId w:val="0"/>
        </w:numPr>
      </w:pPr>
      <w:r w:rsidRPr="0069517E">
        <w:t>A variety of methods are used to allocate costs at Katherine including the following areas: imaging, pharmacy, patholo</w:t>
      </w:r>
      <w:r>
        <w:t>gy, prostheses, theatre</w:t>
      </w:r>
      <w:r w:rsidRPr="0069517E">
        <w:t>, and allied health</w:t>
      </w:r>
      <w:r>
        <w:t xml:space="preserve">. Some allocation methodologies </w:t>
      </w:r>
      <w:r w:rsidRPr="0069517E">
        <w:t>of note include:</w:t>
      </w:r>
    </w:p>
    <w:p w:rsidR="008D0D75" w:rsidRPr="001B4824" w:rsidRDefault="008D0D75" w:rsidP="009C4A5D">
      <w:pPr>
        <w:pStyle w:val="PwCNormal"/>
        <w:numPr>
          <w:ilvl w:val="0"/>
          <w:numId w:val="51"/>
        </w:numPr>
      </w:pPr>
      <w:r w:rsidRPr="001B4824">
        <w:t xml:space="preserve">Patients are allocated ward </w:t>
      </w:r>
      <w:r>
        <w:t>medical</w:t>
      </w:r>
      <w:r w:rsidRPr="001B4824">
        <w:t xml:space="preserve"> costs based on a combination of fractional bed days and service weights.</w:t>
      </w:r>
    </w:p>
    <w:p w:rsidR="008D0D75" w:rsidRPr="001B4824" w:rsidRDefault="008D0D75" w:rsidP="009C4A5D">
      <w:pPr>
        <w:pStyle w:val="PwCNormal"/>
        <w:numPr>
          <w:ilvl w:val="0"/>
          <w:numId w:val="51"/>
        </w:numPr>
      </w:pPr>
      <w:r w:rsidRPr="001B4824">
        <w:t>Prosthetics costs are cost modelled t</w:t>
      </w:r>
      <w:r>
        <w:t xml:space="preserve">o </w:t>
      </w:r>
      <w:r w:rsidRPr="001B4824">
        <w:t xml:space="preserve">patients </w:t>
      </w:r>
      <w:r>
        <w:t xml:space="preserve">using their ICD10 codes and RVUs were sourced from </w:t>
      </w:r>
      <w:r w:rsidR="0033116C">
        <w:t>TAS</w:t>
      </w:r>
      <w:r>
        <w:t>, with some modifications.</w:t>
      </w:r>
    </w:p>
    <w:p w:rsidR="008D0D75" w:rsidRDefault="008D0D75" w:rsidP="008D0D75">
      <w:pPr>
        <w:pStyle w:val="PwCNormal"/>
        <w:numPr>
          <w:ilvl w:val="0"/>
          <w:numId w:val="0"/>
        </w:numPr>
        <w:rPr>
          <w:b/>
        </w:rPr>
      </w:pPr>
      <w:r>
        <w:rPr>
          <w:b/>
        </w:rPr>
        <w:t>Pharmacy</w:t>
      </w:r>
    </w:p>
    <w:p w:rsidR="00C02BEB" w:rsidRDefault="008D0D75" w:rsidP="008D0D75">
      <w:pPr>
        <w:pStyle w:val="PwCNormal"/>
        <w:numPr>
          <w:ilvl w:val="0"/>
          <w:numId w:val="0"/>
        </w:numPr>
      </w:pPr>
      <w:r w:rsidRPr="00B65680">
        <w:t xml:space="preserve">Katherine uses Ascribe, which records and manages consumption of pharmacy products by patients. </w:t>
      </w:r>
      <w:proofErr w:type="spellStart"/>
      <w:r w:rsidR="00C02BEB">
        <w:t>Imprest</w:t>
      </w:r>
      <w:proofErr w:type="spellEnd"/>
      <w:r w:rsidR="00C02BEB">
        <w:t xml:space="preserve"> drugs are allocated to wards, which are subsequently allocated to patients along with the ward costs, whereas d</w:t>
      </w:r>
      <w:r w:rsidR="00C02BEB" w:rsidRPr="00B65680">
        <w:t>ispensed drugs are linked to patients based on their medical record number and date of service</w:t>
      </w:r>
      <w:r w:rsidR="00C02BEB">
        <w:t>.</w:t>
      </w:r>
    </w:p>
    <w:p w:rsidR="00C02BEB" w:rsidRPr="00B65680" w:rsidRDefault="008D0D75" w:rsidP="00C02BEB">
      <w:pPr>
        <w:pStyle w:val="PwCNormal"/>
        <w:numPr>
          <w:ilvl w:val="0"/>
          <w:numId w:val="0"/>
        </w:numPr>
      </w:pPr>
      <w:r w:rsidRPr="00B65680">
        <w:t xml:space="preserve">Dispensed drugs that are administered directly to patients are recorded in Ascribe and the unit cost </w:t>
      </w:r>
      <w:r w:rsidR="00C02BEB">
        <w:t xml:space="preserve">is used to allocate costs to </w:t>
      </w:r>
      <w:r w:rsidRPr="00B65680">
        <w:t>patients</w:t>
      </w:r>
      <w:r w:rsidR="00C02BEB">
        <w:t xml:space="preserve"> using linking rules</w:t>
      </w:r>
      <w:r w:rsidRPr="00B65680">
        <w:t xml:space="preserve">. It is first linked to inpatients, then emergency department patients, outpatients and then other patient types. </w:t>
      </w:r>
      <w:r w:rsidRPr="00F73699">
        <w:t xml:space="preserve">The linking is done in waves around the date of service, starting with zero, then increasing to </w:t>
      </w:r>
      <w:r w:rsidR="00EA1B8A">
        <w:t>one</w:t>
      </w:r>
      <w:r w:rsidR="00EA1B8A" w:rsidRPr="00F73699">
        <w:t xml:space="preserve"> </w:t>
      </w:r>
      <w:r w:rsidRPr="00F73699">
        <w:t xml:space="preserve">day, </w:t>
      </w:r>
      <w:r w:rsidR="00EA1B8A">
        <w:t>three</w:t>
      </w:r>
      <w:r w:rsidR="00EA1B8A" w:rsidRPr="00F73699">
        <w:t xml:space="preserve"> </w:t>
      </w:r>
      <w:r w:rsidRPr="00F73699">
        <w:t xml:space="preserve">days, </w:t>
      </w:r>
      <w:r w:rsidR="00EA1B8A">
        <w:t>seven</w:t>
      </w:r>
      <w:r w:rsidR="00EA1B8A" w:rsidRPr="00F73699">
        <w:t xml:space="preserve"> </w:t>
      </w:r>
      <w:r w:rsidRPr="00F73699">
        <w:t xml:space="preserve">days and then 30 days on their side of the date. Records that are unable to be matched are linked to a virtual patient, </w:t>
      </w:r>
      <w:r>
        <w:t>which</w:t>
      </w:r>
      <w:r w:rsidRPr="00F73699">
        <w:t xml:space="preserve"> holds the costs for those drugs.</w:t>
      </w:r>
      <w:r>
        <w:t xml:space="preserve"> </w:t>
      </w:r>
      <w:r w:rsidR="00C02BEB">
        <w:fldChar w:fldCharType="begin"/>
      </w:r>
      <w:r w:rsidR="00C02BEB">
        <w:instrText xml:space="preserve"> REF _Ref402883274 \h </w:instrText>
      </w:r>
      <w:r w:rsidR="00C02BEB">
        <w:fldChar w:fldCharType="separate"/>
      </w:r>
      <w:r w:rsidR="00575DFC">
        <w:t xml:space="preserve">Table </w:t>
      </w:r>
      <w:r w:rsidR="00575DFC">
        <w:rPr>
          <w:noProof/>
        </w:rPr>
        <w:t>33</w:t>
      </w:r>
      <w:r w:rsidR="00C02BEB">
        <w:fldChar w:fldCharType="end"/>
      </w:r>
      <w:r w:rsidR="00C02BEB">
        <w:t xml:space="preserve"> outlines the linking of records from the source system to patients within the hospital products.</w:t>
      </w:r>
    </w:p>
    <w:p w:rsidR="00D124D7" w:rsidRDefault="00D124D7" w:rsidP="00D124D7">
      <w:pPr>
        <w:pStyle w:val="Caption"/>
      </w:pPr>
      <w:bookmarkStart w:id="69" w:name="_Ref402883274"/>
      <w:r>
        <w:t xml:space="preserve">Table </w:t>
      </w:r>
      <w:r w:rsidR="008379DC">
        <w:fldChar w:fldCharType="begin"/>
      </w:r>
      <w:r w:rsidR="009E64DF">
        <w:instrText xml:space="preserve"> SEQ Table \* ARABIC </w:instrText>
      </w:r>
      <w:r w:rsidR="008379DC">
        <w:fldChar w:fldCharType="separate"/>
      </w:r>
      <w:r w:rsidR="00575DFC">
        <w:rPr>
          <w:noProof/>
        </w:rPr>
        <w:t>33</w:t>
      </w:r>
      <w:r w:rsidR="008379DC">
        <w:rPr>
          <w:noProof/>
        </w:rPr>
        <w:fldChar w:fldCharType="end"/>
      </w:r>
      <w:bookmarkEnd w:id="69"/>
      <w:r>
        <w:t xml:space="preserve">: </w:t>
      </w:r>
      <w:r w:rsidRPr="000B544B">
        <w:t>Outcome of pharmacy feeder linking</w:t>
      </w:r>
    </w:p>
    <w:p w:rsidR="008D0D75" w:rsidRDefault="008D0D75" w:rsidP="008D0D75">
      <w:pPr>
        <w:pStyle w:val="PwCNormal"/>
        <w:numPr>
          <w:ilvl w:val="0"/>
          <w:numId w:val="0"/>
        </w:numPr>
        <w:rPr>
          <w:highlight w:val="yellow"/>
        </w:rPr>
      </w:pPr>
      <w:r w:rsidRPr="00FD4C14">
        <w:rPr>
          <w:noProof/>
          <w:lang w:eastAsia="en-AU"/>
        </w:rPr>
        <w:drawing>
          <wp:inline distT="0" distB="0" distL="0" distR="0" wp14:anchorId="4DF693A7" wp14:editId="078B4629">
            <wp:extent cx="2880000" cy="2658905"/>
            <wp:effectExtent l="0" t="0" r="0" b="8255"/>
            <wp:docPr id="31" name="Picture 3"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2880000" cy="2658905"/>
                    </a:xfrm>
                    <a:prstGeom prst="rect">
                      <a:avLst/>
                    </a:prstGeom>
                    <a:noFill/>
                    <a:ln w="9525">
                      <a:noFill/>
                      <a:miter lim="800000"/>
                      <a:headEnd/>
                      <a:tailEnd/>
                    </a:ln>
                  </pic:spPr>
                </pic:pic>
              </a:graphicData>
            </a:graphic>
          </wp:inline>
        </w:drawing>
      </w:r>
    </w:p>
    <w:p w:rsidR="008D0D75" w:rsidRDefault="008D0D75" w:rsidP="008D0D75">
      <w:pPr>
        <w:pStyle w:val="PwCNormal"/>
        <w:numPr>
          <w:ilvl w:val="0"/>
          <w:numId w:val="0"/>
        </w:numPr>
      </w:pPr>
      <w:r w:rsidRPr="00F73699">
        <w:t xml:space="preserve">A total of 5,843 records were extracted from the Ascribe system, </w:t>
      </w:r>
      <w:r>
        <w:t xml:space="preserve">of which </w:t>
      </w:r>
      <w:r w:rsidRPr="00F73699">
        <w:t xml:space="preserve">434 records </w:t>
      </w:r>
      <w:r>
        <w:t>could not be linked to a patient record</w:t>
      </w:r>
      <w:r w:rsidRPr="00F73699">
        <w:t>.</w:t>
      </w:r>
      <w:r w:rsidR="00C02BEB">
        <w:t xml:space="preserve"> These records were allocated costs and excluded from the submission to IHPA.</w:t>
      </w:r>
    </w:p>
    <w:p w:rsidR="008D0D75" w:rsidRDefault="008D0D75" w:rsidP="008D0D75">
      <w:pPr>
        <w:pStyle w:val="PwCNormal"/>
        <w:numPr>
          <w:ilvl w:val="0"/>
          <w:numId w:val="0"/>
        </w:numPr>
        <w:rPr>
          <w:b/>
        </w:rPr>
      </w:pPr>
      <w:r>
        <w:rPr>
          <w:b/>
        </w:rPr>
        <w:t>Theatre</w:t>
      </w:r>
    </w:p>
    <w:p w:rsidR="00E07DA8" w:rsidRDefault="008D0D75" w:rsidP="008D0D75">
      <w:pPr>
        <w:pStyle w:val="PwCNormal"/>
        <w:numPr>
          <w:ilvl w:val="0"/>
          <w:numId w:val="0"/>
        </w:numPr>
      </w:pPr>
      <w:r w:rsidRPr="00134608">
        <w:t xml:space="preserve">Katherine uses </w:t>
      </w:r>
      <w:proofErr w:type="spellStart"/>
      <w:r w:rsidRPr="00134608">
        <w:t>CareSysNT</w:t>
      </w:r>
      <w:proofErr w:type="spellEnd"/>
      <w:r w:rsidRPr="00134608">
        <w:t xml:space="preserve"> to record and manage theatre data. </w:t>
      </w:r>
      <w:proofErr w:type="spellStart"/>
      <w:r w:rsidRPr="00134608">
        <w:t>CaresysNT</w:t>
      </w:r>
      <w:proofErr w:type="spellEnd"/>
      <w:r w:rsidRPr="00134608">
        <w:t xml:space="preserve"> records various data points of the patient theatre, such as start and end time of theatre, start and end time of anaesthetics, recovery time etc. Data is extracted from the system and links directly to the patient encounter.</w:t>
      </w:r>
      <w:r w:rsidR="00E07DA8">
        <w:t xml:space="preserve"> As</w:t>
      </w:r>
      <w:r w:rsidR="00E07DA8" w:rsidRPr="00B16898">
        <w:t xml:space="preserve"> </w:t>
      </w:r>
      <w:proofErr w:type="spellStart"/>
      <w:r w:rsidR="00E07DA8" w:rsidRPr="00B16898">
        <w:t>CareSysNT</w:t>
      </w:r>
      <w:proofErr w:type="spellEnd"/>
      <w:r w:rsidR="00E07DA8" w:rsidRPr="00B16898">
        <w:t xml:space="preserve"> </w:t>
      </w:r>
      <w:r w:rsidR="00E07DA8" w:rsidRPr="00B16898">
        <w:lastRenderedPageBreak/>
        <w:t>manages in</w:t>
      </w:r>
      <w:r w:rsidR="00E07DA8">
        <w:t>patients as well as the theatre</w:t>
      </w:r>
      <w:r w:rsidR="00E07DA8" w:rsidRPr="00B16898">
        <w:t xml:space="preserve"> all records were linked directly to patients</w:t>
      </w:r>
      <w:r w:rsidR="00E07DA8">
        <w:t xml:space="preserve">, which can be seen in </w:t>
      </w:r>
      <w:r w:rsidR="00E07DA8">
        <w:fldChar w:fldCharType="begin"/>
      </w:r>
      <w:r w:rsidR="00E07DA8">
        <w:instrText xml:space="preserve"> REF _Ref402883714 \h </w:instrText>
      </w:r>
      <w:r w:rsidR="00E07DA8">
        <w:fldChar w:fldCharType="separate"/>
      </w:r>
      <w:r w:rsidR="00575DFC">
        <w:t xml:space="preserve">Table </w:t>
      </w:r>
      <w:r w:rsidR="00575DFC">
        <w:rPr>
          <w:noProof/>
        </w:rPr>
        <w:t>34</w:t>
      </w:r>
      <w:r w:rsidR="00E07DA8">
        <w:fldChar w:fldCharType="end"/>
      </w:r>
      <w:r w:rsidR="00E07DA8">
        <w:t xml:space="preserve"> below.</w:t>
      </w:r>
    </w:p>
    <w:p w:rsidR="00C02BEB" w:rsidRDefault="00C02BEB" w:rsidP="008D0D75">
      <w:pPr>
        <w:pStyle w:val="PwCNormal"/>
        <w:numPr>
          <w:ilvl w:val="0"/>
          <w:numId w:val="0"/>
        </w:numPr>
      </w:pPr>
      <w:r>
        <w:t>Theatre costs are split into several buckets and allocated to patients using different theatre times. Theatre and surgeon costs are allocated using theatre</w:t>
      </w:r>
      <w:r w:rsidR="00E07DA8">
        <w:t xml:space="preserve"> time, calculated from the start of first cut to close. Anaesthetic time is used to allocated pre-operating costs  </w:t>
      </w:r>
    </w:p>
    <w:p w:rsidR="00D124D7" w:rsidRDefault="00D124D7" w:rsidP="00D124D7">
      <w:pPr>
        <w:pStyle w:val="Caption"/>
      </w:pPr>
      <w:bookmarkStart w:id="70" w:name="_Ref402883714"/>
      <w:r>
        <w:t xml:space="preserve">Table </w:t>
      </w:r>
      <w:r w:rsidR="008379DC">
        <w:fldChar w:fldCharType="begin"/>
      </w:r>
      <w:r w:rsidR="009E64DF">
        <w:instrText xml:space="preserve"> SEQ Table \* ARABIC </w:instrText>
      </w:r>
      <w:r w:rsidR="008379DC">
        <w:fldChar w:fldCharType="separate"/>
      </w:r>
      <w:r w:rsidR="00575DFC">
        <w:rPr>
          <w:noProof/>
        </w:rPr>
        <w:t>34</w:t>
      </w:r>
      <w:r w:rsidR="008379DC">
        <w:rPr>
          <w:noProof/>
        </w:rPr>
        <w:fldChar w:fldCharType="end"/>
      </w:r>
      <w:bookmarkEnd w:id="70"/>
      <w:r>
        <w:t xml:space="preserve">: </w:t>
      </w:r>
      <w:r w:rsidRPr="005C7231">
        <w:t>Outcome of theatre feeder linking</w:t>
      </w:r>
    </w:p>
    <w:p w:rsidR="008D0D75" w:rsidRDefault="008D0D75" w:rsidP="008D0D75">
      <w:pPr>
        <w:pStyle w:val="PwCNormal"/>
        <w:numPr>
          <w:ilvl w:val="0"/>
          <w:numId w:val="0"/>
        </w:numPr>
      </w:pPr>
      <w:r w:rsidRPr="00FD4C14">
        <w:rPr>
          <w:noProof/>
          <w:lang w:eastAsia="en-AU"/>
        </w:rPr>
        <w:drawing>
          <wp:inline distT="0" distB="0" distL="0" distR="0" wp14:anchorId="050F5A3B" wp14:editId="390539EA">
            <wp:extent cx="2880000" cy="2661695"/>
            <wp:effectExtent l="0" t="0" r="0" b="5715"/>
            <wp:docPr id="32" name="Picture 4"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2880000" cy="2661695"/>
                    </a:xfrm>
                    <a:prstGeom prst="rect">
                      <a:avLst/>
                    </a:prstGeom>
                    <a:noFill/>
                    <a:ln w="9525">
                      <a:noFill/>
                      <a:miter lim="800000"/>
                      <a:headEnd/>
                      <a:tailEnd/>
                    </a:ln>
                  </pic:spPr>
                </pic:pic>
              </a:graphicData>
            </a:graphic>
          </wp:inline>
        </w:drawing>
      </w:r>
    </w:p>
    <w:p w:rsidR="008D0D75" w:rsidRPr="002449AB" w:rsidRDefault="008D0D75" w:rsidP="008D0D75">
      <w:pPr>
        <w:pStyle w:val="PwCNormal"/>
        <w:numPr>
          <w:ilvl w:val="0"/>
          <w:numId w:val="0"/>
        </w:numPr>
        <w:rPr>
          <w:b/>
        </w:rPr>
      </w:pPr>
      <w:r>
        <w:rPr>
          <w:b/>
        </w:rPr>
        <w:t>Ward Nursing</w:t>
      </w:r>
    </w:p>
    <w:p w:rsidR="008D0D75" w:rsidRPr="009C195C" w:rsidRDefault="008D0D75" w:rsidP="008D0D75">
      <w:pPr>
        <w:pStyle w:val="PwCNormal"/>
        <w:numPr>
          <w:ilvl w:val="0"/>
          <w:numId w:val="0"/>
        </w:numPr>
      </w:pPr>
      <w:proofErr w:type="spellStart"/>
      <w:r w:rsidRPr="009C195C">
        <w:t>CareSysNT</w:t>
      </w:r>
      <w:proofErr w:type="spellEnd"/>
      <w:r w:rsidRPr="009C195C">
        <w:t xml:space="preserve"> is the key patient administration system at Katherine and includes data on the patient’s encounter in hospital, such as the admission and discharge date and time, transfers between wards and units. </w:t>
      </w:r>
      <w:proofErr w:type="spellStart"/>
      <w:r w:rsidRPr="009C195C">
        <w:t>CareSysNT</w:t>
      </w:r>
      <w:proofErr w:type="spellEnd"/>
      <w:r w:rsidRPr="009C195C">
        <w:t xml:space="preserve"> is also used for capturing theatre data, prosthetic data, ED data, Allied Health, Outpatients,</w:t>
      </w:r>
      <w:r w:rsidR="00E07DA8">
        <w:t xml:space="preserve"> and Ward Medical information. Transfer d</w:t>
      </w:r>
      <w:r w:rsidRPr="009C195C">
        <w:t>ata is extracted from the system and links directly to the patient encounter.</w:t>
      </w:r>
      <w:r w:rsidR="00E07DA8">
        <w:t xml:space="preserve"> As all patients who are admitted to a ward and receive a transfer record, all ward nursing costs were allocated to inpatients. This is shown in </w:t>
      </w:r>
      <w:r w:rsidR="00E07DA8">
        <w:fldChar w:fldCharType="begin"/>
      </w:r>
      <w:r w:rsidR="00E07DA8">
        <w:instrText xml:space="preserve"> REF _Ref402884067 \h </w:instrText>
      </w:r>
      <w:r w:rsidR="00E07DA8">
        <w:fldChar w:fldCharType="separate"/>
      </w:r>
      <w:r w:rsidR="00575DFC">
        <w:t xml:space="preserve">Table </w:t>
      </w:r>
      <w:r w:rsidR="00575DFC">
        <w:rPr>
          <w:noProof/>
        </w:rPr>
        <w:t>35</w:t>
      </w:r>
      <w:r w:rsidR="00E07DA8">
        <w:fldChar w:fldCharType="end"/>
      </w:r>
      <w:r w:rsidR="00E07DA8">
        <w:t>.</w:t>
      </w:r>
    </w:p>
    <w:p w:rsidR="008D0D75" w:rsidRPr="009C195C" w:rsidRDefault="008D0D75" w:rsidP="008D0D75">
      <w:pPr>
        <w:pStyle w:val="PwCNormal"/>
        <w:numPr>
          <w:ilvl w:val="0"/>
          <w:numId w:val="0"/>
        </w:numPr>
      </w:pPr>
      <w:r w:rsidRPr="009C195C">
        <w:t>Patient stay was identified down to the ward and unit level (such as a maternity ward</w:t>
      </w:r>
      <w:r>
        <w:t xml:space="preserve"> or critical care unit) and the</w:t>
      </w:r>
      <w:r w:rsidRPr="009C195C">
        <w:t xml:space="preserve"> </w:t>
      </w:r>
      <w:r w:rsidR="00EA1B8A" w:rsidRPr="009C195C">
        <w:t>L</w:t>
      </w:r>
      <w:r w:rsidR="00EA1B8A">
        <w:t>O</w:t>
      </w:r>
      <w:r w:rsidR="00EA1B8A" w:rsidRPr="009C195C">
        <w:t xml:space="preserve">S </w:t>
      </w:r>
      <w:r w:rsidRPr="009C195C">
        <w:t>was generated from the start and end date and time. A combination of fractional bed days and service weights were used to derive a cost driver for nursing.</w:t>
      </w:r>
    </w:p>
    <w:p w:rsidR="00D124D7" w:rsidRDefault="00D124D7" w:rsidP="00D124D7">
      <w:pPr>
        <w:pStyle w:val="Caption"/>
      </w:pPr>
      <w:bookmarkStart w:id="71" w:name="_Ref402884067"/>
      <w:r>
        <w:lastRenderedPageBreak/>
        <w:t xml:space="preserve">Table </w:t>
      </w:r>
      <w:r w:rsidR="008379DC">
        <w:fldChar w:fldCharType="begin"/>
      </w:r>
      <w:r w:rsidR="009E64DF">
        <w:instrText xml:space="preserve"> SEQ Table \* ARABIC </w:instrText>
      </w:r>
      <w:r w:rsidR="008379DC">
        <w:fldChar w:fldCharType="separate"/>
      </w:r>
      <w:r w:rsidR="00575DFC">
        <w:rPr>
          <w:noProof/>
        </w:rPr>
        <w:t>35</w:t>
      </w:r>
      <w:r w:rsidR="008379DC">
        <w:rPr>
          <w:noProof/>
        </w:rPr>
        <w:fldChar w:fldCharType="end"/>
      </w:r>
      <w:bookmarkEnd w:id="71"/>
      <w:r>
        <w:t xml:space="preserve">: </w:t>
      </w:r>
      <w:r w:rsidRPr="00CB7D62">
        <w:t>Outcome of ward nursing feeder linking</w:t>
      </w:r>
    </w:p>
    <w:p w:rsidR="008D0D75" w:rsidRDefault="008D0D75" w:rsidP="008D0D75">
      <w:pPr>
        <w:pStyle w:val="PwCNormal"/>
        <w:numPr>
          <w:ilvl w:val="0"/>
          <w:numId w:val="0"/>
        </w:numPr>
      </w:pPr>
      <w:r w:rsidRPr="00FD4C14">
        <w:rPr>
          <w:noProof/>
          <w:lang w:eastAsia="en-AU"/>
        </w:rPr>
        <w:drawing>
          <wp:inline distT="0" distB="0" distL="0" distR="0" wp14:anchorId="188B8D7E" wp14:editId="3CBFD930">
            <wp:extent cx="2880000" cy="2661695"/>
            <wp:effectExtent l="0" t="0" r="0" b="5715"/>
            <wp:docPr id="33" name="Picture 5"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srcRect/>
                    <a:stretch>
                      <a:fillRect/>
                    </a:stretch>
                  </pic:blipFill>
                  <pic:spPr bwMode="auto">
                    <a:xfrm>
                      <a:off x="0" y="0"/>
                      <a:ext cx="2880000" cy="2661695"/>
                    </a:xfrm>
                    <a:prstGeom prst="rect">
                      <a:avLst/>
                    </a:prstGeom>
                    <a:noFill/>
                    <a:ln w="9525">
                      <a:noFill/>
                      <a:miter lim="800000"/>
                      <a:headEnd/>
                      <a:tailEnd/>
                    </a:ln>
                  </pic:spPr>
                </pic:pic>
              </a:graphicData>
            </a:graphic>
          </wp:inline>
        </w:drawing>
      </w:r>
    </w:p>
    <w:p w:rsidR="008D0D75" w:rsidRPr="004E0B72" w:rsidRDefault="008D0D75" w:rsidP="00CE5EF2">
      <w:pPr>
        <w:pStyle w:val="Heading3"/>
      </w:pPr>
      <w:r>
        <w:t>The costed dataset</w:t>
      </w:r>
    </w:p>
    <w:p w:rsidR="008D0D75" w:rsidRPr="002449AB" w:rsidRDefault="008D0D75" w:rsidP="008D0D75">
      <w:pPr>
        <w:pStyle w:val="PwCNormal"/>
        <w:numPr>
          <w:ilvl w:val="0"/>
          <w:numId w:val="0"/>
        </w:numPr>
        <w:rPr>
          <w:b/>
        </w:rPr>
      </w:pPr>
      <w:r>
        <w:rPr>
          <w:b/>
        </w:rPr>
        <w:t>QA process</w:t>
      </w:r>
    </w:p>
    <w:p w:rsidR="008D0D75" w:rsidRDefault="00E07DA8" w:rsidP="008D0D75">
      <w:pPr>
        <w:pStyle w:val="PwCNormal"/>
        <w:numPr>
          <w:ilvl w:val="0"/>
          <w:numId w:val="0"/>
        </w:numPr>
      </w:pPr>
      <w:r>
        <w:t>NT health perform</w:t>
      </w:r>
      <w:r w:rsidR="0034613B">
        <w:t>ed</w:t>
      </w:r>
      <w:r>
        <w:t xml:space="preserve"> a range of QA processes over costed data. This included reconciliations between total costs and activity loaded into the costing system and </w:t>
      </w:r>
      <w:r w:rsidR="0034613B">
        <w:t xml:space="preserve">what was allocated to patients. Comparisons with prior year costs and activity were also performed, along with a review of high, low and negative cost patients. Other validation and reasonable tests were formed over fields such as ages and durations (such as LOS, ICU hours </w:t>
      </w:r>
      <w:proofErr w:type="spellStart"/>
      <w:r w:rsidR="0034613B">
        <w:t>etc</w:t>
      </w:r>
      <w:proofErr w:type="spellEnd"/>
      <w:r w:rsidR="0034613B">
        <w:t xml:space="preserve">). </w:t>
      </w:r>
      <w:r w:rsidR="008D0D75">
        <w:t>Identified issues during the process are rectified and the new costing results again go through the QA processes.</w:t>
      </w:r>
    </w:p>
    <w:p w:rsidR="008D0D75" w:rsidRPr="002449AB" w:rsidRDefault="008D0D75" w:rsidP="008D0D75">
      <w:pPr>
        <w:pStyle w:val="PwCNormal"/>
        <w:numPr>
          <w:ilvl w:val="0"/>
          <w:numId w:val="0"/>
        </w:numPr>
        <w:rPr>
          <w:b/>
        </w:rPr>
      </w:pPr>
      <w:r>
        <w:rPr>
          <w:b/>
        </w:rPr>
        <w:t>Adjustments</w:t>
      </w:r>
    </w:p>
    <w:p w:rsidR="00F20459" w:rsidRDefault="0034613B" w:rsidP="0034613B">
      <w:pPr>
        <w:pStyle w:val="PwCNormal"/>
        <w:numPr>
          <w:ilvl w:val="0"/>
          <w:numId w:val="0"/>
        </w:numPr>
      </w:pPr>
      <w:r>
        <w:t xml:space="preserve">NT Health only made two types of adjustment: WIP patients (which is discussed below) and out of scope adjustments. </w:t>
      </w:r>
      <w:r w:rsidR="008D0D75">
        <w:t>Out of scope</w:t>
      </w:r>
      <w:r w:rsidR="008D0D75" w:rsidRPr="00897CF1">
        <w:t xml:space="preserve"> adjustment</w:t>
      </w:r>
      <w:r w:rsidR="008D0D75">
        <w:t>s include</w:t>
      </w:r>
      <w:r>
        <w:t>d</w:t>
      </w:r>
      <w:r w:rsidR="008D0D75">
        <w:t xml:space="preserve"> items such as </w:t>
      </w:r>
      <w:proofErr w:type="spellStart"/>
      <w:r w:rsidR="008D0D75">
        <w:t>Careflight</w:t>
      </w:r>
      <w:proofErr w:type="spellEnd"/>
      <w:r w:rsidR="008D0D75">
        <w:t xml:space="preserve"> (totalling $5</w:t>
      </w:r>
      <w:r w:rsidR="008E7280">
        <w:t xml:space="preserve"> </w:t>
      </w:r>
      <w:r w:rsidR="008D0D75">
        <w:t>m</w:t>
      </w:r>
      <w:r w:rsidR="008E7280">
        <w:t>illion</w:t>
      </w:r>
      <w:r w:rsidR="008D0D75">
        <w:t xml:space="preserve">), kiosk, </w:t>
      </w:r>
      <w:proofErr w:type="spellStart"/>
      <w:r w:rsidR="008D0D75">
        <w:t>Healthnet</w:t>
      </w:r>
      <w:proofErr w:type="spellEnd"/>
      <w:r w:rsidR="008D0D75">
        <w:t xml:space="preserve"> recoveries, teaching, and any unlinked patients etc. These out of scope adjustments amounted to $8.3</w:t>
      </w:r>
      <w:r w:rsidR="008E7280">
        <w:t xml:space="preserve"> </w:t>
      </w:r>
      <w:r w:rsidR="008D0D75">
        <w:t>m</w:t>
      </w:r>
      <w:r w:rsidR="008E7280">
        <w:t>illion</w:t>
      </w:r>
      <w:r w:rsidR="008D0D75">
        <w:t xml:space="preserve"> in FY 2012/13.</w:t>
      </w:r>
    </w:p>
    <w:p w:rsidR="008D0D75" w:rsidRPr="002449AB" w:rsidRDefault="008D0D75" w:rsidP="008D0D75">
      <w:pPr>
        <w:pStyle w:val="PwCNormal"/>
        <w:numPr>
          <w:ilvl w:val="0"/>
          <w:numId w:val="0"/>
        </w:numPr>
        <w:rPr>
          <w:b/>
        </w:rPr>
      </w:pPr>
      <w:r>
        <w:rPr>
          <w:b/>
        </w:rPr>
        <w:t>Work in progress (Item E)</w:t>
      </w:r>
    </w:p>
    <w:p w:rsidR="008D0D75" w:rsidRDefault="008D0D75" w:rsidP="008D0D75">
      <w:pPr>
        <w:pStyle w:val="PwCNormal"/>
        <w:numPr>
          <w:ilvl w:val="0"/>
          <w:numId w:val="0"/>
        </w:numPr>
      </w:pPr>
      <w:r>
        <w:t>Adjustments are made for patients whose stay at the hospital crosses the financial year. The diagram below illustrates the four combinations of admission and discharge dates that can occur and the treatment of cost and submission through to IHPA.</w:t>
      </w:r>
    </w:p>
    <w:p w:rsidR="00D124D7" w:rsidRDefault="00D124D7" w:rsidP="00D124D7">
      <w:pPr>
        <w:pStyle w:val="Caption"/>
      </w:pPr>
      <w:r>
        <w:t xml:space="preserve">Figure </w:t>
      </w:r>
      <w:r w:rsidR="008379DC">
        <w:fldChar w:fldCharType="begin"/>
      </w:r>
      <w:r w:rsidR="009E64DF">
        <w:instrText xml:space="preserve"> SEQ Figure \* ARABIC </w:instrText>
      </w:r>
      <w:r w:rsidR="008379DC">
        <w:fldChar w:fldCharType="separate"/>
      </w:r>
      <w:r w:rsidR="00575DFC">
        <w:rPr>
          <w:noProof/>
        </w:rPr>
        <w:t>4</w:t>
      </w:r>
      <w:r w:rsidR="008379DC">
        <w:rPr>
          <w:noProof/>
        </w:rPr>
        <w:fldChar w:fldCharType="end"/>
      </w:r>
      <w:r>
        <w:t xml:space="preserve">: </w:t>
      </w:r>
      <w:r w:rsidRPr="003265A4">
        <w:t xml:space="preserve">Treatment of </w:t>
      </w:r>
      <w:r w:rsidR="005914E9">
        <w:t>WIP</w:t>
      </w:r>
      <w:r w:rsidRPr="003265A4">
        <w:t xml:space="preserve"> patients</w:t>
      </w:r>
    </w:p>
    <w:p w:rsidR="008D0D75" w:rsidRDefault="00DD7085" w:rsidP="008D0D75">
      <w:r w:rsidRPr="000D62BB">
        <w:rPr>
          <w:noProof/>
          <w:lang w:eastAsia="en-AU"/>
        </w:rPr>
        <w:drawing>
          <wp:inline distT="0" distB="0" distL="0" distR="0" wp14:anchorId="26FBEC0B" wp14:editId="299B212A">
            <wp:extent cx="5850255" cy="1530350"/>
            <wp:effectExtent l="0" t="0" r="0" b="0"/>
            <wp:docPr id="123" name="Picture 123" descr="This table outlines the treatment of work in progress patients. All patients who were admitted during the financial year were allocated costs, but only those discharged were in the financial year were submitted." title="Treatment of work in progres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255" cy="1530350"/>
                    </a:xfrm>
                    <a:prstGeom prst="rect">
                      <a:avLst/>
                    </a:prstGeom>
                    <a:noFill/>
                    <a:ln>
                      <a:noFill/>
                    </a:ln>
                  </pic:spPr>
                </pic:pic>
              </a:graphicData>
            </a:graphic>
          </wp:inline>
        </w:drawing>
      </w:r>
    </w:p>
    <w:p w:rsidR="008D0D75" w:rsidRPr="002B7575" w:rsidRDefault="008D0D75" w:rsidP="008D0D75">
      <w:pPr>
        <w:pStyle w:val="PwCNormal"/>
      </w:pPr>
    </w:p>
    <w:p w:rsidR="008D0D75" w:rsidRDefault="008D0D75" w:rsidP="008D0D75">
      <w:pPr>
        <w:pStyle w:val="PwCNormal"/>
        <w:numPr>
          <w:ilvl w:val="0"/>
          <w:numId w:val="0"/>
        </w:numPr>
      </w:pPr>
      <w:r>
        <w:lastRenderedPageBreak/>
        <w:t xml:space="preserve">For Katherine in </w:t>
      </w:r>
      <w:r w:rsidR="006A194B">
        <w:t>Round 17</w:t>
      </w:r>
      <w:r>
        <w:t>, patients in each of these scenarios were treated the following ways:</w:t>
      </w:r>
    </w:p>
    <w:p w:rsidR="008D0D75" w:rsidRPr="008B4D6E" w:rsidRDefault="00AF7A4C" w:rsidP="009C4A5D">
      <w:pPr>
        <w:pStyle w:val="PwCNormal"/>
        <w:numPr>
          <w:ilvl w:val="0"/>
          <w:numId w:val="44"/>
        </w:numPr>
      </w:pPr>
      <w:r>
        <w:t>S</w:t>
      </w:r>
      <w:r w:rsidRPr="008B4D6E">
        <w:t xml:space="preserve">cenario </w:t>
      </w:r>
      <w:r w:rsidR="008D0D75" w:rsidRPr="008B4D6E">
        <w:t>1 patients were allocated FY 2012/13 costs for their full length of their stay. These patients were submitted to IHPA.</w:t>
      </w:r>
    </w:p>
    <w:p w:rsidR="008D0D75" w:rsidRPr="008B4D6E" w:rsidRDefault="008D0D75" w:rsidP="009C4A5D">
      <w:pPr>
        <w:pStyle w:val="PwCNormal"/>
        <w:numPr>
          <w:ilvl w:val="0"/>
          <w:numId w:val="44"/>
        </w:numPr>
      </w:pPr>
      <w:r w:rsidRPr="008B4D6E">
        <w:t>Scenario 2 patients were allocated costs FY 2012/13 cost for the portion of their stay that fell within the year.</w:t>
      </w:r>
      <w:r>
        <w:t xml:space="preserve"> No costs were brought forward for these patients in </w:t>
      </w:r>
      <w:r w:rsidR="006A194B">
        <w:t>Round 17</w:t>
      </w:r>
      <w:r>
        <w:t>.</w:t>
      </w:r>
    </w:p>
    <w:p w:rsidR="008D0D75" w:rsidRPr="00901CAC" w:rsidRDefault="008D0D75" w:rsidP="009C4A5D">
      <w:pPr>
        <w:pStyle w:val="PwCNormal"/>
        <w:numPr>
          <w:ilvl w:val="0"/>
          <w:numId w:val="44"/>
        </w:numPr>
      </w:pPr>
      <w:r w:rsidRPr="008B4D6E">
        <w:t xml:space="preserve">Scenario 3 patients were allocated costs FY 2012/13 cost for the portion of their stay that fell within the year. These patients were then set aside and will be submitted to IHPA </w:t>
      </w:r>
      <w:r w:rsidRPr="00901CAC">
        <w:t>in future rounds.</w:t>
      </w:r>
    </w:p>
    <w:p w:rsidR="008D0D75" w:rsidRPr="00901CAC" w:rsidRDefault="008D0D75" w:rsidP="009C4A5D">
      <w:pPr>
        <w:pStyle w:val="PwCNormal"/>
        <w:numPr>
          <w:ilvl w:val="0"/>
          <w:numId w:val="44"/>
        </w:numPr>
      </w:pPr>
      <w:r w:rsidRPr="00901CAC">
        <w:t xml:space="preserve">There were no scenario 4 patients in </w:t>
      </w:r>
      <w:r w:rsidR="006A194B">
        <w:t>Round 17</w:t>
      </w:r>
      <w:r w:rsidRPr="00901CAC">
        <w:t xml:space="preserve"> at Katherine. </w:t>
      </w:r>
    </w:p>
    <w:p w:rsidR="008D0D75" w:rsidRPr="004E0B72" w:rsidRDefault="008D0D75" w:rsidP="00CE5EF2">
      <w:pPr>
        <w:pStyle w:val="Heading3"/>
      </w:pPr>
      <w:r>
        <w:t>Sample patients</w:t>
      </w:r>
    </w:p>
    <w:p w:rsidR="008D0D75" w:rsidRDefault="002729CE" w:rsidP="008D0D75">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8D0D75" w:rsidRPr="005B42B5">
        <w:t>. Th</w:t>
      </w:r>
      <w:r>
        <w:t>e table below lists the results, which identified no variances.</w:t>
      </w:r>
    </w:p>
    <w:p w:rsidR="00D124D7" w:rsidRDefault="00D124D7" w:rsidP="00D124D7">
      <w:pPr>
        <w:pStyle w:val="Caption"/>
      </w:pPr>
      <w:r>
        <w:t xml:space="preserve">Figure </w:t>
      </w:r>
      <w:r w:rsidR="008379DC">
        <w:fldChar w:fldCharType="begin"/>
      </w:r>
      <w:r w:rsidR="009E64DF">
        <w:instrText xml:space="preserve"> SEQ Figure \* ARABIC </w:instrText>
      </w:r>
      <w:r w:rsidR="008379DC">
        <w:fldChar w:fldCharType="separate"/>
      </w:r>
      <w:r w:rsidR="00575DFC">
        <w:rPr>
          <w:noProof/>
        </w:rPr>
        <w:t>5</w:t>
      </w:r>
      <w:r w:rsidR="008379DC">
        <w:rPr>
          <w:noProof/>
        </w:rPr>
        <w:fldChar w:fldCharType="end"/>
      </w:r>
      <w:r>
        <w:t xml:space="preserve">: </w:t>
      </w:r>
      <w:r w:rsidRPr="00E469FE">
        <w:t>Sample patient reconciliation with IHPA</w:t>
      </w:r>
    </w:p>
    <w:p w:rsidR="002E6E70" w:rsidRDefault="002E6E70" w:rsidP="008D0D75">
      <w:pPr>
        <w:pStyle w:val="PwCNormal"/>
        <w:numPr>
          <w:ilvl w:val="0"/>
          <w:numId w:val="0"/>
        </w:numPr>
      </w:pPr>
      <w:r w:rsidRPr="002E6E70">
        <w:rPr>
          <w:noProof/>
          <w:lang w:eastAsia="en-AU"/>
        </w:rPr>
        <w:drawing>
          <wp:inline distT="0" distB="0" distL="0" distR="0" wp14:anchorId="3F540074" wp14:editId="14A244D3">
            <wp:extent cx="3593805" cy="986737"/>
            <wp:effectExtent l="0" t="0" r="6985" b="4445"/>
            <wp:docPr id="7" name="Picture 7"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93702" cy="986709"/>
                    </a:xfrm>
                    <a:prstGeom prst="rect">
                      <a:avLst/>
                    </a:prstGeom>
                    <a:noFill/>
                    <a:ln>
                      <a:noFill/>
                    </a:ln>
                  </pic:spPr>
                </pic:pic>
              </a:graphicData>
            </a:graphic>
          </wp:inline>
        </w:drawing>
      </w:r>
    </w:p>
    <w:p w:rsidR="008D0D75" w:rsidRDefault="008D0D75" w:rsidP="008D0D75">
      <w:pPr>
        <w:pStyle w:val="PwCNormal"/>
        <w:numPr>
          <w:ilvl w:val="0"/>
          <w:numId w:val="0"/>
        </w:numPr>
      </w:pPr>
      <w:r>
        <w:br w:type="page"/>
      </w:r>
    </w:p>
    <w:p w:rsidR="008D0D75" w:rsidRDefault="008D0D75" w:rsidP="008D0D75">
      <w:pPr>
        <w:pStyle w:val="Heading2"/>
        <w:spacing w:before="0" w:after="40"/>
      </w:pPr>
      <w:r>
        <w:lastRenderedPageBreak/>
        <w:t>Jurisdictional overview</w:t>
      </w:r>
    </w:p>
    <w:p w:rsidR="008D0D75" w:rsidRDefault="008D0D75" w:rsidP="00CE5EF2">
      <w:pPr>
        <w:pStyle w:val="Heading3"/>
      </w:pPr>
      <w:r>
        <w:t>Overview of process</w:t>
      </w:r>
    </w:p>
    <w:p w:rsidR="008D0D75" w:rsidRPr="00366C73" w:rsidRDefault="008D0D75" w:rsidP="008D0D75">
      <w:pPr>
        <w:pStyle w:val="PwCNormal"/>
        <w:numPr>
          <w:ilvl w:val="0"/>
          <w:numId w:val="0"/>
        </w:numPr>
      </w:pPr>
      <w:r w:rsidRPr="00366C73">
        <w:t xml:space="preserve">NT Health performs all costing for all hospitals in the </w:t>
      </w:r>
      <w:r w:rsidR="00DB6852">
        <w:t>territory, which</w:t>
      </w:r>
      <w:r w:rsidRPr="00366C73">
        <w:t xml:space="preserve"> </w:t>
      </w:r>
      <w:r>
        <w:t>is consistent with prior rounds</w:t>
      </w:r>
      <w:r w:rsidR="00DB6852">
        <w:t xml:space="preserve">. This model </w:t>
      </w:r>
      <w:r w:rsidRPr="00366C73">
        <w:t>helps ensure consistency an</w:t>
      </w:r>
      <w:r w:rsidR="00DB6852">
        <w:t>d comparability between the hospitals in the territory</w:t>
      </w:r>
      <w:r w:rsidRPr="00366C73">
        <w:t>.</w:t>
      </w:r>
      <w:r w:rsidR="00DB6852">
        <w:t xml:space="preserve"> GL and activity data was extracted from source systems, adjusted, and costed according to the steps outlined throughout </w:t>
      </w:r>
      <w:r w:rsidR="00F84A9F">
        <w:t>S</w:t>
      </w:r>
      <w:r w:rsidR="00DB6852">
        <w:t xml:space="preserve">ection </w:t>
      </w:r>
      <w:r w:rsidR="00DB6852">
        <w:fldChar w:fldCharType="begin"/>
      </w:r>
      <w:r w:rsidR="00DB6852">
        <w:instrText xml:space="preserve"> REF _Ref402885681 \r \h </w:instrText>
      </w:r>
      <w:r w:rsidR="00DB6852">
        <w:fldChar w:fldCharType="separate"/>
      </w:r>
      <w:r w:rsidR="00575DFC">
        <w:t>5.2</w:t>
      </w:r>
      <w:r w:rsidR="00DB6852">
        <w:fldChar w:fldCharType="end"/>
      </w:r>
      <w:r w:rsidR="00DB6852">
        <w:t>. NT Health performed all the quality assurance procedures both before and after costing, including development and review of PFRACs through the review of QA reports.</w:t>
      </w:r>
    </w:p>
    <w:p w:rsidR="008D0D75" w:rsidRPr="00346C1B" w:rsidRDefault="008D0D75" w:rsidP="00DB6852">
      <w:pPr>
        <w:pStyle w:val="PwCNormal"/>
        <w:numPr>
          <w:ilvl w:val="0"/>
          <w:numId w:val="0"/>
        </w:numPr>
      </w:pPr>
      <w:r w:rsidRPr="00366C73">
        <w:t>There was</w:t>
      </w:r>
      <w:r w:rsidR="00DB6852">
        <w:t>, however,</w:t>
      </w:r>
      <w:r w:rsidRPr="00366C73">
        <w:t xml:space="preserve"> a</w:t>
      </w:r>
      <w:r w:rsidR="00DB6852">
        <w:t xml:space="preserve"> greater</w:t>
      </w:r>
      <w:r w:rsidRPr="00366C73">
        <w:t xml:space="preserve"> push towards </w:t>
      </w:r>
      <w:r w:rsidR="00DB6852">
        <w:t xml:space="preserve">increased hospital </w:t>
      </w:r>
      <w:r w:rsidRPr="00366C73">
        <w:t xml:space="preserve">ownership of data in </w:t>
      </w:r>
      <w:r w:rsidR="006A194B">
        <w:t>Round 17</w:t>
      </w:r>
      <w:r w:rsidRPr="00366C73">
        <w:t xml:space="preserve"> and thus staff and clinicians </w:t>
      </w:r>
      <w:r w:rsidR="00DB6852">
        <w:t xml:space="preserve">at Katherine </w:t>
      </w:r>
      <w:r w:rsidRPr="00366C73">
        <w:t xml:space="preserve">were involved at various stages of the costing process, including at the </w:t>
      </w:r>
      <w:r>
        <w:t xml:space="preserve">account mapping and </w:t>
      </w:r>
      <w:r w:rsidRPr="00366C73">
        <w:t>PFRAC review stage through to review and reporting of costed results.</w:t>
      </w:r>
      <w:r w:rsidR="00DB6852">
        <w:t xml:space="preserve"> </w:t>
      </w:r>
    </w:p>
    <w:p w:rsidR="008D0D75" w:rsidRDefault="008D0D75" w:rsidP="00CE5EF2">
      <w:pPr>
        <w:pStyle w:val="Heading3"/>
      </w:pPr>
      <w:r>
        <w:t>Reconciliation with IHPA</w:t>
      </w:r>
    </w:p>
    <w:p w:rsidR="008D0D75" w:rsidRDefault="00DB6852" w:rsidP="008D0D75">
      <w:pPr>
        <w:pStyle w:val="PwCNormal"/>
        <w:numPr>
          <w:ilvl w:val="0"/>
          <w:numId w:val="0"/>
        </w:numPr>
      </w:pPr>
      <w:r>
        <w:t xml:space="preserve">The total costs and activity that the jurisdiction identified as being submitted to IHPA was reconciled with IHPA’s records. </w:t>
      </w:r>
      <w:r w:rsidR="0008008B">
        <w:t>No variances were identified from this reconciliation.</w:t>
      </w:r>
    </w:p>
    <w:p w:rsidR="00D124D7" w:rsidRDefault="00D124D7" w:rsidP="00D124D7">
      <w:pPr>
        <w:pStyle w:val="Caption"/>
      </w:pPr>
      <w:bookmarkStart w:id="72" w:name="_Ref402885493"/>
      <w:r>
        <w:t xml:space="preserve">Table </w:t>
      </w:r>
      <w:r w:rsidR="008379DC">
        <w:fldChar w:fldCharType="begin"/>
      </w:r>
      <w:r w:rsidR="009E64DF">
        <w:instrText xml:space="preserve"> SEQ Table \* ARABIC </w:instrText>
      </w:r>
      <w:r w:rsidR="008379DC">
        <w:fldChar w:fldCharType="separate"/>
      </w:r>
      <w:r w:rsidR="00575DFC">
        <w:rPr>
          <w:noProof/>
        </w:rPr>
        <w:t>36</w:t>
      </w:r>
      <w:r w:rsidR="008379DC">
        <w:rPr>
          <w:noProof/>
        </w:rPr>
        <w:fldChar w:fldCharType="end"/>
      </w:r>
      <w:r>
        <w:t>:</w:t>
      </w:r>
      <w:r>
        <w:rPr>
          <w:noProof/>
        </w:rPr>
        <w:t xml:space="preserve"> </w:t>
      </w:r>
      <w:r w:rsidRPr="00A85066">
        <w:rPr>
          <w:noProof/>
        </w:rPr>
        <w:t>Reconciliation of total costs and activity submitted</w:t>
      </w:r>
      <w:bookmarkEnd w:id="72"/>
    </w:p>
    <w:p w:rsidR="008D0D75" w:rsidRDefault="008D0D75" w:rsidP="008D0D75">
      <w:pPr>
        <w:kinsoku/>
        <w:overflowPunct/>
        <w:autoSpaceDE/>
        <w:autoSpaceDN/>
        <w:adjustRightInd/>
        <w:snapToGrid/>
      </w:pPr>
      <w:r w:rsidRPr="001C0E1D">
        <w:rPr>
          <w:noProof/>
          <w:lang w:eastAsia="en-AU"/>
        </w:rPr>
        <w:drawing>
          <wp:inline distT="0" distB="0" distL="0" distR="0" wp14:anchorId="30370E99" wp14:editId="4B37C30C">
            <wp:extent cx="2628900" cy="1742330"/>
            <wp:effectExtent l="0" t="0" r="0" b="0"/>
            <wp:docPr id="36" name="Picture 36" descr="This table details the costs and activity submitted by the jurisdiction and what was received by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6" cstate="print"/>
                    <a:srcRect t="6156"/>
                    <a:stretch/>
                  </pic:blipFill>
                  <pic:spPr bwMode="auto">
                    <a:xfrm>
                      <a:off x="0" y="0"/>
                      <a:ext cx="2628000" cy="1741734"/>
                    </a:xfrm>
                    <a:prstGeom prst="rect">
                      <a:avLst/>
                    </a:prstGeom>
                    <a:noFill/>
                    <a:ln>
                      <a:noFill/>
                    </a:ln>
                    <a:extLst>
                      <a:ext uri="{53640926-AAD7-44D8-BBD7-CCE9431645EC}">
                        <a14:shadowObscured xmlns:a14="http://schemas.microsoft.com/office/drawing/2010/main"/>
                      </a:ext>
                    </a:extLst>
                  </pic:spPr>
                </pic:pic>
              </a:graphicData>
            </a:graphic>
          </wp:inline>
        </w:drawing>
      </w:r>
    </w:p>
    <w:p w:rsidR="008D0D75" w:rsidRDefault="008D0D75" w:rsidP="008D0D75">
      <w:pPr>
        <w:pStyle w:val="Heading1"/>
      </w:pPr>
      <w:bookmarkStart w:id="73" w:name="_Toc404355506"/>
      <w:r>
        <w:lastRenderedPageBreak/>
        <w:t>Queensland</w:t>
      </w:r>
      <w:bookmarkEnd w:id="73"/>
    </w:p>
    <w:p w:rsidR="008D0D75" w:rsidRPr="00B460FD" w:rsidRDefault="008D0D75" w:rsidP="00881423">
      <w:pPr>
        <w:pStyle w:val="Heading2"/>
        <w:spacing w:before="0" w:after="120"/>
      </w:pPr>
      <w:r w:rsidRPr="00B460FD">
        <w:t xml:space="preserve">Queensland </w:t>
      </w:r>
      <w:r w:rsidR="0063671A" w:rsidRPr="0015638D">
        <w:t>overall</w:t>
      </w:r>
    </w:p>
    <w:p w:rsidR="008D0D75" w:rsidRPr="00B460FD" w:rsidRDefault="008D0D75" w:rsidP="008D0D75">
      <w:pPr>
        <w:pStyle w:val="PwCNormal"/>
      </w:pPr>
      <w:r w:rsidRPr="00B460FD">
        <w:t xml:space="preserve">For </w:t>
      </w:r>
      <w:r w:rsidR="006A194B" w:rsidRPr="00B460FD">
        <w:t>Round 17</w:t>
      </w:r>
      <w:r w:rsidRPr="00B460FD">
        <w:t xml:space="preserve"> of the NHCDC</w:t>
      </w:r>
      <w:r w:rsidR="00907EFA" w:rsidRPr="00B460FD">
        <w:t>,</w:t>
      </w:r>
      <w:r w:rsidRPr="00B460FD">
        <w:t xml:space="preserve"> </w:t>
      </w:r>
      <w:r w:rsidR="00AF7A4C">
        <w:t>QLD</w:t>
      </w:r>
      <w:r w:rsidR="00AF7A4C" w:rsidRPr="00B460FD">
        <w:t xml:space="preserve"> </w:t>
      </w:r>
      <w:r w:rsidRPr="00B460FD">
        <w:t xml:space="preserve">was divided into 16 </w:t>
      </w:r>
      <w:r w:rsidR="0033196D" w:rsidRPr="0015638D">
        <w:t>LHNs</w:t>
      </w:r>
      <w:r w:rsidRPr="00B460FD">
        <w:t xml:space="preserve"> </w:t>
      </w:r>
      <w:r w:rsidR="0033196D" w:rsidRPr="0015638D">
        <w:t xml:space="preserve">– </w:t>
      </w:r>
      <w:r w:rsidRPr="00B460FD">
        <w:t>known locally as Hospital and Health Services (HHS)</w:t>
      </w:r>
      <w:r w:rsidR="0033196D" w:rsidRPr="0015638D">
        <w:t xml:space="preserve"> –</w:t>
      </w:r>
      <w:r w:rsidRPr="00B460FD">
        <w:t xml:space="preserve"> and the Mater Hospitals</w:t>
      </w:r>
      <w:r w:rsidR="0033196D" w:rsidRPr="0015638D">
        <w:t>,</w:t>
      </w:r>
      <w:r w:rsidRPr="00B460FD">
        <w:t xml:space="preserve"> </w:t>
      </w:r>
      <w:r w:rsidR="0033196D" w:rsidRPr="00B460FD">
        <w:t xml:space="preserve">which </w:t>
      </w:r>
      <w:r w:rsidRPr="00B460FD">
        <w:t>provide services to public patients under cont</w:t>
      </w:r>
      <w:r w:rsidR="0047622B" w:rsidRPr="00B460FD">
        <w:t>r</w:t>
      </w:r>
      <w:r w:rsidRPr="00B460FD">
        <w:t xml:space="preserve">act to </w:t>
      </w:r>
      <w:r w:rsidR="00AF7A4C">
        <w:t>QLD</w:t>
      </w:r>
      <w:r w:rsidR="00AF7A4C" w:rsidRPr="00B460FD">
        <w:t xml:space="preserve"> </w:t>
      </w:r>
      <w:r w:rsidR="0047622B" w:rsidRPr="00B460FD">
        <w:t>Health</w:t>
      </w:r>
      <w:r w:rsidRPr="00B460FD">
        <w:t>.</w:t>
      </w:r>
    </w:p>
    <w:p w:rsidR="008D0D75" w:rsidRPr="00B460FD" w:rsidRDefault="00215A74" w:rsidP="008D0D75">
      <w:pPr>
        <w:pStyle w:val="PwCNormal"/>
      </w:pPr>
      <w:r w:rsidRPr="00B460FD">
        <w:t>Each</w:t>
      </w:r>
      <w:r w:rsidR="008D0D75" w:rsidRPr="00B460FD">
        <w:t xml:space="preserve"> HHS local costing team (except </w:t>
      </w:r>
      <w:r w:rsidR="0033196D" w:rsidRPr="0015638D">
        <w:t>in</w:t>
      </w:r>
      <w:r w:rsidR="008D0D75" w:rsidRPr="00B460FD">
        <w:t xml:space="preserve"> small rural and remote areas</w:t>
      </w:r>
      <w:r w:rsidR="0033196D" w:rsidRPr="0015638D">
        <w:t>:</w:t>
      </w:r>
      <w:r w:rsidR="008D0D75" w:rsidRPr="00B460FD">
        <w:t xml:space="preserve"> Torres Strait</w:t>
      </w:r>
      <w:r w:rsidR="0033196D" w:rsidRPr="0015638D">
        <w:t xml:space="preserve">, </w:t>
      </w:r>
      <w:r w:rsidR="008D0D75" w:rsidRPr="00B460FD">
        <w:t>Northern Peninsula, Cape York,</w:t>
      </w:r>
      <w:r w:rsidR="0033196D" w:rsidRPr="0015638D">
        <w:t xml:space="preserve"> and</w:t>
      </w:r>
      <w:r w:rsidR="008D0D75" w:rsidRPr="00B460FD">
        <w:t xml:space="preserve"> Central and South West </w:t>
      </w:r>
      <w:r w:rsidR="00AF7A4C">
        <w:t>QLD</w:t>
      </w:r>
      <w:r w:rsidR="008D0D75" w:rsidRPr="00B460FD">
        <w:t xml:space="preserve">) </w:t>
      </w:r>
      <w:r w:rsidRPr="00B460FD">
        <w:t xml:space="preserve">was </w:t>
      </w:r>
      <w:r w:rsidR="008D0D75" w:rsidRPr="00B460FD">
        <w:t xml:space="preserve">responsible for </w:t>
      </w:r>
      <w:r w:rsidR="0033196D" w:rsidRPr="0015638D">
        <w:t>managing</w:t>
      </w:r>
      <w:r w:rsidR="008D0D75" w:rsidRPr="00B460FD">
        <w:t xml:space="preserve"> patient</w:t>
      </w:r>
      <w:r w:rsidR="0033196D" w:rsidRPr="0015638D">
        <w:t>-</w:t>
      </w:r>
      <w:r w:rsidR="008D0D75" w:rsidRPr="00B460FD">
        <w:t xml:space="preserve">level costing for their HHS. Within </w:t>
      </w:r>
      <w:r w:rsidR="0033196D" w:rsidRPr="0015638D">
        <w:t xml:space="preserve">each </w:t>
      </w:r>
      <w:r w:rsidR="008D0D75" w:rsidRPr="00B460FD">
        <w:t xml:space="preserve">HHS, hospitals maintain their own costing databases in accordance with the </w:t>
      </w:r>
      <w:r w:rsidR="00AF7A4C">
        <w:t>QLD</w:t>
      </w:r>
      <w:r w:rsidR="00AF7A4C" w:rsidRPr="00B460FD">
        <w:t xml:space="preserve"> </w:t>
      </w:r>
      <w:r w:rsidR="008D0D75" w:rsidRPr="00B460FD">
        <w:t xml:space="preserve">Costing Implementation Guidelines. </w:t>
      </w:r>
      <w:r w:rsidR="0047622B" w:rsidRPr="00B460FD">
        <w:t xml:space="preserve">All </w:t>
      </w:r>
      <w:r w:rsidR="0033196D" w:rsidRPr="0015638D">
        <w:t xml:space="preserve">HHSs </w:t>
      </w:r>
      <w:r w:rsidR="0047622B" w:rsidRPr="00B460FD">
        <w:t xml:space="preserve">use Transition II </w:t>
      </w:r>
      <w:r w:rsidR="0033196D" w:rsidRPr="0015638D">
        <w:t xml:space="preserve">costing </w:t>
      </w:r>
      <w:r w:rsidR="0047622B" w:rsidRPr="00B460FD">
        <w:t>software, w</w:t>
      </w:r>
      <w:r w:rsidR="008D0D75" w:rsidRPr="00B460FD">
        <w:t xml:space="preserve">ith the exception of the Mater Hospitals, </w:t>
      </w:r>
      <w:r w:rsidR="0033196D" w:rsidRPr="0015638D">
        <w:t>which</w:t>
      </w:r>
      <w:r w:rsidR="008D0D75" w:rsidRPr="00B460FD">
        <w:t xml:space="preserve"> use PPM2.</w:t>
      </w:r>
    </w:p>
    <w:p w:rsidR="008D0D75" w:rsidRPr="00B460FD" w:rsidRDefault="0033196D" w:rsidP="008D0D75">
      <w:pPr>
        <w:pStyle w:val="PwCNormal"/>
      </w:pPr>
      <w:r w:rsidRPr="0015638D">
        <w:t xml:space="preserve">The hospitals conduct monthly costing </w:t>
      </w:r>
      <w:r w:rsidR="008D0D75" w:rsidRPr="00B460FD">
        <w:t xml:space="preserve">for a rolling annual period, </w:t>
      </w:r>
      <w:r w:rsidRPr="0015638D">
        <w:t>extracting data</w:t>
      </w:r>
      <w:r w:rsidR="008D0D75" w:rsidRPr="00B460FD">
        <w:t xml:space="preserve"> annual</w:t>
      </w:r>
      <w:r w:rsidRPr="0015638D">
        <w:t>ly</w:t>
      </w:r>
      <w:r w:rsidR="008D0D75" w:rsidRPr="00B460FD">
        <w:t xml:space="preserve"> for submission to </w:t>
      </w:r>
      <w:r w:rsidR="0015638D">
        <w:t>the</w:t>
      </w:r>
      <w:r w:rsidR="008D0D75" w:rsidRPr="00B460FD">
        <w:t xml:space="preserve"> NHCDC. Once </w:t>
      </w:r>
      <w:r w:rsidRPr="0015638D">
        <w:t xml:space="preserve">the hospitals have submitted their </w:t>
      </w:r>
      <w:r w:rsidR="008D0D75" w:rsidRPr="00B460FD">
        <w:t>costed outputs</w:t>
      </w:r>
      <w:r w:rsidRPr="0015638D">
        <w:t xml:space="preserve">, </w:t>
      </w:r>
      <w:r w:rsidR="00AF7A4C">
        <w:t>QLD</w:t>
      </w:r>
      <w:r w:rsidR="00AF7A4C" w:rsidRPr="0015638D">
        <w:t xml:space="preserve"> </w:t>
      </w:r>
      <w:r w:rsidRPr="0015638D">
        <w:t xml:space="preserve">Health conducts </w:t>
      </w:r>
      <w:r w:rsidR="008D0D75" w:rsidRPr="00B460FD">
        <w:t xml:space="preserve">a number of validity </w:t>
      </w:r>
      <w:r w:rsidR="0015638D">
        <w:t>tests</w:t>
      </w:r>
      <w:r w:rsidR="008D0D75" w:rsidRPr="00B460FD">
        <w:t xml:space="preserve"> to ensure the final submitted data conforms </w:t>
      </w:r>
      <w:proofErr w:type="gramStart"/>
      <w:r w:rsidR="008D0D75" w:rsidRPr="00B460FD">
        <w:t>with</w:t>
      </w:r>
      <w:proofErr w:type="gramEnd"/>
      <w:r w:rsidR="008D0D75" w:rsidRPr="00B460FD">
        <w:t xml:space="preserve"> the national dataset requirements</w:t>
      </w:r>
      <w:r w:rsidRPr="0015638D">
        <w:t>. It also</w:t>
      </w:r>
      <w:r w:rsidR="008D0D75" w:rsidRPr="00B460FD">
        <w:t xml:space="preserve"> </w:t>
      </w:r>
      <w:r w:rsidRPr="0015638D">
        <w:t xml:space="preserve">makes </w:t>
      </w:r>
      <w:r w:rsidR="008D0D75" w:rsidRPr="00B460FD">
        <w:t xml:space="preserve">adjustments in line with </w:t>
      </w:r>
      <w:r w:rsidR="00215A74" w:rsidRPr="00B460FD">
        <w:t>AHPCS</w:t>
      </w:r>
      <w:r w:rsidR="008D0D75" w:rsidRPr="00B460FD">
        <w:t xml:space="preserve"> requirement</w:t>
      </w:r>
      <w:r w:rsidR="001C000F" w:rsidRPr="0015638D">
        <w:t>s –</w:t>
      </w:r>
      <w:r w:rsidR="008D0D75" w:rsidRPr="00B460FD">
        <w:t xml:space="preserve"> </w:t>
      </w:r>
      <w:r w:rsidR="001C000F" w:rsidRPr="0015638D">
        <w:t>adding</w:t>
      </w:r>
      <w:r w:rsidR="008D0D75" w:rsidRPr="00B460FD">
        <w:t xml:space="preserve"> </w:t>
      </w:r>
      <w:r w:rsidR="001C000F" w:rsidRPr="0015638D">
        <w:t xml:space="preserve">corporate </w:t>
      </w:r>
      <w:r w:rsidR="008D0D75" w:rsidRPr="00B460FD">
        <w:t xml:space="preserve">overheads applicable to final patient costing </w:t>
      </w:r>
      <w:r w:rsidR="001C000F" w:rsidRPr="0015638D">
        <w:t xml:space="preserve">if </w:t>
      </w:r>
      <w:r w:rsidR="008D0D75" w:rsidRPr="00B460FD">
        <w:t xml:space="preserve">those costs sat outside the HHS </w:t>
      </w:r>
      <w:r w:rsidR="00CA6711" w:rsidRPr="00B460FD">
        <w:t>GL</w:t>
      </w:r>
      <w:r w:rsidR="008D0D75" w:rsidRPr="00B460FD">
        <w:t xml:space="preserve"> in the reference year</w:t>
      </w:r>
      <w:r w:rsidR="001C000F" w:rsidRPr="0015638D">
        <w:t xml:space="preserve"> –</w:t>
      </w:r>
      <w:r w:rsidR="008D0D75" w:rsidRPr="00B460FD">
        <w:t xml:space="preserve"> </w:t>
      </w:r>
      <w:r w:rsidR="001C000F" w:rsidRPr="0015638D">
        <w:t>before</w:t>
      </w:r>
      <w:r w:rsidR="008D0D75" w:rsidRPr="00B460FD">
        <w:t xml:space="preserve"> </w:t>
      </w:r>
      <w:r w:rsidR="001C000F" w:rsidRPr="00B460FD">
        <w:t xml:space="preserve">submitting the data </w:t>
      </w:r>
      <w:r w:rsidR="008D0D75" w:rsidRPr="00B460FD">
        <w:t xml:space="preserve">to </w:t>
      </w:r>
      <w:r w:rsidR="001C000F" w:rsidRPr="0015638D">
        <w:t xml:space="preserve">the </w:t>
      </w:r>
      <w:r w:rsidR="008D0D75" w:rsidRPr="00B460FD">
        <w:t xml:space="preserve">IHPA. </w:t>
      </w:r>
    </w:p>
    <w:p w:rsidR="008D0D75" w:rsidRPr="00B460FD" w:rsidRDefault="008D0D75" w:rsidP="008D0D75">
      <w:pPr>
        <w:pStyle w:val="PwCNormal"/>
        <w:spacing w:after="120"/>
      </w:pPr>
      <w:r w:rsidRPr="00B460FD">
        <w:t>The review team met with costing representatives from the three sites nominated for participation in this financial review:</w:t>
      </w:r>
    </w:p>
    <w:p w:rsidR="008D0D75" w:rsidRPr="00B460FD" w:rsidRDefault="008D0D75" w:rsidP="009C4A5D">
      <w:pPr>
        <w:pStyle w:val="PwCNormal"/>
        <w:numPr>
          <w:ilvl w:val="0"/>
          <w:numId w:val="62"/>
        </w:numPr>
        <w:spacing w:after="120"/>
      </w:pPr>
      <w:r w:rsidRPr="00B460FD">
        <w:t>Wide Bay HHS</w:t>
      </w:r>
      <w:r w:rsidR="0015638D">
        <w:t xml:space="preserve"> (Bundaberg</w:t>
      </w:r>
      <w:r w:rsidRPr="00B460FD">
        <w:t>)</w:t>
      </w:r>
    </w:p>
    <w:p w:rsidR="008D0D75" w:rsidRPr="00B460FD" w:rsidRDefault="008D0D75" w:rsidP="009C4A5D">
      <w:pPr>
        <w:pStyle w:val="PwCNormal"/>
        <w:numPr>
          <w:ilvl w:val="0"/>
          <w:numId w:val="62"/>
        </w:numPr>
        <w:spacing w:after="120"/>
      </w:pPr>
      <w:r w:rsidRPr="00B460FD">
        <w:t>Townsville HHS</w:t>
      </w:r>
    </w:p>
    <w:p w:rsidR="008D0D75" w:rsidRPr="00B460FD" w:rsidRDefault="0050433E" w:rsidP="009C4A5D">
      <w:pPr>
        <w:pStyle w:val="PwCNormal"/>
        <w:numPr>
          <w:ilvl w:val="0"/>
          <w:numId w:val="62"/>
        </w:numPr>
        <w:spacing w:after="120"/>
      </w:pPr>
      <w:r>
        <w:t>Sunshine Coast HHS</w:t>
      </w:r>
      <w:r w:rsidR="0015638D">
        <w:t>.</w:t>
      </w:r>
    </w:p>
    <w:p w:rsidR="008D0D75" w:rsidRDefault="00881423" w:rsidP="008D0D75">
      <w:pPr>
        <w:pStyle w:val="Heading2"/>
        <w:spacing w:after="40"/>
      </w:pPr>
      <w:r>
        <w:t>Wide Bay HHS (</w:t>
      </w:r>
      <w:r w:rsidR="008D0D75">
        <w:t>Bundaberg</w:t>
      </w:r>
      <w:r>
        <w:t>)</w:t>
      </w:r>
    </w:p>
    <w:p w:rsidR="008D0D75" w:rsidRPr="00A85593" w:rsidRDefault="008D0D75" w:rsidP="00CE5EF2">
      <w:pPr>
        <w:pStyle w:val="Heading3"/>
      </w:pPr>
      <w:r w:rsidRPr="00A85593">
        <w:t>Site overview</w:t>
      </w:r>
    </w:p>
    <w:p w:rsidR="008D0D75" w:rsidRPr="00B506D4" w:rsidRDefault="002821F4" w:rsidP="008D0D75">
      <w:pPr>
        <w:pStyle w:val="PwCNormal"/>
        <w:rPr>
          <w:b/>
        </w:rPr>
      </w:pPr>
      <w:r>
        <w:t xml:space="preserve">The Wide Bay HHS services approximately 210,000 residents of regional southeast </w:t>
      </w:r>
      <w:r w:rsidR="00AF7A4C">
        <w:t>QLD</w:t>
      </w:r>
      <w:r>
        <w:t xml:space="preserve">, with an estimated population of 300,000 by 2025. </w:t>
      </w:r>
      <w:r w:rsidR="008D0D75">
        <w:t>Bundaberg is the largest facility of the region offering 266 beds, followed by Hervey Bay Hospital (166 beds) and Maryborough Hospital (102 beds). There are also 8 rural block funded facilities within the region.</w:t>
      </w:r>
    </w:p>
    <w:p w:rsidR="008D0D75" w:rsidRPr="00B506D4" w:rsidRDefault="008D0D75" w:rsidP="008D0D75">
      <w:pPr>
        <w:pStyle w:val="PwCNormal"/>
        <w:rPr>
          <w:b/>
        </w:rPr>
      </w:pPr>
      <w:r>
        <w:t xml:space="preserve">The Wide Bay HHS is structured as two costing databases: Bundaberg and Hervey Bay, however only the Bundaberg database and the facilities assigned to it, have been considered for this review. </w:t>
      </w:r>
      <w:r w:rsidR="0086348B">
        <w:fldChar w:fldCharType="begin"/>
      </w:r>
      <w:r w:rsidR="0086348B">
        <w:instrText xml:space="preserve"> REF _Ref403038079 \h </w:instrText>
      </w:r>
      <w:r w:rsidR="0086348B">
        <w:fldChar w:fldCharType="separate"/>
      </w:r>
      <w:r w:rsidR="00575DFC">
        <w:t xml:space="preserve">Table </w:t>
      </w:r>
      <w:r w:rsidR="00575DFC">
        <w:rPr>
          <w:noProof/>
        </w:rPr>
        <w:t>37</w:t>
      </w:r>
      <w:r w:rsidR="0086348B">
        <w:fldChar w:fldCharType="end"/>
      </w:r>
      <w:r w:rsidR="0086348B">
        <w:t xml:space="preserve"> below outlines the flow of financial data for the B</w:t>
      </w:r>
      <w:r w:rsidR="00CB5A06">
        <w:t>undaberg costing database only.</w:t>
      </w:r>
    </w:p>
    <w:p w:rsidR="00881423" w:rsidRDefault="00881423" w:rsidP="00881423">
      <w:pPr>
        <w:pStyle w:val="Caption"/>
      </w:pPr>
      <w:bookmarkStart w:id="74" w:name="_Ref403038079"/>
      <w:r>
        <w:lastRenderedPageBreak/>
        <w:t xml:space="preserve">Table </w:t>
      </w:r>
      <w:r w:rsidR="008379DC">
        <w:fldChar w:fldCharType="begin"/>
      </w:r>
      <w:r w:rsidR="009E64DF">
        <w:instrText xml:space="preserve"> SEQ Table \* ARABIC </w:instrText>
      </w:r>
      <w:r w:rsidR="008379DC">
        <w:fldChar w:fldCharType="separate"/>
      </w:r>
      <w:r w:rsidR="00575DFC">
        <w:rPr>
          <w:noProof/>
        </w:rPr>
        <w:t>37</w:t>
      </w:r>
      <w:r w:rsidR="008379DC">
        <w:rPr>
          <w:noProof/>
        </w:rPr>
        <w:fldChar w:fldCharType="end"/>
      </w:r>
      <w:bookmarkEnd w:id="74"/>
      <w:r>
        <w:t xml:space="preserve">: </w:t>
      </w:r>
      <w:r w:rsidRPr="00B24921">
        <w:t xml:space="preserve">Financial </w:t>
      </w:r>
      <w:r w:rsidR="00B648DB">
        <w:t>o</w:t>
      </w:r>
      <w:r w:rsidR="00B648DB" w:rsidRPr="00B24921">
        <w:t xml:space="preserve">verview </w:t>
      </w:r>
      <w:r w:rsidRPr="00B24921">
        <w:t xml:space="preserve">of </w:t>
      </w:r>
      <w:r>
        <w:t>Bundaberg</w:t>
      </w:r>
      <w:r w:rsidR="002C1CE6">
        <w:t xml:space="preserve"> Hospital, FY 2012/13</w:t>
      </w:r>
    </w:p>
    <w:p w:rsidR="0015638D" w:rsidRPr="0015638D" w:rsidRDefault="0015638D" w:rsidP="0015638D">
      <w:pPr>
        <w:pStyle w:val="PwCNormal"/>
        <w:rPr>
          <w:highlight w:val="yellow"/>
        </w:rPr>
      </w:pPr>
      <w:r w:rsidRPr="0015638D">
        <w:rPr>
          <w:noProof/>
          <w:lang w:eastAsia="en-AU"/>
        </w:rPr>
        <w:drawing>
          <wp:inline distT="0" distB="0" distL="0" distR="0" wp14:anchorId="3542776E" wp14:editId="51EC8928">
            <wp:extent cx="5184000" cy="4420800"/>
            <wp:effectExtent l="0" t="0" r="0" b="0"/>
            <wp:docPr id="8" name="Picture 8" descr="This table outlines the flow of cost movements from the $238m in the general ledger through to the $207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84000" cy="4420800"/>
                    </a:xfrm>
                    <a:prstGeom prst="rect">
                      <a:avLst/>
                    </a:prstGeom>
                    <a:noFill/>
                    <a:ln>
                      <a:noFill/>
                    </a:ln>
                  </pic:spPr>
                </pic:pic>
              </a:graphicData>
            </a:graphic>
          </wp:inline>
        </w:drawing>
      </w:r>
    </w:p>
    <w:p w:rsidR="008D0D75" w:rsidRPr="00DE22CA" w:rsidRDefault="008D0D75" w:rsidP="00CE5EF2">
      <w:pPr>
        <w:pStyle w:val="Heading3"/>
      </w:pPr>
      <w:bookmarkStart w:id="75" w:name="_Ref403124656"/>
      <w:r w:rsidRPr="00DE22CA">
        <w:t>Financia</w:t>
      </w:r>
      <w:r w:rsidR="00CB38E7">
        <w:t>l d</w:t>
      </w:r>
      <w:r w:rsidRPr="00DE22CA">
        <w:t>ata</w:t>
      </w:r>
      <w:bookmarkEnd w:id="75"/>
    </w:p>
    <w:p w:rsidR="008D0D75" w:rsidRPr="00DE22CA" w:rsidRDefault="00CA6711" w:rsidP="008D0D75">
      <w:pPr>
        <w:pStyle w:val="PwCNormal"/>
        <w:numPr>
          <w:ilvl w:val="0"/>
          <w:numId w:val="0"/>
        </w:numPr>
        <w:rPr>
          <w:b/>
        </w:rPr>
      </w:pPr>
      <w:r>
        <w:rPr>
          <w:b/>
        </w:rPr>
        <w:t xml:space="preserve">General </w:t>
      </w:r>
      <w:r w:rsidR="00CD308F">
        <w:rPr>
          <w:b/>
        </w:rPr>
        <w:t>L</w:t>
      </w:r>
      <w:r w:rsidR="008D0D75" w:rsidRPr="00A85593">
        <w:rPr>
          <w:b/>
        </w:rPr>
        <w:t>edger (Item A)</w:t>
      </w:r>
    </w:p>
    <w:p w:rsidR="008D0D75" w:rsidRPr="00807205" w:rsidRDefault="008D0D75" w:rsidP="008D0D75">
      <w:pPr>
        <w:pStyle w:val="PwCNormal"/>
        <w:numPr>
          <w:ilvl w:val="0"/>
          <w:numId w:val="0"/>
        </w:numPr>
      </w:pPr>
      <w:r>
        <w:t>Financial statements are published at t</w:t>
      </w:r>
      <w:r w:rsidR="00A701EE">
        <w:t>he HHS level</w:t>
      </w:r>
      <w:r w:rsidR="008E7280">
        <w:t>,</w:t>
      </w:r>
      <w:r w:rsidR="00A701EE">
        <w:t xml:space="preserve"> which was $470.5</w:t>
      </w:r>
      <w:r w:rsidR="008E7280">
        <w:t xml:space="preserve"> </w:t>
      </w:r>
      <w:r w:rsidR="00A701EE">
        <w:t>m</w:t>
      </w:r>
      <w:r w:rsidR="008E7280">
        <w:t>illion</w:t>
      </w:r>
      <w:r w:rsidR="00CB38E7">
        <w:t xml:space="preserve"> for FY 2012/13. T</w:t>
      </w:r>
      <w:r w:rsidR="00A701EE">
        <w:t xml:space="preserve">his was split between </w:t>
      </w:r>
      <w:r w:rsidR="00CB38E7">
        <w:t xml:space="preserve">two costing databases, </w:t>
      </w:r>
      <w:r>
        <w:t>Bundaberg and Hervey Bay</w:t>
      </w:r>
      <w:r w:rsidR="00950BE3">
        <w:t>, which</w:t>
      </w:r>
      <w:r w:rsidR="00950BE3" w:rsidRPr="00950BE3">
        <w:t xml:space="preserve"> </w:t>
      </w:r>
      <w:r w:rsidR="00950BE3">
        <w:t>contain</w:t>
      </w:r>
      <w:r w:rsidR="00CB38E7">
        <w:t>ed</w:t>
      </w:r>
      <w:r w:rsidR="00950BE3">
        <w:t xml:space="preserve"> $238.1</w:t>
      </w:r>
      <w:r w:rsidR="008E7280">
        <w:t xml:space="preserve"> </w:t>
      </w:r>
      <w:r w:rsidR="00950BE3">
        <w:t>m</w:t>
      </w:r>
      <w:r w:rsidR="008E7280">
        <w:t>illion</w:t>
      </w:r>
      <w:r w:rsidR="00950BE3">
        <w:t xml:space="preserve"> and</w:t>
      </w:r>
      <w:r>
        <w:t xml:space="preserve"> $232.4</w:t>
      </w:r>
      <w:r w:rsidR="0015638D">
        <w:t xml:space="preserve"> </w:t>
      </w:r>
      <w:r>
        <w:t>m</w:t>
      </w:r>
      <w:r w:rsidR="008E7280">
        <w:t>illion</w:t>
      </w:r>
      <w:r w:rsidR="00950BE3">
        <w:t xml:space="preserve"> respectively</w:t>
      </w:r>
      <w:r>
        <w:t>.</w:t>
      </w:r>
      <w:r w:rsidR="00A701EE">
        <w:t xml:space="preserve"> </w:t>
      </w:r>
      <w:r w:rsidR="00950BE3">
        <w:t>The amount of $238.1</w:t>
      </w:r>
      <w:r w:rsidR="008E7280">
        <w:t xml:space="preserve"> </w:t>
      </w:r>
      <w:r w:rsidR="00950BE3">
        <w:t>m</w:t>
      </w:r>
      <w:r w:rsidR="008E7280">
        <w:t>illion</w:t>
      </w:r>
      <w:r w:rsidR="00950BE3">
        <w:t xml:space="preserve"> was loaded into the Bundaberg costing database</w:t>
      </w:r>
      <w:r w:rsidR="00CB38E7">
        <w:t xml:space="preserve"> and is the focus for this review</w:t>
      </w:r>
      <w:r w:rsidR="00950BE3">
        <w:t>.</w:t>
      </w:r>
    </w:p>
    <w:p w:rsidR="00881423" w:rsidRDefault="00881423" w:rsidP="00881423">
      <w:pPr>
        <w:pStyle w:val="Caption"/>
      </w:pPr>
      <w:bookmarkStart w:id="76" w:name="_Ref403055004"/>
      <w:r>
        <w:t xml:space="preserve">Table </w:t>
      </w:r>
      <w:r w:rsidR="008379DC">
        <w:fldChar w:fldCharType="begin"/>
      </w:r>
      <w:r w:rsidR="009E64DF">
        <w:instrText xml:space="preserve"> SEQ Table \* ARABIC </w:instrText>
      </w:r>
      <w:r w:rsidR="008379DC">
        <w:fldChar w:fldCharType="separate"/>
      </w:r>
      <w:r w:rsidR="00575DFC">
        <w:rPr>
          <w:noProof/>
        </w:rPr>
        <w:t>38</w:t>
      </w:r>
      <w:r w:rsidR="008379DC">
        <w:rPr>
          <w:noProof/>
        </w:rPr>
        <w:fldChar w:fldCharType="end"/>
      </w:r>
      <w:bookmarkEnd w:id="76"/>
      <w:r>
        <w:t xml:space="preserve">: </w:t>
      </w:r>
      <w:r w:rsidRPr="00BC44B4">
        <w:t>Treatment of specific cost items</w:t>
      </w:r>
    </w:p>
    <w:p w:rsidR="008D0D75" w:rsidRDefault="003E2562" w:rsidP="008D0D75">
      <w:pPr>
        <w:pStyle w:val="PwCNormal"/>
        <w:numPr>
          <w:ilvl w:val="0"/>
          <w:numId w:val="0"/>
        </w:numPr>
      </w:pPr>
      <w:r w:rsidRPr="003E2562">
        <w:rPr>
          <w:noProof/>
          <w:lang w:eastAsia="en-AU"/>
        </w:rPr>
        <w:drawing>
          <wp:inline distT="0" distB="0" distL="0" distR="0" wp14:anchorId="7A56A755" wp14:editId="695E65FB">
            <wp:extent cx="4586400" cy="2084400"/>
            <wp:effectExtent l="0" t="0" r="5080" b="0"/>
            <wp:docPr id="135" name="Picture 135" descr="Superannuation, Professional indemnity insurance, workers' compensation, defined benefit scheme contributions, annual leave costs and long service leave costs are all included in the hospital GL and included in the costing. &#10;&#10;PBS rebates and trade discounts on pharmaceuticals are not included in the co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86400" cy="2084400"/>
                    </a:xfrm>
                    <a:prstGeom prst="rect">
                      <a:avLst/>
                    </a:prstGeom>
                    <a:noFill/>
                    <a:ln>
                      <a:noFill/>
                    </a:ln>
                  </pic:spPr>
                </pic:pic>
              </a:graphicData>
            </a:graphic>
          </wp:inline>
        </w:drawing>
      </w:r>
    </w:p>
    <w:p w:rsidR="00950BE3" w:rsidRDefault="00950BE3" w:rsidP="00950BE3">
      <w:pPr>
        <w:pStyle w:val="PwCNormal"/>
        <w:numPr>
          <w:ilvl w:val="0"/>
          <w:numId w:val="0"/>
        </w:numPr>
      </w:pPr>
      <w:r>
        <w:lastRenderedPageBreak/>
        <w:fldChar w:fldCharType="begin"/>
      </w:r>
      <w:r>
        <w:instrText xml:space="preserve"> REF _Ref403055004 \h </w:instrText>
      </w:r>
      <w:r>
        <w:fldChar w:fldCharType="separate"/>
      </w:r>
      <w:r w:rsidR="00575DFC">
        <w:t xml:space="preserve">Table </w:t>
      </w:r>
      <w:r w:rsidR="00575DFC">
        <w:rPr>
          <w:noProof/>
        </w:rPr>
        <w:t>38</w:t>
      </w:r>
      <w:r>
        <w:fldChar w:fldCharType="end"/>
      </w:r>
      <w:r>
        <w:t xml:space="preserve"> above identifies some of the specific costs examined to understand how the costs are treated in the GL until they get to direct cost centres. Once these costs are allocated to final cost centres they are distributed to patients using the allocation methodology of that cost centre. Key cost treatments to note include:</w:t>
      </w:r>
    </w:p>
    <w:p w:rsidR="00950BE3" w:rsidRDefault="00950BE3" w:rsidP="009C4A5D">
      <w:pPr>
        <w:pStyle w:val="PwCNormal"/>
        <w:numPr>
          <w:ilvl w:val="0"/>
          <w:numId w:val="83"/>
        </w:numPr>
      </w:pPr>
      <w:r w:rsidRPr="00D71CF6">
        <w:t>Workers</w:t>
      </w:r>
      <w:r>
        <w:t>’</w:t>
      </w:r>
      <w:r w:rsidRPr="00D71CF6">
        <w:t xml:space="preserve"> compensation is managed through a </w:t>
      </w:r>
      <w:r w:rsidR="002821F4">
        <w:t>state</w:t>
      </w:r>
      <w:r w:rsidR="00AF7A4C">
        <w:t xml:space="preserve"> </w:t>
      </w:r>
      <w:r w:rsidR="002821F4">
        <w:t>wide</w:t>
      </w:r>
      <w:r>
        <w:t xml:space="preserve"> government</w:t>
      </w:r>
      <w:r w:rsidRPr="00D71CF6">
        <w:t xml:space="preserve"> insurer</w:t>
      </w:r>
      <w:r>
        <w:t xml:space="preserve">, </w:t>
      </w:r>
      <w:r w:rsidR="002821F4">
        <w:t>WorkCover</w:t>
      </w:r>
      <w:r w:rsidRPr="00D71CF6">
        <w:t>.</w:t>
      </w:r>
      <w:r>
        <w:t xml:space="preserve"> An annual amount of workers’ compensation is levied to Bundaberg for inclusion in costing and is allocated to patients.</w:t>
      </w:r>
    </w:p>
    <w:p w:rsidR="00950BE3" w:rsidRPr="00D71CF6" w:rsidRDefault="00950BE3" w:rsidP="009C4A5D">
      <w:pPr>
        <w:pStyle w:val="PwCNormal"/>
        <w:numPr>
          <w:ilvl w:val="0"/>
          <w:numId w:val="83"/>
        </w:numPr>
      </w:pPr>
      <w:r w:rsidRPr="006947D4">
        <w:t xml:space="preserve">Medical indemnity insurance is managed </w:t>
      </w:r>
      <w:r>
        <w:t>by</w:t>
      </w:r>
      <w:r w:rsidRPr="006947D4">
        <w:t xml:space="preserve"> the HHS</w:t>
      </w:r>
      <w:r>
        <w:t xml:space="preserve">. An insurance levy is issued directly in the </w:t>
      </w:r>
      <w:r w:rsidR="00CA6711">
        <w:t>GL</w:t>
      </w:r>
      <w:r>
        <w:t xml:space="preserve"> to each HHS by </w:t>
      </w:r>
      <w:r w:rsidR="00AF7A4C">
        <w:t xml:space="preserve">QLD </w:t>
      </w:r>
      <w:r>
        <w:t xml:space="preserve">Health based on annual advice on premiums from </w:t>
      </w:r>
      <w:r w:rsidR="00AF7A4C">
        <w:t xml:space="preserve">QLD </w:t>
      </w:r>
      <w:r>
        <w:t>Treasury. This is allocated to direct cost centres through the overhead allocation process.</w:t>
      </w:r>
    </w:p>
    <w:p w:rsidR="00950BE3" w:rsidRPr="00D71CF6" w:rsidRDefault="00950BE3" w:rsidP="009C4A5D">
      <w:pPr>
        <w:pStyle w:val="PwCNormal"/>
        <w:numPr>
          <w:ilvl w:val="0"/>
          <w:numId w:val="83"/>
        </w:numPr>
      </w:pPr>
      <w:r w:rsidRPr="00D71CF6">
        <w:t xml:space="preserve">Annual leave and long service leave </w:t>
      </w:r>
      <w:r>
        <w:t>costs sit in</w:t>
      </w:r>
      <w:r w:rsidRPr="00D71CF6">
        <w:t xml:space="preserve"> the cost centres where the staff member is paid.</w:t>
      </w:r>
      <w:r>
        <w:t xml:space="preserve"> Superannuation cost is a combination of defined benefit and defined contribution schemes and is managed by </w:t>
      </w:r>
      <w:proofErr w:type="spellStart"/>
      <w:r>
        <w:t>QSuper</w:t>
      </w:r>
      <w:proofErr w:type="spellEnd"/>
      <w:r>
        <w:t xml:space="preserve">. It is </w:t>
      </w:r>
      <w:r w:rsidR="008E311A">
        <w:t xml:space="preserve">distributed amongst </w:t>
      </w:r>
      <w:r>
        <w:t xml:space="preserve">cost centres in the same way described for leave. </w:t>
      </w:r>
    </w:p>
    <w:p w:rsidR="00950BE3" w:rsidRPr="00450B24" w:rsidRDefault="00950BE3" w:rsidP="009C4A5D">
      <w:pPr>
        <w:pStyle w:val="PwCNormal"/>
        <w:numPr>
          <w:ilvl w:val="0"/>
          <w:numId w:val="83"/>
        </w:numPr>
      </w:pPr>
      <w:r>
        <w:t>R</w:t>
      </w:r>
      <w:r w:rsidRPr="00450B24">
        <w:t xml:space="preserve">ebates are </w:t>
      </w:r>
      <w:r>
        <w:t>treated as</w:t>
      </w:r>
      <w:r w:rsidRPr="00450B24">
        <w:t xml:space="preserve"> revenue items, and not included in costing. </w:t>
      </w:r>
      <w:r>
        <w:t>Any discounts</w:t>
      </w:r>
      <w:r w:rsidRPr="00450B24">
        <w:t xml:space="preserve"> arising from the purchase of consumables in bulk</w:t>
      </w:r>
      <w:r>
        <w:t xml:space="preserve"> through </w:t>
      </w:r>
      <w:r w:rsidR="002821F4">
        <w:t>state</w:t>
      </w:r>
      <w:r w:rsidR="00AF7A4C">
        <w:t xml:space="preserve"> </w:t>
      </w:r>
      <w:r w:rsidR="002821F4">
        <w:t>wide</w:t>
      </w:r>
      <w:r>
        <w:t xml:space="preserve"> arrangements,</w:t>
      </w:r>
      <w:r w:rsidRPr="00450B24">
        <w:t xml:space="preserve"> for example</w:t>
      </w:r>
      <w:r>
        <w:t>,</w:t>
      </w:r>
      <w:r w:rsidRPr="00450B24">
        <w:t xml:space="preserve"> are </w:t>
      </w:r>
      <w:r>
        <w:t>not considered a rebate and included in the costing in the expense account</w:t>
      </w:r>
      <w:r w:rsidRPr="00450B24">
        <w:t>.</w:t>
      </w:r>
    </w:p>
    <w:p w:rsidR="00950BE3" w:rsidRDefault="00950BE3" w:rsidP="009C4A5D">
      <w:pPr>
        <w:pStyle w:val="PwCNormal"/>
        <w:numPr>
          <w:ilvl w:val="0"/>
          <w:numId w:val="83"/>
        </w:numPr>
      </w:pPr>
      <w:r w:rsidRPr="00D71CF6">
        <w:t xml:space="preserve">Assets are required to be revalued annually. Land is </w:t>
      </w:r>
      <w:r>
        <w:t>revalued annually using an indexation from the State Valuation Service. B</w:t>
      </w:r>
      <w:r w:rsidRPr="00D71CF6">
        <w:t>uildings are independently valued</w:t>
      </w:r>
      <w:r>
        <w:t xml:space="preserve"> with a desktop indexation applied to the balance. Major buildings undergo a comprehensive revaluation every five years, unless there has been evidence of a significant change in fair value, in which a valuation will be performed. For all other assets, a revaluation will only be required if there is evidence of a significant change in fair value. The adjusted depreciation is included in the costing results.</w:t>
      </w:r>
    </w:p>
    <w:p w:rsidR="008D0D75" w:rsidRDefault="008E311A" w:rsidP="009C4A5D">
      <w:pPr>
        <w:pStyle w:val="PwCNormal"/>
        <w:numPr>
          <w:ilvl w:val="0"/>
          <w:numId w:val="83"/>
        </w:numPr>
      </w:pPr>
      <w:r>
        <w:t>For Round 17, payroll tax was</w:t>
      </w:r>
      <w:r w:rsidR="00950BE3">
        <w:t xml:space="preserve"> paid for staff of non-PBI facilities of the HHS and not for any hospital or campus staff (i.e. community health f</w:t>
      </w:r>
      <w:r>
        <w:t>acilities and oral surgeries). We note that f</w:t>
      </w:r>
      <w:r w:rsidR="00950BE3">
        <w:t>rom 1 July 2014 payroll tax will no longer be payable.</w:t>
      </w:r>
    </w:p>
    <w:p w:rsidR="008D0D75" w:rsidRPr="00DE22CA" w:rsidRDefault="008D0D75" w:rsidP="008D0D75">
      <w:pPr>
        <w:pStyle w:val="PwCNormal"/>
        <w:numPr>
          <w:ilvl w:val="0"/>
          <w:numId w:val="0"/>
        </w:numPr>
        <w:rPr>
          <w:b/>
        </w:rPr>
      </w:pPr>
      <w:r w:rsidRPr="00A85593">
        <w:rPr>
          <w:b/>
        </w:rPr>
        <w:t>Inclusions and exclusions (Item B)</w:t>
      </w:r>
    </w:p>
    <w:p w:rsidR="008D0D75" w:rsidRDefault="008D0D75" w:rsidP="008D0D75">
      <w:pPr>
        <w:pStyle w:val="PwCNormal"/>
        <w:numPr>
          <w:ilvl w:val="0"/>
          <w:numId w:val="0"/>
        </w:numPr>
      </w:pPr>
      <w:r>
        <w:t>The total dead-ended overheads for this round were $17.5</w:t>
      </w:r>
      <w:r w:rsidR="008E7280">
        <w:t xml:space="preserve"> </w:t>
      </w:r>
      <w:r>
        <w:t>m</w:t>
      </w:r>
      <w:r w:rsidR="008E7280">
        <w:t>illion</w:t>
      </w:r>
      <w:r>
        <w:t>. Dead-ended costs may include various administrative functions and commercial services that are out of scope in the Australian Hospital Patient Costing Standards.</w:t>
      </w:r>
    </w:p>
    <w:p w:rsidR="008D0D75" w:rsidRPr="00DE22CA" w:rsidRDefault="008D0D75" w:rsidP="008D0D75">
      <w:pPr>
        <w:pStyle w:val="PwCNormal"/>
        <w:numPr>
          <w:ilvl w:val="0"/>
          <w:numId w:val="0"/>
        </w:numPr>
        <w:rPr>
          <w:b/>
        </w:rPr>
      </w:pPr>
      <w:r w:rsidRPr="00A85593">
        <w:rPr>
          <w:b/>
        </w:rPr>
        <w:t>Allocation of overheads (Item C)</w:t>
      </w:r>
    </w:p>
    <w:p w:rsidR="008D0D75" w:rsidRPr="00DE22CA" w:rsidRDefault="008D0D75" w:rsidP="008D0D75">
      <w:pPr>
        <w:pStyle w:val="PwCNormal"/>
        <w:numPr>
          <w:ilvl w:val="0"/>
          <w:numId w:val="0"/>
        </w:numPr>
      </w:pPr>
      <w:r>
        <w:t xml:space="preserve">Overhead costs that </w:t>
      </w:r>
      <w:r w:rsidR="008E311A">
        <w:t>were</w:t>
      </w:r>
      <w:r>
        <w:t xml:space="preserve"> shared between the two costing databases (Hervey Bay and Bundaberg) </w:t>
      </w:r>
      <w:r w:rsidR="008E311A">
        <w:t>were</w:t>
      </w:r>
      <w:r>
        <w:t xml:space="preserve"> split between the two costing databases evenly. For example, the cost of executive staff would be allocated in full to bo</w:t>
      </w:r>
      <w:r w:rsidR="008E311A">
        <w:t>th, and then half of the cost was</w:t>
      </w:r>
      <w:r>
        <w:t xml:space="preserve"> removed. For overhead costs that are known to be specific to a particular site, then those cost</w:t>
      </w:r>
      <w:r w:rsidR="008E311A">
        <w:t>s</w:t>
      </w:r>
      <w:r>
        <w:t xml:space="preserve"> are allocated in full</w:t>
      </w:r>
      <w:r w:rsidR="008E311A">
        <w:t xml:space="preserve"> to</w:t>
      </w:r>
      <w:r>
        <w:t xml:space="preserve"> the respective costing database.</w:t>
      </w:r>
      <w:r w:rsidR="00CB5A06">
        <w:t xml:space="preserve"> Once the final overhead costs were determined, they were allocated using a range of allocation statistics that were selected based on the AHPCS preferred hierarchy and what data was available.</w:t>
      </w:r>
    </w:p>
    <w:p w:rsidR="008D0D75" w:rsidRDefault="008D0D75" w:rsidP="008D0D75">
      <w:pPr>
        <w:pStyle w:val="PwCNormal"/>
        <w:numPr>
          <w:ilvl w:val="0"/>
          <w:numId w:val="0"/>
        </w:numPr>
        <w:rPr>
          <w:b/>
        </w:rPr>
      </w:pPr>
      <w:r w:rsidRPr="00A85593">
        <w:rPr>
          <w:b/>
        </w:rPr>
        <w:t>Distribution of costs between hospital products (Item D)</w:t>
      </w:r>
    </w:p>
    <w:p w:rsidR="00AF53C8" w:rsidRDefault="00CB5A06" w:rsidP="008D0D75">
      <w:pPr>
        <w:pStyle w:val="PwCNormal"/>
        <w:numPr>
          <w:ilvl w:val="0"/>
          <w:numId w:val="0"/>
        </w:numPr>
      </w:pPr>
      <w:r>
        <w:t xml:space="preserve">Cost centres that deliver services to multiple hospital products are split using activity rather than PFRACs. RVUs are used to allocate the labour and non-labour components of the cost centre to patients, which is not dependent on whether the patient was an inpatient, ED or outpatient. </w:t>
      </w:r>
      <w:r w:rsidR="004B6384">
        <w:t xml:space="preserve">Labour costs are typically allocated using minutes, which is sourced from a feeder systems. Non-labour costs are allocated based on expended dollars. The RVUs used are provided by QLD Health </w:t>
      </w:r>
      <w:r w:rsidR="00205FA1">
        <w:t>and</w:t>
      </w:r>
      <w:r w:rsidR="004B6384">
        <w:t xml:space="preserve"> are reviewed each year by the hospital</w:t>
      </w:r>
      <w:r w:rsidR="00205FA1">
        <w:t>.</w:t>
      </w:r>
    </w:p>
    <w:p w:rsidR="00AF53C8" w:rsidRDefault="00AF53C8">
      <w:pPr>
        <w:kinsoku/>
        <w:overflowPunct/>
        <w:autoSpaceDE/>
        <w:autoSpaceDN/>
        <w:adjustRightInd/>
        <w:snapToGrid/>
      </w:pPr>
      <w:r>
        <w:br w:type="page"/>
      </w:r>
    </w:p>
    <w:p w:rsidR="008D0D75" w:rsidRPr="004E0B72" w:rsidRDefault="008D0D75" w:rsidP="00CE5EF2">
      <w:pPr>
        <w:pStyle w:val="Heading3"/>
      </w:pPr>
      <w:bookmarkStart w:id="77" w:name="_Ref403127197"/>
      <w:r>
        <w:lastRenderedPageBreak/>
        <w:t>Activity information and costing methodology</w:t>
      </w:r>
      <w:bookmarkEnd w:id="77"/>
    </w:p>
    <w:p w:rsidR="008D0D75" w:rsidRPr="002449AB" w:rsidRDefault="008D0D75" w:rsidP="008D0D75">
      <w:pPr>
        <w:pStyle w:val="PwCNormal"/>
        <w:numPr>
          <w:ilvl w:val="0"/>
          <w:numId w:val="0"/>
        </w:numPr>
        <w:rPr>
          <w:b/>
        </w:rPr>
      </w:pPr>
      <w:r>
        <w:rPr>
          <w:b/>
        </w:rPr>
        <w:t>Overview</w:t>
      </w:r>
    </w:p>
    <w:p w:rsidR="008D0D75" w:rsidRDefault="003E2EF7" w:rsidP="008D0D75">
      <w:pPr>
        <w:pStyle w:val="PwCNormal"/>
        <w:numPr>
          <w:ilvl w:val="0"/>
          <w:numId w:val="0"/>
        </w:numPr>
      </w:pPr>
      <w:r>
        <w:t xml:space="preserve">Bundaberg utilised the </w:t>
      </w:r>
      <w:r w:rsidR="002821F4">
        <w:t>state</w:t>
      </w:r>
      <w:r w:rsidR="00AF7A4C">
        <w:t xml:space="preserve"> </w:t>
      </w:r>
      <w:r w:rsidR="002821F4">
        <w:t>wide</w:t>
      </w:r>
      <w:r>
        <w:t xml:space="preserve"> cost alloc</w:t>
      </w:r>
      <w:r w:rsidR="00B307E3">
        <w:t xml:space="preserve">ation methodology for Round 17. This is detailed in the </w:t>
      </w:r>
      <w:r w:rsidR="006E6862">
        <w:fldChar w:fldCharType="begin"/>
      </w:r>
      <w:r w:rsidR="006E6862">
        <w:instrText xml:space="preserve"> REF _Ref404354540 \h </w:instrText>
      </w:r>
      <w:r w:rsidR="006E6862">
        <w:fldChar w:fldCharType="separate"/>
      </w:r>
      <w:r w:rsidR="00575DFC">
        <w:t xml:space="preserve">Table </w:t>
      </w:r>
      <w:r w:rsidR="00575DFC">
        <w:rPr>
          <w:noProof/>
        </w:rPr>
        <w:t>39</w:t>
      </w:r>
      <w:r w:rsidR="006E6862">
        <w:fldChar w:fldCharType="end"/>
      </w:r>
      <w:r w:rsidR="00B307E3">
        <w:t xml:space="preserve"> below.</w:t>
      </w:r>
    </w:p>
    <w:p w:rsidR="006E6862" w:rsidRDefault="006E6862" w:rsidP="006E6862">
      <w:pPr>
        <w:pStyle w:val="Caption"/>
      </w:pPr>
      <w:bookmarkStart w:id="78" w:name="_Ref404354540"/>
      <w:r>
        <w:t xml:space="preserve">Table </w:t>
      </w:r>
      <w:fldSimple w:instr=" SEQ Table \* ARABIC ">
        <w:r w:rsidR="00575DFC">
          <w:rPr>
            <w:noProof/>
          </w:rPr>
          <w:t>39</w:t>
        </w:r>
      </w:fldSimple>
      <w:bookmarkEnd w:id="78"/>
      <w:r>
        <w:t>: 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205FA1" w:rsidRPr="00A85593" w:rsidTr="006E68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205FA1" w:rsidRPr="00A85593" w:rsidRDefault="00205FA1" w:rsidP="00357CF2">
            <w:pPr>
              <w:pStyle w:val="PwCNormal"/>
              <w:numPr>
                <w:ilvl w:val="0"/>
                <w:numId w:val="0"/>
              </w:numPr>
              <w:rPr>
                <w:b/>
              </w:rPr>
            </w:pPr>
            <w:r w:rsidRPr="00A85593">
              <w:rPr>
                <w:b/>
              </w:rPr>
              <w:t>Hospital product</w:t>
            </w:r>
          </w:p>
        </w:tc>
        <w:tc>
          <w:tcPr>
            <w:tcW w:w="6237" w:type="dxa"/>
          </w:tcPr>
          <w:p w:rsidR="00205FA1" w:rsidRPr="00A85593" w:rsidRDefault="00205FA1" w:rsidP="00357CF2">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A85593">
              <w:rPr>
                <w:b/>
              </w:rPr>
              <w:t>Allocation overview</w:t>
            </w:r>
          </w:p>
        </w:tc>
      </w:tr>
      <w:tr w:rsidR="00205FA1" w:rsidTr="006E6862">
        <w:tc>
          <w:tcPr>
            <w:tcW w:w="2376" w:type="dxa"/>
          </w:tcPr>
          <w:p w:rsidR="00205FA1" w:rsidRDefault="00205FA1" w:rsidP="00357CF2">
            <w:pPr>
              <w:pStyle w:val="PwCNormal"/>
              <w:numPr>
                <w:ilvl w:val="0"/>
                <w:numId w:val="0"/>
              </w:numPr>
            </w:pPr>
            <w:r>
              <w:t xml:space="preserve">Inpatient </w:t>
            </w:r>
            <w:r>
              <w:br/>
              <w:t>(acute and sub-acute)</w:t>
            </w:r>
          </w:p>
        </w:tc>
        <w:tc>
          <w:tcPr>
            <w:tcW w:w="6237" w:type="dxa"/>
          </w:tcPr>
          <w:p w:rsidR="006A5048" w:rsidRDefault="006A5048" w:rsidP="00357CF2">
            <w:pPr>
              <w:pStyle w:val="PwCNormal"/>
              <w:numPr>
                <w:ilvl w:val="0"/>
                <w:numId w:val="0"/>
              </w:numPr>
            </w:pPr>
            <w:r>
              <w:t xml:space="preserve">Acute patients are costed at the episode level, utilising records from the HBCIS system. Sub-acute patients are costed in the same way. There was insufficient data available for costing to the phase </w:t>
            </w:r>
            <w:r w:rsidR="002821F4">
              <w:t>level</w:t>
            </w:r>
            <w:r>
              <w:t xml:space="preserve"> as phase of care dates and times were not available for this round</w:t>
            </w:r>
            <w:r w:rsidR="008E311A">
              <w:t>. Due to this, costing was performed</w:t>
            </w:r>
            <w:r>
              <w:t xml:space="preserve"> for the total episode.</w:t>
            </w:r>
          </w:p>
          <w:p w:rsidR="00205FA1" w:rsidRDefault="00205FA1" w:rsidP="00357CF2">
            <w:pPr>
              <w:pStyle w:val="PwCNormal"/>
              <w:numPr>
                <w:ilvl w:val="0"/>
                <w:numId w:val="0"/>
              </w:numPr>
            </w:pPr>
            <w:r>
              <w:t xml:space="preserve">Inpatients are allocated costs using various feeder </w:t>
            </w:r>
            <w:r w:rsidR="002821F4">
              <w:t>systems, which</w:t>
            </w:r>
            <w:r>
              <w:t xml:space="preserve"> indicate consumption of hospital resources or services.</w:t>
            </w:r>
            <w:r w:rsidR="00E54975">
              <w:t xml:space="preserve"> </w:t>
            </w:r>
            <w:r w:rsidR="008E311A">
              <w:t>Nursing is costed using a n</w:t>
            </w:r>
            <w:r>
              <w:t>ursing acuity system where available or fractional bed</w:t>
            </w:r>
            <w:r w:rsidR="00E54975">
              <w:t xml:space="preserve"> </w:t>
            </w:r>
            <w:r>
              <w:t>day</w:t>
            </w:r>
            <w:r w:rsidR="008E311A">
              <w:t>s</w:t>
            </w:r>
            <w:r w:rsidR="00E54975">
              <w:t>, with a time RVU for</w:t>
            </w:r>
            <w:r>
              <w:t xml:space="preserve"> admission, discharge and death products </w:t>
            </w:r>
            <w:r w:rsidR="00E54975">
              <w:t>to account for additional activity required during those events. Similarly with medical staff costs, fraction</w:t>
            </w:r>
            <w:r w:rsidR="008E311A">
              <w:t>al</w:t>
            </w:r>
            <w:r w:rsidR="00E54975">
              <w:t xml:space="preserve"> bed days </w:t>
            </w:r>
            <w:r w:rsidR="00AF7A4C">
              <w:t xml:space="preserve">are </w:t>
            </w:r>
            <w:r w:rsidR="00E54975">
              <w:t>used to allocate costs along with a time RVU for admission, discharge and death.</w:t>
            </w:r>
          </w:p>
          <w:p w:rsidR="00205FA1" w:rsidRDefault="00E54975" w:rsidP="008E311A">
            <w:pPr>
              <w:pStyle w:val="PwCNormal"/>
            </w:pPr>
            <w:r>
              <w:t xml:space="preserve">Operating theatre costs are broken down into several cost buckets and allocated using data from the </w:t>
            </w:r>
            <w:r w:rsidR="002821F4">
              <w:t>state</w:t>
            </w:r>
            <w:r w:rsidR="00AF7A4C">
              <w:t xml:space="preserve"> </w:t>
            </w:r>
            <w:r w:rsidR="002821F4">
              <w:t>wide</w:t>
            </w:r>
            <w:r>
              <w:t xml:space="preserve"> theatre management system. The</w:t>
            </w:r>
            <w:r w:rsidR="0051730E">
              <w:t xml:space="preserve"> system provides theatre minutes that are used along with state minute RVUs. Some </w:t>
            </w:r>
            <w:r w:rsidR="002821F4">
              <w:t>count-based</w:t>
            </w:r>
            <w:r w:rsidR="0051730E">
              <w:t xml:space="preserve"> </w:t>
            </w:r>
            <w:r w:rsidR="008E311A">
              <w:t>RVUs</w:t>
            </w:r>
            <w:r w:rsidR="0051730E">
              <w:t xml:space="preserve"> by procedure are used, along with high cost consumables such as </w:t>
            </w:r>
            <w:r w:rsidR="009C4A5D">
              <w:t>prosthetics</w:t>
            </w:r>
            <w:r w:rsidR="0051730E">
              <w:t xml:space="preserve">. Where direct prosthetic costs were unavailable, </w:t>
            </w:r>
            <w:r w:rsidR="006A5048">
              <w:t>MBS cost bands were used.</w:t>
            </w:r>
          </w:p>
        </w:tc>
      </w:tr>
      <w:tr w:rsidR="00205FA1" w:rsidTr="006E6862">
        <w:tc>
          <w:tcPr>
            <w:tcW w:w="2376" w:type="dxa"/>
          </w:tcPr>
          <w:p w:rsidR="00205FA1" w:rsidRDefault="00205FA1" w:rsidP="00357CF2">
            <w:pPr>
              <w:pStyle w:val="PwCNormal"/>
              <w:numPr>
                <w:ilvl w:val="0"/>
                <w:numId w:val="0"/>
              </w:numPr>
            </w:pPr>
            <w:r>
              <w:t>Emergency Department</w:t>
            </w:r>
          </w:p>
        </w:tc>
        <w:tc>
          <w:tcPr>
            <w:tcW w:w="6237" w:type="dxa"/>
          </w:tcPr>
          <w:p w:rsidR="00205FA1" w:rsidRDefault="007749D0" w:rsidP="00335316">
            <w:pPr>
              <w:pStyle w:val="PwCNormal"/>
              <w:numPr>
                <w:ilvl w:val="0"/>
                <w:numId w:val="0"/>
              </w:numPr>
            </w:pPr>
            <w:r w:rsidRPr="007749D0">
              <w:t>ED activity is costed</w:t>
            </w:r>
            <w:r w:rsidR="00335316" w:rsidRPr="007749D0">
              <w:t xml:space="preserve"> for both URG and UDG classified activity. The</w:t>
            </w:r>
            <w:r w:rsidR="00335316">
              <w:t xml:space="preserve"> </w:t>
            </w:r>
            <w:r w:rsidR="00205FA1">
              <w:t xml:space="preserve">EDIS REDIS and EMG2 feeder systems provide the </w:t>
            </w:r>
            <w:r w:rsidR="00335316">
              <w:t>time data</w:t>
            </w:r>
            <w:r w:rsidR="00205FA1">
              <w:t xml:space="preserve"> and </w:t>
            </w:r>
            <w:r w:rsidR="00335316">
              <w:t xml:space="preserve">the </w:t>
            </w:r>
            <w:r w:rsidR="002821F4">
              <w:t>state</w:t>
            </w:r>
            <w:r w:rsidR="00AF7A4C">
              <w:t xml:space="preserve"> </w:t>
            </w:r>
            <w:r w:rsidR="002821F4">
              <w:t>wide</w:t>
            </w:r>
            <w:r w:rsidR="00335316">
              <w:t xml:space="preserve">, triage-based </w:t>
            </w:r>
            <w:r w:rsidR="00205FA1">
              <w:t xml:space="preserve">RVUs </w:t>
            </w:r>
            <w:r w:rsidR="00335316">
              <w:t>were</w:t>
            </w:r>
            <w:r w:rsidR="00205FA1">
              <w:t xml:space="preserve"> used to allocate costs to patients. </w:t>
            </w:r>
            <w:r w:rsidR="00335316">
              <w:t>The RVUs are updated annually by QLD Health and updated locally where required.</w:t>
            </w:r>
            <w:r w:rsidR="00205FA1">
              <w:t xml:space="preserve"> </w:t>
            </w:r>
          </w:p>
        </w:tc>
      </w:tr>
      <w:tr w:rsidR="00205FA1" w:rsidTr="006E6862">
        <w:tc>
          <w:tcPr>
            <w:tcW w:w="2376" w:type="dxa"/>
          </w:tcPr>
          <w:p w:rsidR="00205FA1" w:rsidRDefault="00205FA1" w:rsidP="00357CF2">
            <w:pPr>
              <w:pStyle w:val="PwCNormal"/>
              <w:numPr>
                <w:ilvl w:val="0"/>
                <w:numId w:val="0"/>
              </w:numPr>
            </w:pPr>
            <w:r>
              <w:t>Outpatients</w:t>
            </w:r>
          </w:p>
        </w:tc>
        <w:tc>
          <w:tcPr>
            <w:tcW w:w="6237" w:type="dxa"/>
          </w:tcPr>
          <w:p w:rsidR="00205FA1" w:rsidRDefault="00205FA1" w:rsidP="00357CF2">
            <w:pPr>
              <w:pStyle w:val="PwCNormal"/>
              <w:numPr>
                <w:ilvl w:val="0"/>
                <w:numId w:val="0"/>
              </w:numPr>
            </w:pPr>
            <w:r>
              <w:t xml:space="preserve">Only Tier 2 classified outpatient encounters </w:t>
            </w:r>
            <w:r w:rsidR="00335316">
              <w:t>were</w:t>
            </w:r>
            <w:r>
              <w:t xml:space="preserve"> </w:t>
            </w:r>
            <w:r w:rsidR="008E311A">
              <w:t>included</w:t>
            </w:r>
            <w:r>
              <w:t xml:space="preserve"> in the costing system at patient level. These patients </w:t>
            </w:r>
            <w:r w:rsidR="00335316">
              <w:t>were</w:t>
            </w:r>
            <w:r>
              <w:t xml:space="preserve"> given an RVU of time based </w:t>
            </w:r>
            <w:r w:rsidR="008E311A">
              <w:t>on</w:t>
            </w:r>
            <w:r>
              <w:t xml:space="preserve"> their clinic and whether the appointment is a new or review </w:t>
            </w:r>
            <w:r w:rsidR="00335316">
              <w:t>consultation</w:t>
            </w:r>
            <w:r>
              <w:t>. The aggregate time is then used to allocate cost for each clinic.</w:t>
            </w:r>
          </w:p>
          <w:p w:rsidR="00205FA1" w:rsidRDefault="00335316" w:rsidP="00357CF2">
            <w:pPr>
              <w:pStyle w:val="PwCNormal"/>
              <w:numPr>
                <w:ilvl w:val="0"/>
                <w:numId w:val="0"/>
              </w:numPr>
            </w:pPr>
            <w:r>
              <w:t xml:space="preserve">Virtual patients were used </w:t>
            </w:r>
            <w:r w:rsidR="004B5B7F">
              <w:t xml:space="preserve">to collect remaining costs </w:t>
            </w:r>
            <w:proofErr w:type="spellStart"/>
            <w:r>
              <w:t>where</w:t>
            </w:r>
            <w:proofErr w:type="spellEnd"/>
            <w:r>
              <w:t xml:space="preserve"> insufficient patient level i</w:t>
            </w:r>
            <w:r w:rsidR="004B5B7F">
              <w:t>nformation was available. These costs were mapped to a Tier 2 clinic and were then spread evenly to virtual patient episodes and submitted to IHPA.</w:t>
            </w:r>
          </w:p>
        </w:tc>
      </w:tr>
      <w:tr w:rsidR="00205FA1" w:rsidTr="006E6862">
        <w:tc>
          <w:tcPr>
            <w:tcW w:w="2376" w:type="dxa"/>
          </w:tcPr>
          <w:p w:rsidR="00205FA1" w:rsidRDefault="00205FA1" w:rsidP="00357CF2">
            <w:pPr>
              <w:pStyle w:val="PwCNormal"/>
              <w:numPr>
                <w:ilvl w:val="0"/>
                <w:numId w:val="0"/>
              </w:numPr>
            </w:pPr>
            <w:r>
              <w:t>Mental Health</w:t>
            </w:r>
          </w:p>
        </w:tc>
        <w:tc>
          <w:tcPr>
            <w:tcW w:w="6237" w:type="dxa"/>
          </w:tcPr>
          <w:p w:rsidR="00205FA1" w:rsidRDefault="00205FA1" w:rsidP="008E311A">
            <w:pPr>
              <w:pStyle w:val="PwCNormal"/>
              <w:numPr>
                <w:ilvl w:val="0"/>
                <w:numId w:val="0"/>
              </w:numPr>
            </w:pPr>
            <w:r>
              <w:t xml:space="preserve">Acute and sub-acute admitted </w:t>
            </w:r>
            <w:r w:rsidR="008E311A">
              <w:t>m</w:t>
            </w:r>
            <w:r>
              <w:t xml:space="preserve">ental health episodes </w:t>
            </w:r>
            <w:r w:rsidR="004B5B7F">
              <w:t>were</w:t>
            </w:r>
            <w:r>
              <w:t xml:space="preserve"> costed and reported in the same manner as non-mental health admitted patients. </w:t>
            </w:r>
            <w:r w:rsidR="004B5B7F">
              <w:t xml:space="preserve">No integration to </w:t>
            </w:r>
            <w:r>
              <w:t>com</w:t>
            </w:r>
            <w:r w:rsidR="004B5B7F">
              <w:t>munity mental health system</w:t>
            </w:r>
            <w:r w:rsidR="008E311A">
              <w:t>s</w:t>
            </w:r>
            <w:r w:rsidR="004B5B7F">
              <w:t xml:space="preserve"> was established in Round 17 so</w:t>
            </w:r>
            <w:r>
              <w:t xml:space="preserve"> these services were costed using virtual patients.</w:t>
            </w:r>
          </w:p>
        </w:tc>
      </w:tr>
      <w:tr w:rsidR="00205FA1" w:rsidTr="006E6862">
        <w:tc>
          <w:tcPr>
            <w:tcW w:w="2376" w:type="dxa"/>
          </w:tcPr>
          <w:p w:rsidR="00205FA1" w:rsidRDefault="00205FA1" w:rsidP="00357CF2">
            <w:pPr>
              <w:pStyle w:val="PwCNormal"/>
              <w:numPr>
                <w:ilvl w:val="0"/>
                <w:numId w:val="0"/>
              </w:numPr>
            </w:pPr>
            <w:r>
              <w:t>Teaching, training and research</w:t>
            </w:r>
            <w:r w:rsidR="004B5B7F">
              <w:t xml:space="preserve"> (TTR)</w:t>
            </w:r>
          </w:p>
        </w:tc>
        <w:tc>
          <w:tcPr>
            <w:tcW w:w="6237" w:type="dxa"/>
          </w:tcPr>
          <w:p w:rsidR="00205FA1" w:rsidRDefault="00205FA1" w:rsidP="004B5B7F">
            <w:pPr>
              <w:pStyle w:val="PwCNormal"/>
              <w:numPr>
                <w:ilvl w:val="0"/>
                <w:numId w:val="0"/>
              </w:numPr>
            </w:pPr>
            <w:r>
              <w:t>Where sites have cost centres that are specifically for direct teaching and training activities the</w:t>
            </w:r>
            <w:r w:rsidR="004B5B7F">
              <w:t>se are identified as part of TT</w:t>
            </w:r>
            <w:r>
              <w:t xml:space="preserve">R as outlined in the AHPCS. </w:t>
            </w:r>
            <w:r w:rsidR="002821F4">
              <w:t xml:space="preserve">Any indirect TTR activity that clinicians perform </w:t>
            </w:r>
            <w:r w:rsidR="002821F4">
              <w:lastRenderedPageBreak/>
              <w:t>where costs sit in patient care cost centres are allocated to patients.</w:t>
            </w:r>
          </w:p>
        </w:tc>
      </w:tr>
      <w:tr w:rsidR="00205FA1" w:rsidTr="006E6862">
        <w:tc>
          <w:tcPr>
            <w:tcW w:w="2376" w:type="dxa"/>
          </w:tcPr>
          <w:p w:rsidR="00205FA1" w:rsidRDefault="00205FA1" w:rsidP="00357CF2">
            <w:pPr>
              <w:pStyle w:val="PwCNormal"/>
              <w:numPr>
                <w:ilvl w:val="0"/>
                <w:numId w:val="0"/>
              </w:numPr>
            </w:pPr>
            <w:r>
              <w:lastRenderedPageBreak/>
              <w:t>Other</w:t>
            </w:r>
          </w:p>
        </w:tc>
        <w:tc>
          <w:tcPr>
            <w:tcW w:w="6237" w:type="dxa"/>
          </w:tcPr>
          <w:p w:rsidR="00205FA1" w:rsidRDefault="00205FA1" w:rsidP="004B5B7F">
            <w:pPr>
              <w:pStyle w:val="PwCNormal"/>
              <w:numPr>
                <w:ilvl w:val="0"/>
                <w:numId w:val="0"/>
              </w:numPr>
            </w:pPr>
            <w:r>
              <w:t xml:space="preserve">Outreach and community care encounters are included in costing but virtual patients are used to </w:t>
            </w:r>
            <w:r w:rsidR="004B5B7F">
              <w:t>capture those</w:t>
            </w:r>
            <w:r>
              <w:t xml:space="preserve"> costs. Boarders and other admitted patient care encounters are costed to the patient level. Organ procurement is not costed </w:t>
            </w:r>
            <w:r w:rsidR="004B5B7F">
              <w:t xml:space="preserve">separately </w:t>
            </w:r>
            <w:r>
              <w:t>due to lack of patient level data.</w:t>
            </w:r>
          </w:p>
        </w:tc>
      </w:tr>
    </w:tbl>
    <w:p w:rsidR="00205FA1" w:rsidRPr="00DF074F" w:rsidRDefault="00205FA1" w:rsidP="008D0D75">
      <w:pPr>
        <w:pStyle w:val="PwCNormal"/>
        <w:numPr>
          <w:ilvl w:val="0"/>
          <w:numId w:val="0"/>
        </w:numPr>
      </w:pPr>
    </w:p>
    <w:p w:rsidR="008D0D75" w:rsidRPr="0059720A" w:rsidRDefault="008D0D75" w:rsidP="00CE5EF2">
      <w:pPr>
        <w:pStyle w:val="Heading3"/>
      </w:pPr>
      <w:bookmarkStart w:id="79" w:name="_Ref403135564"/>
      <w:r w:rsidRPr="0059720A">
        <w:t>Feeder data for sample areas</w:t>
      </w:r>
      <w:bookmarkEnd w:id="79"/>
    </w:p>
    <w:p w:rsidR="008D0D75" w:rsidRPr="002449AB" w:rsidRDefault="008D0D75" w:rsidP="008D0D75">
      <w:pPr>
        <w:pStyle w:val="PwCNormal"/>
        <w:numPr>
          <w:ilvl w:val="0"/>
          <w:numId w:val="0"/>
        </w:numPr>
        <w:rPr>
          <w:b/>
        </w:rPr>
      </w:pPr>
      <w:r w:rsidRPr="00A85593">
        <w:rPr>
          <w:b/>
        </w:rPr>
        <w:t>Overview</w:t>
      </w:r>
    </w:p>
    <w:p w:rsidR="008D0D75" w:rsidRPr="00DF074F" w:rsidRDefault="004B5B7F" w:rsidP="004B5B7F">
      <w:pPr>
        <w:pStyle w:val="PwCNormal"/>
        <w:numPr>
          <w:ilvl w:val="0"/>
          <w:numId w:val="0"/>
        </w:numPr>
      </w:pPr>
      <w:r>
        <w:t xml:space="preserve">As part of the costing process different methodologies will be utilised to allocate costs to a patient level. The recommended methodology in the AHPCS is </w:t>
      </w:r>
      <w:r w:rsidR="008E311A">
        <w:t>to use</w:t>
      </w:r>
      <w:r>
        <w:t xml:space="preserve"> a feeder system</w:t>
      </w:r>
      <w:r w:rsidR="00597FBD">
        <w:t>,</w:t>
      </w:r>
      <w:r>
        <w:t xml:space="preserve"> which uses direct patient activity data to allocate costs; however if this is not available then service weights or RVUs could be used. Bundaberg used a range of feeder systems in Round 17 in order allocate costs to patients, include pharmacy, imaging, prosthetics, theatre, critical care, bloods, ED, ward nursing and ward medical. Three sample </w:t>
      </w:r>
      <w:r w:rsidR="008E311A">
        <w:t>feeder systems</w:t>
      </w:r>
      <w:r>
        <w:t xml:space="preserve"> are discussed in more detail below.</w:t>
      </w:r>
    </w:p>
    <w:p w:rsidR="008D0D75" w:rsidRPr="00A501C2" w:rsidRDefault="008D0D75" w:rsidP="008D0D75">
      <w:pPr>
        <w:pStyle w:val="PwCNormal"/>
        <w:numPr>
          <w:ilvl w:val="0"/>
          <w:numId w:val="0"/>
        </w:numPr>
        <w:rPr>
          <w:b/>
        </w:rPr>
      </w:pPr>
      <w:r w:rsidRPr="00A501C2">
        <w:rPr>
          <w:b/>
        </w:rPr>
        <w:t>Pharmacy</w:t>
      </w:r>
    </w:p>
    <w:p w:rsidR="008D0D75" w:rsidRPr="0059720A" w:rsidRDefault="008D0D75" w:rsidP="008D0D75">
      <w:pPr>
        <w:pStyle w:val="PwCNormal"/>
        <w:numPr>
          <w:ilvl w:val="0"/>
          <w:numId w:val="0"/>
        </w:numPr>
      </w:pPr>
      <w:r w:rsidRPr="0059720A">
        <w:t>Bundaberg uses</w:t>
      </w:r>
      <w:r w:rsidRPr="00DF074F">
        <w:t xml:space="preserve"> </w:t>
      </w:r>
      <w:proofErr w:type="spellStart"/>
      <w:r w:rsidRPr="00DF074F">
        <w:t>iPharmacy</w:t>
      </w:r>
      <w:proofErr w:type="spellEnd"/>
      <w:r w:rsidRPr="00DF074F">
        <w:t xml:space="preserve">, which records consumption of pharmacy products by patients, using different methodologies for dispensed and </w:t>
      </w:r>
      <w:proofErr w:type="spellStart"/>
      <w:r w:rsidRPr="00DF074F">
        <w:t>imprest</w:t>
      </w:r>
      <w:proofErr w:type="spellEnd"/>
      <w:r w:rsidRPr="00DF074F">
        <w:t xml:space="preserve"> drugs. Dispensed drugs costs are allocated </w:t>
      </w:r>
      <w:r w:rsidRPr="0059720A">
        <w:t xml:space="preserve">to those patients who consumed those drugs </w:t>
      </w:r>
      <w:r w:rsidR="007749D0">
        <w:t>using the patient’s MRN</w:t>
      </w:r>
      <w:r w:rsidRPr="0059720A">
        <w:t xml:space="preserve">, while </w:t>
      </w:r>
      <w:proofErr w:type="spellStart"/>
      <w:r w:rsidRPr="0059720A">
        <w:t>imprest</w:t>
      </w:r>
      <w:proofErr w:type="spellEnd"/>
      <w:r w:rsidRPr="0059720A">
        <w:t xml:space="preserve"> drugs are allocated to the ward where the drugs were delivered and allocated to patients along with the rest of the ward costs. Included in the cost that is allocated are the minutes of staff time required to manage these drug cupboards. Most S100 drugs are mapped to the ‘PBS drugs’ line item, however many PBS drugs and some S100 drugs are unable to be flagged by the system and are mapped to the ‘Non-PBS drugs’ line item.</w:t>
      </w:r>
    </w:p>
    <w:p w:rsidR="007749D0" w:rsidRDefault="00F31C30" w:rsidP="008D0D75">
      <w:pPr>
        <w:pStyle w:val="PwCNormal"/>
        <w:numPr>
          <w:ilvl w:val="0"/>
          <w:numId w:val="0"/>
        </w:numPr>
      </w:pPr>
      <w:r>
        <w:t xml:space="preserve">Dispensed drugs were linked to patients using a set of </w:t>
      </w:r>
      <w:r w:rsidR="002821F4">
        <w:t>state</w:t>
      </w:r>
      <w:r w:rsidR="00E13C5F">
        <w:t xml:space="preserve"> </w:t>
      </w:r>
      <w:r w:rsidR="002821F4">
        <w:t>wide</w:t>
      </w:r>
      <w:r>
        <w:t xml:space="preserve"> rules using the feeder date of service. First</w:t>
      </w:r>
      <w:r w:rsidR="008E311A">
        <w:t>ly,</w:t>
      </w:r>
      <w:r>
        <w:t xml:space="preserve"> records were matched to inpatients where the data of service is maximum one day before the admission date or one day after the discharge. </w:t>
      </w:r>
      <w:r w:rsidR="008E311A">
        <w:t>If</w:t>
      </w:r>
      <w:r>
        <w:t xml:space="preserve"> that failed, the record was next matched to an ED presentation with the same one</w:t>
      </w:r>
      <w:r w:rsidR="00F84A9F">
        <w:t>-</w:t>
      </w:r>
      <w:r>
        <w:t xml:space="preserve">day rule around admission and discharge. </w:t>
      </w:r>
      <w:r w:rsidR="008E311A">
        <w:t>If</w:t>
      </w:r>
      <w:r>
        <w:t xml:space="preserve"> that failed, the record was linked to outpatients where the data of service was a maximum of 30 days before or 30 days after the outpatient date and time. Any unlinked pharmacy records were </w:t>
      </w:r>
      <w:r w:rsidR="00F66F02">
        <w:t xml:space="preserve">linked to the Tier 2 40.04 Clinical Pharmacology clinic and submitted to IHPA. </w:t>
      </w:r>
    </w:p>
    <w:p w:rsidR="00F66F02" w:rsidRDefault="00F66F02" w:rsidP="008D0D75">
      <w:pPr>
        <w:pStyle w:val="PwCNormal"/>
        <w:numPr>
          <w:ilvl w:val="0"/>
          <w:numId w:val="0"/>
        </w:numPr>
      </w:pPr>
      <w:r>
        <w:t xml:space="preserve">For Round 17, 87,536 records were extracted from the system and linked to patients as displayed in </w:t>
      </w:r>
      <w:r>
        <w:fldChar w:fldCharType="begin"/>
      </w:r>
      <w:r>
        <w:instrText xml:space="preserve"> REF _Ref403119463 \h </w:instrText>
      </w:r>
      <w:r>
        <w:fldChar w:fldCharType="separate"/>
      </w:r>
      <w:r w:rsidR="00575DFC">
        <w:t xml:space="preserve">Table </w:t>
      </w:r>
      <w:r w:rsidR="00575DFC">
        <w:rPr>
          <w:noProof/>
        </w:rPr>
        <w:t>40</w:t>
      </w:r>
      <w:r>
        <w:fldChar w:fldCharType="end"/>
      </w:r>
      <w:r>
        <w:t xml:space="preserve"> below. 65% of records were linked to inpatients and 23% to outpatients. 9,716 records were unable to be linked to patients and were mapped to the clinical pharmacology clinic for submission to IHPA.</w:t>
      </w:r>
    </w:p>
    <w:p w:rsidR="00881423" w:rsidRDefault="00881423" w:rsidP="00881423">
      <w:pPr>
        <w:pStyle w:val="Caption"/>
      </w:pPr>
      <w:bookmarkStart w:id="80" w:name="_Ref403119463"/>
      <w:r>
        <w:lastRenderedPageBreak/>
        <w:t xml:space="preserve">Table </w:t>
      </w:r>
      <w:r w:rsidR="008379DC">
        <w:fldChar w:fldCharType="begin"/>
      </w:r>
      <w:r w:rsidR="009E64DF">
        <w:instrText xml:space="preserve"> SEQ Table \* ARABIC </w:instrText>
      </w:r>
      <w:r w:rsidR="008379DC">
        <w:fldChar w:fldCharType="separate"/>
      </w:r>
      <w:r w:rsidR="00575DFC">
        <w:rPr>
          <w:noProof/>
        </w:rPr>
        <w:t>40</w:t>
      </w:r>
      <w:r w:rsidR="008379DC">
        <w:rPr>
          <w:noProof/>
        </w:rPr>
        <w:fldChar w:fldCharType="end"/>
      </w:r>
      <w:bookmarkEnd w:id="80"/>
      <w:r>
        <w:t xml:space="preserve">: </w:t>
      </w:r>
      <w:r w:rsidRPr="00B278A9">
        <w:t>Outcome of pharmacy feeder linking</w:t>
      </w:r>
    </w:p>
    <w:p w:rsidR="008D0D75" w:rsidRPr="00087CA2" w:rsidRDefault="008D0D75" w:rsidP="008D0D75">
      <w:pPr>
        <w:pStyle w:val="PwCNormal"/>
        <w:numPr>
          <w:ilvl w:val="0"/>
          <w:numId w:val="0"/>
        </w:numPr>
        <w:rPr>
          <w:b/>
        </w:rPr>
      </w:pPr>
      <w:r w:rsidRPr="001161F3">
        <w:rPr>
          <w:noProof/>
          <w:lang w:eastAsia="en-AU"/>
        </w:rPr>
        <w:drawing>
          <wp:inline distT="0" distB="0" distL="0" distR="0" wp14:anchorId="657B42FF" wp14:editId="44C6114B">
            <wp:extent cx="3034800" cy="2804400"/>
            <wp:effectExtent l="0" t="0" r="0" b="0"/>
            <wp:docPr id="40" name="Picture 40" descr="This table outlines the outcome of the pharmacy feeder linking rules to the different hospital produ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Default="008D0D75" w:rsidP="008D0D75">
      <w:pPr>
        <w:pStyle w:val="PwCNormal"/>
        <w:numPr>
          <w:ilvl w:val="0"/>
          <w:numId w:val="0"/>
        </w:numPr>
        <w:rPr>
          <w:b/>
        </w:rPr>
      </w:pPr>
      <w:r w:rsidRPr="00A85593">
        <w:rPr>
          <w:b/>
        </w:rPr>
        <w:t>Theatre</w:t>
      </w:r>
    </w:p>
    <w:p w:rsidR="00F66F02" w:rsidRDefault="008D0D75" w:rsidP="008D0D75">
      <w:pPr>
        <w:pStyle w:val="PwCNormal"/>
        <w:numPr>
          <w:ilvl w:val="0"/>
          <w:numId w:val="0"/>
        </w:numPr>
      </w:pPr>
      <w:r w:rsidRPr="00A501C2">
        <w:t xml:space="preserve">Bundaberg uses ORMIS, which records various data points </w:t>
      </w:r>
      <w:r w:rsidR="008E311A">
        <w:t>during</w:t>
      </w:r>
      <w:r w:rsidRPr="00A501C2">
        <w:t xml:space="preserve"> the patient</w:t>
      </w:r>
      <w:r w:rsidR="008E311A">
        <w:t>’s</w:t>
      </w:r>
      <w:r w:rsidRPr="00A501C2">
        <w:t xml:space="preserve"> operation. The ORMIS system captures </w:t>
      </w:r>
      <w:r w:rsidR="00F66F02">
        <w:t>several dates and time</w:t>
      </w:r>
      <w:r w:rsidR="008E311A">
        <w:t>s</w:t>
      </w:r>
      <w:r w:rsidR="00F66F02">
        <w:t>, along with prosthetics used.</w:t>
      </w:r>
      <w:r w:rsidR="00BF4470">
        <w:t xml:space="preserve"> Theatre costs were split into several buckets a</w:t>
      </w:r>
      <w:r w:rsidR="008E311A">
        <w:t>nd allocated using various time periods. For example,</w:t>
      </w:r>
      <w:r w:rsidR="00BF4470">
        <w:t xml:space="preserve"> cut to close time</w:t>
      </w:r>
      <w:r w:rsidR="008E311A">
        <w:t xml:space="preserve"> is</w:t>
      </w:r>
      <w:r w:rsidR="00BF4470">
        <w:t xml:space="preserve"> used to allocated theatre costs and recovery time to allocate the costs of the recovery room. </w:t>
      </w:r>
    </w:p>
    <w:p w:rsidR="008D0D75" w:rsidRPr="00A501C2" w:rsidRDefault="00BF4470" w:rsidP="0020172A">
      <w:pPr>
        <w:pStyle w:val="PwCNormal"/>
        <w:numPr>
          <w:ilvl w:val="0"/>
          <w:numId w:val="0"/>
        </w:numPr>
      </w:pPr>
      <w:r>
        <w:t>The linking performed us</w:t>
      </w:r>
      <w:r w:rsidR="00E30886">
        <w:t>ed</w:t>
      </w:r>
      <w:r>
        <w:t xml:space="preserve"> </w:t>
      </w:r>
      <w:r w:rsidR="00E30886">
        <w:t>the</w:t>
      </w:r>
      <w:r>
        <w:t xml:space="preserve"> </w:t>
      </w:r>
      <w:r w:rsidR="002821F4">
        <w:t>state</w:t>
      </w:r>
      <w:r w:rsidR="00E13C5F">
        <w:t xml:space="preserve"> </w:t>
      </w:r>
      <w:r w:rsidR="002821F4">
        <w:t>wide</w:t>
      </w:r>
      <w:r w:rsidR="00E30886">
        <w:t xml:space="preserve"> linking</w:t>
      </w:r>
      <w:r>
        <w:t xml:space="preserve"> rules</w:t>
      </w:r>
      <w:r w:rsidR="0032300F">
        <w:t xml:space="preserve">, </w:t>
      </w:r>
      <w:r w:rsidR="00E30886">
        <w:t>utilising</w:t>
      </w:r>
      <w:r>
        <w:t xml:space="preserve"> the </w:t>
      </w:r>
      <w:proofErr w:type="gramStart"/>
      <w:r>
        <w:t>feeder</w:t>
      </w:r>
      <w:r w:rsidR="00E30886">
        <w:t>’s</w:t>
      </w:r>
      <w:proofErr w:type="gramEnd"/>
      <w:r>
        <w:t xml:space="preserve"> date of service. Please see the Pharmacy section above for more details on the rules used. For Round 17, 80% of the records were matched to inpatients with the rest matched to ED and outpatients, as displayed in </w:t>
      </w:r>
      <w:r>
        <w:fldChar w:fldCharType="begin"/>
      </w:r>
      <w:r>
        <w:instrText xml:space="preserve"> REF _Ref403120379 \h </w:instrText>
      </w:r>
      <w:r>
        <w:fldChar w:fldCharType="separate"/>
      </w:r>
      <w:r w:rsidR="00575DFC">
        <w:t xml:space="preserve">Table </w:t>
      </w:r>
      <w:r w:rsidR="00575DFC">
        <w:rPr>
          <w:noProof/>
        </w:rPr>
        <w:t>41</w:t>
      </w:r>
      <w:r>
        <w:fldChar w:fldCharType="end"/>
      </w:r>
      <w:r>
        <w:t xml:space="preserve"> below. </w:t>
      </w:r>
    </w:p>
    <w:p w:rsidR="00881423" w:rsidRDefault="00881423" w:rsidP="00881423">
      <w:pPr>
        <w:pStyle w:val="Caption"/>
      </w:pPr>
      <w:bookmarkStart w:id="81" w:name="_Ref403120379"/>
      <w:r>
        <w:t xml:space="preserve">Table </w:t>
      </w:r>
      <w:r w:rsidR="008379DC">
        <w:fldChar w:fldCharType="begin"/>
      </w:r>
      <w:r w:rsidR="009E64DF">
        <w:instrText xml:space="preserve"> SEQ Table \* ARABIC </w:instrText>
      </w:r>
      <w:r w:rsidR="008379DC">
        <w:fldChar w:fldCharType="separate"/>
      </w:r>
      <w:r w:rsidR="00575DFC">
        <w:rPr>
          <w:noProof/>
        </w:rPr>
        <w:t>41</w:t>
      </w:r>
      <w:r w:rsidR="008379DC">
        <w:rPr>
          <w:noProof/>
        </w:rPr>
        <w:fldChar w:fldCharType="end"/>
      </w:r>
      <w:bookmarkEnd w:id="81"/>
      <w:r>
        <w:t xml:space="preserve">: </w:t>
      </w:r>
      <w:r w:rsidRPr="000457A8">
        <w:t>Outcome of theatre feeder linking</w:t>
      </w:r>
    </w:p>
    <w:p w:rsidR="008D0D75" w:rsidRPr="00087CA2" w:rsidRDefault="008D0D75" w:rsidP="008D0D75">
      <w:pPr>
        <w:pStyle w:val="PwCNormal"/>
        <w:numPr>
          <w:ilvl w:val="0"/>
          <w:numId w:val="0"/>
        </w:numPr>
        <w:rPr>
          <w:b/>
        </w:rPr>
      </w:pPr>
      <w:r w:rsidRPr="001161F3">
        <w:rPr>
          <w:noProof/>
          <w:lang w:eastAsia="en-AU"/>
        </w:rPr>
        <w:drawing>
          <wp:inline distT="0" distB="0" distL="0" distR="0" wp14:anchorId="7D925038" wp14:editId="711C7CB6">
            <wp:extent cx="3034800" cy="2804400"/>
            <wp:effectExtent l="0" t="0" r="0" b="0"/>
            <wp:docPr id="41" name="Picture 41"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Pr="002449AB" w:rsidRDefault="008D0D75" w:rsidP="008D0D75">
      <w:pPr>
        <w:pStyle w:val="PwCNormal"/>
        <w:numPr>
          <w:ilvl w:val="0"/>
          <w:numId w:val="0"/>
        </w:numPr>
        <w:rPr>
          <w:b/>
        </w:rPr>
      </w:pPr>
      <w:r w:rsidRPr="00A85593">
        <w:rPr>
          <w:b/>
        </w:rPr>
        <w:t>Ward Nursing</w:t>
      </w:r>
    </w:p>
    <w:p w:rsidR="0020172A" w:rsidRDefault="008D0D75" w:rsidP="008D0D75">
      <w:pPr>
        <w:pStyle w:val="PwCNormal"/>
        <w:numPr>
          <w:ilvl w:val="0"/>
          <w:numId w:val="0"/>
        </w:numPr>
      </w:pPr>
      <w:r w:rsidRPr="00A501C2">
        <w:t xml:space="preserve">Bundaberg uses the </w:t>
      </w:r>
      <w:proofErr w:type="spellStart"/>
      <w:r w:rsidRPr="00A501C2">
        <w:t>Tredcare</w:t>
      </w:r>
      <w:proofErr w:type="spellEnd"/>
      <w:r w:rsidRPr="00A501C2">
        <w:t xml:space="preserve"> HBCIS ADT </w:t>
      </w:r>
      <w:proofErr w:type="gramStart"/>
      <w:r w:rsidRPr="00A501C2">
        <w:t xml:space="preserve">system, </w:t>
      </w:r>
      <w:r w:rsidR="0020172A">
        <w:t xml:space="preserve">which records </w:t>
      </w:r>
      <w:r w:rsidR="00E30886">
        <w:t>encounter</w:t>
      </w:r>
      <w:proofErr w:type="gramEnd"/>
      <w:r w:rsidR="00E30886">
        <w:t xml:space="preserve"> </w:t>
      </w:r>
      <w:r w:rsidR="0020172A">
        <w:t xml:space="preserve">details such as the admission time, date time and ward transfers. The ward transfer times were used to create </w:t>
      </w:r>
      <w:r w:rsidR="00E30886">
        <w:t>fractional</w:t>
      </w:r>
      <w:r w:rsidR="0020172A">
        <w:t xml:space="preserve"> bed days for each patient. Further, additiona</w:t>
      </w:r>
      <w:r w:rsidR="00E30886">
        <w:t xml:space="preserve">l time RVUs were used to acknowledge the extra effort of </w:t>
      </w:r>
      <w:r w:rsidR="00E30886">
        <w:lastRenderedPageBreak/>
        <w:t xml:space="preserve">the staff during admission, discharge and death. These were </w:t>
      </w:r>
      <w:r w:rsidR="002821F4">
        <w:t>state</w:t>
      </w:r>
      <w:r w:rsidR="00E13C5F">
        <w:t xml:space="preserve"> </w:t>
      </w:r>
      <w:r w:rsidR="002821F4">
        <w:t>wide</w:t>
      </w:r>
      <w:r w:rsidR="00E30886">
        <w:t xml:space="preserve"> RVUs that are allowed to be reviewed and amended locally. </w:t>
      </w:r>
    </w:p>
    <w:p w:rsidR="00E30886" w:rsidRDefault="00E30886" w:rsidP="008D0D75">
      <w:pPr>
        <w:pStyle w:val="PwCNormal"/>
        <w:numPr>
          <w:ilvl w:val="0"/>
          <w:numId w:val="0"/>
        </w:numPr>
      </w:pPr>
      <w:r>
        <w:t xml:space="preserve">The linking performed used the </w:t>
      </w:r>
      <w:r w:rsidR="002821F4">
        <w:t>state</w:t>
      </w:r>
      <w:r w:rsidR="00E13C5F">
        <w:t xml:space="preserve"> </w:t>
      </w:r>
      <w:r w:rsidR="002821F4">
        <w:t>wide</w:t>
      </w:r>
      <w:r>
        <w:t xml:space="preserve"> linking rules, utilising the </w:t>
      </w:r>
      <w:proofErr w:type="gramStart"/>
      <w:r>
        <w:t>feeder’s</w:t>
      </w:r>
      <w:proofErr w:type="gramEnd"/>
      <w:r>
        <w:t xml:space="preserve"> date of service. Please see the Pharmacy section above for more details on the rules used. </w:t>
      </w:r>
      <w:r w:rsidR="002821F4">
        <w:t xml:space="preserve">As </w:t>
      </w:r>
      <w:r w:rsidR="002821F4">
        <w:fldChar w:fldCharType="begin"/>
      </w:r>
      <w:r w:rsidR="002821F4">
        <w:instrText xml:space="preserve"> REF _Ref403121538 \h </w:instrText>
      </w:r>
      <w:r w:rsidR="002821F4">
        <w:fldChar w:fldCharType="separate"/>
      </w:r>
      <w:r w:rsidR="00575DFC">
        <w:t xml:space="preserve">Table </w:t>
      </w:r>
      <w:r w:rsidR="00575DFC">
        <w:rPr>
          <w:noProof/>
        </w:rPr>
        <w:t>42</w:t>
      </w:r>
      <w:r w:rsidR="00575DFC">
        <w:t xml:space="preserve">: </w:t>
      </w:r>
      <w:r w:rsidR="00575DFC" w:rsidRPr="00C47854">
        <w:t>Outcome of ward nursing feeder linking</w:t>
      </w:r>
      <w:r w:rsidR="002821F4">
        <w:fldChar w:fldCharType="end"/>
      </w:r>
      <w:r w:rsidR="0015638D">
        <w:t xml:space="preserve"> </w:t>
      </w:r>
      <w:r w:rsidR="002821F4">
        <w:t>demonstrates</w:t>
      </w:r>
      <w:proofErr w:type="gramStart"/>
      <w:r w:rsidR="0032300F">
        <w:t>,</w:t>
      </w:r>
      <w:proofErr w:type="gramEnd"/>
      <w:r w:rsidR="002821F4">
        <w:t xml:space="preserve"> all records were linked to inpatients for Round 17.</w:t>
      </w:r>
    </w:p>
    <w:p w:rsidR="00881423" w:rsidRDefault="00881423" w:rsidP="00881423">
      <w:pPr>
        <w:pStyle w:val="Caption"/>
      </w:pPr>
      <w:bookmarkStart w:id="82" w:name="_Ref403121538"/>
      <w:r>
        <w:t xml:space="preserve">Table </w:t>
      </w:r>
      <w:r w:rsidR="008379DC">
        <w:fldChar w:fldCharType="begin"/>
      </w:r>
      <w:r w:rsidR="009E64DF">
        <w:instrText xml:space="preserve"> SEQ Table \* ARABIC </w:instrText>
      </w:r>
      <w:r w:rsidR="008379DC">
        <w:fldChar w:fldCharType="separate"/>
      </w:r>
      <w:r w:rsidR="00575DFC">
        <w:rPr>
          <w:noProof/>
        </w:rPr>
        <w:t>42</w:t>
      </w:r>
      <w:r w:rsidR="008379DC">
        <w:rPr>
          <w:noProof/>
        </w:rPr>
        <w:fldChar w:fldCharType="end"/>
      </w:r>
      <w:r>
        <w:t xml:space="preserve">: </w:t>
      </w:r>
      <w:r w:rsidRPr="00C47854">
        <w:t>Outcome of ward nursing feeder linking</w:t>
      </w:r>
      <w:bookmarkEnd w:id="82"/>
    </w:p>
    <w:p w:rsidR="008D0D75" w:rsidRPr="00087CA2" w:rsidRDefault="008D0D75" w:rsidP="008D0D75">
      <w:pPr>
        <w:pStyle w:val="PwCNormal"/>
        <w:numPr>
          <w:ilvl w:val="0"/>
          <w:numId w:val="0"/>
        </w:numPr>
        <w:rPr>
          <w:b/>
        </w:rPr>
      </w:pPr>
      <w:r w:rsidRPr="001161F3">
        <w:rPr>
          <w:noProof/>
          <w:lang w:eastAsia="en-AU"/>
        </w:rPr>
        <w:drawing>
          <wp:inline distT="0" distB="0" distL="0" distR="0" wp14:anchorId="6CE9426F" wp14:editId="4BA680F4">
            <wp:extent cx="3034800" cy="2804400"/>
            <wp:effectExtent l="0" t="0" r="0" b="0"/>
            <wp:docPr id="42" name="Picture 42"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Pr="00A501C2" w:rsidRDefault="008D0D75" w:rsidP="00CE5EF2">
      <w:pPr>
        <w:pStyle w:val="Heading3"/>
      </w:pPr>
      <w:bookmarkStart w:id="83" w:name="_Ref403214399"/>
      <w:r w:rsidRPr="00A501C2">
        <w:t>The costed dataset</w:t>
      </w:r>
      <w:bookmarkEnd w:id="83"/>
    </w:p>
    <w:p w:rsidR="008D0D75" w:rsidRPr="002449AB" w:rsidRDefault="008D0D75" w:rsidP="008D0D75">
      <w:pPr>
        <w:pStyle w:val="PwCNormal"/>
        <w:numPr>
          <w:ilvl w:val="0"/>
          <w:numId w:val="0"/>
        </w:numPr>
        <w:rPr>
          <w:b/>
        </w:rPr>
      </w:pPr>
      <w:r w:rsidRPr="00A85593">
        <w:rPr>
          <w:b/>
        </w:rPr>
        <w:t>QA process</w:t>
      </w:r>
    </w:p>
    <w:p w:rsidR="004C667A" w:rsidRDefault="004C667A" w:rsidP="008D0D75">
      <w:pPr>
        <w:pStyle w:val="PwCNormal"/>
        <w:numPr>
          <w:ilvl w:val="0"/>
          <w:numId w:val="0"/>
        </w:numPr>
      </w:pPr>
      <w:r>
        <w:t>There</w:t>
      </w:r>
      <w:r w:rsidRPr="00A501C2">
        <w:t xml:space="preserve"> is a shared responsibility between the costing staff of the Bundaberg database to perform checks before submission to the jurisdiction. All data transformation processes have reconciliations back to source information. </w:t>
      </w:r>
      <w:r w:rsidR="002821F4" w:rsidRPr="00A501C2">
        <w:t>The key reconciliation is the activity summary check</w:t>
      </w:r>
      <w:r w:rsidR="002821F4">
        <w:t>,</w:t>
      </w:r>
      <w:r w:rsidR="002821F4" w:rsidRPr="00A501C2">
        <w:t xml:space="preserve"> which is a reconciliation of </w:t>
      </w:r>
      <w:r w:rsidR="002821F4">
        <w:t>GL</w:t>
      </w:r>
      <w:r w:rsidR="002821F4" w:rsidRPr="00A501C2">
        <w:t xml:space="preserve"> cost to patient level cost outcomes.</w:t>
      </w:r>
      <w:r w:rsidR="002821F4">
        <w:t xml:space="preserve"> </w:t>
      </w:r>
      <w:r w:rsidRPr="00A501C2">
        <w:t>Monthly reports are</w:t>
      </w:r>
      <w:r>
        <w:t xml:space="preserve"> also</w:t>
      </w:r>
      <w:r w:rsidRPr="00A501C2">
        <w:t xml:space="preserve"> run and provided to business managers who provide this information back to their clinical teams. </w:t>
      </w:r>
    </w:p>
    <w:p w:rsidR="004C667A" w:rsidRPr="00A501C2" w:rsidRDefault="004C667A" w:rsidP="004C667A">
      <w:pPr>
        <w:pStyle w:val="PwCNormal"/>
        <w:numPr>
          <w:ilvl w:val="0"/>
          <w:numId w:val="0"/>
        </w:numPr>
      </w:pPr>
      <w:r w:rsidRPr="00A501C2">
        <w:t>Other QA processes undertaken by the hospital include reviewing of batch processing audit reports, site status audit reports and pre-extract audit reports</w:t>
      </w:r>
      <w:r>
        <w:t xml:space="preserve">. </w:t>
      </w:r>
      <w:r w:rsidR="00E25FF4">
        <w:t>More</w:t>
      </w:r>
      <w:r>
        <w:t xml:space="preserve"> detailed QA checks are performed by the jurisdiction and reported back to the HHS. These are described in more detail in </w:t>
      </w:r>
      <w:r w:rsidR="00F84A9F">
        <w:t xml:space="preserve">Section </w:t>
      </w:r>
      <w:r>
        <w:fldChar w:fldCharType="begin"/>
      </w:r>
      <w:r>
        <w:instrText xml:space="preserve"> REF _Ref403121771 \r \h </w:instrText>
      </w:r>
      <w:r>
        <w:fldChar w:fldCharType="separate"/>
      </w:r>
      <w:r w:rsidR="00575DFC">
        <w:t>6.5.1</w:t>
      </w:r>
      <w:r>
        <w:fldChar w:fldCharType="end"/>
      </w:r>
      <w:r>
        <w:t xml:space="preserve">. </w:t>
      </w:r>
      <w:r w:rsidRPr="00A501C2">
        <w:t xml:space="preserve">The jurisdiction provides the CFO of the HHS summarised cost reports to approve by sign off. The CFO will review whether cost variance from prior year is greater than 10%. </w:t>
      </w:r>
    </w:p>
    <w:p w:rsidR="008D0D75" w:rsidRPr="002449AB" w:rsidRDefault="008D0D75" w:rsidP="008D0D75">
      <w:pPr>
        <w:pStyle w:val="PwCNormal"/>
        <w:numPr>
          <w:ilvl w:val="0"/>
          <w:numId w:val="0"/>
        </w:numPr>
        <w:rPr>
          <w:b/>
        </w:rPr>
      </w:pPr>
      <w:r w:rsidRPr="00A85593">
        <w:rPr>
          <w:b/>
        </w:rPr>
        <w:t>Adjustments</w:t>
      </w:r>
    </w:p>
    <w:p w:rsidR="008D0D75" w:rsidRPr="00A501C2" w:rsidRDefault="004C667A" w:rsidP="008D0D75">
      <w:pPr>
        <w:pStyle w:val="PwCNormal"/>
        <w:numPr>
          <w:ilvl w:val="0"/>
          <w:numId w:val="0"/>
        </w:numPr>
      </w:pPr>
      <w:r>
        <w:t>No</w:t>
      </w:r>
      <w:r w:rsidR="008D0D75" w:rsidRPr="00A501C2">
        <w:t xml:space="preserve"> adjustments to activity or costs are made by the site costing team. All adjustments to the costed dataset are made by the jurisdiction once costed output has been submitted</w:t>
      </w:r>
      <w:r w:rsidR="0032300F">
        <w:t>, and these are described</w:t>
      </w:r>
      <w:r>
        <w:t xml:space="preserve"> in </w:t>
      </w:r>
      <w:r w:rsidR="00F84A9F">
        <w:t xml:space="preserve">Section </w:t>
      </w:r>
      <w:r>
        <w:fldChar w:fldCharType="begin"/>
      </w:r>
      <w:r>
        <w:instrText xml:space="preserve"> REF _Ref403122130 \r \h </w:instrText>
      </w:r>
      <w:r>
        <w:fldChar w:fldCharType="separate"/>
      </w:r>
      <w:r w:rsidR="00575DFC">
        <w:t>6.5.2</w:t>
      </w:r>
      <w:r>
        <w:fldChar w:fldCharType="end"/>
      </w:r>
      <w:r>
        <w:t>.</w:t>
      </w:r>
    </w:p>
    <w:p w:rsidR="008D0D75" w:rsidRDefault="008D0D75" w:rsidP="008D0D75">
      <w:pPr>
        <w:pStyle w:val="PwCNormal"/>
        <w:numPr>
          <w:ilvl w:val="0"/>
          <w:numId w:val="0"/>
        </w:numPr>
        <w:rPr>
          <w:b/>
        </w:rPr>
      </w:pPr>
      <w:r w:rsidRPr="00A85593">
        <w:rPr>
          <w:b/>
        </w:rPr>
        <w:t>Work in progress (Item E)</w:t>
      </w:r>
    </w:p>
    <w:p w:rsidR="004C667A" w:rsidRDefault="003B0B57" w:rsidP="004C667A">
      <w:pPr>
        <w:pStyle w:val="PwCNormal"/>
        <w:numPr>
          <w:ilvl w:val="0"/>
          <w:numId w:val="0"/>
        </w:numPr>
      </w:pPr>
      <w:r>
        <w:t>Adjustments</w:t>
      </w:r>
      <w:r w:rsidR="004C667A">
        <w:t xml:space="preserve"> </w:t>
      </w:r>
      <w:r>
        <w:t>are made by the jurisdictional</w:t>
      </w:r>
      <w:r w:rsidR="004C667A">
        <w:t xml:space="preserve"> team af</w:t>
      </w:r>
      <w:r w:rsidR="0032300F">
        <w:t>ter the data has been extracted</w:t>
      </w:r>
      <w:r w:rsidR="004C667A">
        <w:t xml:space="preserve"> to exclude those patients who have been admitted in the reference year but are yet to be discharged by the close of the reference year as is required under the AHPCS. For Round 17, patients whose length of stay exceeded 200 days in a prior year had these costs inflated by an indexation factor in line with the request from IHPA. The diagram below illustrates the four combinations of admission and discharge dates that can occur.</w:t>
      </w:r>
    </w:p>
    <w:p w:rsidR="004C667A" w:rsidRDefault="004C667A" w:rsidP="004C667A">
      <w:pPr>
        <w:pStyle w:val="Caption"/>
      </w:pPr>
      <w:r>
        <w:lastRenderedPageBreak/>
        <w:t xml:space="preserve">Figure </w:t>
      </w:r>
      <w:fldSimple w:instr=" SEQ Figure \* ARABIC ">
        <w:r w:rsidR="00575DFC">
          <w:rPr>
            <w:noProof/>
          </w:rPr>
          <w:t>6</w:t>
        </w:r>
      </w:fldSimple>
      <w:r>
        <w:t xml:space="preserve">: </w:t>
      </w:r>
      <w:r w:rsidRPr="00A2490D">
        <w:t xml:space="preserve">Treatment of </w:t>
      </w:r>
      <w:r w:rsidR="005914E9">
        <w:t>WIP</w:t>
      </w:r>
      <w:r w:rsidRPr="00A2490D">
        <w:t xml:space="preserve"> patients</w:t>
      </w:r>
    </w:p>
    <w:p w:rsidR="004C667A" w:rsidRDefault="003B0B57" w:rsidP="004C667A">
      <w:r w:rsidRPr="000D62BB">
        <w:rPr>
          <w:noProof/>
          <w:lang w:eastAsia="en-AU"/>
        </w:rPr>
        <w:drawing>
          <wp:inline distT="0" distB="0" distL="0" distR="0" wp14:anchorId="4DADE862" wp14:editId="23B8C5FB">
            <wp:extent cx="5850255" cy="1530350"/>
            <wp:effectExtent l="0" t="0" r="0" b="0"/>
            <wp:docPr id="34" name="Picture 34" descr="This table outlines the treatment of work in progress patients. All patients who were admitted during the financial year were allocated costs, but only those discharged were in the financial year were submitted." title="Treatment of work in progres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255" cy="1530350"/>
                    </a:xfrm>
                    <a:prstGeom prst="rect">
                      <a:avLst/>
                    </a:prstGeom>
                    <a:noFill/>
                    <a:ln>
                      <a:noFill/>
                    </a:ln>
                  </pic:spPr>
                </pic:pic>
              </a:graphicData>
            </a:graphic>
          </wp:inline>
        </w:drawing>
      </w:r>
    </w:p>
    <w:p w:rsidR="004C667A" w:rsidRPr="002B7575" w:rsidRDefault="004C667A" w:rsidP="004C667A">
      <w:pPr>
        <w:pStyle w:val="PwCNormal"/>
      </w:pPr>
    </w:p>
    <w:p w:rsidR="004C667A" w:rsidRDefault="004C667A" w:rsidP="004C667A">
      <w:pPr>
        <w:pStyle w:val="PwCNormal"/>
        <w:numPr>
          <w:ilvl w:val="0"/>
          <w:numId w:val="0"/>
        </w:numPr>
      </w:pPr>
      <w:r>
        <w:t xml:space="preserve">For </w:t>
      </w:r>
      <w:r w:rsidR="003B0B57">
        <w:t>a</w:t>
      </w:r>
      <w:r>
        <w:t xml:space="preserve">ll </w:t>
      </w:r>
      <w:r w:rsidR="00E13C5F">
        <w:t xml:space="preserve">QLD </w:t>
      </w:r>
      <w:r>
        <w:t>sites in Round 17, patients in each of these scenarios were treated the following ways:</w:t>
      </w:r>
    </w:p>
    <w:p w:rsidR="004C667A" w:rsidRDefault="004C667A" w:rsidP="004C667A">
      <w:pPr>
        <w:pStyle w:val="PwCNormal"/>
        <w:numPr>
          <w:ilvl w:val="0"/>
          <w:numId w:val="44"/>
        </w:numPr>
      </w:pPr>
      <w:r>
        <w:t>Scenario 1 – Encounters are allocated costs</w:t>
      </w:r>
      <w:r w:rsidR="00CA6711">
        <w:t xml:space="preserve"> for </w:t>
      </w:r>
      <w:r>
        <w:t>FY 2012/13 from their time of admission to discharge. These encounters are submitted to IPHA</w:t>
      </w:r>
    </w:p>
    <w:p w:rsidR="003B0B57" w:rsidRDefault="004C667A" w:rsidP="003B0B57">
      <w:pPr>
        <w:pStyle w:val="PwCNormal"/>
        <w:numPr>
          <w:ilvl w:val="0"/>
          <w:numId w:val="44"/>
        </w:numPr>
      </w:pPr>
      <w:r>
        <w:t xml:space="preserve">Scenario 2 – Costs from the </w:t>
      </w:r>
      <w:r w:rsidR="00CA6711">
        <w:t>FY 2012/13</w:t>
      </w:r>
      <w:r>
        <w:t xml:space="preserve"> and previous financial years are allocated to these patients. Costs from previous rounds are not indexed unless the length of stay was longer than 200 days at the time of discharge and the patient was admitted in the previous financial year. These encounters are submitted to IPHA.</w:t>
      </w:r>
    </w:p>
    <w:p w:rsidR="004C667A" w:rsidRPr="003B0B57" w:rsidRDefault="004C667A" w:rsidP="003B0B57">
      <w:pPr>
        <w:pStyle w:val="PwCNormal"/>
        <w:numPr>
          <w:ilvl w:val="0"/>
          <w:numId w:val="44"/>
        </w:numPr>
      </w:pPr>
      <w:r>
        <w:t>Scenario 3</w:t>
      </w:r>
      <w:r w:rsidR="003B0B57">
        <w:t xml:space="preserve"> &amp; 4</w:t>
      </w:r>
      <w:r>
        <w:t xml:space="preserve"> – Encounters where patients have not been discharged by the end of the current year are allocated costs from the current financial year, but are not submitted to IPHA in the current round.</w:t>
      </w:r>
      <w:r w:rsidR="003B0B57">
        <w:t xml:space="preserve"> These will be submitted in future rounds depending on when the patient is discharged.</w:t>
      </w:r>
    </w:p>
    <w:p w:rsidR="008D0D75" w:rsidRPr="00A501C2" w:rsidRDefault="008D0D75" w:rsidP="00CE5EF2">
      <w:pPr>
        <w:pStyle w:val="Heading3"/>
      </w:pPr>
      <w:r w:rsidRPr="00A501C2">
        <w:t>Sample patients</w:t>
      </w:r>
    </w:p>
    <w:p w:rsidR="008D0D75" w:rsidRDefault="002729CE" w:rsidP="008D0D75">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8D0D75">
        <w:t xml:space="preserve">. </w:t>
      </w:r>
      <w:r w:rsidR="003B0B57">
        <w:t xml:space="preserve">As </w:t>
      </w:r>
      <w:r w:rsidR="003B0B57">
        <w:fldChar w:fldCharType="begin"/>
      </w:r>
      <w:r w:rsidR="003B0B57">
        <w:instrText xml:space="preserve"> REF _Ref403122491 \h </w:instrText>
      </w:r>
      <w:r w:rsidR="003B0B57">
        <w:fldChar w:fldCharType="separate"/>
      </w:r>
      <w:r w:rsidR="00575DFC">
        <w:t xml:space="preserve">Table </w:t>
      </w:r>
      <w:r w:rsidR="00575DFC">
        <w:rPr>
          <w:noProof/>
        </w:rPr>
        <w:t>44</w:t>
      </w:r>
      <w:r w:rsidR="003B0B57">
        <w:fldChar w:fldCharType="end"/>
      </w:r>
      <w:r w:rsidR="003B0B57">
        <w:t xml:space="preserve"> below demonstrates, no differences in costs were noted.</w:t>
      </w:r>
    </w:p>
    <w:p w:rsidR="00881423" w:rsidRDefault="00881423" w:rsidP="00881423">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43</w:t>
      </w:r>
      <w:r w:rsidR="008379DC">
        <w:rPr>
          <w:noProof/>
        </w:rPr>
        <w:fldChar w:fldCharType="end"/>
      </w:r>
      <w:r>
        <w:t xml:space="preserve">: </w:t>
      </w:r>
      <w:r w:rsidRPr="003A6024">
        <w:t>Sample patient reconciliation with IHPA</w:t>
      </w:r>
    </w:p>
    <w:p w:rsidR="0015638D" w:rsidRDefault="0015638D" w:rsidP="008D0D75">
      <w:pPr>
        <w:pStyle w:val="PwCNormal"/>
        <w:numPr>
          <w:ilvl w:val="0"/>
          <w:numId w:val="0"/>
        </w:numPr>
      </w:pPr>
      <w:r w:rsidRPr="0015638D">
        <w:rPr>
          <w:noProof/>
          <w:lang w:eastAsia="en-AU"/>
        </w:rPr>
        <w:drawing>
          <wp:inline distT="0" distB="0" distL="0" distR="0" wp14:anchorId="028FE183" wp14:editId="64CB2253">
            <wp:extent cx="4104000" cy="1141200"/>
            <wp:effectExtent l="0" t="0" r="0" b="1905"/>
            <wp:docPr id="9" name="Picture 9"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04000" cy="1141200"/>
                    </a:xfrm>
                    <a:prstGeom prst="rect">
                      <a:avLst/>
                    </a:prstGeom>
                    <a:noFill/>
                    <a:ln>
                      <a:noFill/>
                    </a:ln>
                  </pic:spPr>
                </pic:pic>
              </a:graphicData>
            </a:graphic>
          </wp:inline>
        </w:drawing>
      </w:r>
    </w:p>
    <w:p w:rsidR="008D0D75" w:rsidRDefault="008D0D75" w:rsidP="003B0B57">
      <w:pPr>
        <w:pStyle w:val="PwCNormal"/>
        <w:numPr>
          <w:ilvl w:val="0"/>
          <w:numId w:val="0"/>
        </w:numPr>
      </w:pPr>
      <w:r>
        <w:br w:type="page"/>
      </w:r>
    </w:p>
    <w:p w:rsidR="008D0D75" w:rsidRDefault="008D0D75" w:rsidP="008D0D75">
      <w:pPr>
        <w:pStyle w:val="Heading2"/>
        <w:spacing w:before="0" w:after="40"/>
      </w:pPr>
      <w:r>
        <w:lastRenderedPageBreak/>
        <w:t>Townsville</w:t>
      </w:r>
      <w:r w:rsidR="00DC15AA">
        <w:t xml:space="preserve"> HHS</w:t>
      </w:r>
    </w:p>
    <w:p w:rsidR="008D0D75" w:rsidRDefault="008D0D75" w:rsidP="00CE5EF2">
      <w:pPr>
        <w:pStyle w:val="Heading3"/>
      </w:pPr>
      <w:r>
        <w:t>Site overview</w:t>
      </w:r>
    </w:p>
    <w:p w:rsidR="00A6635D" w:rsidRDefault="008D0D75" w:rsidP="008D0D75">
      <w:pPr>
        <w:pStyle w:val="PwCNormal"/>
      </w:pPr>
      <w:r w:rsidRPr="00685128">
        <w:t xml:space="preserve">The Townsville HHS is made up of 18 hospitals, community health campuses and two residential aged care facilities servicing a population of approximately 200,000 people in north </w:t>
      </w:r>
      <w:r w:rsidR="00E13C5F">
        <w:t>QLD</w:t>
      </w:r>
      <w:r w:rsidRPr="00685128">
        <w:t>.</w:t>
      </w:r>
      <w:r>
        <w:t xml:space="preserve"> </w:t>
      </w:r>
      <w:r w:rsidR="002821F4">
        <w:t xml:space="preserve">There are seven spoke sites within the network, which are generally smaller, block-funded facilities offering 20 to 30 beds. </w:t>
      </w:r>
      <w:r>
        <w:t xml:space="preserve">The region services a relatively high proportion of ATSI patients </w:t>
      </w:r>
      <w:r w:rsidR="0032300F">
        <w:t>compared</w:t>
      </w:r>
      <w:r>
        <w:t xml:space="preserve"> to the other sites visited in this financial review. </w:t>
      </w:r>
    </w:p>
    <w:p w:rsidR="008D0D75" w:rsidRDefault="00DC1E41" w:rsidP="008D0D75">
      <w:pPr>
        <w:pStyle w:val="PwCNormal"/>
      </w:pPr>
      <w:r>
        <w:fldChar w:fldCharType="begin"/>
      </w:r>
      <w:r>
        <w:instrText xml:space="preserve"> REF _Ref403122491 \h </w:instrText>
      </w:r>
      <w:r>
        <w:fldChar w:fldCharType="separate"/>
      </w:r>
      <w:r w:rsidR="00575DFC">
        <w:t xml:space="preserve">Table </w:t>
      </w:r>
      <w:r w:rsidR="00575DFC">
        <w:rPr>
          <w:noProof/>
        </w:rPr>
        <w:t>44</w:t>
      </w:r>
      <w:r>
        <w:fldChar w:fldCharType="end"/>
      </w:r>
      <w:r>
        <w:t xml:space="preserve"> below </w:t>
      </w:r>
      <w:r w:rsidR="00A6635D">
        <w:t>outlines the flow of costs from the GL through to submission to IHPA. We noted a $270,000 variance when costs we</w:t>
      </w:r>
      <w:r w:rsidR="004D6339">
        <w:t>re</w:t>
      </w:r>
      <w:r w:rsidR="00A6635D">
        <w:t xml:space="preserve"> allocated to patients, which is less that 0.04% of total costs.</w:t>
      </w:r>
    </w:p>
    <w:p w:rsidR="008D0D75" w:rsidRDefault="00881423" w:rsidP="0015638D">
      <w:pPr>
        <w:pStyle w:val="Caption"/>
      </w:pPr>
      <w:bookmarkStart w:id="84" w:name="_Ref403122491"/>
      <w:r>
        <w:t xml:space="preserve">Table </w:t>
      </w:r>
      <w:r w:rsidR="008379DC">
        <w:rPr>
          <w:b w:val="0"/>
          <w:bCs w:val="0"/>
        </w:rPr>
        <w:fldChar w:fldCharType="begin"/>
      </w:r>
      <w:r w:rsidR="009E64DF">
        <w:instrText xml:space="preserve"> SEQ Table \* ARABIC </w:instrText>
      </w:r>
      <w:r w:rsidR="008379DC">
        <w:rPr>
          <w:b w:val="0"/>
          <w:bCs w:val="0"/>
        </w:rPr>
        <w:fldChar w:fldCharType="separate"/>
      </w:r>
      <w:r w:rsidR="00575DFC">
        <w:rPr>
          <w:noProof/>
        </w:rPr>
        <w:t>44</w:t>
      </w:r>
      <w:r w:rsidR="008379DC">
        <w:rPr>
          <w:b w:val="0"/>
          <w:bCs w:val="0"/>
          <w:noProof/>
        </w:rPr>
        <w:fldChar w:fldCharType="end"/>
      </w:r>
      <w:bookmarkEnd w:id="84"/>
      <w:r>
        <w:t xml:space="preserve">: </w:t>
      </w:r>
      <w:r w:rsidRPr="00F115DD">
        <w:t xml:space="preserve">Financial </w:t>
      </w:r>
      <w:r w:rsidR="002C1CE6">
        <w:t>o</w:t>
      </w:r>
      <w:r w:rsidR="002C1CE6" w:rsidRPr="00F115DD">
        <w:t xml:space="preserve">verview </w:t>
      </w:r>
      <w:r w:rsidRPr="00F115DD">
        <w:t xml:space="preserve">of </w:t>
      </w:r>
      <w:r>
        <w:t>Townsville HHS</w:t>
      </w:r>
      <w:r w:rsidR="002C1CE6">
        <w:t>, FY 2012/13</w:t>
      </w:r>
      <w:r w:rsidRPr="00F115DD">
        <w:t xml:space="preserve"> </w:t>
      </w:r>
    </w:p>
    <w:p w:rsidR="0008020B" w:rsidRPr="0008020B" w:rsidRDefault="0008020B" w:rsidP="0008020B">
      <w:r w:rsidRPr="0008020B">
        <w:rPr>
          <w:noProof/>
          <w:lang w:eastAsia="en-AU"/>
        </w:rPr>
        <w:drawing>
          <wp:inline distT="0" distB="0" distL="0" distR="0" wp14:anchorId="5FF0ABC9" wp14:editId="2EFB2280">
            <wp:extent cx="5205600" cy="4316400"/>
            <wp:effectExtent l="0" t="0" r="0" b="8255"/>
            <wp:docPr id="11" name="Picture 11" descr="This table outlines the flow of cost movements from the $715m in the general ledger through to the $553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05600" cy="4316400"/>
                    </a:xfrm>
                    <a:prstGeom prst="rect">
                      <a:avLst/>
                    </a:prstGeom>
                    <a:noFill/>
                    <a:ln>
                      <a:noFill/>
                    </a:ln>
                  </pic:spPr>
                </pic:pic>
              </a:graphicData>
            </a:graphic>
          </wp:inline>
        </w:drawing>
      </w:r>
    </w:p>
    <w:p w:rsidR="0008020B" w:rsidRPr="0008020B" w:rsidRDefault="0008020B" w:rsidP="0008020B">
      <w:pPr>
        <w:pStyle w:val="PwCNormal"/>
        <w:rPr>
          <w:highlight w:val="yellow"/>
        </w:rPr>
      </w:pPr>
    </w:p>
    <w:p w:rsidR="008D0D75" w:rsidRPr="00DE22CA" w:rsidRDefault="008D0D75" w:rsidP="00CE5EF2">
      <w:pPr>
        <w:pStyle w:val="Heading3"/>
      </w:pPr>
      <w:r w:rsidRPr="00E65100">
        <w:t>Financial</w:t>
      </w:r>
      <w:r w:rsidR="00CB38E7">
        <w:t xml:space="preserve"> d</w:t>
      </w:r>
      <w:r w:rsidRPr="00DE22CA">
        <w:t>ata</w:t>
      </w:r>
    </w:p>
    <w:p w:rsidR="008D0D75" w:rsidRPr="00DE22CA" w:rsidRDefault="00CA6711" w:rsidP="008D0D75">
      <w:pPr>
        <w:pStyle w:val="PwCNormal"/>
        <w:numPr>
          <w:ilvl w:val="0"/>
          <w:numId w:val="0"/>
        </w:numPr>
        <w:rPr>
          <w:b/>
        </w:rPr>
      </w:pPr>
      <w:r>
        <w:rPr>
          <w:b/>
        </w:rPr>
        <w:t xml:space="preserve">General </w:t>
      </w:r>
      <w:r w:rsidR="00CD308F">
        <w:rPr>
          <w:b/>
        </w:rPr>
        <w:t>L</w:t>
      </w:r>
      <w:r w:rsidR="008D0D75" w:rsidRPr="00DE22CA">
        <w:rPr>
          <w:b/>
        </w:rPr>
        <w:t>edger (Item A)</w:t>
      </w:r>
    </w:p>
    <w:p w:rsidR="008D0D75" w:rsidRDefault="008D0D75" w:rsidP="00A6635D">
      <w:pPr>
        <w:pStyle w:val="PwCNormal"/>
        <w:numPr>
          <w:ilvl w:val="0"/>
          <w:numId w:val="0"/>
        </w:numPr>
      </w:pPr>
      <w:r w:rsidRPr="008A793D">
        <w:t>Financial statements are released at the HHS level. The total expenses per the financial statements for FY 2012/13 were $715</w:t>
      </w:r>
      <w:r>
        <w:t>.1</w:t>
      </w:r>
      <w:r w:rsidR="00AF1D40">
        <w:t xml:space="preserve"> </w:t>
      </w:r>
      <w:r>
        <w:t>m</w:t>
      </w:r>
      <w:r w:rsidR="00AF1D40">
        <w:t>illion</w:t>
      </w:r>
      <w:r w:rsidRPr="008A793D">
        <w:t>.</w:t>
      </w:r>
      <w:r w:rsidRPr="00DE22CA">
        <w:t xml:space="preserve"> </w:t>
      </w:r>
      <w:r w:rsidR="00A6635D">
        <w:t>A $227,000 variance was noted between what was recorded on the financial statements and what was included in the costing system</w:t>
      </w:r>
      <w:r w:rsidR="004D6339">
        <w:t xml:space="preserve"> (display under </w:t>
      </w:r>
      <w:r w:rsidR="00E13C5F">
        <w:t>GL</w:t>
      </w:r>
      <w:r w:rsidR="004D6339">
        <w:t xml:space="preserve"> in </w:t>
      </w:r>
      <w:r w:rsidR="004D6339">
        <w:fldChar w:fldCharType="begin"/>
      </w:r>
      <w:r w:rsidR="004D6339">
        <w:instrText xml:space="preserve"> REF _Ref403122491 \h </w:instrText>
      </w:r>
      <w:r w:rsidR="004D6339">
        <w:fldChar w:fldCharType="separate"/>
      </w:r>
      <w:r w:rsidR="00575DFC">
        <w:t xml:space="preserve">Table </w:t>
      </w:r>
      <w:r w:rsidR="00575DFC">
        <w:rPr>
          <w:noProof/>
        </w:rPr>
        <w:t>44</w:t>
      </w:r>
      <w:r w:rsidR="004D6339">
        <w:fldChar w:fldCharType="end"/>
      </w:r>
      <w:r w:rsidR="004D6339">
        <w:t xml:space="preserve"> above)</w:t>
      </w:r>
      <w:r w:rsidR="00A6635D">
        <w:t>. This was due</w:t>
      </w:r>
      <w:r>
        <w:t xml:space="preserve"> losses on inventories and price differences</w:t>
      </w:r>
      <w:r w:rsidR="00A6635D">
        <w:t xml:space="preserve"> which</w:t>
      </w:r>
      <w:r>
        <w:t xml:space="preserve"> were recorded as expenditure in the financial statements </w:t>
      </w:r>
      <w:r w:rsidR="00A6635D">
        <w:t>but</w:t>
      </w:r>
      <w:r>
        <w:t xml:space="preserve"> as negative revenue in the GL.</w:t>
      </w:r>
    </w:p>
    <w:p w:rsidR="00A6635D" w:rsidRDefault="00A6635D" w:rsidP="00A6635D">
      <w:pPr>
        <w:pStyle w:val="PwCNormal"/>
        <w:numPr>
          <w:ilvl w:val="0"/>
          <w:numId w:val="0"/>
        </w:numPr>
      </w:pPr>
      <w:r>
        <w:t xml:space="preserve">The GL structure and treatment of costs are consistent throughout QLD. As part of this review, specific cost items were examined to understand how they were treated in the GL and in costing. Please see </w:t>
      </w:r>
      <w:r w:rsidR="00F84A9F">
        <w:t xml:space="preserve">Section </w:t>
      </w:r>
      <w:r>
        <w:fldChar w:fldCharType="begin"/>
      </w:r>
      <w:r>
        <w:instrText xml:space="preserve"> REF _Ref403124656 \r \h </w:instrText>
      </w:r>
      <w:r>
        <w:fldChar w:fldCharType="separate"/>
      </w:r>
      <w:r w:rsidR="00575DFC">
        <w:t>6.2.2</w:t>
      </w:r>
      <w:r>
        <w:fldChar w:fldCharType="end"/>
      </w:r>
      <w:r>
        <w:t xml:space="preserve"> for more information on what costs were examined and their treatment. </w:t>
      </w:r>
    </w:p>
    <w:p w:rsidR="008D0D75" w:rsidRPr="00DE22CA" w:rsidRDefault="008D0D75" w:rsidP="008D0D75">
      <w:pPr>
        <w:pStyle w:val="PwCNormal"/>
        <w:numPr>
          <w:ilvl w:val="0"/>
          <w:numId w:val="0"/>
        </w:numPr>
        <w:rPr>
          <w:b/>
        </w:rPr>
      </w:pPr>
      <w:r w:rsidRPr="00A85593">
        <w:rPr>
          <w:b/>
        </w:rPr>
        <w:lastRenderedPageBreak/>
        <w:t>Inclusions and exclusions (Item B)</w:t>
      </w:r>
    </w:p>
    <w:p w:rsidR="008D0D75" w:rsidRPr="00DE22CA" w:rsidRDefault="008D0D75" w:rsidP="008D0D75">
      <w:pPr>
        <w:pStyle w:val="PwCNormal"/>
        <w:numPr>
          <w:ilvl w:val="0"/>
          <w:numId w:val="0"/>
        </w:numPr>
      </w:pPr>
      <w:r>
        <w:t xml:space="preserve">No inclusions to the </w:t>
      </w:r>
      <w:r w:rsidR="00CA6711">
        <w:t>GL</w:t>
      </w:r>
      <w:r>
        <w:t xml:space="preserve"> are made at the site level. The total dead-ended costs for this round were $27.8</w:t>
      </w:r>
      <w:r w:rsidR="0008020B">
        <w:t xml:space="preserve"> </w:t>
      </w:r>
      <w:r>
        <w:t>m</w:t>
      </w:r>
      <w:r w:rsidR="00AF1D40">
        <w:t>illion</w:t>
      </w:r>
      <w:r>
        <w:t>. Dead-ended costs may include various administrative functions and commercial services which are out of scope in the AHPCS. Another $1.4</w:t>
      </w:r>
      <w:r w:rsidR="00AF1D40">
        <w:t xml:space="preserve"> </w:t>
      </w:r>
      <w:r>
        <w:t>m</w:t>
      </w:r>
      <w:r w:rsidR="00AF1D40">
        <w:t>illion</w:t>
      </w:r>
      <w:r>
        <w:t xml:space="preserve"> for capital costs was excluded from the GL.</w:t>
      </w:r>
    </w:p>
    <w:p w:rsidR="008D0D75" w:rsidRPr="00DE22CA" w:rsidRDefault="008D0D75" w:rsidP="008D0D75">
      <w:pPr>
        <w:pStyle w:val="PwCNormal"/>
        <w:numPr>
          <w:ilvl w:val="0"/>
          <w:numId w:val="0"/>
        </w:numPr>
        <w:rPr>
          <w:b/>
        </w:rPr>
      </w:pPr>
      <w:r w:rsidRPr="00A85593">
        <w:rPr>
          <w:b/>
        </w:rPr>
        <w:t>Allocation of overheads (Item C)</w:t>
      </w:r>
    </w:p>
    <w:p w:rsidR="009D3083" w:rsidRDefault="009D3083" w:rsidP="008D0D75">
      <w:pPr>
        <w:pStyle w:val="PwCNormal"/>
        <w:numPr>
          <w:ilvl w:val="0"/>
          <w:numId w:val="0"/>
        </w:numPr>
      </w:pPr>
      <w:r>
        <w:t xml:space="preserve">Overheads that are included in the hospital GL are allocated to patients based on total expenses. </w:t>
      </w:r>
      <w:r w:rsidR="004D6339">
        <w:t>However, n</w:t>
      </w:r>
      <w:r>
        <w:t>ot all overheads are included in the hospital GL, and additional costs are added by the jurisdiction upon sub</w:t>
      </w:r>
      <w:r w:rsidR="00B65982">
        <w:t>mission. These overheads were</w:t>
      </w:r>
      <w:r w:rsidR="00DE389F">
        <w:t xml:space="preserve"> added to comply with the AHPCS and allocated to costed patient records based on total expenses.</w:t>
      </w:r>
    </w:p>
    <w:p w:rsidR="008D0D75" w:rsidRDefault="008D0D75" w:rsidP="008D0D75">
      <w:pPr>
        <w:pStyle w:val="PwCNormal"/>
        <w:numPr>
          <w:ilvl w:val="0"/>
          <w:numId w:val="0"/>
        </w:numPr>
        <w:rPr>
          <w:b/>
        </w:rPr>
      </w:pPr>
      <w:r w:rsidRPr="00A85593">
        <w:rPr>
          <w:b/>
        </w:rPr>
        <w:t>Distribution of costs between hospital products (Item D)</w:t>
      </w:r>
    </w:p>
    <w:p w:rsidR="008D0D75" w:rsidRDefault="00DE389F" w:rsidP="008D0D75">
      <w:pPr>
        <w:pStyle w:val="PwCNormal"/>
        <w:numPr>
          <w:ilvl w:val="0"/>
          <w:numId w:val="0"/>
        </w:numPr>
      </w:pPr>
      <w:r>
        <w:t>Distribution of costs was</w:t>
      </w:r>
      <w:r w:rsidR="008D0D75">
        <w:t xml:space="preserve"> performed using activity data in line with the </w:t>
      </w:r>
      <w:r w:rsidR="002821F4">
        <w:t>state</w:t>
      </w:r>
      <w:r w:rsidR="00E13C5F">
        <w:t xml:space="preserve"> </w:t>
      </w:r>
      <w:r w:rsidR="002821F4">
        <w:t>wide</w:t>
      </w:r>
      <w:r w:rsidR="008D0D75">
        <w:t xml:space="preserve"> methodology. </w:t>
      </w:r>
      <w:r>
        <w:t>S</w:t>
      </w:r>
      <w:r w:rsidR="008D0D75">
        <w:t xml:space="preserve">ee </w:t>
      </w:r>
      <w:r w:rsidR="00F84A9F">
        <w:t xml:space="preserve">Section </w:t>
      </w:r>
      <w:r>
        <w:fldChar w:fldCharType="begin"/>
      </w:r>
      <w:r>
        <w:instrText xml:space="preserve"> REF _Ref403124656 \r \h </w:instrText>
      </w:r>
      <w:r>
        <w:fldChar w:fldCharType="separate"/>
      </w:r>
      <w:r w:rsidR="00575DFC">
        <w:t>6.2.2</w:t>
      </w:r>
      <w:r>
        <w:fldChar w:fldCharType="end"/>
      </w:r>
      <w:r>
        <w:t xml:space="preserve"> for more information.</w:t>
      </w:r>
    </w:p>
    <w:p w:rsidR="008D0D75" w:rsidRPr="004E0B72" w:rsidRDefault="008D0D75" w:rsidP="00CE5EF2">
      <w:pPr>
        <w:pStyle w:val="Heading3"/>
      </w:pPr>
      <w:r>
        <w:t>Activity information and costing methodology</w:t>
      </w:r>
    </w:p>
    <w:p w:rsidR="008D0D75" w:rsidRDefault="008D0D75" w:rsidP="008D0D75">
      <w:pPr>
        <w:pStyle w:val="PwCNormal"/>
        <w:numPr>
          <w:ilvl w:val="0"/>
          <w:numId w:val="0"/>
        </w:numPr>
        <w:rPr>
          <w:b/>
        </w:rPr>
      </w:pPr>
      <w:r>
        <w:rPr>
          <w:b/>
        </w:rPr>
        <w:t>Overview</w:t>
      </w:r>
    </w:p>
    <w:p w:rsidR="008D0D75" w:rsidRPr="00DF074F" w:rsidRDefault="008D0D75" w:rsidP="008D0D75">
      <w:pPr>
        <w:pStyle w:val="PwCNormal"/>
        <w:numPr>
          <w:ilvl w:val="0"/>
          <w:numId w:val="0"/>
        </w:numPr>
      </w:pPr>
      <w:r>
        <w:t xml:space="preserve">The costing methodology and activity information used in </w:t>
      </w:r>
      <w:r w:rsidR="006A194B">
        <w:t>Round 17</w:t>
      </w:r>
      <w:r>
        <w:t xml:space="preserve"> at Townsville did not deviate from the </w:t>
      </w:r>
      <w:r w:rsidR="002821F4">
        <w:t>state</w:t>
      </w:r>
      <w:r w:rsidR="00E13C5F">
        <w:t xml:space="preserve"> </w:t>
      </w:r>
      <w:r w:rsidR="002821F4">
        <w:t>wide</w:t>
      </w:r>
      <w:r>
        <w:t xml:space="preserve"> methodology. </w:t>
      </w:r>
      <w:r w:rsidR="00DE389F">
        <w:t xml:space="preserve">Section </w:t>
      </w:r>
      <w:r w:rsidR="00DE389F">
        <w:fldChar w:fldCharType="begin"/>
      </w:r>
      <w:r w:rsidR="00DE389F">
        <w:instrText xml:space="preserve"> REF _Ref403127197 \r \h </w:instrText>
      </w:r>
      <w:r w:rsidR="00DE389F">
        <w:fldChar w:fldCharType="separate"/>
      </w:r>
      <w:r w:rsidR="00575DFC">
        <w:t>6.2.3</w:t>
      </w:r>
      <w:r w:rsidR="00DE389F">
        <w:fldChar w:fldCharType="end"/>
      </w:r>
      <w:r w:rsidR="00DE389F">
        <w:t xml:space="preserve"> explains the allocation methodology by product that was used by Bundaberg and Townsville for Round 17.</w:t>
      </w:r>
    </w:p>
    <w:p w:rsidR="008D0D75" w:rsidRPr="004E0B72" w:rsidRDefault="008D0D75" w:rsidP="00CE5EF2">
      <w:pPr>
        <w:pStyle w:val="Heading3"/>
      </w:pPr>
      <w:r>
        <w:t>Feeder data for sample areas</w:t>
      </w:r>
    </w:p>
    <w:p w:rsidR="008D0D75" w:rsidRPr="002449AB" w:rsidRDefault="008D0D75" w:rsidP="008D0D75">
      <w:pPr>
        <w:pStyle w:val="PwCNormal"/>
        <w:numPr>
          <w:ilvl w:val="0"/>
          <w:numId w:val="0"/>
        </w:numPr>
        <w:rPr>
          <w:b/>
        </w:rPr>
      </w:pPr>
      <w:r w:rsidRPr="00A85593">
        <w:rPr>
          <w:b/>
        </w:rPr>
        <w:t>Overview</w:t>
      </w:r>
    </w:p>
    <w:p w:rsidR="00DE389F" w:rsidRDefault="00DE389F" w:rsidP="008D0D75">
      <w:pPr>
        <w:pStyle w:val="PwCNormal"/>
        <w:numPr>
          <w:ilvl w:val="0"/>
          <w:numId w:val="0"/>
        </w:numPr>
      </w:pPr>
      <w:r>
        <w:t>As part of the costing process different methodologies will be utilised to allocate costs to a patient level. The recommended methodology in the AHPCS is using a feeder system</w:t>
      </w:r>
      <w:r w:rsidR="00597FBD">
        <w:t>,</w:t>
      </w:r>
      <w:r>
        <w:t xml:space="preserve"> which uses direct patient activity data to allocate costs</w:t>
      </w:r>
      <w:r w:rsidR="004D6339">
        <w:t>. H</w:t>
      </w:r>
      <w:r>
        <w:t>owever</w:t>
      </w:r>
      <w:r w:rsidR="004D6339">
        <w:t>,</w:t>
      </w:r>
      <w:r>
        <w:t xml:space="preserve"> if this is not available then service weights or RVUs could be used. </w:t>
      </w:r>
      <w:r w:rsidR="004D6339">
        <w:t>Townsville</w:t>
      </w:r>
      <w:r>
        <w:t xml:space="preserve"> used a range of feeder systems in Round 17 in order allocate costs to patients, include pharmacy, imaging, prosthetics, theatre, critical care, bloods, ED, ward nursing and wa</w:t>
      </w:r>
      <w:r w:rsidR="004D6339">
        <w:t>rd medical. Three sample feeder systems</w:t>
      </w:r>
      <w:r>
        <w:t xml:space="preserve"> are discussed in more detail below.</w:t>
      </w:r>
    </w:p>
    <w:p w:rsidR="008D0D75" w:rsidRDefault="008D0D75" w:rsidP="008D0D75">
      <w:pPr>
        <w:pStyle w:val="PwCNormal"/>
        <w:numPr>
          <w:ilvl w:val="0"/>
          <w:numId w:val="0"/>
        </w:numPr>
        <w:rPr>
          <w:b/>
        </w:rPr>
      </w:pPr>
      <w:r w:rsidRPr="00A85593">
        <w:rPr>
          <w:b/>
        </w:rPr>
        <w:t>Pharmacy</w:t>
      </w:r>
    </w:p>
    <w:p w:rsidR="008D0D75" w:rsidRDefault="008D0D75" w:rsidP="008D0D75">
      <w:pPr>
        <w:pStyle w:val="PwCNormal"/>
        <w:numPr>
          <w:ilvl w:val="0"/>
          <w:numId w:val="0"/>
        </w:numPr>
      </w:pPr>
      <w:r>
        <w:t xml:space="preserve">Townsville uses </w:t>
      </w:r>
      <w:r w:rsidR="006B0699">
        <w:t xml:space="preserve">the </w:t>
      </w:r>
      <w:proofErr w:type="spellStart"/>
      <w:r>
        <w:t>iPharmacy</w:t>
      </w:r>
      <w:proofErr w:type="spellEnd"/>
      <w:r>
        <w:t xml:space="preserve"> </w:t>
      </w:r>
      <w:r w:rsidR="006B0699">
        <w:t>system, which acts as the</w:t>
      </w:r>
      <w:r>
        <w:t xml:space="preserve"> pharmacy activity feeder. All wards have a med-station that allows staff to </w:t>
      </w:r>
      <w:r w:rsidR="006273A1">
        <w:t>dispense medication</w:t>
      </w:r>
      <w:r>
        <w:t xml:space="preserve"> and </w:t>
      </w:r>
      <w:r w:rsidR="00151DEC">
        <w:t>allocate it</w:t>
      </w:r>
      <w:r>
        <w:t xml:space="preserve"> </w:t>
      </w:r>
      <w:r w:rsidR="006273A1">
        <w:t xml:space="preserve">directly to </w:t>
      </w:r>
      <w:r>
        <w:t>a patient record</w:t>
      </w:r>
      <w:r w:rsidR="006273A1">
        <w:t xml:space="preserve">, which means there are no </w:t>
      </w:r>
      <w:proofErr w:type="spellStart"/>
      <w:r w:rsidR="006273A1">
        <w:t>imprest</w:t>
      </w:r>
      <w:proofErr w:type="spellEnd"/>
      <w:r w:rsidR="006273A1">
        <w:t xml:space="preserve"> drugs</w:t>
      </w:r>
      <w:r>
        <w:t xml:space="preserve">. </w:t>
      </w:r>
      <w:r w:rsidR="004D6339">
        <w:t>However, t</w:t>
      </w:r>
      <w:r>
        <w:t>he current feeder system does not</w:t>
      </w:r>
      <w:r w:rsidR="006273A1">
        <w:t>, however,</w:t>
      </w:r>
      <w:r>
        <w:t xml:space="preserve"> distinguish between PBS and non-PBS drugs. </w:t>
      </w:r>
    </w:p>
    <w:p w:rsidR="008D0D75" w:rsidRDefault="008D0D75" w:rsidP="008D0D75">
      <w:pPr>
        <w:pStyle w:val="PwCNormal"/>
        <w:numPr>
          <w:ilvl w:val="0"/>
          <w:numId w:val="0"/>
        </w:numPr>
      </w:pPr>
      <w:r>
        <w:t xml:space="preserve">Linking of records is performed in accordance with the </w:t>
      </w:r>
      <w:r w:rsidR="002821F4">
        <w:t>state</w:t>
      </w:r>
      <w:r w:rsidR="00E13C5F">
        <w:t xml:space="preserve"> </w:t>
      </w:r>
      <w:r w:rsidR="002821F4">
        <w:t>wide</w:t>
      </w:r>
      <w:r>
        <w:t xml:space="preserve"> process, as described in </w:t>
      </w:r>
      <w:r w:rsidR="00F84A9F">
        <w:t xml:space="preserve">Section </w:t>
      </w:r>
      <w:r w:rsidR="00151DEC">
        <w:fldChar w:fldCharType="begin"/>
      </w:r>
      <w:r w:rsidR="00151DEC">
        <w:instrText xml:space="preserve"> REF _Ref403135564 \r \h </w:instrText>
      </w:r>
      <w:r w:rsidR="00151DEC">
        <w:fldChar w:fldCharType="separate"/>
      </w:r>
      <w:r w:rsidR="00575DFC">
        <w:t>6.2.4</w:t>
      </w:r>
      <w:r w:rsidR="00151DEC">
        <w:fldChar w:fldCharType="end"/>
      </w:r>
      <w:r w:rsidR="0086025D">
        <w:t>.</w:t>
      </w:r>
      <w:r w:rsidR="00151DEC">
        <w:t xml:space="preserve"> For Round 17, 86% of records were matched to inpatients and </w:t>
      </w:r>
      <w:r>
        <w:t>7</w:t>
      </w:r>
      <w:r w:rsidR="00DC15AA">
        <w:t>.2</w:t>
      </w:r>
      <w:r>
        <w:t>% of source records were unable to be matched to a patient encounter.</w:t>
      </w:r>
    </w:p>
    <w:p w:rsidR="00DC15AA" w:rsidRDefault="00DC15AA" w:rsidP="00DC15AA">
      <w:pPr>
        <w:pStyle w:val="Caption"/>
      </w:pPr>
      <w:r>
        <w:lastRenderedPageBreak/>
        <w:t xml:space="preserve">Table </w:t>
      </w:r>
      <w:r w:rsidR="008379DC">
        <w:fldChar w:fldCharType="begin"/>
      </w:r>
      <w:r w:rsidR="009E64DF">
        <w:instrText xml:space="preserve"> SEQ Table \* ARABIC </w:instrText>
      </w:r>
      <w:r w:rsidR="008379DC">
        <w:fldChar w:fldCharType="separate"/>
      </w:r>
      <w:r w:rsidR="00575DFC">
        <w:rPr>
          <w:noProof/>
        </w:rPr>
        <w:t>45</w:t>
      </w:r>
      <w:r w:rsidR="008379DC">
        <w:rPr>
          <w:noProof/>
        </w:rPr>
        <w:fldChar w:fldCharType="end"/>
      </w:r>
      <w:r>
        <w:t xml:space="preserve">: </w:t>
      </w:r>
      <w:r w:rsidRPr="00E67107">
        <w:t>Outcome of pharmacy feeder linking</w:t>
      </w:r>
    </w:p>
    <w:p w:rsidR="008D0D75" w:rsidRPr="008A5F26" w:rsidRDefault="008D0D75" w:rsidP="008D0D75">
      <w:pPr>
        <w:pStyle w:val="PwCNormal"/>
        <w:numPr>
          <w:ilvl w:val="0"/>
          <w:numId w:val="0"/>
        </w:numPr>
      </w:pPr>
      <w:r w:rsidRPr="001161F3">
        <w:rPr>
          <w:noProof/>
          <w:lang w:eastAsia="en-AU"/>
        </w:rPr>
        <w:drawing>
          <wp:inline distT="0" distB="0" distL="0" distR="0" wp14:anchorId="7367523A" wp14:editId="5DCA7115">
            <wp:extent cx="3034800" cy="2804400"/>
            <wp:effectExtent l="0" t="0" r="0" b="0"/>
            <wp:docPr id="46" name="Picture 46"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Default="008D0D75" w:rsidP="008D0D75">
      <w:pPr>
        <w:pStyle w:val="PwCNormal"/>
        <w:numPr>
          <w:ilvl w:val="0"/>
          <w:numId w:val="0"/>
        </w:numPr>
        <w:rPr>
          <w:b/>
        </w:rPr>
      </w:pPr>
      <w:r w:rsidRPr="00A85593">
        <w:rPr>
          <w:b/>
        </w:rPr>
        <w:t>Theatre</w:t>
      </w:r>
    </w:p>
    <w:p w:rsidR="008D0D75" w:rsidRDefault="00A91C5C" w:rsidP="008D0D75">
      <w:pPr>
        <w:pStyle w:val="PwCNormal"/>
        <w:numPr>
          <w:ilvl w:val="0"/>
          <w:numId w:val="0"/>
        </w:numPr>
      </w:pPr>
      <w:r>
        <w:t>Townsville HHS</w:t>
      </w:r>
      <w:r w:rsidR="006B0699" w:rsidRPr="00A501C2">
        <w:t xml:space="preserve"> uses ORMIS, whi</w:t>
      </w:r>
      <w:r w:rsidR="004D6339">
        <w:t>ch records various data points during</w:t>
      </w:r>
      <w:r w:rsidR="006B0699" w:rsidRPr="00A501C2">
        <w:t xml:space="preserve"> the patient operation</w:t>
      </w:r>
      <w:r w:rsidR="006B0699">
        <w:t xml:space="preserve">. The use of the feeder data and linking rules used was consistent with the approach taken at Bundaberg, which can be found in </w:t>
      </w:r>
      <w:r w:rsidR="00F84A9F">
        <w:t>S</w:t>
      </w:r>
      <w:r w:rsidR="006B0699">
        <w:t xml:space="preserve">ection </w:t>
      </w:r>
      <w:r w:rsidR="006B0699">
        <w:fldChar w:fldCharType="begin"/>
      </w:r>
      <w:r w:rsidR="006B0699">
        <w:instrText xml:space="preserve"> REF _Ref403135564 \r \h </w:instrText>
      </w:r>
      <w:r w:rsidR="006B0699">
        <w:fldChar w:fldCharType="separate"/>
      </w:r>
      <w:r w:rsidR="00575DFC">
        <w:t>6.2.4</w:t>
      </w:r>
      <w:r w:rsidR="006B0699">
        <w:fldChar w:fldCharType="end"/>
      </w:r>
      <w:r w:rsidR="006B0699">
        <w:t>. For Round 17, all b</w:t>
      </w:r>
      <w:r w:rsidR="004D6339">
        <w:t>ut</w:t>
      </w:r>
      <w:r w:rsidR="006B0699">
        <w:t xml:space="preserve"> 11 records were matched to inpatients, as displayed in </w:t>
      </w:r>
      <w:r w:rsidR="006B0699">
        <w:fldChar w:fldCharType="begin"/>
      </w:r>
      <w:r w:rsidR="006B0699">
        <w:instrText xml:space="preserve"> REF _Ref403136355 \h </w:instrText>
      </w:r>
      <w:r w:rsidR="006B0699">
        <w:fldChar w:fldCharType="separate"/>
      </w:r>
      <w:r w:rsidR="00575DFC">
        <w:t xml:space="preserve">Table </w:t>
      </w:r>
      <w:r w:rsidR="00575DFC">
        <w:rPr>
          <w:noProof/>
        </w:rPr>
        <w:t>46</w:t>
      </w:r>
      <w:r w:rsidR="006B0699">
        <w:fldChar w:fldCharType="end"/>
      </w:r>
      <w:r w:rsidR="00FD6947">
        <w:t xml:space="preserve"> below.</w:t>
      </w:r>
    </w:p>
    <w:p w:rsidR="00DC15AA" w:rsidRDefault="00DC15AA" w:rsidP="00DC15AA">
      <w:pPr>
        <w:pStyle w:val="Caption"/>
      </w:pPr>
      <w:bookmarkStart w:id="85" w:name="_Ref403136355"/>
      <w:r>
        <w:t xml:space="preserve">Table </w:t>
      </w:r>
      <w:r w:rsidR="008379DC">
        <w:fldChar w:fldCharType="begin"/>
      </w:r>
      <w:r w:rsidR="009E64DF">
        <w:instrText xml:space="preserve"> SEQ Table \* ARABIC </w:instrText>
      </w:r>
      <w:r w:rsidR="008379DC">
        <w:fldChar w:fldCharType="separate"/>
      </w:r>
      <w:r w:rsidR="00575DFC">
        <w:rPr>
          <w:noProof/>
        </w:rPr>
        <w:t>46</w:t>
      </w:r>
      <w:r w:rsidR="008379DC">
        <w:rPr>
          <w:noProof/>
        </w:rPr>
        <w:fldChar w:fldCharType="end"/>
      </w:r>
      <w:bookmarkEnd w:id="85"/>
      <w:r>
        <w:t xml:space="preserve">: </w:t>
      </w:r>
      <w:r w:rsidRPr="008B215B">
        <w:t>Outcome of theatre feeder linking</w:t>
      </w:r>
    </w:p>
    <w:p w:rsidR="008D0D75" w:rsidRPr="003702F9" w:rsidRDefault="008D0D75" w:rsidP="008D0D75">
      <w:pPr>
        <w:pStyle w:val="PwCNormal"/>
        <w:numPr>
          <w:ilvl w:val="0"/>
          <w:numId w:val="0"/>
        </w:numPr>
      </w:pPr>
      <w:r w:rsidRPr="00FB3369">
        <w:rPr>
          <w:noProof/>
          <w:lang w:eastAsia="en-AU"/>
        </w:rPr>
        <w:drawing>
          <wp:inline distT="0" distB="0" distL="0" distR="0" wp14:anchorId="3A610FC4" wp14:editId="38A6A393">
            <wp:extent cx="3034800" cy="2804400"/>
            <wp:effectExtent l="0" t="0" r="0" b="0"/>
            <wp:docPr id="47" name="Picture 47"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Pr="002449AB" w:rsidRDefault="008D0D75" w:rsidP="008D0D75">
      <w:pPr>
        <w:pStyle w:val="PwCNormal"/>
        <w:numPr>
          <w:ilvl w:val="0"/>
          <w:numId w:val="0"/>
        </w:numPr>
        <w:rPr>
          <w:b/>
        </w:rPr>
      </w:pPr>
      <w:r w:rsidRPr="00A85593">
        <w:rPr>
          <w:b/>
        </w:rPr>
        <w:t>Ward Nursing</w:t>
      </w:r>
    </w:p>
    <w:p w:rsidR="00FD6947" w:rsidRDefault="008D0D75" w:rsidP="008D0D75">
      <w:pPr>
        <w:pStyle w:val="PwCNormal"/>
        <w:numPr>
          <w:ilvl w:val="0"/>
          <w:numId w:val="0"/>
        </w:numPr>
      </w:pPr>
      <w:r>
        <w:t xml:space="preserve">Townsville uses FAMMIS, which includes data on the patient’s encounter in hospital, such as the admission and discharge date and time, and transfers between wards. </w:t>
      </w:r>
      <w:r w:rsidR="00FD6947">
        <w:t xml:space="preserve">The use of the transfer records and RVUs to allocate costs, along with the linking methodology, is consistent with the approach taken at Bundaberg, which can be found in </w:t>
      </w:r>
      <w:r w:rsidR="00F84A9F">
        <w:t xml:space="preserve">Section </w:t>
      </w:r>
      <w:r w:rsidR="00FD6947">
        <w:fldChar w:fldCharType="begin"/>
      </w:r>
      <w:r w:rsidR="00FD6947">
        <w:instrText xml:space="preserve"> REF _Ref403135564 \r \h </w:instrText>
      </w:r>
      <w:r w:rsidR="00FD6947">
        <w:fldChar w:fldCharType="separate"/>
      </w:r>
      <w:r w:rsidR="00575DFC">
        <w:t>6.2.4</w:t>
      </w:r>
      <w:r w:rsidR="00FD6947">
        <w:fldChar w:fldCharType="end"/>
      </w:r>
      <w:r w:rsidR="00FD6947">
        <w:t>.</w:t>
      </w:r>
      <w:r w:rsidR="00E25FF4">
        <w:t xml:space="preserve"> In Round 17, all records were linked to inpatients as shown in </w:t>
      </w:r>
      <w:r w:rsidR="00E25FF4">
        <w:fldChar w:fldCharType="begin"/>
      </w:r>
      <w:r w:rsidR="00E25FF4">
        <w:instrText xml:space="preserve"> REF _Ref403209696 \h </w:instrText>
      </w:r>
      <w:r w:rsidR="00E25FF4">
        <w:fldChar w:fldCharType="separate"/>
      </w:r>
      <w:r w:rsidR="00575DFC">
        <w:t xml:space="preserve">Table </w:t>
      </w:r>
      <w:r w:rsidR="00575DFC">
        <w:rPr>
          <w:noProof/>
        </w:rPr>
        <w:t>47</w:t>
      </w:r>
      <w:r w:rsidR="00E25FF4">
        <w:fldChar w:fldCharType="end"/>
      </w:r>
      <w:r w:rsidR="00E25FF4">
        <w:t>.</w:t>
      </w:r>
    </w:p>
    <w:p w:rsidR="008D0D75" w:rsidRDefault="008D0D75" w:rsidP="008D0D75">
      <w:pPr>
        <w:pStyle w:val="PwCNormal"/>
        <w:numPr>
          <w:ilvl w:val="0"/>
          <w:numId w:val="0"/>
        </w:numPr>
      </w:pPr>
    </w:p>
    <w:p w:rsidR="00DC15AA" w:rsidRDefault="00DC15AA" w:rsidP="00DC15AA">
      <w:pPr>
        <w:pStyle w:val="Caption"/>
      </w:pPr>
      <w:bookmarkStart w:id="86" w:name="_Ref403209696"/>
      <w:bookmarkStart w:id="87" w:name="_Ref403209691"/>
      <w:r>
        <w:lastRenderedPageBreak/>
        <w:t xml:space="preserve">Table </w:t>
      </w:r>
      <w:r w:rsidR="008379DC">
        <w:fldChar w:fldCharType="begin"/>
      </w:r>
      <w:r w:rsidR="009E64DF">
        <w:instrText xml:space="preserve"> SEQ Table \* ARABIC </w:instrText>
      </w:r>
      <w:r w:rsidR="008379DC">
        <w:fldChar w:fldCharType="separate"/>
      </w:r>
      <w:r w:rsidR="00575DFC">
        <w:rPr>
          <w:noProof/>
        </w:rPr>
        <w:t>47</w:t>
      </w:r>
      <w:r w:rsidR="008379DC">
        <w:rPr>
          <w:noProof/>
        </w:rPr>
        <w:fldChar w:fldCharType="end"/>
      </w:r>
      <w:bookmarkEnd w:id="86"/>
      <w:r>
        <w:t xml:space="preserve">: </w:t>
      </w:r>
      <w:r w:rsidRPr="00070EC5">
        <w:t>Outcome of ward nursing feeder linking</w:t>
      </w:r>
      <w:bookmarkEnd w:id="87"/>
    </w:p>
    <w:p w:rsidR="008D0D75" w:rsidRDefault="008D0D75" w:rsidP="008D0D75">
      <w:pPr>
        <w:pStyle w:val="PwCNormal"/>
        <w:numPr>
          <w:ilvl w:val="0"/>
          <w:numId w:val="0"/>
        </w:numPr>
      </w:pPr>
      <w:r w:rsidRPr="00B917D7">
        <w:rPr>
          <w:noProof/>
          <w:lang w:eastAsia="en-AU"/>
        </w:rPr>
        <w:drawing>
          <wp:inline distT="0" distB="0" distL="0" distR="0" wp14:anchorId="6BDE2248" wp14:editId="43D602DE">
            <wp:extent cx="3034800" cy="2804400"/>
            <wp:effectExtent l="0" t="0" r="0" b="0"/>
            <wp:docPr id="48" name="Picture 48"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Pr="004E0B72" w:rsidRDefault="008D0D75" w:rsidP="00CE5EF2">
      <w:pPr>
        <w:pStyle w:val="Heading3"/>
      </w:pPr>
      <w:bookmarkStart w:id="88" w:name="_Ref403210485"/>
      <w:r>
        <w:t>The costed dataset</w:t>
      </w:r>
      <w:bookmarkEnd w:id="88"/>
    </w:p>
    <w:p w:rsidR="008D0D75" w:rsidRPr="002449AB" w:rsidRDefault="008D0D75" w:rsidP="008D0D75">
      <w:pPr>
        <w:pStyle w:val="PwCNormal"/>
        <w:numPr>
          <w:ilvl w:val="0"/>
          <w:numId w:val="0"/>
        </w:numPr>
        <w:rPr>
          <w:b/>
        </w:rPr>
      </w:pPr>
      <w:r w:rsidRPr="00A85593">
        <w:rPr>
          <w:b/>
        </w:rPr>
        <w:t>QA process</w:t>
      </w:r>
    </w:p>
    <w:p w:rsidR="008D0D75" w:rsidRDefault="008D0D75" w:rsidP="008D0D75">
      <w:pPr>
        <w:pStyle w:val="PwCNormal"/>
        <w:numPr>
          <w:ilvl w:val="0"/>
          <w:numId w:val="0"/>
        </w:numPr>
      </w:pPr>
      <w:r>
        <w:t>Costing is the responsibility of the costing officer from</w:t>
      </w:r>
      <w:r w:rsidR="004D6339">
        <w:t xml:space="preserve"> the</w:t>
      </w:r>
      <w:r>
        <w:t xml:space="preserve"> Funding Analysis and Clinical Costing Team. A manager from the same team will review the costed outputs before submission to the jurisdiction. The hospital</w:t>
      </w:r>
      <w:r w:rsidR="00957F54">
        <w:t>s</w:t>
      </w:r>
      <w:r>
        <w:t xml:space="preserve"> do perform some reconciliations and checks of </w:t>
      </w:r>
      <w:r w:rsidR="00957F54">
        <w:t>their</w:t>
      </w:r>
      <w:r>
        <w:t xml:space="preserve"> own by reviewing </w:t>
      </w:r>
      <w:r w:rsidR="004D6339">
        <w:t xml:space="preserve">the </w:t>
      </w:r>
      <w:r w:rsidR="00957F54">
        <w:t>activity summary, which i</w:t>
      </w:r>
      <w:r>
        <w:t xml:space="preserve">s a reconciliation of expenditures from the </w:t>
      </w:r>
      <w:r w:rsidR="00CA6711">
        <w:t>GL</w:t>
      </w:r>
      <w:r>
        <w:t xml:space="preserve"> and final costs charged to encounters. Various other validations of the data are performed including checks to source feeder systems and checks of zero </w:t>
      </w:r>
      <w:r w:rsidR="004D6339">
        <w:t xml:space="preserve">cost </w:t>
      </w:r>
      <w:r>
        <w:t>and high cost patients.</w:t>
      </w:r>
    </w:p>
    <w:p w:rsidR="00E25FF4" w:rsidRPr="00CE2A5C" w:rsidRDefault="00E25FF4" w:rsidP="008D0D75">
      <w:pPr>
        <w:pStyle w:val="PwCNormal"/>
        <w:numPr>
          <w:ilvl w:val="0"/>
          <w:numId w:val="0"/>
        </w:numPr>
      </w:pPr>
      <w:r>
        <w:t xml:space="preserve">More detailed QA checks are performed by the jurisdiction and reported back to the HHS. These are described in more detail in </w:t>
      </w:r>
      <w:r w:rsidR="00F84A9F">
        <w:t xml:space="preserve">Section </w:t>
      </w:r>
      <w:r>
        <w:fldChar w:fldCharType="begin"/>
      </w:r>
      <w:r>
        <w:instrText xml:space="preserve"> REF _Ref403121771 \r \h </w:instrText>
      </w:r>
      <w:r>
        <w:fldChar w:fldCharType="separate"/>
      </w:r>
      <w:r w:rsidR="00575DFC">
        <w:t>6.5.1</w:t>
      </w:r>
      <w:r>
        <w:fldChar w:fldCharType="end"/>
      </w:r>
      <w:r>
        <w:t xml:space="preserve">. </w:t>
      </w:r>
      <w:r w:rsidRPr="00A501C2">
        <w:t xml:space="preserve">The jurisdiction provides the CFO of the HHS summarised cost reports to approve by sign off. </w:t>
      </w:r>
      <w:r w:rsidR="00957F54">
        <w:t xml:space="preserve">After the jurisdiction </w:t>
      </w:r>
      <w:r w:rsidR="004D6339">
        <w:t>has</w:t>
      </w:r>
      <w:r w:rsidR="00957F54">
        <w:t xml:space="preserve"> completed their validity testing and made the required adjustments, the CFO of the Townsville HHS signs off the finalised costed output.</w:t>
      </w:r>
    </w:p>
    <w:p w:rsidR="008D0D75" w:rsidRPr="002449AB" w:rsidRDefault="008D0D75" w:rsidP="008D0D75">
      <w:pPr>
        <w:pStyle w:val="PwCNormal"/>
        <w:numPr>
          <w:ilvl w:val="0"/>
          <w:numId w:val="0"/>
        </w:numPr>
        <w:rPr>
          <w:b/>
        </w:rPr>
      </w:pPr>
      <w:r w:rsidRPr="00A85593">
        <w:rPr>
          <w:b/>
        </w:rPr>
        <w:t>Adjustments</w:t>
      </w:r>
    </w:p>
    <w:p w:rsidR="00957F54" w:rsidRPr="00A501C2" w:rsidRDefault="002821F4" w:rsidP="00957F54">
      <w:pPr>
        <w:pStyle w:val="PwCNormal"/>
        <w:numPr>
          <w:ilvl w:val="0"/>
          <w:numId w:val="0"/>
        </w:numPr>
      </w:pPr>
      <w:r>
        <w:t>The site costing team makes no adjustments to activity or costs</w:t>
      </w:r>
      <w:r w:rsidR="00957F54" w:rsidRPr="00A501C2">
        <w:t>. All adjustments to the costed dataset are made by the jurisdiction once costed output has been submitted</w:t>
      </w:r>
      <w:r w:rsidR="004D6339">
        <w:t>. A description of the adjustments</w:t>
      </w:r>
      <w:r w:rsidR="00957F54">
        <w:t xml:space="preserve"> can be found in </w:t>
      </w:r>
      <w:r w:rsidR="00F84A9F">
        <w:t xml:space="preserve">Section </w:t>
      </w:r>
      <w:r w:rsidR="00957F54">
        <w:fldChar w:fldCharType="begin"/>
      </w:r>
      <w:r w:rsidR="00957F54">
        <w:instrText xml:space="preserve"> REF _Ref403122130 \r \h </w:instrText>
      </w:r>
      <w:r w:rsidR="00957F54">
        <w:fldChar w:fldCharType="separate"/>
      </w:r>
      <w:r w:rsidR="00575DFC">
        <w:t>6.5.2</w:t>
      </w:r>
      <w:r w:rsidR="00957F54">
        <w:fldChar w:fldCharType="end"/>
      </w:r>
      <w:r w:rsidR="00957F54">
        <w:t>.</w:t>
      </w:r>
    </w:p>
    <w:p w:rsidR="008D0D75" w:rsidRDefault="008D0D75" w:rsidP="008D0D75">
      <w:pPr>
        <w:pStyle w:val="PwCNormal"/>
        <w:numPr>
          <w:ilvl w:val="0"/>
          <w:numId w:val="0"/>
        </w:numPr>
        <w:rPr>
          <w:b/>
        </w:rPr>
      </w:pPr>
      <w:r w:rsidRPr="00A85593">
        <w:rPr>
          <w:b/>
        </w:rPr>
        <w:t>Work in progress (Item E)</w:t>
      </w:r>
    </w:p>
    <w:p w:rsidR="008D0D75" w:rsidRPr="008F45A9" w:rsidRDefault="008D0D75" w:rsidP="008D0D75">
      <w:pPr>
        <w:pStyle w:val="PwCNormal"/>
        <w:numPr>
          <w:ilvl w:val="0"/>
          <w:numId w:val="0"/>
        </w:numPr>
      </w:pPr>
      <w:r w:rsidRPr="008F45A9">
        <w:t xml:space="preserve">Adjustments are made for patients whose stay at the hospital crosses the financial year in accordance with the </w:t>
      </w:r>
      <w:r w:rsidR="002821F4">
        <w:t>state</w:t>
      </w:r>
      <w:r w:rsidR="00E13C5F">
        <w:t xml:space="preserve"> </w:t>
      </w:r>
      <w:r w:rsidR="002821F4">
        <w:t>wide</w:t>
      </w:r>
      <w:r w:rsidR="0086025D">
        <w:t xml:space="preserve"> policy described</w:t>
      </w:r>
      <w:r w:rsidR="00957F54">
        <w:t xml:space="preserve">. This is consistent with the approach taken by Bundaberg, which is described in </w:t>
      </w:r>
      <w:r w:rsidR="00F84A9F">
        <w:t xml:space="preserve">Section </w:t>
      </w:r>
      <w:r w:rsidR="00FF53BF">
        <w:fldChar w:fldCharType="begin"/>
      </w:r>
      <w:r w:rsidR="00FF53BF">
        <w:instrText xml:space="preserve"> REF _Ref403214399 \r \p \h </w:instrText>
      </w:r>
      <w:r w:rsidR="00FF53BF">
        <w:fldChar w:fldCharType="separate"/>
      </w:r>
      <w:r w:rsidR="00575DFC">
        <w:t>6.2.5 above</w:t>
      </w:r>
      <w:r w:rsidR="00FF53BF">
        <w:fldChar w:fldCharType="end"/>
      </w:r>
      <w:r w:rsidR="00FF53BF">
        <w:t>.</w:t>
      </w:r>
    </w:p>
    <w:p w:rsidR="008D0D75" w:rsidRPr="00CF6FEC" w:rsidRDefault="008D0D75" w:rsidP="00CE5EF2">
      <w:pPr>
        <w:pStyle w:val="Heading3"/>
      </w:pPr>
      <w:r w:rsidRPr="00CF6FEC">
        <w:t>Sample patients</w:t>
      </w:r>
    </w:p>
    <w:p w:rsidR="00957F54" w:rsidRDefault="002729CE" w:rsidP="00957F54">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957F54">
        <w:t xml:space="preserve">. As </w:t>
      </w:r>
      <w:r w:rsidR="00957F54">
        <w:fldChar w:fldCharType="begin"/>
      </w:r>
      <w:r w:rsidR="00957F54">
        <w:instrText xml:space="preserve"> REF _Ref403210546 \h </w:instrText>
      </w:r>
      <w:r w:rsidR="00957F54">
        <w:fldChar w:fldCharType="separate"/>
      </w:r>
      <w:r w:rsidR="00575DFC">
        <w:t xml:space="preserve">Table </w:t>
      </w:r>
      <w:r w:rsidR="00575DFC">
        <w:rPr>
          <w:noProof/>
        </w:rPr>
        <w:t>48</w:t>
      </w:r>
      <w:r w:rsidR="00957F54">
        <w:fldChar w:fldCharType="end"/>
      </w:r>
      <w:r w:rsidR="00957F54">
        <w:t xml:space="preserve"> below demonstrates, no differences in costs were noted.</w:t>
      </w:r>
    </w:p>
    <w:p w:rsidR="00DC15AA" w:rsidRDefault="00DC15AA" w:rsidP="00DC15AA">
      <w:pPr>
        <w:pStyle w:val="Caption"/>
      </w:pPr>
      <w:bookmarkStart w:id="89" w:name="_Ref403210546"/>
      <w:r>
        <w:lastRenderedPageBreak/>
        <w:t xml:space="preserve">Table </w:t>
      </w:r>
      <w:r w:rsidR="008379DC">
        <w:fldChar w:fldCharType="begin"/>
      </w:r>
      <w:r w:rsidR="009E64DF">
        <w:instrText xml:space="preserve"> SEQ Table \* ARABIC </w:instrText>
      </w:r>
      <w:r w:rsidR="008379DC">
        <w:fldChar w:fldCharType="separate"/>
      </w:r>
      <w:r w:rsidR="00575DFC">
        <w:rPr>
          <w:noProof/>
        </w:rPr>
        <w:t>48</w:t>
      </w:r>
      <w:r w:rsidR="008379DC">
        <w:rPr>
          <w:noProof/>
        </w:rPr>
        <w:fldChar w:fldCharType="end"/>
      </w:r>
      <w:bookmarkEnd w:id="89"/>
      <w:r>
        <w:t xml:space="preserve">: </w:t>
      </w:r>
      <w:r w:rsidRPr="003B43E3">
        <w:t>Sample patient reconciliation with IHPA</w:t>
      </w:r>
    </w:p>
    <w:p w:rsidR="0008020B" w:rsidRDefault="0008020B" w:rsidP="008D0D75">
      <w:pPr>
        <w:pStyle w:val="PwCNormal"/>
        <w:numPr>
          <w:ilvl w:val="0"/>
          <w:numId w:val="0"/>
        </w:numPr>
      </w:pPr>
      <w:r w:rsidRPr="0008020B">
        <w:rPr>
          <w:noProof/>
          <w:lang w:eastAsia="en-AU"/>
        </w:rPr>
        <w:drawing>
          <wp:inline distT="0" distB="0" distL="0" distR="0" wp14:anchorId="0438C8E8" wp14:editId="11801FFC">
            <wp:extent cx="4104167" cy="1139952"/>
            <wp:effectExtent l="0" t="0" r="0" b="3175"/>
            <wp:docPr id="27" name="Picture 27"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03890" cy="1139875"/>
                    </a:xfrm>
                    <a:prstGeom prst="rect">
                      <a:avLst/>
                    </a:prstGeom>
                    <a:noFill/>
                    <a:ln>
                      <a:noFill/>
                    </a:ln>
                  </pic:spPr>
                </pic:pic>
              </a:graphicData>
            </a:graphic>
          </wp:inline>
        </w:drawing>
      </w:r>
    </w:p>
    <w:p w:rsidR="008D0D75" w:rsidRDefault="008D0D75" w:rsidP="008D0D75">
      <w:pPr>
        <w:pStyle w:val="PwCNormal"/>
        <w:numPr>
          <w:ilvl w:val="0"/>
          <w:numId w:val="0"/>
        </w:numPr>
        <w:rPr>
          <w:rFonts w:asciiTheme="majorHAnsi" w:hAnsiTheme="majorHAnsi"/>
          <w:b/>
          <w:i/>
          <w:iCs/>
          <w:color w:val="A32020" w:themeColor="text2"/>
          <w:sz w:val="32"/>
          <w:szCs w:val="36"/>
        </w:rPr>
      </w:pPr>
      <w:r>
        <w:br w:type="page"/>
      </w:r>
    </w:p>
    <w:p w:rsidR="008D0D75" w:rsidRDefault="008D0D75" w:rsidP="008D0D75">
      <w:pPr>
        <w:pStyle w:val="Heading2"/>
        <w:spacing w:before="0" w:after="40"/>
      </w:pPr>
      <w:r>
        <w:lastRenderedPageBreak/>
        <w:t>Sunshine Coast</w:t>
      </w:r>
      <w:r w:rsidR="00DC15AA">
        <w:t xml:space="preserve"> HHS</w:t>
      </w:r>
    </w:p>
    <w:p w:rsidR="008D0D75" w:rsidRPr="004E0B72" w:rsidRDefault="008D0D75" w:rsidP="00CE5EF2">
      <w:pPr>
        <w:pStyle w:val="Heading3"/>
      </w:pPr>
      <w:r>
        <w:t>Site overview</w:t>
      </w:r>
    </w:p>
    <w:p w:rsidR="008D0D75" w:rsidRDefault="008D0D75" w:rsidP="008D0D75">
      <w:pPr>
        <w:pStyle w:val="PwCNormal"/>
        <w:numPr>
          <w:ilvl w:val="0"/>
          <w:numId w:val="0"/>
        </w:numPr>
      </w:pPr>
      <w:r>
        <w:t>Nambour Hospital is the primary facility within the Sunshine Coast HHS offering around 350 beds. Caloundra and Gympie are the other main facilities of the HHS offering between 50 and 60 beds at these sites. T</w:t>
      </w:r>
      <w:r w:rsidR="004D6339">
        <w:t>he Sunshine Coast HHS services</w:t>
      </w:r>
      <w:r>
        <w:t xml:space="preserve"> mostly </w:t>
      </w:r>
      <w:r w:rsidR="00957F54">
        <w:t xml:space="preserve">an </w:t>
      </w:r>
      <w:r>
        <w:t>ageing and weekend / holiday maker population</w:t>
      </w:r>
      <w:r w:rsidR="00957F54">
        <w:t>,</w:t>
      </w:r>
      <w:r>
        <w:t xml:space="preserve"> </w:t>
      </w:r>
      <w:r w:rsidR="00957F54">
        <w:t>with</w:t>
      </w:r>
      <w:r>
        <w:t xml:space="preserve"> close to 400,000 people in </w:t>
      </w:r>
      <w:r w:rsidR="002821F4">
        <w:t>southeast</w:t>
      </w:r>
      <w:r>
        <w:t xml:space="preserve"> </w:t>
      </w:r>
      <w:r w:rsidR="00E13C5F">
        <w:t>QLD</w:t>
      </w:r>
      <w:r>
        <w:t xml:space="preserve">. The ATSI population is small, representing approximately 1.5% of this population. The Sunshine Coast HHS also has contract arrangements in place for full services with the Noosa Hospital and the Sunshine Coast University Hospital, both owned by </w:t>
      </w:r>
      <w:r w:rsidR="004D6339">
        <w:t>a private provider</w:t>
      </w:r>
      <w:r>
        <w:t>.</w:t>
      </w:r>
    </w:p>
    <w:p w:rsidR="008D0D75" w:rsidRDefault="008D0D75" w:rsidP="008D0D75">
      <w:pPr>
        <w:pStyle w:val="PwCNormal"/>
        <w:numPr>
          <w:ilvl w:val="0"/>
          <w:numId w:val="0"/>
        </w:numPr>
      </w:pPr>
      <w:r>
        <w:t>The construction of new clinics has introduced challenges for the costing team. New products in the costing system relating to outpatient data have made defining costs difficult. Input into these decisions is made with the department head.</w:t>
      </w:r>
      <w:r w:rsidR="00957F54">
        <w:t xml:space="preserve"> </w:t>
      </w:r>
      <w:r>
        <w:t xml:space="preserve">Another challenge for the costing team is to correctly allocate costs between facilities when medical </w:t>
      </w:r>
      <w:proofErr w:type="gramStart"/>
      <w:r>
        <w:t>staff visit</w:t>
      </w:r>
      <w:proofErr w:type="gramEnd"/>
      <w:r>
        <w:t xml:space="preserve"> patients outside their native hospital. While the costing team are able to allocate costs to be spread across these facilities, they are only able to </w:t>
      </w:r>
      <w:r w:rsidR="004D6339">
        <w:t>allocate costs accurately</w:t>
      </w:r>
      <w:r>
        <w:t xml:space="preserve"> if they have sufficient information.</w:t>
      </w:r>
    </w:p>
    <w:p w:rsidR="00957F54" w:rsidRDefault="00E13C5F" w:rsidP="008D0D75">
      <w:pPr>
        <w:pStyle w:val="PwCNormal"/>
        <w:numPr>
          <w:ilvl w:val="0"/>
          <w:numId w:val="0"/>
        </w:numPr>
      </w:pPr>
      <w:r>
        <w:fldChar w:fldCharType="begin"/>
      </w:r>
      <w:r>
        <w:instrText xml:space="preserve"> REF _Ref403122491 \h </w:instrText>
      </w:r>
      <w:r>
        <w:fldChar w:fldCharType="separate"/>
      </w:r>
      <w:r w:rsidR="00575DFC">
        <w:t xml:space="preserve">Table </w:t>
      </w:r>
      <w:r w:rsidR="00575DFC">
        <w:rPr>
          <w:noProof/>
        </w:rPr>
        <w:t>44</w:t>
      </w:r>
      <w:r>
        <w:fldChar w:fldCharType="end"/>
      </w:r>
      <w:r>
        <w:t xml:space="preserve"> </w:t>
      </w:r>
      <w:r w:rsidR="00957F54">
        <w:t>below outlines the flow of costs from the GL through to submission to IHPA</w:t>
      </w:r>
      <w:r w:rsidR="00DD7A82">
        <w:t xml:space="preserve">. </w:t>
      </w:r>
      <w:r w:rsidR="00DD7A82" w:rsidRPr="00FD42E4">
        <w:t>We note that the $9.8</w:t>
      </w:r>
      <w:r w:rsidR="0008020B">
        <w:t xml:space="preserve"> </w:t>
      </w:r>
      <w:r w:rsidR="00DD7A82" w:rsidRPr="00FD42E4">
        <w:t>m</w:t>
      </w:r>
      <w:r w:rsidR="00AF1D40">
        <w:t>illion</w:t>
      </w:r>
      <w:r w:rsidR="00DD7A82" w:rsidRPr="00FD42E4">
        <w:t xml:space="preserve"> variance is due to W</w:t>
      </w:r>
      <w:r w:rsidR="00AF1D40">
        <w:t>I</w:t>
      </w:r>
      <w:r w:rsidR="00DD7A82" w:rsidRPr="00FD42E4">
        <w:t>P patient costs being brought forward from prior years</w:t>
      </w:r>
      <w:r w:rsidR="00DD7A82">
        <w:t xml:space="preserve"> that were included in the breakdown of costs by product in item D.</w:t>
      </w:r>
    </w:p>
    <w:p w:rsidR="00DC15AA" w:rsidRDefault="00DC15AA" w:rsidP="00DC15AA">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49</w:t>
      </w:r>
      <w:r w:rsidR="008379DC">
        <w:rPr>
          <w:noProof/>
        </w:rPr>
        <w:fldChar w:fldCharType="end"/>
      </w:r>
      <w:r>
        <w:t xml:space="preserve">: </w:t>
      </w:r>
      <w:r w:rsidRPr="00D74A4B">
        <w:t xml:space="preserve">Financial </w:t>
      </w:r>
      <w:r w:rsidR="002C1CE6">
        <w:t>o</w:t>
      </w:r>
      <w:r w:rsidR="002C1CE6" w:rsidRPr="00D74A4B">
        <w:t xml:space="preserve">verview </w:t>
      </w:r>
      <w:r w:rsidRPr="00D74A4B">
        <w:t xml:space="preserve">of </w:t>
      </w:r>
      <w:r>
        <w:t>Sunshine Coast HHS</w:t>
      </w:r>
      <w:r w:rsidR="002C1CE6">
        <w:t>,</w:t>
      </w:r>
      <w:r w:rsidRPr="00D74A4B">
        <w:t xml:space="preserve"> FY 2012/13</w:t>
      </w:r>
    </w:p>
    <w:p w:rsidR="0008020B" w:rsidRPr="0008020B" w:rsidRDefault="0008020B" w:rsidP="0008020B">
      <w:pPr>
        <w:pStyle w:val="PwCNormal"/>
        <w:rPr>
          <w:highlight w:val="yellow"/>
        </w:rPr>
      </w:pPr>
      <w:r w:rsidRPr="0008020B">
        <w:rPr>
          <w:noProof/>
          <w:lang w:eastAsia="en-AU"/>
        </w:rPr>
        <w:drawing>
          <wp:inline distT="0" distB="0" distL="0" distR="0" wp14:anchorId="7B57C6C2" wp14:editId="7170F3DD">
            <wp:extent cx="5184000" cy="4420800"/>
            <wp:effectExtent l="0" t="0" r="0" b="0"/>
            <wp:docPr id="37" name="Picture 37" descr="This table outlines the flow of cost movements from the $650m in the general ledger through to the $458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84000" cy="4420800"/>
                    </a:xfrm>
                    <a:prstGeom prst="rect">
                      <a:avLst/>
                    </a:prstGeom>
                    <a:noFill/>
                    <a:ln>
                      <a:noFill/>
                    </a:ln>
                  </pic:spPr>
                </pic:pic>
              </a:graphicData>
            </a:graphic>
          </wp:inline>
        </w:drawing>
      </w:r>
    </w:p>
    <w:p w:rsidR="008D0D75" w:rsidRPr="00FD42E4" w:rsidRDefault="008D0D75" w:rsidP="008D0D75">
      <w:pPr>
        <w:pStyle w:val="PwCNormal"/>
      </w:pPr>
    </w:p>
    <w:p w:rsidR="008D0D75" w:rsidRPr="00DE22CA" w:rsidRDefault="00CB38E7" w:rsidP="00CE5EF2">
      <w:pPr>
        <w:pStyle w:val="Heading3"/>
      </w:pPr>
      <w:r>
        <w:lastRenderedPageBreak/>
        <w:t>Financial d</w:t>
      </w:r>
      <w:r w:rsidR="008D0D75" w:rsidRPr="00DE22CA">
        <w:t>ata</w:t>
      </w:r>
    </w:p>
    <w:p w:rsidR="008D0D75" w:rsidRPr="00DE22CA" w:rsidRDefault="00CA6711" w:rsidP="008D0D75">
      <w:pPr>
        <w:pStyle w:val="PwCNormal"/>
        <w:numPr>
          <w:ilvl w:val="0"/>
          <w:numId w:val="0"/>
        </w:numPr>
        <w:rPr>
          <w:b/>
        </w:rPr>
      </w:pPr>
      <w:r>
        <w:rPr>
          <w:b/>
        </w:rPr>
        <w:t xml:space="preserve">General </w:t>
      </w:r>
      <w:r w:rsidR="00CD308F">
        <w:rPr>
          <w:b/>
        </w:rPr>
        <w:t>L</w:t>
      </w:r>
      <w:r w:rsidR="008D0D75" w:rsidRPr="00DE22CA">
        <w:rPr>
          <w:b/>
        </w:rPr>
        <w:t>edger (Item A)</w:t>
      </w:r>
    </w:p>
    <w:p w:rsidR="008D0D75" w:rsidRDefault="008D0D75" w:rsidP="008D0D75">
      <w:pPr>
        <w:pStyle w:val="PwCNormal"/>
        <w:numPr>
          <w:ilvl w:val="0"/>
          <w:numId w:val="0"/>
        </w:numPr>
      </w:pPr>
      <w:r>
        <w:t xml:space="preserve">Financial statements are published at the HHS level. </w:t>
      </w:r>
      <w:r w:rsidRPr="00DE22CA">
        <w:t xml:space="preserve">The total expenses per the financial statements for FY 2012/13 were </w:t>
      </w:r>
      <w:r>
        <w:t>$650.7</w:t>
      </w:r>
      <w:r w:rsidR="00AF1D40">
        <w:t xml:space="preserve"> </w:t>
      </w:r>
      <w:r>
        <w:t>m</w:t>
      </w:r>
      <w:r w:rsidR="00AF1D40">
        <w:t>illion</w:t>
      </w:r>
      <w:r w:rsidRPr="00DE22CA">
        <w:t xml:space="preserve">. </w:t>
      </w:r>
      <w:r>
        <w:t>$649.9</w:t>
      </w:r>
      <w:r w:rsidR="00AF1D40">
        <w:t xml:space="preserve"> </w:t>
      </w:r>
      <w:r>
        <w:t>m</w:t>
      </w:r>
      <w:r w:rsidR="00AF1D40">
        <w:t>illion</w:t>
      </w:r>
      <w:r>
        <w:t xml:space="preserve"> of this was in the </w:t>
      </w:r>
      <w:r w:rsidR="00CA6711">
        <w:t>GL</w:t>
      </w:r>
      <w:r>
        <w:t xml:space="preserve"> for costing</w:t>
      </w:r>
      <w:r w:rsidRPr="00DE22CA">
        <w:t xml:space="preserve">. </w:t>
      </w:r>
      <w:r>
        <w:t>The difference of approximately $821,000 was made up of the following reconciling items:</w:t>
      </w:r>
    </w:p>
    <w:p w:rsidR="008D0D75" w:rsidRDefault="008D0D75" w:rsidP="009C4A5D">
      <w:pPr>
        <w:pStyle w:val="PwCNormal"/>
        <w:numPr>
          <w:ilvl w:val="0"/>
          <w:numId w:val="64"/>
        </w:numPr>
      </w:pPr>
      <w:r>
        <w:t xml:space="preserve">Losses on inventories and price differences </w:t>
      </w:r>
      <w:r w:rsidR="004D6339">
        <w:t>(</w:t>
      </w:r>
      <w:r>
        <w:t xml:space="preserve">recorded as negative revenue when </w:t>
      </w:r>
      <w:r w:rsidR="004D6339">
        <w:t>these</w:t>
      </w:r>
      <w:r>
        <w:t xml:space="preserve"> should have been recorded as an expense</w:t>
      </w:r>
      <w:r w:rsidR="00393074">
        <w:t>)</w:t>
      </w:r>
      <w:r>
        <w:t xml:space="preserve"> amount to a negative adjustment of approximately $472,000.</w:t>
      </w:r>
    </w:p>
    <w:p w:rsidR="008D0D75" w:rsidRPr="005A7DFC" w:rsidRDefault="008D0D75" w:rsidP="009C4A5D">
      <w:pPr>
        <w:pStyle w:val="PwCNormal"/>
        <w:numPr>
          <w:ilvl w:val="0"/>
          <w:numId w:val="64"/>
        </w:numPr>
      </w:pPr>
      <w:r>
        <w:t xml:space="preserve">Capital works cost centres included in the audited financial statements, but were not </w:t>
      </w:r>
      <w:r w:rsidRPr="005A7DFC">
        <w:t xml:space="preserve">included in Transition II for costing. </w:t>
      </w:r>
      <w:proofErr w:type="gramStart"/>
      <w:r w:rsidRPr="005A7DFC">
        <w:t xml:space="preserve">These </w:t>
      </w:r>
      <w:r w:rsidR="00393074">
        <w:t>amount</w:t>
      </w:r>
      <w:proofErr w:type="gramEnd"/>
      <w:r w:rsidRPr="005A7DFC">
        <w:t xml:space="preserve"> to a positive adjustment of approximately $720.000.</w:t>
      </w:r>
    </w:p>
    <w:p w:rsidR="008D0D75" w:rsidRDefault="00393074" w:rsidP="009C4A5D">
      <w:pPr>
        <w:pStyle w:val="PwCNormal"/>
        <w:numPr>
          <w:ilvl w:val="0"/>
          <w:numId w:val="64"/>
        </w:numPr>
      </w:pPr>
      <w:r>
        <w:t xml:space="preserve">Removal of </w:t>
      </w:r>
      <w:r w:rsidR="008D0D75" w:rsidRPr="005A7DFC">
        <w:t>$579,214 to align the trial balance expenses with audited financial statements.</w:t>
      </w:r>
    </w:p>
    <w:p w:rsidR="00DD7A82" w:rsidRDefault="00DD7A82" w:rsidP="00DD7A82">
      <w:pPr>
        <w:pStyle w:val="PwCNormal"/>
        <w:numPr>
          <w:ilvl w:val="0"/>
          <w:numId w:val="0"/>
        </w:numPr>
      </w:pPr>
      <w:r>
        <w:t xml:space="preserve">The GL structure and treatment of costs are consistent throughout QLD. As part of this review, specific cost items were examined to understand how they were treated in the GL and in costing. Please see </w:t>
      </w:r>
      <w:r w:rsidR="00F84A9F">
        <w:t xml:space="preserve">Section </w:t>
      </w:r>
      <w:r>
        <w:fldChar w:fldCharType="begin"/>
      </w:r>
      <w:r>
        <w:instrText xml:space="preserve"> REF _Ref403124656 \r \h </w:instrText>
      </w:r>
      <w:r>
        <w:fldChar w:fldCharType="separate"/>
      </w:r>
      <w:r w:rsidR="00575DFC">
        <w:t>6.2.2</w:t>
      </w:r>
      <w:r>
        <w:fldChar w:fldCharType="end"/>
      </w:r>
      <w:r>
        <w:t xml:space="preserve"> for more information on what costs were examined and their treatment. </w:t>
      </w:r>
    </w:p>
    <w:p w:rsidR="008D0D75" w:rsidRPr="00DE22CA" w:rsidRDefault="008D0D75" w:rsidP="008D0D75">
      <w:pPr>
        <w:pStyle w:val="PwCNormal"/>
        <w:numPr>
          <w:ilvl w:val="0"/>
          <w:numId w:val="0"/>
        </w:numPr>
        <w:rPr>
          <w:b/>
        </w:rPr>
      </w:pPr>
      <w:r w:rsidRPr="00A85593">
        <w:rPr>
          <w:b/>
        </w:rPr>
        <w:t>Inclusions and exclusions (Item B)</w:t>
      </w:r>
    </w:p>
    <w:p w:rsidR="00DD7A82" w:rsidRDefault="00DD7A82" w:rsidP="008D0D75">
      <w:pPr>
        <w:pStyle w:val="PwCNormal"/>
        <w:numPr>
          <w:ilvl w:val="0"/>
          <w:numId w:val="0"/>
        </w:numPr>
      </w:pPr>
      <w:r>
        <w:t xml:space="preserve">No inclusions to the </w:t>
      </w:r>
      <w:r w:rsidR="00CA6711">
        <w:t>GL</w:t>
      </w:r>
      <w:r>
        <w:t xml:space="preserve"> are made at the site level. The total dead-ended costs for this round were $3.1</w:t>
      </w:r>
      <w:r w:rsidR="0008020B">
        <w:t xml:space="preserve"> </w:t>
      </w:r>
      <w:r>
        <w:t>m</w:t>
      </w:r>
      <w:r w:rsidR="00AF1D40">
        <w:t>illion</w:t>
      </w:r>
      <w:r>
        <w:t xml:space="preserve">. Dead-ended costs may include various administrative functions and commercial services which are out of scope in the AHPCS. </w:t>
      </w:r>
    </w:p>
    <w:p w:rsidR="008D0D75" w:rsidRPr="00DE22CA" w:rsidRDefault="008D0D75" w:rsidP="008D0D75">
      <w:pPr>
        <w:pStyle w:val="PwCNormal"/>
        <w:numPr>
          <w:ilvl w:val="0"/>
          <w:numId w:val="0"/>
        </w:numPr>
        <w:rPr>
          <w:b/>
        </w:rPr>
      </w:pPr>
      <w:r w:rsidRPr="00A85593">
        <w:rPr>
          <w:b/>
        </w:rPr>
        <w:t>Allocation of overheads (Item C)</w:t>
      </w:r>
    </w:p>
    <w:p w:rsidR="00DD7A82" w:rsidRDefault="00DD7A82" w:rsidP="008D0D75">
      <w:pPr>
        <w:pStyle w:val="PwCNormal"/>
        <w:numPr>
          <w:ilvl w:val="0"/>
          <w:numId w:val="0"/>
        </w:numPr>
      </w:pPr>
      <w:r>
        <w:t xml:space="preserve">Overheads that are included in the hospital GL are allocated to patients based on total expenses. </w:t>
      </w:r>
      <w:r w:rsidR="00393074">
        <w:t>However, n</w:t>
      </w:r>
      <w:r>
        <w:t xml:space="preserve">ot all overheads are included in the hospital GL, and additional costs are added by the jurisdiction upon submission. These overheads were added to comply with the AHPCS and </w:t>
      </w:r>
      <w:r w:rsidR="00393074">
        <w:t xml:space="preserve">are </w:t>
      </w:r>
      <w:r>
        <w:t>allocated to costed patient records based on total expenses.</w:t>
      </w:r>
    </w:p>
    <w:p w:rsidR="008D0D75" w:rsidRDefault="008D0D75" w:rsidP="008D0D75">
      <w:pPr>
        <w:pStyle w:val="PwCNormal"/>
        <w:numPr>
          <w:ilvl w:val="0"/>
          <w:numId w:val="0"/>
        </w:numPr>
        <w:rPr>
          <w:b/>
        </w:rPr>
      </w:pPr>
      <w:r w:rsidRPr="00A85593">
        <w:rPr>
          <w:b/>
        </w:rPr>
        <w:t>Distribution of costs between hospital products (Item D)</w:t>
      </w:r>
    </w:p>
    <w:p w:rsidR="00DD7A82" w:rsidRDefault="00DD7A82" w:rsidP="00DD7A82">
      <w:pPr>
        <w:pStyle w:val="PwCNormal"/>
        <w:numPr>
          <w:ilvl w:val="0"/>
          <w:numId w:val="0"/>
        </w:numPr>
      </w:pPr>
      <w:r>
        <w:t xml:space="preserve">Distribution of costs was performed using activity data in line with the </w:t>
      </w:r>
      <w:r w:rsidR="002821F4">
        <w:t>state</w:t>
      </w:r>
      <w:r w:rsidR="006A6771">
        <w:t xml:space="preserve"> </w:t>
      </w:r>
      <w:r w:rsidR="002821F4">
        <w:t>wide</w:t>
      </w:r>
      <w:r>
        <w:t xml:space="preserve"> methodology. See </w:t>
      </w:r>
      <w:r w:rsidR="00F84A9F">
        <w:t xml:space="preserve">Section </w:t>
      </w:r>
      <w:r>
        <w:fldChar w:fldCharType="begin"/>
      </w:r>
      <w:r>
        <w:instrText xml:space="preserve"> REF _Ref403124656 \r \h </w:instrText>
      </w:r>
      <w:r>
        <w:fldChar w:fldCharType="separate"/>
      </w:r>
      <w:r w:rsidR="00575DFC">
        <w:t>6.2.2</w:t>
      </w:r>
      <w:r>
        <w:fldChar w:fldCharType="end"/>
      </w:r>
      <w:r>
        <w:t xml:space="preserve"> for more information.</w:t>
      </w:r>
    </w:p>
    <w:p w:rsidR="008D0D75" w:rsidRPr="00A85593" w:rsidRDefault="008D0D75" w:rsidP="00CE5EF2">
      <w:pPr>
        <w:pStyle w:val="Heading3"/>
      </w:pPr>
      <w:r w:rsidRPr="00A85593">
        <w:t>Activity information and costing methodology</w:t>
      </w:r>
    </w:p>
    <w:p w:rsidR="008D0D75" w:rsidRDefault="008D0D75" w:rsidP="008D0D75">
      <w:pPr>
        <w:pStyle w:val="PwCNormal"/>
        <w:numPr>
          <w:ilvl w:val="0"/>
          <w:numId w:val="0"/>
        </w:numPr>
        <w:rPr>
          <w:b/>
        </w:rPr>
      </w:pPr>
      <w:r>
        <w:rPr>
          <w:b/>
        </w:rPr>
        <w:t>Overview</w:t>
      </w:r>
    </w:p>
    <w:p w:rsidR="00DD7A82" w:rsidRPr="00DF074F" w:rsidRDefault="00DD7A82" w:rsidP="00DD7A82">
      <w:pPr>
        <w:pStyle w:val="PwCNormal"/>
        <w:numPr>
          <w:ilvl w:val="0"/>
          <w:numId w:val="0"/>
        </w:numPr>
      </w:pPr>
      <w:r>
        <w:t xml:space="preserve">The costing methodology and activity information used in Round 17 at </w:t>
      </w:r>
      <w:r w:rsidR="00393074">
        <w:t>Sunshine Coast</w:t>
      </w:r>
      <w:r>
        <w:t xml:space="preserve"> did not deviate from the </w:t>
      </w:r>
      <w:r w:rsidR="002821F4">
        <w:t>state</w:t>
      </w:r>
      <w:r w:rsidR="006A6771">
        <w:t xml:space="preserve"> </w:t>
      </w:r>
      <w:r w:rsidR="002821F4">
        <w:t>wide</w:t>
      </w:r>
      <w:r>
        <w:t xml:space="preserve"> methodology. Section </w:t>
      </w:r>
      <w:r>
        <w:fldChar w:fldCharType="begin"/>
      </w:r>
      <w:r>
        <w:instrText xml:space="preserve"> REF _Ref403127197 \r \h </w:instrText>
      </w:r>
      <w:r>
        <w:fldChar w:fldCharType="separate"/>
      </w:r>
      <w:r w:rsidR="00575DFC">
        <w:t>6.2.3</w:t>
      </w:r>
      <w:r>
        <w:fldChar w:fldCharType="end"/>
      </w:r>
      <w:r>
        <w:t xml:space="preserve"> explains the allocation methodology by product that was used by </w:t>
      </w:r>
      <w:r w:rsidR="00393074">
        <w:t>Bundaberg and Sunshine Coast</w:t>
      </w:r>
      <w:r>
        <w:t xml:space="preserve"> for Round 17.</w:t>
      </w:r>
    </w:p>
    <w:p w:rsidR="008D0D75" w:rsidRPr="00A85593" w:rsidRDefault="008D0D75" w:rsidP="00CE5EF2">
      <w:pPr>
        <w:pStyle w:val="Heading3"/>
      </w:pPr>
      <w:r w:rsidRPr="00A85593">
        <w:t>Feeder data for sample areas</w:t>
      </w:r>
    </w:p>
    <w:p w:rsidR="008D0D75" w:rsidRPr="002449AB" w:rsidRDefault="008D0D75" w:rsidP="008D0D75">
      <w:pPr>
        <w:pStyle w:val="PwCNormal"/>
        <w:numPr>
          <w:ilvl w:val="0"/>
          <w:numId w:val="0"/>
        </w:numPr>
        <w:rPr>
          <w:b/>
        </w:rPr>
      </w:pPr>
      <w:r>
        <w:rPr>
          <w:b/>
        </w:rPr>
        <w:t>Overview</w:t>
      </w:r>
    </w:p>
    <w:p w:rsidR="008D0D75" w:rsidRDefault="00DD7A82" w:rsidP="00DD7A82">
      <w:pPr>
        <w:pStyle w:val="PwCNormal"/>
        <w:numPr>
          <w:ilvl w:val="0"/>
          <w:numId w:val="0"/>
        </w:numPr>
      </w:pPr>
      <w:r>
        <w:t>As part of the costing process different methodologies will be utilised to allocate costs to a patient level. The recommended methodology in the AHPCS is using a feeder system</w:t>
      </w:r>
      <w:r w:rsidR="00F84A9F">
        <w:t>,</w:t>
      </w:r>
      <w:r>
        <w:t xml:space="preserve"> which uses patient activity data to allocate costs</w:t>
      </w:r>
      <w:r w:rsidR="00393074">
        <w:t>. H</w:t>
      </w:r>
      <w:r>
        <w:t>owever</w:t>
      </w:r>
      <w:r w:rsidR="00393074">
        <w:t>,</w:t>
      </w:r>
      <w:r>
        <w:t xml:space="preserve"> if this is not available then service weights or RVUs could be used. </w:t>
      </w:r>
      <w:r w:rsidR="00393074">
        <w:t>Sunshine Coast</w:t>
      </w:r>
      <w:r>
        <w:t xml:space="preserve"> used a range of feeder systems in Round 17 in order allocate costs to patients, include pharmacy, imaging, prosthetics, theatre, critical care, bloods, ED, ward nursing and ward medical. Three sample feeder</w:t>
      </w:r>
      <w:r w:rsidR="00393074">
        <w:t xml:space="preserve"> system</w:t>
      </w:r>
      <w:r>
        <w:t>s are discussed in more detail below.</w:t>
      </w:r>
    </w:p>
    <w:p w:rsidR="008D0D75" w:rsidRDefault="008D0D75" w:rsidP="008D0D75">
      <w:pPr>
        <w:pStyle w:val="PwCNormal"/>
        <w:numPr>
          <w:ilvl w:val="0"/>
          <w:numId w:val="0"/>
        </w:numPr>
        <w:rPr>
          <w:b/>
        </w:rPr>
      </w:pPr>
      <w:r w:rsidRPr="00A85593">
        <w:rPr>
          <w:b/>
        </w:rPr>
        <w:lastRenderedPageBreak/>
        <w:t>Pharmacy</w:t>
      </w:r>
    </w:p>
    <w:p w:rsidR="008D0D75" w:rsidRPr="0059720A" w:rsidRDefault="008D0D75" w:rsidP="00A91C5C">
      <w:pPr>
        <w:pStyle w:val="PwCNormal"/>
        <w:numPr>
          <w:ilvl w:val="0"/>
          <w:numId w:val="0"/>
        </w:numPr>
      </w:pPr>
      <w:r>
        <w:t>Sunshine Coast HHS uses the feeder system</w:t>
      </w:r>
      <w:r w:rsidR="00393074">
        <w:t>s</w:t>
      </w:r>
      <w:r>
        <w:t xml:space="preserve"> </w:t>
      </w:r>
      <w:proofErr w:type="spellStart"/>
      <w:r>
        <w:t>iPharmacy</w:t>
      </w:r>
      <w:proofErr w:type="spellEnd"/>
      <w:r>
        <w:t xml:space="preserve"> and Stocker, which records consumption of pharmacy products by patients.</w:t>
      </w:r>
      <w:r w:rsidR="00DD7A82">
        <w:t xml:space="preserve"> </w:t>
      </w:r>
      <w:proofErr w:type="spellStart"/>
      <w:r w:rsidR="002821F4">
        <w:t>Imprest</w:t>
      </w:r>
      <w:proofErr w:type="spellEnd"/>
      <w:r w:rsidR="002821F4">
        <w:t xml:space="preserve"> drugs are allocated to wards, and allocated to patients using the ward’s allocation methodology. </w:t>
      </w:r>
      <w:r w:rsidR="00DD7A82">
        <w:t xml:space="preserve">Dispensed drugs are linked to patients based on the date of service. The linking of these records </w:t>
      </w:r>
      <w:r w:rsidR="002821F4">
        <w:t>was</w:t>
      </w:r>
      <w:r w:rsidR="00DD7A82">
        <w:t xml:space="preserve"> performed in accordance with the </w:t>
      </w:r>
      <w:r w:rsidR="002821F4">
        <w:t>state</w:t>
      </w:r>
      <w:r w:rsidR="000756C3">
        <w:t xml:space="preserve"> </w:t>
      </w:r>
      <w:r w:rsidR="002821F4">
        <w:t>wide</w:t>
      </w:r>
      <w:r w:rsidR="00DD7A82">
        <w:t xml:space="preserve"> process, as described in </w:t>
      </w:r>
      <w:r w:rsidR="00F84A9F">
        <w:t xml:space="preserve">Section </w:t>
      </w:r>
      <w:r w:rsidR="00DD7A82">
        <w:fldChar w:fldCharType="begin"/>
      </w:r>
      <w:r w:rsidR="00DD7A82">
        <w:instrText xml:space="preserve"> REF _Ref403135564 \r \h </w:instrText>
      </w:r>
      <w:r w:rsidR="00DD7A82">
        <w:fldChar w:fldCharType="separate"/>
      </w:r>
      <w:r w:rsidR="00575DFC">
        <w:t>6.2.4</w:t>
      </w:r>
      <w:r w:rsidR="00DD7A82">
        <w:fldChar w:fldCharType="end"/>
      </w:r>
      <w:r w:rsidR="00DD7A82">
        <w:t>. For Round 17 the linking rules resulted in 66% of records being linked in inpatients and 12% being unmatched</w:t>
      </w:r>
      <w:r w:rsidR="00A91C5C">
        <w:t xml:space="preserve"> as shown in </w:t>
      </w:r>
      <w:r w:rsidR="00A91C5C">
        <w:fldChar w:fldCharType="begin"/>
      </w:r>
      <w:r w:rsidR="00A91C5C">
        <w:instrText xml:space="preserve"> REF _Ref403213540 \h </w:instrText>
      </w:r>
      <w:r w:rsidR="00A91C5C">
        <w:fldChar w:fldCharType="separate"/>
      </w:r>
      <w:r w:rsidR="00575DFC">
        <w:t xml:space="preserve">Table </w:t>
      </w:r>
      <w:r w:rsidR="00575DFC">
        <w:rPr>
          <w:noProof/>
        </w:rPr>
        <w:t>50</w:t>
      </w:r>
      <w:r w:rsidR="00A91C5C">
        <w:fldChar w:fldCharType="end"/>
      </w:r>
      <w:r w:rsidR="00DD7A82">
        <w:t>. Unmatched pharmacy records were linked to the Tier 2 40.04 Clinical Pharmacolo</w:t>
      </w:r>
      <w:r w:rsidR="00A91C5C">
        <w:t xml:space="preserve">gy clinic and submitted to IHPA as occasions of service. </w:t>
      </w:r>
    </w:p>
    <w:p w:rsidR="00DC15AA" w:rsidRDefault="00DC15AA" w:rsidP="00DC15AA">
      <w:pPr>
        <w:pStyle w:val="Caption"/>
      </w:pPr>
      <w:bookmarkStart w:id="90" w:name="_Ref403213540"/>
      <w:r>
        <w:t xml:space="preserve">Table </w:t>
      </w:r>
      <w:r w:rsidR="008379DC">
        <w:fldChar w:fldCharType="begin"/>
      </w:r>
      <w:r w:rsidR="009E64DF">
        <w:instrText xml:space="preserve"> SEQ Table \* ARABIC </w:instrText>
      </w:r>
      <w:r w:rsidR="008379DC">
        <w:fldChar w:fldCharType="separate"/>
      </w:r>
      <w:r w:rsidR="00575DFC">
        <w:rPr>
          <w:noProof/>
        </w:rPr>
        <w:t>50</w:t>
      </w:r>
      <w:r w:rsidR="008379DC">
        <w:rPr>
          <w:noProof/>
        </w:rPr>
        <w:fldChar w:fldCharType="end"/>
      </w:r>
      <w:bookmarkEnd w:id="90"/>
      <w:r>
        <w:t xml:space="preserve">: </w:t>
      </w:r>
      <w:r w:rsidRPr="0024744E">
        <w:t>Outcome of pharmacy feeder linking</w:t>
      </w:r>
    </w:p>
    <w:p w:rsidR="008D0D75" w:rsidRPr="008A5F26" w:rsidRDefault="008D0D75" w:rsidP="008D0D75">
      <w:pPr>
        <w:pStyle w:val="PwCNormal"/>
        <w:numPr>
          <w:ilvl w:val="0"/>
          <w:numId w:val="0"/>
        </w:numPr>
      </w:pPr>
      <w:r w:rsidRPr="00B917D7">
        <w:rPr>
          <w:noProof/>
          <w:lang w:eastAsia="en-AU"/>
        </w:rPr>
        <w:drawing>
          <wp:inline distT="0" distB="0" distL="0" distR="0" wp14:anchorId="15485B00" wp14:editId="13D7D044">
            <wp:extent cx="3034800" cy="2804400"/>
            <wp:effectExtent l="0" t="0" r="0" b="0"/>
            <wp:docPr id="52" name="Picture 52"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Default="008D0D75" w:rsidP="008D0D75">
      <w:pPr>
        <w:pStyle w:val="PwCNormal"/>
        <w:numPr>
          <w:ilvl w:val="0"/>
          <w:numId w:val="0"/>
        </w:numPr>
        <w:rPr>
          <w:b/>
        </w:rPr>
      </w:pPr>
      <w:r w:rsidRPr="00A85593">
        <w:rPr>
          <w:b/>
        </w:rPr>
        <w:t>Theatre</w:t>
      </w:r>
    </w:p>
    <w:p w:rsidR="00A91C5C" w:rsidRDefault="00A91C5C" w:rsidP="00A91C5C">
      <w:pPr>
        <w:pStyle w:val="PwCNormal"/>
        <w:numPr>
          <w:ilvl w:val="0"/>
          <w:numId w:val="0"/>
        </w:numPr>
      </w:pPr>
      <w:r>
        <w:t>Sunshine Coast HHS</w:t>
      </w:r>
      <w:r w:rsidRPr="00A501C2">
        <w:t xml:space="preserve"> uses ORMIS, which records various data points of the patient operation</w:t>
      </w:r>
      <w:r>
        <w:t xml:space="preserve">. The use of the feeder data and linking rules used was consistent with the approach taken at Bundaberg, which can be found in </w:t>
      </w:r>
      <w:r w:rsidR="00F84A9F">
        <w:t xml:space="preserve">Section </w:t>
      </w:r>
      <w:r>
        <w:fldChar w:fldCharType="begin"/>
      </w:r>
      <w:r>
        <w:instrText xml:space="preserve"> REF _Ref403135564 \r \h </w:instrText>
      </w:r>
      <w:r>
        <w:fldChar w:fldCharType="separate"/>
      </w:r>
      <w:r w:rsidR="00575DFC">
        <w:t>6.2.4</w:t>
      </w:r>
      <w:r>
        <w:fldChar w:fldCharType="end"/>
      </w:r>
      <w:r>
        <w:t>. For Round 17, all b</w:t>
      </w:r>
      <w:r w:rsidR="00393074">
        <w:t>ut</w:t>
      </w:r>
      <w:r>
        <w:t xml:space="preserve"> 6 records were matched to inpatients, as displayed in </w:t>
      </w:r>
      <w:r w:rsidR="00393074">
        <w:fldChar w:fldCharType="begin"/>
      </w:r>
      <w:r w:rsidR="00393074">
        <w:instrText xml:space="preserve"> REF _Ref403571086 \h </w:instrText>
      </w:r>
      <w:r w:rsidR="00393074">
        <w:fldChar w:fldCharType="separate"/>
      </w:r>
      <w:r w:rsidR="00575DFC">
        <w:t xml:space="preserve">Table </w:t>
      </w:r>
      <w:r w:rsidR="00575DFC">
        <w:rPr>
          <w:noProof/>
        </w:rPr>
        <w:t>51</w:t>
      </w:r>
      <w:r w:rsidR="00393074">
        <w:fldChar w:fldCharType="end"/>
      </w:r>
      <w:r w:rsidR="00393074">
        <w:t xml:space="preserve"> </w:t>
      </w:r>
      <w:r>
        <w:t>below.</w:t>
      </w:r>
    </w:p>
    <w:p w:rsidR="00DC15AA" w:rsidRDefault="00DC15AA" w:rsidP="00DC15AA">
      <w:pPr>
        <w:pStyle w:val="Caption"/>
      </w:pPr>
      <w:bookmarkStart w:id="91" w:name="_Ref403571086"/>
      <w:r>
        <w:t xml:space="preserve">Table </w:t>
      </w:r>
      <w:r w:rsidR="008379DC">
        <w:fldChar w:fldCharType="begin"/>
      </w:r>
      <w:r w:rsidR="009E64DF">
        <w:instrText xml:space="preserve"> SEQ Table \* ARABIC </w:instrText>
      </w:r>
      <w:r w:rsidR="008379DC">
        <w:fldChar w:fldCharType="separate"/>
      </w:r>
      <w:r w:rsidR="00575DFC">
        <w:rPr>
          <w:noProof/>
        </w:rPr>
        <w:t>51</w:t>
      </w:r>
      <w:r w:rsidR="008379DC">
        <w:rPr>
          <w:noProof/>
        </w:rPr>
        <w:fldChar w:fldCharType="end"/>
      </w:r>
      <w:bookmarkEnd w:id="91"/>
      <w:r>
        <w:t xml:space="preserve">: </w:t>
      </w:r>
      <w:r w:rsidRPr="00DE475B">
        <w:t>Outcome of theatre feeder linking</w:t>
      </w:r>
    </w:p>
    <w:p w:rsidR="008D0D75" w:rsidRDefault="008D0D75" w:rsidP="008D0D75">
      <w:pPr>
        <w:pStyle w:val="PwCNormal"/>
        <w:numPr>
          <w:ilvl w:val="0"/>
          <w:numId w:val="0"/>
        </w:numPr>
      </w:pPr>
      <w:r w:rsidRPr="00B917D7">
        <w:rPr>
          <w:noProof/>
          <w:lang w:eastAsia="en-AU"/>
        </w:rPr>
        <w:drawing>
          <wp:inline distT="0" distB="0" distL="0" distR="0" wp14:anchorId="595D7C32" wp14:editId="72726C8B">
            <wp:extent cx="3034800" cy="2804400"/>
            <wp:effectExtent l="0" t="0" r="0" b="0"/>
            <wp:docPr id="53" name="Picture 53"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Pr="002449AB" w:rsidRDefault="008D0D75" w:rsidP="008D0D75">
      <w:pPr>
        <w:pStyle w:val="PwCNormal"/>
        <w:numPr>
          <w:ilvl w:val="0"/>
          <w:numId w:val="0"/>
        </w:numPr>
        <w:rPr>
          <w:b/>
        </w:rPr>
      </w:pPr>
      <w:r w:rsidRPr="00A85593">
        <w:rPr>
          <w:b/>
        </w:rPr>
        <w:lastRenderedPageBreak/>
        <w:t>Ward Nursing</w:t>
      </w:r>
    </w:p>
    <w:p w:rsidR="00A91C5C" w:rsidRDefault="00FF53BF" w:rsidP="008D0D75">
      <w:pPr>
        <w:pStyle w:val="PwCNormal"/>
        <w:numPr>
          <w:ilvl w:val="0"/>
          <w:numId w:val="0"/>
        </w:numPr>
      </w:pPr>
      <w:r>
        <w:t>Sunshine Coast HHS</w:t>
      </w:r>
      <w:r w:rsidR="00A91C5C">
        <w:t xml:space="preserve"> uses FAMMIS, which includes data on the patient’s encounter in hospital, such as the admission and discharge date and time, and transfers between wards. The use of the transfer records and RVUs to allocate costs, along with the linking methodology, is consistent with the approach taken at Bundaberg, which can be found in </w:t>
      </w:r>
      <w:r w:rsidR="00F84A9F">
        <w:t xml:space="preserve">Section </w:t>
      </w:r>
      <w:r w:rsidR="00A91C5C">
        <w:fldChar w:fldCharType="begin"/>
      </w:r>
      <w:r w:rsidR="00A91C5C">
        <w:instrText xml:space="preserve"> REF _Ref403135564 \r \h </w:instrText>
      </w:r>
      <w:r w:rsidR="00A91C5C">
        <w:fldChar w:fldCharType="separate"/>
      </w:r>
      <w:r w:rsidR="00575DFC">
        <w:t>6.2.4</w:t>
      </w:r>
      <w:r w:rsidR="00A91C5C">
        <w:fldChar w:fldCharType="end"/>
      </w:r>
      <w:r w:rsidR="00A91C5C">
        <w:t>. In Round 17, all records were linked to inpatients as shown in</w:t>
      </w:r>
      <w:r>
        <w:t xml:space="preserve"> </w:t>
      </w:r>
      <w:r>
        <w:fldChar w:fldCharType="begin"/>
      </w:r>
      <w:r>
        <w:instrText xml:space="preserve"> REF _Ref403214236 \h </w:instrText>
      </w:r>
      <w:r>
        <w:fldChar w:fldCharType="separate"/>
      </w:r>
      <w:r w:rsidR="00575DFC">
        <w:t xml:space="preserve">Table </w:t>
      </w:r>
      <w:r w:rsidR="00575DFC">
        <w:rPr>
          <w:noProof/>
        </w:rPr>
        <w:t>52</w:t>
      </w:r>
      <w:r>
        <w:fldChar w:fldCharType="end"/>
      </w:r>
      <w:r>
        <w:t>.</w:t>
      </w:r>
    </w:p>
    <w:p w:rsidR="00DC15AA" w:rsidRDefault="00DC15AA" w:rsidP="00DC15AA">
      <w:pPr>
        <w:pStyle w:val="Caption"/>
      </w:pPr>
      <w:bookmarkStart w:id="92" w:name="_Ref403214236"/>
      <w:r>
        <w:t xml:space="preserve">Table </w:t>
      </w:r>
      <w:r w:rsidR="008379DC">
        <w:fldChar w:fldCharType="begin"/>
      </w:r>
      <w:r w:rsidR="009E64DF">
        <w:instrText xml:space="preserve"> SEQ Table \* ARABIC </w:instrText>
      </w:r>
      <w:r w:rsidR="008379DC">
        <w:fldChar w:fldCharType="separate"/>
      </w:r>
      <w:r w:rsidR="00575DFC">
        <w:rPr>
          <w:noProof/>
        </w:rPr>
        <w:t>52</w:t>
      </w:r>
      <w:r w:rsidR="008379DC">
        <w:rPr>
          <w:noProof/>
        </w:rPr>
        <w:fldChar w:fldCharType="end"/>
      </w:r>
      <w:bookmarkEnd w:id="92"/>
      <w:r>
        <w:t xml:space="preserve">: </w:t>
      </w:r>
      <w:r w:rsidRPr="002C0603">
        <w:t>Outcome of ward nursing feeder linking</w:t>
      </w:r>
    </w:p>
    <w:p w:rsidR="008D0D75" w:rsidRDefault="008D0D75" w:rsidP="008D0D75">
      <w:pPr>
        <w:pStyle w:val="PwCNormal"/>
        <w:numPr>
          <w:ilvl w:val="0"/>
          <w:numId w:val="0"/>
        </w:numPr>
        <w:rPr>
          <w:b/>
        </w:rPr>
      </w:pPr>
      <w:r w:rsidRPr="00B917D7">
        <w:rPr>
          <w:noProof/>
          <w:lang w:eastAsia="en-AU"/>
        </w:rPr>
        <w:drawing>
          <wp:inline distT="0" distB="0" distL="0" distR="0" wp14:anchorId="2ABAFD4B" wp14:editId="6293F631">
            <wp:extent cx="3034800" cy="2804400"/>
            <wp:effectExtent l="0" t="0" r="0" b="0"/>
            <wp:docPr id="54" name="Picture 54"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34800" cy="2804400"/>
                    </a:xfrm>
                    <a:prstGeom prst="rect">
                      <a:avLst/>
                    </a:prstGeom>
                    <a:noFill/>
                    <a:ln>
                      <a:noFill/>
                    </a:ln>
                  </pic:spPr>
                </pic:pic>
              </a:graphicData>
            </a:graphic>
          </wp:inline>
        </w:drawing>
      </w:r>
    </w:p>
    <w:p w:rsidR="008D0D75" w:rsidRPr="004E0B72" w:rsidRDefault="008D0D75" w:rsidP="00CE5EF2">
      <w:pPr>
        <w:pStyle w:val="Heading3"/>
      </w:pPr>
      <w:r>
        <w:t>The costed dataset</w:t>
      </w:r>
    </w:p>
    <w:p w:rsidR="008D0D75" w:rsidRPr="002449AB" w:rsidRDefault="008D0D75" w:rsidP="008D0D75">
      <w:pPr>
        <w:pStyle w:val="PwCNormal"/>
        <w:numPr>
          <w:ilvl w:val="0"/>
          <w:numId w:val="0"/>
        </w:numPr>
        <w:rPr>
          <w:b/>
        </w:rPr>
      </w:pPr>
      <w:r w:rsidRPr="00A85593">
        <w:rPr>
          <w:b/>
        </w:rPr>
        <w:t>QA process</w:t>
      </w:r>
    </w:p>
    <w:p w:rsidR="00FF53BF" w:rsidRDefault="008D0D75" w:rsidP="008D0D75">
      <w:pPr>
        <w:pStyle w:val="PwCNormal"/>
        <w:numPr>
          <w:ilvl w:val="0"/>
          <w:numId w:val="0"/>
        </w:numPr>
      </w:pPr>
      <w:r>
        <w:t xml:space="preserve">The Patient Costing &amp; Reporting Officer of the Funding, Information and Costing Service team is primarily responsible for performing the costing, and this is reviewed by a Senior Business Support Officer. </w:t>
      </w:r>
      <w:r w:rsidR="00FF53BF">
        <w:t>The costing team run weekly reports on volumes and patient activity looking for missing data and signs of integrity issues. Comparisons between data used in costing and data extracted from source systems are made. Current staffing constraints have limited the level of reporting able to be performed.</w:t>
      </w:r>
    </w:p>
    <w:p w:rsidR="00FF53BF" w:rsidRDefault="00FF53BF" w:rsidP="008D0D75">
      <w:pPr>
        <w:pStyle w:val="PwCNormal"/>
        <w:numPr>
          <w:ilvl w:val="0"/>
          <w:numId w:val="0"/>
        </w:numPr>
      </w:pPr>
      <w:r>
        <w:t xml:space="preserve">More detailed QA checks are performed by the jurisdiction and reported back to the HHS. These are described in more detail in </w:t>
      </w:r>
      <w:r w:rsidR="00F84A9F">
        <w:t xml:space="preserve">Section </w:t>
      </w:r>
      <w:r>
        <w:fldChar w:fldCharType="begin"/>
      </w:r>
      <w:r>
        <w:instrText xml:space="preserve"> REF _Ref403121771 \r \h </w:instrText>
      </w:r>
      <w:r>
        <w:fldChar w:fldCharType="separate"/>
      </w:r>
      <w:r w:rsidR="00575DFC">
        <w:t>6.5.1</w:t>
      </w:r>
      <w:r>
        <w:fldChar w:fldCharType="end"/>
      </w:r>
      <w:r>
        <w:t xml:space="preserve">. </w:t>
      </w:r>
      <w:r w:rsidRPr="00A501C2">
        <w:t xml:space="preserve">The jurisdiction provides the CFO summarised cost reports to approve by sign off. </w:t>
      </w:r>
      <w:r>
        <w:t xml:space="preserve">After the jurisdiction </w:t>
      </w:r>
      <w:r w:rsidR="00393074">
        <w:t>has</w:t>
      </w:r>
      <w:r>
        <w:t xml:space="preserve"> completed their validity testing and made the required adjustments, the CFO of the Townsville HHS signs off the finalised costed output.</w:t>
      </w:r>
    </w:p>
    <w:p w:rsidR="008D0D75" w:rsidRPr="002449AB" w:rsidRDefault="008D0D75" w:rsidP="008D0D75">
      <w:pPr>
        <w:pStyle w:val="PwCNormal"/>
        <w:numPr>
          <w:ilvl w:val="0"/>
          <w:numId w:val="0"/>
        </w:numPr>
        <w:rPr>
          <w:b/>
        </w:rPr>
      </w:pPr>
      <w:r w:rsidRPr="00A85593">
        <w:rPr>
          <w:b/>
        </w:rPr>
        <w:t>Adjustments</w:t>
      </w:r>
    </w:p>
    <w:p w:rsidR="00FF53BF" w:rsidRPr="00A501C2" w:rsidRDefault="00FF53BF" w:rsidP="00FF53BF">
      <w:pPr>
        <w:pStyle w:val="PwCNormal"/>
        <w:numPr>
          <w:ilvl w:val="0"/>
          <w:numId w:val="0"/>
        </w:numPr>
      </w:pPr>
      <w:r>
        <w:t>No</w:t>
      </w:r>
      <w:r w:rsidRPr="00A501C2">
        <w:t xml:space="preserve"> adjustments to activity or costs are made by the site costing team. All adjustments to the costed dataset are made by the jurisdiction once costed output has been submitted</w:t>
      </w:r>
      <w:r>
        <w:t xml:space="preserve">, which can be found in </w:t>
      </w:r>
      <w:r w:rsidR="00F84A9F">
        <w:t xml:space="preserve">Section </w:t>
      </w:r>
      <w:r>
        <w:fldChar w:fldCharType="begin"/>
      </w:r>
      <w:r>
        <w:instrText xml:space="preserve"> REF _Ref403122130 \r \h </w:instrText>
      </w:r>
      <w:r>
        <w:fldChar w:fldCharType="separate"/>
      </w:r>
      <w:r w:rsidR="00575DFC">
        <w:t>6.5.2</w:t>
      </w:r>
      <w:r>
        <w:fldChar w:fldCharType="end"/>
      </w:r>
      <w:r>
        <w:t>.</w:t>
      </w:r>
    </w:p>
    <w:p w:rsidR="008D0D75" w:rsidRDefault="008D0D75" w:rsidP="008D0D75">
      <w:pPr>
        <w:pStyle w:val="PwCNormal"/>
        <w:numPr>
          <w:ilvl w:val="0"/>
          <w:numId w:val="0"/>
        </w:numPr>
        <w:rPr>
          <w:b/>
        </w:rPr>
      </w:pPr>
      <w:r w:rsidRPr="00A85593">
        <w:rPr>
          <w:b/>
        </w:rPr>
        <w:t>Work in progress (Item E)</w:t>
      </w:r>
    </w:p>
    <w:p w:rsidR="008D0D75" w:rsidRPr="008F45A9" w:rsidRDefault="00FF53BF" w:rsidP="008D0D75">
      <w:pPr>
        <w:pStyle w:val="PwCNormal"/>
        <w:numPr>
          <w:ilvl w:val="0"/>
          <w:numId w:val="0"/>
        </w:numPr>
      </w:pPr>
      <w:r w:rsidRPr="008F45A9">
        <w:t xml:space="preserve">Adjustments are made for patients whose stay at the hospital crosses the financial year in accordance with the </w:t>
      </w:r>
      <w:r w:rsidR="002821F4">
        <w:t>state</w:t>
      </w:r>
      <w:r w:rsidR="000756C3">
        <w:t xml:space="preserve"> </w:t>
      </w:r>
      <w:r w:rsidR="002821F4">
        <w:t>wide</w:t>
      </w:r>
      <w:r>
        <w:t xml:space="preserve"> policy described. This is consistent with the approach taken by Bundaberg, which is described in </w:t>
      </w:r>
      <w:r w:rsidR="00F84A9F">
        <w:t xml:space="preserve">Section </w:t>
      </w:r>
      <w:r>
        <w:fldChar w:fldCharType="begin"/>
      </w:r>
      <w:r>
        <w:instrText xml:space="preserve"> REF _Ref403214399 \r \h </w:instrText>
      </w:r>
      <w:r>
        <w:fldChar w:fldCharType="separate"/>
      </w:r>
      <w:r w:rsidR="00575DFC">
        <w:t>6.2.5</w:t>
      </w:r>
      <w:r>
        <w:fldChar w:fldCharType="end"/>
      </w:r>
      <w:r>
        <w:t>.</w:t>
      </w:r>
    </w:p>
    <w:p w:rsidR="008D0D75" w:rsidRPr="00CF6FEC" w:rsidRDefault="008D0D75" w:rsidP="00CE5EF2">
      <w:pPr>
        <w:pStyle w:val="Heading3"/>
      </w:pPr>
      <w:r w:rsidRPr="00CF6FEC">
        <w:lastRenderedPageBreak/>
        <w:t>Sample patients</w:t>
      </w:r>
    </w:p>
    <w:p w:rsidR="00FF53BF" w:rsidRDefault="002729CE" w:rsidP="00FF53BF">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FF53BF">
        <w:t xml:space="preserve">. As </w:t>
      </w:r>
      <w:r w:rsidR="00FF53BF">
        <w:fldChar w:fldCharType="begin"/>
      </w:r>
      <w:r w:rsidR="00FF53BF">
        <w:instrText xml:space="preserve"> REF _Ref403214481 \h </w:instrText>
      </w:r>
      <w:r w:rsidR="00FF53BF">
        <w:fldChar w:fldCharType="separate"/>
      </w:r>
      <w:r w:rsidR="00575DFC">
        <w:t xml:space="preserve">Table </w:t>
      </w:r>
      <w:r w:rsidR="00575DFC">
        <w:rPr>
          <w:noProof/>
        </w:rPr>
        <w:t>53</w:t>
      </w:r>
      <w:r w:rsidR="00FF53BF">
        <w:fldChar w:fldCharType="end"/>
      </w:r>
      <w:r w:rsidR="00FF53BF">
        <w:t xml:space="preserve"> below demonstrates, no differences in costs were noted.</w:t>
      </w:r>
    </w:p>
    <w:p w:rsidR="00DC15AA" w:rsidRDefault="00DC15AA" w:rsidP="00DC15AA">
      <w:pPr>
        <w:pStyle w:val="Caption"/>
      </w:pPr>
      <w:bookmarkStart w:id="93" w:name="_Ref403214481"/>
      <w:r>
        <w:t xml:space="preserve">Table </w:t>
      </w:r>
      <w:r w:rsidR="008379DC">
        <w:fldChar w:fldCharType="begin"/>
      </w:r>
      <w:r w:rsidR="009E64DF">
        <w:instrText xml:space="preserve"> SEQ Table \* ARABIC </w:instrText>
      </w:r>
      <w:r w:rsidR="008379DC">
        <w:fldChar w:fldCharType="separate"/>
      </w:r>
      <w:r w:rsidR="00575DFC">
        <w:rPr>
          <w:noProof/>
        </w:rPr>
        <w:t>53</w:t>
      </w:r>
      <w:r w:rsidR="008379DC">
        <w:rPr>
          <w:noProof/>
        </w:rPr>
        <w:fldChar w:fldCharType="end"/>
      </w:r>
      <w:bookmarkEnd w:id="93"/>
      <w:r>
        <w:t xml:space="preserve">: </w:t>
      </w:r>
      <w:r w:rsidRPr="00062812">
        <w:t>Sample patient reconciliation with IHPA</w:t>
      </w:r>
    </w:p>
    <w:p w:rsidR="008D0D75" w:rsidRDefault="0008020B" w:rsidP="0008020B">
      <w:pPr>
        <w:pStyle w:val="PwCNormal"/>
        <w:numPr>
          <w:ilvl w:val="0"/>
          <w:numId w:val="0"/>
        </w:numPr>
      </w:pPr>
      <w:r w:rsidRPr="0008020B">
        <w:rPr>
          <w:noProof/>
          <w:lang w:eastAsia="en-AU"/>
        </w:rPr>
        <w:drawing>
          <wp:inline distT="0" distB="0" distL="0" distR="0" wp14:anchorId="6158AEBC" wp14:editId="22344295">
            <wp:extent cx="4104000" cy="1141200"/>
            <wp:effectExtent l="0" t="0" r="0" b="1905"/>
            <wp:docPr id="39" name="Picture 39"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04000" cy="1141200"/>
                    </a:xfrm>
                    <a:prstGeom prst="rect">
                      <a:avLst/>
                    </a:prstGeom>
                    <a:noFill/>
                    <a:ln>
                      <a:noFill/>
                    </a:ln>
                  </pic:spPr>
                </pic:pic>
              </a:graphicData>
            </a:graphic>
          </wp:inline>
        </w:drawing>
      </w:r>
      <w:r w:rsidR="008D0D75">
        <w:br w:type="page"/>
      </w:r>
    </w:p>
    <w:p w:rsidR="008D0D75" w:rsidRDefault="008D0D75" w:rsidP="008D0D75">
      <w:pPr>
        <w:pStyle w:val="Heading2"/>
        <w:spacing w:before="0" w:after="40"/>
      </w:pPr>
      <w:r>
        <w:lastRenderedPageBreak/>
        <w:t>Jurisdictional overview</w:t>
      </w:r>
    </w:p>
    <w:p w:rsidR="008D0D75" w:rsidRPr="00A85593" w:rsidRDefault="008D0D75" w:rsidP="00CE5EF2">
      <w:pPr>
        <w:pStyle w:val="Heading3"/>
      </w:pPr>
      <w:bookmarkStart w:id="94" w:name="_Ref403121771"/>
      <w:r w:rsidRPr="00A85593">
        <w:t>Overview of process</w:t>
      </w:r>
      <w:bookmarkEnd w:id="94"/>
    </w:p>
    <w:p w:rsidR="008D0D75" w:rsidRDefault="00F255B9" w:rsidP="008D0D75">
      <w:pPr>
        <w:pStyle w:val="PwCNormal"/>
        <w:numPr>
          <w:ilvl w:val="0"/>
          <w:numId w:val="0"/>
        </w:numPr>
      </w:pPr>
      <w:r>
        <w:t xml:space="preserve">QLD Health </w:t>
      </w:r>
      <w:r w:rsidR="008D0D75">
        <w:t xml:space="preserve">plays a central role in finalising the costed dataset submitted by the various Hospital and Health Services. They also provide guidance to each of the HHSs in the form of </w:t>
      </w:r>
      <w:r w:rsidR="000756C3">
        <w:t xml:space="preserve">QLD </w:t>
      </w:r>
      <w:r w:rsidR="008D0D75">
        <w:t xml:space="preserve">Costing Implementation Guidelines. </w:t>
      </w:r>
      <w:r>
        <w:t xml:space="preserve">Once data is received by QLD Health, a data transformation and QA process is performed over the data. This occurs in October each year and is performed over each of the costing databases within the HHSs. </w:t>
      </w:r>
    </w:p>
    <w:p w:rsidR="008D0D75" w:rsidRDefault="008D0D75" w:rsidP="00F255B9">
      <w:pPr>
        <w:pStyle w:val="PwCNormal"/>
        <w:numPr>
          <w:ilvl w:val="0"/>
          <w:numId w:val="0"/>
        </w:numPr>
        <w:spacing w:after="120"/>
      </w:pPr>
      <w:r>
        <w:t xml:space="preserve">The data transformation </w:t>
      </w:r>
      <w:r w:rsidR="00F255B9">
        <w:t xml:space="preserve">and QA </w:t>
      </w:r>
      <w:r>
        <w:t>process performed by the jurisdiction is summarised in the following steps:</w:t>
      </w:r>
    </w:p>
    <w:p w:rsidR="008D0D75" w:rsidRDefault="008D0D75" w:rsidP="00F255B9">
      <w:pPr>
        <w:pStyle w:val="PwCNormal"/>
        <w:numPr>
          <w:ilvl w:val="0"/>
          <w:numId w:val="67"/>
        </w:numPr>
        <w:spacing w:after="120"/>
      </w:pPr>
      <w:r>
        <w:t>Pre-extract audit – the underlying cost data is assessed using a number of crystal reports which identify data quality issues that</w:t>
      </w:r>
      <w:r w:rsidR="00393074">
        <w:t xml:space="preserve"> may</w:t>
      </w:r>
      <w:r>
        <w:t xml:space="preserve"> have an adverse effect on costing outcomes. If the costed data fails to pass an 80% confidence level, then the costing teams are informed that the data is of insufficient quality to be progressed to the next step of transformation. The costing teams will then re-cost and the audit will take place again.</w:t>
      </w:r>
    </w:p>
    <w:p w:rsidR="008D0D75" w:rsidRDefault="008D0D75" w:rsidP="00F255B9">
      <w:pPr>
        <w:pStyle w:val="PwCNormal"/>
        <w:numPr>
          <w:ilvl w:val="0"/>
          <w:numId w:val="67"/>
        </w:numPr>
        <w:spacing w:after="120"/>
      </w:pPr>
      <w:r>
        <w:t>Source data extraction – once the data has been validated, three data extractions are done:</w:t>
      </w:r>
    </w:p>
    <w:p w:rsidR="008D0D75" w:rsidRDefault="008D0D75" w:rsidP="00F255B9">
      <w:pPr>
        <w:pStyle w:val="PwCNormal"/>
        <w:numPr>
          <w:ilvl w:val="1"/>
          <w:numId w:val="67"/>
        </w:numPr>
        <w:spacing w:after="120"/>
      </w:pPr>
      <w:r>
        <w:t>Patient level costing data is extracted from Transition II</w:t>
      </w:r>
    </w:p>
    <w:p w:rsidR="008D0D75" w:rsidRDefault="008D0D75" w:rsidP="00F255B9">
      <w:pPr>
        <w:pStyle w:val="PwCNormal"/>
        <w:numPr>
          <w:ilvl w:val="1"/>
          <w:numId w:val="67"/>
        </w:numPr>
        <w:spacing w:after="120"/>
      </w:pPr>
      <w:r>
        <w:t xml:space="preserve">Patient information is extracted from a system called </w:t>
      </w:r>
      <w:proofErr w:type="spellStart"/>
      <w:r>
        <w:t>pAWS</w:t>
      </w:r>
      <w:proofErr w:type="spellEnd"/>
      <w:r>
        <w:t>, which contains information on admitted, ED and outpatients</w:t>
      </w:r>
    </w:p>
    <w:p w:rsidR="008D0D75" w:rsidRDefault="00F255B9" w:rsidP="00F255B9">
      <w:pPr>
        <w:pStyle w:val="PwCNormal"/>
        <w:numPr>
          <w:ilvl w:val="1"/>
          <w:numId w:val="67"/>
        </w:numPr>
        <w:spacing w:after="120"/>
      </w:pPr>
      <w:r>
        <w:t>GL</w:t>
      </w:r>
      <w:r w:rsidR="008D0D75">
        <w:t xml:space="preserve"> data </w:t>
      </w:r>
      <w:r w:rsidR="00393074">
        <w:t xml:space="preserve">is extracted </w:t>
      </w:r>
      <w:r w:rsidR="008D0D75">
        <w:t>from the Decision Support System for reconciliation to costed outputs.</w:t>
      </w:r>
    </w:p>
    <w:p w:rsidR="008D0D75" w:rsidRDefault="008D0D75" w:rsidP="00F255B9">
      <w:pPr>
        <w:pStyle w:val="PwCNormal"/>
        <w:numPr>
          <w:ilvl w:val="0"/>
          <w:numId w:val="67"/>
        </w:numPr>
        <w:spacing w:after="120"/>
      </w:pPr>
      <w:r>
        <w:t xml:space="preserve">Data mapping and review – A mapping is required between </w:t>
      </w:r>
      <w:r w:rsidR="00F255B9">
        <w:t>the state’s required data elements and the NHCDC</w:t>
      </w:r>
      <w:r>
        <w:t xml:space="preserve"> data requirements. A review at this point allows for the management of changes or new cost centres that require mapping.</w:t>
      </w:r>
    </w:p>
    <w:p w:rsidR="008D0D75" w:rsidRDefault="008D0D75" w:rsidP="00F255B9">
      <w:pPr>
        <w:pStyle w:val="PwCNormal"/>
        <w:numPr>
          <w:ilvl w:val="0"/>
          <w:numId w:val="67"/>
        </w:numPr>
        <w:spacing w:after="120"/>
      </w:pPr>
      <w:r>
        <w:t>Facility specific data transformation – some facilities require additional transformation procedures to prepare patient level data.</w:t>
      </w:r>
    </w:p>
    <w:p w:rsidR="008D0D75" w:rsidRDefault="008D0D75" w:rsidP="00F255B9">
      <w:pPr>
        <w:pStyle w:val="PwCNormal"/>
        <w:numPr>
          <w:ilvl w:val="0"/>
          <w:numId w:val="67"/>
        </w:numPr>
        <w:spacing w:after="120"/>
      </w:pPr>
      <w:r>
        <w:t xml:space="preserve">Build HHS level NHCDC database – new database is constructed for IHPA submission purposes using this source cost information. The original data is maintained for reconciliation purposes. </w:t>
      </w:r>
    </w:p>
    <w:p w:rsidR="008D0D75" w:rsidRDefault="008D0D75" w:rsidP="00F255B9">
      <w:pPr>
        <w:pStyle w:val="PwCNormal"/>
        <w:numPr>
          <w:ilvl w:val="0"/>
          <w:numId w:val="67"/>
        </w:numPr>
        <w:spacing w:after="120"/>
      </w:pPr>
      <w:r>
        <w:t xml:space="preserve">Create cost reports – cost reports are created to ensure there are no significant costing issues that will require a re-extraction of data. </w:t>
      </w:r>
    </w:p>
    <w:p w:rsidR="008D0D75" w:rsidRPr="00346C1B" w:rsidRDefault="008D0D75" w:rsidP="008D0D75">
      <w:pPr>
        <w:pStyle w:val="PwCNormal"/>
        <w:numPr>
          <w:ilvl w:val="0"/>
          <w:numId w:val="0"/>
        </w:numPr>
      </w:pPr>
      <w:r>
        <w:t xml:space="preserve">Once the final audit has completed, a spreadsheet is returned to the HHSs, where the outcomes of validation reports, costs by facilities, negative cost encounters and high and low cost encounters are reported. An </w:t>
      </w:r>
      <w:r w:rsidR="002821F4">
        <w:t>end-to-end</w:t>
      </w:r>
      <w:r>
        <w:t xml:space="preserve"> reconciliation is performed to identify variances in cost between the initial GL loaded for costing, and the finalised data in th</w:t>
      </w:r>
      <w:r w:rsidR="00393074">
        <w:t>e Decision Support System (DSS).</w:t>
      </w:r>
    </w:p>
    <w:p w:rsidR="008D0D75" w:rsidRPr="00A85593" w:rsidRDefault="008D0D75" w:rsidP="00CE5EF2">
      <w:pPr>
        <w:pStyle w:val="Heading3"/>
      </w:pPr>
      <w:bookmarkStart w:id="95" w:name="_Ref403122130"/>
      <w:r w:rsidRPr="00A85593">
        <w:t>Adjustments to costed dataset</w:t>
      </w:r>
      <w:bookmarkEnd w:id="95"/>
    </w:p>
    <w:p w:rsidR="008D0D75" w:rsidRDefault="00F255B9" w:rsidP="008D0D75">
      <w:pPr>
        <w:pStyle w:val="PwCNormal"/>
        <w:numPr>
          <w:ilvl w:val="0"/>
          <w:numId w:val="0"/>
        </w:numPr>
      </w:pPr>
      <w:r>
        <w:t>General a</w:t>
      </w:r>
      <w:r w:rsidR="008D0D75">
        <w:t>djustments were made to the costed dataset</w:t>
      </w:r>
      <w:r>
        <w:t>s of all HSS</w:t>
      </w:r>
      <w:r w:rsidR="008D0D75">
        <w:t xml:space="preserve"> by the jurisdiction as part of their finalisation procedures. </w:t>
      </w:r>
      <w:r>
        <w:t>These included:</w:t>
      </w:r>
    </w:p>
    <w:p w:rsidR="008D0D75" w:rsidRDefault="008D0D75" w:rsidP="009C4A5D">
      <w:pPr>
        <w:pStyle w:val="PwCNormal"/>
        <w:numPr>
          <w:ilvl w:val="0"/>
          <w:numId w:val="52"/>
        </w:numPr>
      </w:pPr>
      <w:r>
        <w:t xml:space="preserve">Excluded services – </w:t>
      </w:r>
      <w:r w:rsidR="00783C14">
        <w:t xml:space="preserve">These </w:t>
      </w:r>
      <w:r>
        <w:t>include trust management costs, community care and other dead-ended costs</w:t>
      </w:r>
      <w:r w:rsidR="00461E41">
        <w:t xml:space="preserve"> in order to comply with the AHPCS</w:t>
      </w:r>
      <w:r>
        <w:t>. They are alloc</w:t>
      </w:r>
      <w:r w:rsidR="00393074">
        <w:t>ated to a virtual patient</w:t>
      </w:r>
      <w:r>
        <w:t xml:space="preserve"> </w:t>
      </w:r>
      <w:r w:rsidR="00461E41">
        <w:t>and subsequently excluded.</w:t>
      </w:r>
    </w:p>
    <w:p w:rsidR="008D0D75" w:rsidRDefault="00461E41" w:rsidP="009C4A5D">
      <w:pPr>
        <w:pStyle w:val="PwCNormal"/>
        <w:numPr>
          <w:ilvl w:val="0"/>
          <w:numId w:val="52"/>
        </w:numPr>
      </w:pPr>
      <w:r>
        <w:t>Data quality</w:t>
      </w:r>
      <w:r w:rsidR="00927090">
        <w:t>–</w:t>
      </w:r>
      <w:r>
        <w:t xml:space="preserve">related issues </w:t>
      </w:r>
      <w:r w:rsidR="00783C14">
        <w:t xml:space="preserve">– </w:t>
      </w:r>
      <w:r w:rsidR="00927090">
        <w:t>R</w:t>
      </w:r>
      <w:r w:rsidR="008D0D75">
        <w:t>ecords that do not meet the validation requirements are excluded from the costed dataset. These may include records where the date of birth is earlier than 1 Jan 1900, an unqualified baby</w:t>
      </w:r>
      <w:r w:rsidR="00393074">
        <w:t xml:space="preserve"> that</w:t>
      </w:r>
      <w:r w:rsidR="008D0D75">
        <w:t xml:space="preserve"> does not have a corresponding episode for the mother, and patients who have been admitted </w:t>
      </w:r>
      <w:r w:rsidR="00393074">
        <w:t>based on</w:t>
      </w:r>
      <w:r w:rsidR="008D0D75">
        <w:t xml:space="preserve"> ED records, but do not have an inpatient record. Unlinked records may exist where a record with full patient demographic data does not have a corresponding cost record.</w:t>
      </w:r>
    </w:p>
    <w:p w:rsidR="00461E41" w:rsidRDefault="00461E41" w:rsidP="00461E41">
      <w:pPr>
        <w:pStyle w:val="PwCNormal"/>
        <w:numPr>
          <w:ilvl w:val="0"/>
          <w:numId w:val="0"/>
        </w:numPr>
      </w:pPr>
    </w:p>
    <w:p w:rsidR="00461E41" w:rsidRPr="00317EA9" w:rsidRDefault="00461E41" w:rsidP="00461E41">
      <w:pPr>
        <w:pStyle w:val="PwCNormal"/>
        <w:numPr>
          <w:ilvl w:val="0"/>
          <w:numId w:val="0"/>
        </w:numPr>
        <w:rPr>
          <w:i/>
          <w:color w:val="A32020" w:themeColor="text2"/>
          <w:sz w:val="24"/>
          <w:szCs w:val="24"/>
        </w:rPr>
      </w:pPr>
      <w:r>
        <w:rPr>
          <w:i/>
          <w:color w:val="A32020" w:themeColor="text2"/>
          <w:sz w:val="24"/>
          <w:szCs w:val="24"/>
        </w:rPr>
        <w:lastRenderedPageBreak/>
        <w:t>Wide Bay HHS (Bundaberg)</w:t>
      </w:r>
    </w:p>
    <w:p w:rsidR="008D0D75" w:rsidRDefault="008D0D75" w:rsidP="00461E41">
      <w:pPr>
        <w:pStyle w:val="PwCNormal"/>
        <w:numPr>
          <w:ilvl w:val="0"/>
          <w:numId w:val="0"/>
        </w:numPr>
        <w:spacing w:after="120"/>
      </w:pPr>
      <w:r>
        <w:t xml:space="preserve">Below is a list of </w:t>
      </w:r>
      <w:r w:rsidR="00461E41">
        <w:t xml:space="preserve">specific </w:t>
      </w:r>
      <w:r>
        <w:t>adjustments made to the Bundaberg data by the jurisdiction:</w:t>
      </w:r>
    </w:p>
    <w:p w:rsidR="008D0D75" w:rsidRDefault="008D0D75" w:rsidP="00461E41">
      <w:pPr>
        <w:pStyle w:val="PwCNormal"/>
        <w:numPr>
          <w:ilvl w:val="0"/>
          <w:numId w:val="63"/>
        </w:numPr>
        <w:spacing w:after="120"/>
      </w:pPr>
      <w:r>
        <w:t>WIP adjustments – $14.3</w:t>
      </w:r>
      <w:r w:rsidR="00AF1D40">
        <w:t xml:space="preserve"> </w:t>
      </w:r>
      <w:r>
        <w:t>m</w:t>
      </w:r>
      <w:r w:rsidR="00AF1D40">
        <w:t>illion</w:t>
      </w:r>
      <w:r>
        <w:t xml:space="preserve"> was added which related to carried forward costs from prior years. $6.7</w:t>
      </w:r>
      <w:r w:rsidR="00AF1D40">
        <w:t xml:space="preserve"> </w:t>
      </w:r>
      <w:r>
        <w:t>m</w:t>
      </w:r>
      <w:r w:rsidR="00597FBD">
        <w:t>illi</w:t>
      </w:r>
      <w:r w:rsidR="00AF1D40">
        <w:t>on</w:t>
      </w:r>
      <w:r>
        <w:t xml:space="preserve"> was removed </w:t>
      </w:r>
      <w:r w:rsidR="00393074">
        <w:t xml:space="preserve">which </w:t>
      </w:r>
      <w:r>
        <w:t>related to patients who were admitted during the financial year but were not yet discharged.</w:t>
      </w:r>
    </w:p>
    <w:p w:rsidR="008D0D75" w:rsidRDefault="008D0D75" w:rsidP="00461E41">
      <w:pPr>
        <w:pStyle w:val="PwCNormal"/>
        <w:numPr>
          <w:ilvl w:val="0"/>
          <w:numId w:val="63"/>
        </w:numPr>
        <w:spacing w:after="120"/>
      </w:pPr>
      <w:r>
        <w:t xml:space="preserve">Costs removed due to QA checks </w:t>
      </w:r>
      <w:r w:rsidR="00AF1D40">
        <w:t>–</w:t>
      </w:r>
      <w:r>
        <w:t xml:space="preserve"> $9.2</w:t>
      </w:r>
      <w:r w:rsidR="00597FBD">
        <w:t xml:space="preserve"> </w:t>
      </w:r>
      <w:r>
        <w:t>m</w:t>
      </w:r>
      <w:r w:rsidR="00AF1D40">
        <w:t>illion</w:t>
      </w:r>
      <w:r>
        <w:t xml:space="preserve"> was removed due to patient records not passing all the state and IHPA quality assurance checks</w:t>
      </w:r>
      <w:r w:rsidR="00927090">
        <w:t>.</w:t>
      </w:r>
    </w:p>
    <w:p w:rsidR="008D0D75" w:rsidRDefault="008D0D75" w:rsidP="00461E41">
      <w:pPr>
        <w:pStyle w:val="PwCNormal"/>
        <w:numPr>
          <w:ilvl w:val="0"/>
          <w:numId w:val="63"/>
        </w:numPr>
        <w:spacing w:after="120"/>
      </w:pPr>
      <w:r>
        <w:t>Corp</w:t>
      </w:r>
      <w:r w:rsidR="00AF1D40">
        <w:t>orate o</w:t>
      </w:r>
      <w:r>
        <w:t>verheads – $5.4</w:t>
      </w:r>
      <w:r w:rsidR="00AF1D40">
        <w:t xml:space="preserve"> </w:t>
      </w:r>
      <w:r>
        <w:t>m</w:t>
      </w:r>
      <w:r w:rsidR="00AF1D40">
        <w:t>illion</w:t>
      </w:r>
      <w:r>
        <w:t xml:space="preserve"> of corporate overheads added by the jurisdiction. Corporate overheads are allocated based on total cost of the encounter for inpatient, emergency and outpatients</w:t>
      </w:r>
      <w:r w:rsidR="00927090">
        <w:t>.</w:t>
      </w:r>
    </w:p>
    <w:p w:rsidR="008D0D75" w:rsidRDefault="008D0D75" w:rsidP="00461E41">
      <w:pPr>
        <w:pStyle w:val="PwCNormal"/>
        <w:numPr>
          <w:ilvl w:val="0"/>
          <w:numId w:val="63"/>
        </w:numPr>
        <w:spacing w:after="120"/>
      </w:pPr>
      <w:r>
        <w:t>Out of scope activities – $9.4</w:t>
      </w:r>
      <w:r w:rsidR="00AF1D40">
        <w:t xml:space="preserve"> </w:t>
      </w:r>
      <w:r>
        <w:t>m</w:t>
      </w:r>
      <w:r w:rsidR="00AF1D40">
        <w:t>illion</w:t>
      </w:r>
      <w:r>
        <w:t xml:space="preserve"> related to non-ABF activities, including services provided to other entities and patient transport schemes</w:t>
      </w:r>
      <w:r w:rsidR="00927090">
        <w:t>.</w:t>
      </w:r>
    </w:p>
    <w:p w:rsidR="008D0D75" w:rsidRDefault="008D0D75" w:rsidP="00461E41">
      <w:pPr>
        <w:pStyle w:val="PwCNormal"/>
        <w:numPr>
          <w:ilvl w:val="0"/>
          <w:numId w:val="63"/>
        </w:numPr>
        <w:spacing w:after="120"/>
      </w:pPr>
      <w:r>
        <w:t>Negative cost encounters – $</w:t>
      </w:r>
      <w:r w:rsidR="00AF1D40">
        <w:t xml:space="preserve">18,000 </w:t>
      </w:r>
      <w:r>
        <w:t>relating to encounters with a negative cost have been excluded in accordance with IHPA guidelines, increasing overall total costs</w:t>
      </w:r>
      <w:r w:rsidR="00927090">
        <w:t>.</w:t>
      </w:r>
    </w:p>
    <w:p w:rsidR="008D0D75" w:rsidRPr="00087CA2" w:rsidRDefault="008D0D75" w:rsidP="00461E41">
      <w:pPr>
        <w:pStyle w:val="PwCNormal"/>
        <w:numPr>
          <w:ilvl w:val="0"/>
          <w:numId w:val="63"/>
        </w:numPr>
        <w:spacing w:after="120"/>
      </w:pPr>
      <w:r>
        <w:t>Mismatched cost records – $8.2</w:t>
      </w:r>
      <w:r w:rsidR="00AF1D40">
        <w:t xml:space="preserve"> </w:t>
      </w:r>
      <w:r>
        <w:t>m</w:t>
      </w:r>
      <w:r w:rsidR="00AF1D40">
        <w:t>illion</w:t>
      </w:r>
      <w:r>
        <w:t xml:space="preserve"> </w:t>
      </w:r>
      <w:r w:rsidR="00393074">
        <w:t xml:space="preserve">was excluded, </w:t>
      </w:r>
      <w:r>
        <w:t>relating to patient and cost records unable to be linked or matched correctly. This is primarily due to data quality issues.</w:t>
      </w:r>
    </w:p>
    <w:p w:rsidR="008D0D75" w:rsidRDefault="008D0D75" w:rsidP="00461E41">
      <w:pPr>
        <w:pStyle w:val="PwCNormal"/>
        <w:numPr>
          <w:ilvl w:val="0"/>
          <w:numId w:val="0"/>
        </w:numPr>
        <w:spacing w:after="120"/>
      </w:pPr>
      <w:r w:rsidRPr="00B84BE1">
        <w:t>The</w:t>
      </w:r>
      <w:r>
        <w:t xml:space="preserve"> impact of these adjustments on activity across the hospital products is listed below:</w:t>
      </w:r>
    </w:p>
    <w:p w:rsidR="008D0D75" w:rsidRDefault="008D0D75" w:rsidP="00461E41">
      <w:pPr>
        <w:pStyle w:val="PwCNormal"/>
        <w:numPr>
          <w:ilvl w:val="0"/>
          <w:numId w:val="68"/>
        </w:numPr>
        <w:spacing w:after="120"/>
      </w:pPr>
      <w:r>
        <w:t>Acute –</w:t>
      </w:r>
      <w:r w:rsidR="00927090">
        <w:t xml:space="preserve"> </w:t>
      </w:r>
      <w:r>
        <w:t>184 encounters</w:t>
      </w:r>
      <w:r w:rsidR="00927090" w:rsidRPr="00927090">
        <w:t xml:space="preserve"> </w:t>
      </w:r>
      <w:r w:rsidR="00927090">
        <w:t>excluded</w:t>
      </w:r>
    </w:p>
    <w:p w:rsidR="008D0D75" w:rsidRDefault="008D0D75" w:rsidP="00461E41">
      <w:pPr>
        <w:pStyle w:val="PwCNormal"/>
        <w:numPr>
          <w:ilvl w:val="0"/>
          <w:numId w:val="68"/>
        </w:numPr>
        <w:spacing w:after="120"/>
      </w:pPr>
      <w:r>
        <w:t>Outpatient –</w:t>
      </w:r>
      <w:r w:rsidR="00927090">
        <w:t xml:space="preserve"> </w:t>
      </w:r>
      <w:r>
        <w:t>12,293 encounters</w:t>
      </w:r>
      <w:r w:rsidR="00927090" w:rsidRPr="00927090">
        <w:t xml:space="preserve"> </w:t>
      </w:r>
      <w:r w:rsidR="00927090">
        <w:t>excluded</w:t>
      </w:r>
    </w:p>
    <w:p w:rsidR="008D0D75" w:rsidRDefault="008D0D75" w:rsidP="00461E41">
      <w:pPr>
        <w:pStyle w:val="PwCNormal"/>
        <w:numPr>
          <w:ilvl w:val="0"/>
          <w:numId w:val="68"/>
        </w:numPr>
        <w:spacing w:after="120"/>
      </w:pPr>
      <w:r>
        <w:t>Emergency –</w:t>
      </w:r>
      <w:r w:rsidR="00927090">
        <w:t xml:space="preserve"> </w:t>
      </w:r>
      <w:r>
        <w:t xml:space="preserve">11,222 encounters </w:t>
      </w:r>
      <w:r w:rsidR="00927090">
        <w:t xml:space="preserve">included </w:t>
      </w:r>
      <w:r>
        <w:t>(due to product type matching error</w:t>
      </w:r>
      <w:r w:rsidR="00393074">
        <w:t>s</w:t>
      </w:r>
      <w:r>
        <w:t xml:space="preserve"> during processing)</w:t>
      </w:r>
    </w:p>
    <w:p w:rsidR="008D0D75" w:rsidRDefault="008D0D75" w:rsidP="00461E41">
      <w:pPr>
        <w:pStyle w:val="PwCNormal"/>
        <w:numPr>
          <w:ilvl w:val="0"/>
          <w:numId w:val="68"/>
        </w:numPr>
        <w:spacing w:after="120"/>
      </w:pPr>
      <w:r>
        <w:t>Sub-acute –</w:t>
      </w:r>
      <w:r w:rsidR="00927090">
        <w:t xml:space="preserve"> </w:t>
      </w:r>
      <w:r>
        <w:t xml:space="preserve">17 encounters </w:t>
      </w:r>
      <w:r w:rsidR="00927090">
        <w:t xml:space="preserve">excluded </w:t>
      </w:r>
    </w:p>
    <w:p w:rsidR="008D0D75" w:rsidRDefault="008D0D75" w:rsidP="00461E41">
      <w:pPr>
        <w:pStyle w:val="PwCNormal"/>
        <w:numPr>
          <w:ilvl w:val="0"/>
          <w:numId w:val="68"/>
        </w:numPr>
        <w:spacing w:after="120"/>
      </w:pPr>
      <w:r>
        <w:t>Other –</w:t>
      </w:r>
      <w:r w:rsidR="00927090">
        <w:t xml:space="preserve"> </w:t>
      </w:r>
      <w:r>
        <w:t>535 encounters</w:t>
      </w:r>
      <w:r w:rsidR="00927090" w:rsidRPr="00927090">
        <w:t xml:space="preserve"> </w:t>
      </w:r>
      <w:r w:rsidR="00927090">
        <w:t>excluded.</w:t>
      </w:r>
    </w:p>
    <w:p w:rsidR="00461E41" w:rsidRPr="00317EA9" w:rsidRDefault="00461E41" w:rsidP="00461E41">
      <w:pPr>
        <w:pStyle w:val="PwCNormal"/>
        <w:numPr>
          <w:ilvl w:val="0"/>
          <w:numId w:val="0"/>
        </w:numPr>
        <w:spacing w:before="240" w:after="120"/>
        <w:rPr>
          <w:i/>
          <w:color w:val="A32020" w:themeColor="text2"/>
          <w:sz w:val="24"/>
          <w:szCs w:val="24"/>
        </w:rPr>
      </w:pPr>
      <w:r>
        <w:rPr>
          <w:i/>
          <w:color w:val="A32020" w:themeColor="text2"/>
          <w:sz w:val="24"/>
          <w:szCs w:val="24"/>
        </w:rPr>
        <w:t>Townsville HHS</w:t>
      </w:r>
    </w:p>
    <w:p w:rsidR="008D0D75" w:rsidRDefault="008D0D75" w:rsidP="00461E41">
      <w:pPr>
        <w:pStyle w:val="PwCNormal"/>
        <w:numPr>
          <w:ilvl w:val="0"/>
          <w:numId w:val="0"/>
        </w:numPr>
        <w:spacing w:after="120"/>
      </w:pPr>
      <w:r w:rsidRPr="0081415C">
        <w:t xml:space="preserve">Below is a list of </w:t>
      </w:r>
      <w:r w:rsidR="00461E41">
        <w:t xml:space="preserve">specific </w:t>
      </w:r>
      <w:r w:rsidRPr="0081415C">
        <w:t>adjustments made to the Townsville data</w:t>
      </w:r>
      <w:r>
        <w:t xml:space="preserve"> by the jurisdiction</w:t>
      </w:r>
      <w:r w:rsidRPr="0081415C">
        <w:t>:</w:t>
      </w:r>
    </w:p>
    <w:p w:rsidR="008D0D75" w:rsidRDefault="008D0D75" w:rsidP="00461E41">
      <w:pPr>
        <w:pStyle w:val="PwCNormal"/>
        <w:numPr>
          <w:ilvl w:val="0"/>
          <w:numId w:val="66"/>
        </w:numPr>
        <w:spacing w:after="120"/>
      </w:pPr>
      <w:r>
        <w:t>WIP adjustments – $52.3</w:t>
      </w:r>
      <w:r w:rsidR="00AF1D40">
        <w:t xml:space="preserve"> </w:t>
      </w:r>
      <w:r>
        <w:t>m</w:t>
      </w:r>
      <w:r w:rsidR="00AF1D40">
        <w:t>illion</w:t>
      </w:r>
      <w:r>
        <w:t xml:space="preserve"> was added which related to carried forward costs from prior years. $32.4</w:t>
      </w:r>
      <w:r w:rsidR="00597FBD">
        <w:t xml:space="preserve"> </w:t>
      </w:r>
      <w:r>
        <w:t>m</w:t>
      </w:r>
      <w:r w:rsidR="00597FBD">
        <w:t>illion</w:t>
      </w:r>
      <w:r>
        <w:t xml:space="preserve"> was removed</w:t>
      </w:r>
      <w:r w:rsidR="00393074">
        <w:t xml:space="preserve"> which</w:t>
      </w:r>
      <w:r>
        <w:t xml:space="preserve"> related to patients who were admitted during the financial year but were not yet discharged.</w:t>
      </w:r>
    </w:p>
    <w:p w:rsidR="008D0D75" w:rsidRDefault="008D0D75" w:rsidP="00461E41">
      <w:pPr>
        <w:pStyle w:val="PwCNormal"/>
        <w:numPr>
          <w:ilvl w:val="0"/>
          <w:numId w:val="66"/>
        </w:numPr>
        <w:spacing w:after="120"/>
      </w:pPr>
      <w:r>
        <w:t xml:space="preserve">Costs removed due to QA checks </w:t>
      </w:r>
      <w:r w:rsidR="00AF1D40">
        <w:t xml:space="preserve">– </w:t>
      </w:r>
      <w:r>
        <w:t>$139.2</w:t>
      </w:r>
      <w:r w:rsidR="00AF1D40">
        <w:t xml:space="preserve"> </w:t>
      </w:r>
      <w:r>
        <w:t>m</w:t>
      </w:r>
      <w:r w:rsidR="00AF1D40">
        <w:t>illion</w:t>
      </w:r>
      <w:r>
        <w:t xml:space="preserve"> was removed due to patient records not passing all the state and IHPA quality assurance checks</w:t>
      </w:r>
      <w:r w:rsidR="00927090">
        <w:t>.</w:t>
      </w:r>
    </w:p>
    <w:p w:rsidR="008D0D75" w:rsidRDefault="008D0D75" w:rsidP="00461E41">
      <w:pPr>
        <w:pStyle w:val="PwCNormal"/>
        <w:numPr>
          <w:ilvl w:val="0"/>
          <w:numId w:val="66"/>
        </w:numPr>
        <w:spacing w:after="120"/>
      </w:pPr>
      <w:r>
        <w:t>Corp</w:t>
      </w:r>
      <w:r w:rsidR="00AF1D40">
        <w:t>orate o</w:t>
      </w:r>
      <w:r>
        <w:t>verheads – $11.8</w:t>
      </w:r>
      <w:r w:rsidR="00AF1D40">
        <w:t xml:space="preserve"> </w:t>
      </w:r>
      <w:r>
        <w:t>m</w:t>
      </w:r>
      <w:r w:rsidR="00AF1D40">
        <w:t>illion</w:t>
      </w:r>
      <w:r>
        <w:t xml:space="preserve"> </w:t>
      </w:r>
      <w:r w:rsidR="00AF1D40">
        <w:t xml:space="preserve">in </w:t>
      </w:r>
      <w:r>
        <w:t>corporate overheads added by the jurisdiction. Corporate overheads are allocated based on total cost of the encounter for inpatient, emergency and outpatients</w:t>
      </w:r>
      <w:r w:rsidR="00927090">
        <w:t>.</w:t>
      </w:r>
    </w:p>
    <w:p w:rsidR="008D0D75" w:rsidRDefault="008D0D75" w:rsidP="00461E41">
      <w:pPr>
        <w:pStyle w:val="PwCNormal"/>
        <w:numPr>
          <w:ilvl w:val="0"/>
          <w:numId w:val="66"/>
        </w:numPr>
        <w:spacing w:after="120"/>
      </w:pPr>
      <w:r>
        <w:t>Out of scope activities – $4.5</w:t>
      </w:r>
      <w:r w:rsidR="00AF1D40">
        <w:t xml:space="preserve"> </w:t>
      </w:r>
      <w:r>
        <w:t>m</w:t>
      </w:r>
      <w:r w:rsidR="00AF1D40">
        <w:t>illion</w:t>
      </w:r>
      <w:r>
        <w:t xml:space="preserve"> related to non-ABF activities, including nursing homes and services provided to other entities</w:t>
      </w:r>
      <w:r w:rsidR="00927090">
        <w:t>.</w:t>
      </w:r>
    </w:p>
    <w:p w:rsidR="008D0D75" w:rsidRDefault="008D0D75" w:rsidP="00461E41">
      <w:pPr>
        <w:pStyle w:val="PwCNormal"/>
        <w:numPr>
          <w:ilvl w:val="0"/>
          <w:numId w:val="66"/>
        </w:numPr>
        <w:spacing w:after="120"/>
      </w:pPr>
      <w:r>
        <w:t>Negative cost encounters – $</w:t>
      </w:r>
      <w:r w:rsidR="00AF1D40">
        <w:t xml:space="preserve">101,000 </w:t>
      </w:r>
      <w:r>
        <w:t>relating to encounters with a negative cost have been excluded in accordance with IHPA guidelines, increasing overall total costs</w:t>
      </w:r>
      <w:r w:rsidR="00927090">
        <w:t>.</w:t>
      </w:r>
    </w:p>
    <w:p w:rsidR="008D0D75" w:rsidRDefault="008D0D75" w:rsidP="00461E41">
      <w:pPr>
        <w:pStyle w:val="PwCNormal"/>
        <w:numPr>
          <w:ilvl w:val="0"/>
          <w:numId w:val="66"/>
        </w:numPr>
        <w:spacing w:after="120"/>
      </w:pPr>
      <w:r>
        <w:t>Mismatched cost records – $20.9</w:t>
      </w:r>
      <w:r w:rsidR="00AF1D40">
        <w:t xml:space="preserve"> </w:t>
      </w:r>
      <w:r>
        <w:t>m</w:t>
      </w:r>
      <w:r w:rsidR="00AF1D40">
        <w:t>illion</w:t>
      </w:r>
      <w:r w:rsidR="00393074" w:rsidRPr="00393074">
        <w:t xml:space="preserve"> </w:t>
      </w:r>
      <w:r w:rsidR="00393074">
        <w:t>was excluded,</w:t>
      </w:r>
      <w:r w:rsidRPr="00087CA2">
        <w:t xml:space="preserve"> </w:t>
      </w:r>
      <w:r>
        <w:t>relating to patient and cost records unable to be linked or matched correctly. This is primarily due to data quality issues.</w:t>
      </w:r>
    </w:p>
    <w:p w:rsidR="008D0D75" w:rsidRDefault="008D0D75" w:rsidP="00461E41">
      <w:pPr>
        <w:pStyle w:val="PwCNormal"/>
        <w:numPr>
          <w:ilvl w:val="0"/>
          <w:numId w:val="0"/>
        </w:numPr>
        <w:spacing w:after="120"/>
      </w:pPr>
      <w:r w:rsidRPr="00B84BE1">
        <w:t>The</w:t>
      </w:r>
      <w:r>
        <w:t xml:space="preserve"> impact of these adjustments on activity across the hospital products is listed below:</w:t>
      </w:r>
    </w:p>
    <w:p w:rsidR="008D0D75" w:rsidRDefault="008D0D75" w:rsidP="00461E41">
      <w:pPr>
        <w:pStyle w:val="PwCNormal"/>
        <w:numPr>
          <w:ilvl w:val="0"/>
          <w:numId w:val="68"/>
        </w:numPr>
        <w:spacing w:after="120"/>
      </w:pPr>
      <w:r>
        <w:t>Acute –</w:t>
      </w:r>
      <w:r w:rsidR="00927090">
        <w:t xml:space="preserve"> </w:t>
      </w:r>
      <w:r>
        <w:t>423 encounters</w:t>
      </w:r>
      <w:r w:rsidR="00927090" w:rsidRPr="00927090">
        <w:t xml:space="preserve"> </w:t>
      </w:r>
      <w:r w:rsidR="00927090">
        <w:t>excluded</w:t>
      </w:r>
    </w:p>
    <w:p w:rsidR="008D0D75" w:rsidRDefault="008D0D75" w:rsidP="00461E41">
      <w:pPr>
        <w:pStyle w:val="PwCNormal"/>
        <w:numPr>
          <w:ilvl w:val="0"/>
          <w:numId w:val="68"/>
        </w:numPr>
        <w:spacing w:after="120"/>
      </w:pPr>
      <w:r>
        <w:t>Outpatient – excluded 22,540 encounters</w:t>
      </w:r>
    </w:p>
    <w:p w:rsidR="008D0D75" w:rsidRDefault="008D0D75" w:rsidP="00461E41">
      <w:pPr>
        <w:pStyle w:val="PwCNormal"/>
        <w:numPr>
          <w:ilvl w:val="0"/>
          <w:numId w:val="68"/>
        </w:numPr>
        <w:spacing w:after="120"/>
      </w:pPr>
      <w:r>
        <w:t>Emergency – included 15,213 encounters (due to product type matching error during processing)</w:t>
      </w:r>
    </w:p>
    <w:p w:rsidR="008D0D75" w:rsidRDefault="008D0D75" w:rsidP="00461E41">
      <w:pPr>
        <w:pStyle w:val="PwCNormal"/>
        <w:numPr>
          <w:ilvl w:val="0"/>
          <w:numId w:val="68"/>
        </w:numPr>
        <w:spacing w:after="120"/>
      </w:pPr>
      <w:r>
        <w:lastRenderedPageBreak/>
        <w:t xml:space="preserve">Sub-acute – excluded 57 encounters and </w:t>
      </w:r>
    </w:p>
    <w:p w:rsidR="008D0D75" w:rsidRDefault="008D0D75" w:rsidP="00461E41">
      <w:pPr>
        <w:pStyle w:val="PwCNormal"/>
        <w:numPr>
          <w:ilvl w:val="0"/>
          <w:numId w:val="68"/>
        </w:numPr>
        <w:spacing w:after="120"/>
      </w:pPr>
      <w:r>
        <w:t>Other – excluded 1,715 encounters</w:t>
      </w:r>
    </w:p>
    <w:p w:rsidR="00461E41" w:rsidRPr="00317EA9" w:rsidRDefault="00461E41" w:rsidP="00461E41">
      <w:pPr>
        <w:pStyle w:val="PwCNormal"/>
        <w:numPr>
          <w:ilvl w:val="0"/>
          <w:numId w:val="0"/>
        </w:numPr>
        <w:spacing w:before="240" w:after="120"/>
        <w:rPr>
          <w:i/>
          <w:color w:val="A32020" w:themeColor="text2"/>
          <w:sz w:val="24"/>
          <w:szCs w:val="24"/>
        </w:rPr>
      </w:pPr>
      <w:r>
        <w:rPr>
          <w:i/>
          <w:color w:val="A32020" w:themeColor="text2"/>
          <w:sz w:val="24"/>
          <w:szCs w:val="24"/>
        </w:rPr>
        <w:t>Sunshine Coast HHS</w:t>
      </w:r>
    </w:p>
    <w:p w:rsidR="008D0D75" w:rsidRDefault="008D0D75" w:rsidP="00461E41">
      <w:pPr>
        <w:pStyle w:val="PwCNormal"/>
        <w:numPr>
          <w:ilvl w:val="0"/>
          <w:numId w:val="0"/>
        </w:numPr>
        <w:spacing w:after="120"/>
      </w:pPr>
      <w:r>
        <w:t>Below is a list of adjustments made to the Sunshine Coast data by the jurisdiction:</w:t>
      </w:r>
    </w:p>
    <w:p w:rsidR="008D0D75" w:rsidRDefault="008D0D75" w:rsidP="00461E41">
      <w:pPr>
        <w:pStyle w:val="PwCNormal"/>
        <w:numPr>
          <w:ilvl w:val="0"/>
          <w:numId w:val="65"/>
        </w:numPr>
        <w:spacing w:after="120"/>
      </w:pPr>
      <w:r>
        <w:t>WIP adjustments –</w:t>
      </w:r>
      <w:r w:rsidR="00AF1D40">
        <w:t xml:space="preserve"> </w:t>
      </w:r>
      <w:r>
        <w:t>$9.9</w:t>
      </w:r>
      <w:r w:rsidR="00AF1D40">
        <w:t xml:space="preserve"> </w:t>
      </w:r>
      <w:r>
        <w:t>m</w:t>
      </w:r>
      <w:r w:rsidR="00AF1D40">
        <w:t>illion</w:t>
      </w:r>
      <w:r>
        <w:t xml:space="preserve"> was removed </w:t>
      </w:r>
      <w:r w:rsidR="00393074">
        <w:t xml:space="preserve">which </w:t>
      </w:r>
      <w:r>
        <w:t>related to patients who were admitted during the financial year but were not yet discharged.</w:t>
      </w:r>
    </w:p>
    <w:p w:rsidR="008D0D75" w:rsidRDefault="008D0D75" w:rsidP="00461E41">
      <w:pPr>
        <w:pStyle w:val="PwCNormal"/>
        <w:numPr>
          <w:ilvl w:val="0"/>
          <w:numId w:val="65"/>
        </w:numPr>
        <w:spacing w:after="120"/>
      </w:pPr>
      <w:r>
        <w:t xml:space="preserve">Costs removed due to QA checks </w:t>
      </w:r>
      <w:r w:rsidR="00AF1D40">
        <w:t>–</w:t>
      </w:r>
      <w:r>
        <w:t xml:space="preserve"> $95.4</w:t>
      </w:r>
      <w:r w:rsidR="00AF1D40">
        <w:t xml:space="preserve"> </w:t>
      </w:r>
      <w:r>
        <w:t>m</w:t>
      </w:r>
      <w:r w:rsidR="00AF1D40">
        <w:t>illion</w:t>
      </w:r>
      <w:r>
        <w:t xml:space="preserve"> was removed due to patient records not passing all the state and IHPA quality assurance checks</w:t>
      </w:r>
      <w:r w:rsidR="00927090">
        <w:t>.</w:t>
      </w:r>
    </w:p>
    <w:p w:rsidR="008D0D75" w:rsidRDefault="008D0D75" w:rsidP="00461E41">
      <w:pPr>
        <w:pStyle w:val="PwCNormal"/>
        <w:numPr>
          <w:ilvl w:val="0"/>
          <w:numId w:val="65"/>
        </w:numPr>
        <w:spacing w:after="120"/>
      </w:pPr>
      <w:r>
        <w:t>Corp</w:t>
      </w:r>
      <w:r w:rsidR="00AF1D40">
        <w:t>orate o</w:t>
      </w:r>
      <w:r>
        <w:t>verheads – $9.3</w:t>
      </w:r>
      <w:r w:rsidR="00AF1D40">
        <w:t xml:space="preserve"> </w:t>
      </w:r>
      <w:r>
        <w:t>m</w:t>
      </w:r>
      <w:r w:rsidR="00AF1D40">
        <w:t>illion</w:t>
      </w:r>
      <w:r>
        <w:t xml:space="preserve"> of corporate overheads added by the jurisdiction. Corporate overheads are allocated based on total cost of the encounter for inpatient, emergency and outpatients</w:t>
      </w:r>
      <w:r w:rsidR="00927090">
        <w:t>.</w:t>
      </w:r>
    </w:p>
    <w:p w:rsidR="008D0D75" w:rsidRDefault="008D0D75" w:rsidP="00461E41">
      <w:pPr>
        <w:pStyle w:val="PwCNormal"/>
        <w:numPr>
          <w:ilvl w:val="0"/>
          <w:numId w:val="65"/>
        </w:numPr>
        <w:spacing w:after="120"/>
      </w:pPr>
      <w:r>
        <w:t>Out of scope activities – $99.6</w:t>
      </w:r>
      <w:r w:rsidR="00AF1D40">
        <w:t xml:space="preserve"> </w:t>
      </w:r>
      <w:r>
        <w:t>m</w:t>
      </w:r>
      <w:r w:rsidR="00AF1D40">
        <w:t>illion</w:t>
      </w:r>
      <w:r>
        <w:t xml:space="preserve"> related to non-ABF activities, including services provided to other entities, nursing homes and the patient transport scheme</w:t>
      </w:r>
      <w:r w:rsidR="00927090">
        <w:t>.</w:t>
      </w:r>
    </w:p>
    <w:p w:rsidR="008D0D75" w:rsidRDefault="008D0D75" w:rsidP="00461E41">
      <w:pPr>
        <w:pStyle w:val="PwCNormal"/>
        <w:numPr>
          <w:ilvl w:val="0"/>
          <w:numId w:val="65"/>
        </w:numPr>
        <w:spacing w:after="120"/>
      </w:pPr>
      <w:r>
        <w:t>Negative cost encounters – $</w:t>
      </w:r>
      <w:r w:rsidR="00AF1D40">
        <w:t xml:space="preserve">18,000 </w:t>
      </w:r>
      <w:r>
        <w:t>relating to encounters with a negative cost have been excluded in accordance with IHPA guidelines, increasing overall total costs</w:t>
      </w:r>
      <w:r w:rsidR="00927090">
        <w:t>.</w:t>
      </w:r>
    </w:p>
    <w:p w:rsidR="008D0D75" w:rsidRPr="00087CA2" w:rsidRDefault="008D0D75" w:rsidP="00461E41">
      <w:pPr>
        <w:pStyle w:val="PwCNormal"/>
        <w:numPr>
          <w:ilvl w:val="0"/>
          <w:numId w:val="65"/>
        </w:numPr>
        <w:spacing w:after="120"/>
      </w:pPr>
      <w:r>
        <w:t>Mismatched cost records – $2.82</w:t>
      </w:r>
      <w:r w:rsidR="00AF1D40">
        <w:t xml:space="preserve"> </w:t>
      </w:r>
      <w:r>
        <w:t>m</w:t>
      </w:r>
      <w:r w:rsidR="00AF1D40">
        <w:t>illion</w:t>
      </w:r>
      <w:r w:rsidR="00393074" w:rsidRPr="00393074">
        <w:t xml:space="preserve"> </w:t>
      </w:r>
      <w:r w:rsidR="00393074">
        <w:t>was excluded,</w:t>
      </w:r>
      <w:r>
        <w:t xml:space="preserve"> relating to patient and cost records unable to be linked or matched correctly. This is primarily due to data quality issues.</w:t>
      </w:r>
    </w:p>
    <w:p w:rsidR="008D0D75" w:rsidRDefault="008D0D75" w:rsidP="00461E41">
      <w:pPr>
        <w:pStyle w:val="PwCNormal"/>
        <w:numPr>
          <w:ilvl w:val="0"/>
          <w:numId w:val="0"/>
        </w:numPr>
        <w:spacing w:after="120"/>
      </w:pPr>
      <w:r w:rsidRPr="00B84BE1">
        <w:t>The</w:t>
      </w:r>
      <w:r>
        <w:t xml:space="preserve"> impact of these adjustments on activity across the hospital products is listed below:</w:t>
      </w:r>
    </w:p>
    <w:p w:rsidR="008D0D75" w:rsidRDefault="008D0D75" w:rsidP="00461E41">
      <w:pPr>
        <w:pStyle w:val="PwCNormal"/>
        <w:numPr>
          <w:ilvl w:val="0"/>
          <w:numId w:val="68"/>
        </w:numPr>
        <w:spacing w:after="120"/>
      </w:pPr>
      <w:r>
        <w:t>Acute –</w:t>
      </w:r>
      <w:r w:rsidR="00927090">
        <w:t xml:space="preserve"> </w:t>
      </w:r>
      <w:r>
        <w:t>444 encounters</w:t>
      </w:r>
      <w:r w:rsidR="00927090" w:rsidRPr="00927090">
        <w:t xml:space="preserve"> </w:t>
      </w:r>
      <w:r w:rsidR="00927090">
        <w:t>excluded</w:t>
      </w:r>
    </w:p>
    <w:p w:rsidR="008D0D75" w:rsidRDefault="008D0D75" w:rsidP="00461E41">
      <w:pPr>
        <w:pStyle w:val="PwCNormal"/>
        <w:numPr>
          <w:ilvl w:val="0"/>
          <w:numId w:val="68"/>
        </w:numPr>
        <w:spacing w:after="120"/>
      </w:pPr>
      <w:r>
        <w:t>Outpatient –</w:t>
      </w:r>
      <w:r w:rsidR="00927090">
        <w:t xml:space="preserve"> </w:t>
      </w:r>
      <w:r>
        <w:t>11,877 encounters</w:t>
      </w:r>
      <w:r w:rsidR="00927090" w:rsidRPr="00927090">
        <w:t xml:space="preserve"> </w:t>
      </w:r>
      <w:r w:rsidR="00927090">
        <w:t>excluded</w:t>
      </w:r>
    </w:p>
    <w:p w:rsidR="008D0D75" w:rsidRDefault="008D0D75" w:rsidP="00461E41">
      <w:pPr>
        <w:pStyle w:val="PwCNormal"/>
        <w:numPr>
          <w:ilvl w:val="0"/>
          <w:numId w:val="68"/>
        </w:numPr>
        <w:spacing w:after="120"/>
      </w:pPr>
      <w:r>
        <w:t>Emergency –</w:t>
      </w:r>
      <w:r w:rsidR="00927090">
        <w:t xml:space="preserve"> </w:t>
      </w:r>
      <w:r>
        <w:t xml:space="preserve">3,299 encounters </w:t>
      </w:r>
      <w:r w:rsidR="00927090">
        <w:t xml:space="preserve">included </w:t>
      </w:r>
      <w:r>
        <w:t>(due to product type matching error during processing)</w:t>
      </w:r>
    </w:p>
    <w:p w:rsidR="008D0D75" w:rsidRDefault="008D0D75" w:rsidP="00461E41">
      <w:pPr>
        <w:pStyle w:val="PwCNormal"/>
        <w:numPr>
          <w:ilvl w:val="0"/>
          <w:numId w:val="68"/>
        </w:numPr>
        <w:spacing w:after="120"/>
      </w:pPr>
      <w:r>
        <w:t>Sub-acute –</w:t>
      </w:r>
      <w:r w:rsidR="00927090">
        <w:t xml:space="preserve"> </w:t>
      </w:r>
      <w:r>
        <w:t xml:space="preserve">57 encounters </w:t>
      </w:r>
      <w:r w:rsidR="00927090">
        <w:t xml:space="preserve">excluded </w:t>
      </w:r>
    </w:p>
    <w:p w:rsidR="008D0D75" w:rsidRDefault="008D0D75" w:rsidP="009C4A5D">
      <w:pPr>
        <w:pStyle w:val="PwCNormal"/>
        <w:numPr>
          <w:ilvl w:val="0"/>
          <w:numId w:val="68"/>
        </w:numPr>
      </w:pPr>
      <w:r>
        <w:t>Other –</w:t>
      </w:r>
      <w:r w:rsidR="00927090">
        <w:t xml:space="preserve"> </w:t>
      </w:r>
      <w:r>
        <w:t>352 encounters</w:t>
      </w:r>
      <w:r w:rsidR="00927090" w:rsidRPr="00927090">
        <w:t xml:space="preserve"> </w:t>
      </w:r>
      <w:r w:rsidR="00927090">
        <w:t>excluded</w:t>
      </w:r>
      <w:r w:rsidR="00AF1D40">
        <w:t>.</w:t>
      </w:r>
    </w:p>
    <w:p w:rsidR="008D0D75" w:rsidRPr="00A85593" w:rsidRDefault="008D0D75" w:rsidP="00CE5EF2">
      <w:pPr>
        <w:pStyle w:val="Heading3"/>
      </w:pPr>
      <w:r w:rsidRPr="00A85593">
        <w:t>Reconciliation with IHPA</w:t>
      </w:r>
    </w:p>
    <w:p w:rsidR="00461E41" w:rsidRDefault="0008008B" w:rsidP="00461E41">
      <w:pPr>
        <w:pStyle w:val="PwCNormal"/>
        <w:numPr>
          <w:ilvl w:val="0"/>
          <w:numId w:val="0"/>
        </w:numPr>
      </w:pPr>
      <w:r>
        <w:fldChar w:fldCharType="begin"/>
      </w:r>
      <w:r>
        <w:instrText xml:space="preserve"> REF _Ref403216039 \h </w:instrText>
      </w:r>
      <w:r>
        <w:fldChar w:fldCharType="separate"/>
      </w:r>
      <w:r w:rsidR="00575DFC">
        <w:t xml:space="preserve">Table </w:t>
      </w:r>
      <w:r w:rsidR="00575DFC">
        <w:rPr>
          <w:noProof/>
        </w:rPr>
        <w:t>54</w:t>
      </w:r>
      <w:r>
        <w:fldChar w:fldCharType="end"/>
      </w:r>
      <w:r>
        <w:t xml:space="preserve"> </w:t>
      </w:r>
      <w:r w:rsidRPr="005B6050">
        <w:t>below compares the total costs and activity</w:t>
      </w:r>
      <w:r>
        <w:t xml:space="preserve"> records</w:t>
      </w:r>
      <w:r w:rsidRPr="005B6050">
        <w:t xml:space="preserve"> subm</w:t>
      </w:r>
      <w:r>
        <w:t>itted by the jurisdiction with</w:t>
      </w:r>
      <w:r w:rsidRPr="005B6050">
        <w:t xml:space="preserve"> the total costs and activity </w:t>
      </w:r>
      <w:r>
        <w:t>records that were received by IHPA. No variances were identified from the reconciliation.</w:t>
      </w:r>
    </w:p>
    <w:p w:rsidR="00DC15AA" w:rsidRDefault="00DC15AA" w:rsidP="00DC15AA">
      <w:pPr>
        <w:pStyle w:val="Caption"/>
      </w:pPr>
      <w:bookmarkStart w:id="96" w:name="_Ref403216039"/>
      <w:r>
        <w:t xml:space="preserve">Table </w:t>
      </w:r>
      <w:r w:rsidR="008379DC">
        <w:fldChar w:fldCharType="begin"/>
      </w:r>
      <w:r w:rsidR="009E64DF">
        <w:instrText xml:space="preserve"> SEQ Table \* ARABIC </w:instrText>
      </w:r>
      <w:r w:rsidR="008379DC">
        <w:fldChar w:fldCharType="separate"/>
      </w:r>
      <w:r w:rsidR="00575DFC">
        <w:rPr>
          <w:noProof/>
        </w:rPr>
        <w:t>54</w:t>
      </w:r>
      <w:r w:rsidR="008379DC">
        <w:rPr>
          <w:noProof/>
        </w:rPr>
        <w:fldChar w:fldCharType="end"/>
      </w:r>
      <w:bookmarkEnd w:id="96"/>
      <w:r>
        <w:t xml:space="preserve">: </w:t>
      </w:r>
      <w:r w:rsidRPr="006906AC">
        <w:t>Reconciliation of total costs and activity submitted</w:t>
      </w:r>
    </w:p>
    <w:p w:rsidR="008D0D75" w:rsidRDefault="00461E41" w:rsidP="008D0D75">
      <w:pPr>
        <w:pStyle w:val="PwCNormal"/>
        <w:numPr>
          <w:ilvl w:val="0"/>
          <w:numId w:val="0"/>
        </w:numPr>
      </w:pPr>
      <w:r w:rsidRPr="00461E41">
        <w:rPr>
          <w:noProof/>
          <w:lang w:eastAsia="en-AU"/>
        </w:rPr>
        <w:drawing>
          <wp:inline distT="0" distB="0" distL="0" distR="0" wp14:anchorId="49EB1144" wp14:editId="5A022DF3">
            <wp:extent cx="5076000" cy="1839600"/>
            <wp:effectExtent l="0" t="0" r="0" b="8255"/>
            <wp:docPr id="56" name="Picture 56" descr="This table outlines the reconciliation between what IHPA receieved and what the jurisdictions submitted." title="Reconciliation of total cost and activity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76000" cy="1839600"/>
                    </a:xfrm>
                    <a:prstGeom prst="rect">
                      <a:avLst/>
                    </a:prstGeom>
                    <a:noFill/>
                    <a:ln>
                      <a:noFill/>
                    </a:ln>
                  </pic:spPr>
                </pic:pic>
              </a:graphicData>
            </a:graphic>
          </wp:inline>
        </w:drawing>
      </w:r>
    </w:p>
    <w:p w:rsidR="008D0D75" w:rsidRDefault="008D0D75" w:rsidP="008D0D75">
      <w:pPr>
        <w:pStyle w:val="Heading1"/>
      </w:pPr>
      <w:bookmarkStart w:id="97" w:name="_Toc404355507"/>
      <w:r>
        <w:lastRenderedPageBreak/>
        <w:t>South Australia</w:t>
      </w:r>
      <w:bookmarkEnd w:id="97"/>
    </w:p>
    <w:p w:rsidR="008D0D75" w:rsidRPr="008A4C77" w:rsidRDefault="008D0D75" w:rsidP="008D0D75">
      <w:pPr>
        <w:pStyle w:val="Heading2"/>
        <w:spacing w:before="0" w:after="40"/>
      </w:pPr>
      <w:r w:rsidRPr="008A4C77">
        <w:t xml:space="preserve">South Australia </w:t>
      </w:r>
      <w:r w:rsidR="0063671A" w:rsidRPr="00D408DA">
        <w:t>overall</w:t>
      </w:r>
    </w:p>
    <w:p w:rsidR="008D0D75" w:rsidRPr="00D408DA" w:rsidRDefault="00B460FD" w:rsidP="008D0D75">
      <w:pPr>
        <w:pStyle w:val="PwCNormal"/>
      </w:pPr>
      <w:r w:rsidRPr="00D408DA">
        <w:t xml:space="preserve">In Round 17, the </w:t>
      </w:r>
      <w:r w:rsidR="000756C3">
        <w:t>SA</w:t>
      </w:r>
      <w:r w:rsidRPr="00D408DA">
        <w:t xml:space="preserve"> Department of Health (SA Health) Funding Models Unit conducted the costing for South Australian hospitals</w:t>
      </w:r>
      <w:r w:rsidR="008D0D75" w:rsidRPr="008A4C77">
        <w:t>, in conjunction with LHN representatives. This differs to previous rounds</w:t>
      </w:r>
      <w:r w:rsidRPr="00D408DA">
        <w:t>,</w:t>
      </w:r>
      <w:r w:rsidR="008D0D75" w:rsidRPr="008A4C77">
        <w:t xml:space="preserve"> where</w:t>
      </w:r>
      <w:r w:rsidRPr="00D408DA">
        <w:t xml:space="preserve"> SA</w:t>
      </w:r>
      <w:r w:rsidR="008D0D75" w:rsidRPr="008A4C77">
        <w:t xml:space="preserve"> hospitals were costed at the hospital level. </w:t>
      </w:r>
      <w:r w:rsidR="00FE00C2" w:rsidRPr="008A4C77">
        <w:t xml:space="preserve">SA Health worked closely with </w:t>
      </w:r>
      <w:r w:rsidR="008D0D75" w:rsidRPr="008A4C77">
        <w:t xml:space="preserve">staff and clinicians </w:t>
      </w:r>
      <w:r w:rsidR="00FE00C2" w:rsidRPr="008A4C77">
        <w:t xml:space="preserve">at hospitals </w:t>
      </w:r>
      <w:r w:rsidRPr="00D408DA">
        <w:t>to ensure the results were</w:t>
      </w:r>
      <w:r w:rsidR="008D0D75" w:rsidRPr="008A4C77">
        <w:t xml:space="preserve"> appropriate</w:t>
      </w:r>
      <w:r w:rsidRPr="00D408DA">
        <w:t>ly</w:t>
      </w:r>
      <w:r w:rsidR="008D0D75" w:rsidRPr="008A4C77">
        <w:t xml:space="preserve"> review</w:t>
      </w:r>
      <w:r w:rsidRPr="00D408DA">
        <w:t>ed</w:t>
      </w:r>
      <w:r w:rsidR="008D0D75" w:rsidRPr="008A4C77">
        <w:t>.</w:t>
      </w:r>
    </w:p>
    <w:p w:rsidR="008D0D75" w:rsidRPr="008A4C77" w:rsidRDefault="00B460FD" w:rsidP="008D0D75">
      <w:pPr>
        <w:pStyle w:val="PwCNormal"/>
      </w:pPr>
      <w:r w:rsidRPr="00D408DA">
        <w:t xml:space="preserve">SA Health nominated </w:t>
      </w:r>
      <w:r w:rsidR="008D0D75" w:rsidRPr="008A4C77">
        <w:t xml:space="preserve">Flinders Medical Centre (FMC) and Noarlunga </w:t>
      </w:r>
      <w:r w:rsidRPr="00D408DA">
        <w:t>Hospital</w:t>
      </w:r>
      <w:r w:rsidR="008D0D75" w:rsidRPr="008A4C77">
        <w:t xml:space="preserve"> (NH) as the participating hospitals for the </w:t>
      </w:r>
      <w:r w:rsidR="006A194B" w:rsidRPr="008A4C77">
        <w:t>Round 17</w:t>
      </w:r>
      <w:r w:rsidR="00FE00C2" w:rsidRPr="008A4C77">
        <w:t xml:space="preserve"> review</w:t>
      </w:r>
      <w:r w:rsidRPr="00D408DA">
        <w:t>. B</w:t>
      </w:r>
      <w:r w:rsidR="00FE00C2" w:rsidRPr="008A4C77">
        <w:t>oth</w:t>
      </w:r>
      <w:r w:rsidR="008D0D75" w:rsidRPr="008A4C77">
        <w:t xml:space="preserve"> </w:t>
      </w:r>
      <w:r w:rsidRPr="00D408DA">
        <w:t xml:space="preserve">are </w:t>
      </w:r>
      <w:r w:rsidR="008D0D75" w:rsidRPr="008A4C77">
        <w:t>part of the Southern Adelaide Local Hospital Network (SALHN).</w:t>
      </w:r>
    </w:p>
    <w:p w:rsidR="008D0D75" w:rsidRPr="008A4C77" w:rsidRDefault="008D0D75" w:rsidP="00CE5EF2">
      <w:pPr>
        <w:pStyle w:val="Heading3"/>
      </w:pPr>
      <w:r w:rsidRPr="008A4C77">
        <w:t>Changes since Round 16</w:t>
      </w:r>
    </w:p>
    <w:p w:rsidR="00FE00C2" w:rsidRPr="008A4C77" w:rsidRDefault="00FE00C2" w:rsidP="008D0D75">
      <w:pPr>
        <w:pStyle w:val="PwCNormal"/>
      </w:pPr>
      <w:r w:rsidRPr="008A4C77">
        <w:t>As SA Health moves towards monthly costing and the responsibility</w:t>
      </w:r>
      <w:r w:rsidR="00B460FD" w:rsidRPr="00D408DA">
        <w:t xml:space="preserve"> for costing shifts</w:t>
      </w:r>
      <w:r w:rsidRPr="008A4C77">
        <w:t xml:space="preserve"> to SA Health, </w:t>
      </w:r>
      <w:r w:rsidR="00B460FD" w:rsidRPr="00D408DA">
        <w:t xml:space="preserve">there were </w:t>
      </w:r>
      <w:r w:rsidRPr="008A4C77">
        <w:t>several changes during the Round 17 review</w:t>
      </w:r>
      <w:r w:rsidR="00B460FD" w:rsidRPr="00D408DA">
        <w:t xml:space="preserve"> compared to previous rounds</w:t>
      </w:r>
      <w:r w:rsidRPr="008A4C77">
        <w:t xml:space="preserve">. </w:t>
      </w:r>
      <w:r w:rsidR="00B460FD" w:rsidRPr="00D408DA">
        <w:t xml:space="preserve">SA Health used the </w:t>
      </w:r>
      <w:r w:rsidRPr="008A4C77">
        <w:t>PPM2 costing software, and</w:t>
      </w:r>
      <w:r w:rsidR="00B460FD" w:rsidRPr="00D408DA">
        <w:t xml:space="preserve"> established</w:t>
      </w:r>
      <w:r w:rsidRPr="008A4C77">
        <w:t xml:space="preserve"> a centralised collection of financial and patient activity data. This centralised database also stores pharmacy and ED data. A greater resource allocation to the SA Health costing team also allowed for more rigorous </w:t>
      </w:r>
      <w:r w:rsidR="00B460FD" w:rsidRPr="00D408DA">
        <w:t>QA</w:t>
      </w:r>
      <w:r w:rsidRPr="008A4C77">
        <w:t xml:space="preserve"> </w:t>
      </w:r>
      <w:r w:rsidR="00B460FD" w:rsidRPr="00D408DA">
        <w:t>data reviews</w:t>
      </w:r>
      <w:r w:rsidRPr="008A4C77">
        <w:t xml:space="preserve"> in Round 17.</w:t>
      </w:r>
    </w:p>
    <w:p w:rsidR="00FE00C2" w:rsidRPr="008A4C77" w:rsidRDefault="00FE00C2" w:rsidP="008D0D75">
      <w:pPr>
        <w:pStyle w:val="PwCNormal"/>
      </w:pPr>
      <w:r w:rsidRPr="008A4C77">
        <w:t xml:space="preserve">SA Health also implemented two costing improvements </w:t>
      </w:r>
      <w:r w:rsidR="00B460FD" w:rsidRPr="00D408DA">
        <w:t>in Round 17</w:t>
      </w:r>
      <w:r w:rsidRPr="008A4C77">
        <w:t xml:space="preserve">. The first was </w:t>
      </w:r>
      <w:r w:rsidR="00B460FD" w:rsidRPr="00D408DA">
        <w:t>to cost</w:t>
      </w:r>
      <w:r w:rsidRPr="008A4C77">
        <w:t xml:space="preserve"> ED and </w:t>
      </w:r>
      <w:r w:rsidR="00D408DA">
        <w:t>outpatient</w:t>
      </w:r>
      <w:r w:rsidR="00B460FD" w:rsidRPr="00D408DA">
        <w:t xml:space="preserve"> </w:t>
      </w:r>
      <w:r w:rsidRPr="008A4C77">
        <w:t xml:space="preserve">episodes at a patient level, </w:t>
      </w:r>
      <w:r w:rsidR="00B460FD" w:rsidRPr="00D408DA">
        <w:t>using</w:t>
      </w:r>
      <w:r w:rsidRPr="008A4C77">
        <w:t xml:space="preserve"> data stored in the central database. Due to the infancy of outpatient data collection, </w:t>
      </w:r>
      <w:r w:rsidR="00E260B4" w:rsidRPr="00D408DA">
        <w:t xml:space="preserve">SA Health did not submit </w:t>
      </w:r>
      <w:r w:rsidRPr="008A4C77">
        <w:t>this data to</w:t>
      </w:r>
      <w:r w:rsidR="00E260B4" w:rsidRPr="00D408DA">
        <w:t xml:space="preserve"> the</w:t>
      </w:r>
      <w:r w:rsidRPr="008A4C77">
        <w:t xml:space="preserve"> IHPA in Round 17. The second improvement was </w:t>
      </w:r>
      <w:r w:rsidR="00E260B4" w:rsidRPr="00D408DA">
        <w:t>to conduct costing for</w:t>
      </w:r>
      <w:r w:rsidRPr="008A4C77">
        <w:t xml:space="preserve"> six country hospitals</w:t>
      </w:r>
      <w:r w:rsidR="00A5549A" w:rsidRPr="00D408DA">
        <w:t>, whereas p</w:t>
      </w:r>
      <w:r w:rsidRPr="008A4C77">
        <w:t>revious rounds of costing use</w:t>
      </w:r>
      <w:r w:rsidR="00A5549A" w:rsidRPr="00D408DA">
        <w:t>d</w:t>
      </w:r>
      <w:r w:rsidRPr="008A4C77">
        <w:t xml:space="preserve"> cost modelling for all country sites.</w:t>
      </w:r>
    </w:p>
    <w:p w:rsidR="008D0D75" w:rsidRDefault="008D0D75" w:rsidP="00F15024">
      <w:pPr>
        <w:pStyle w:val="Heading2"/>
        <w:spacing w:before="0" w:after="240"/>
      </w:pPr>
      <w:r>
        <w:t>Flinders Medical Centre</w:t>
      </w:r>
    </w:p>
    <w:p w:rsidR="008D0D75" w:rsidRPr="004E0B72" w:rsidRDefault="008D0D75" w:rsidP="00CE5EF2">
      <w:pPr>
        <w:pStyle w:val="Heading3"/>
      </w:pPr>
      <w:r>
        <w:t>Site overview</w:t>
      </w:r>
    </w:p>
    <w:p w:rsidR="008D0D75" w:rsidRDefault="008D0D75" w:rsidP="008D0D75">
      <w:pPr>
        <w:pStyle w:val="PwCNormal"/>
      </w:pPr>
      <w:r>
        <w:t xml:space="preserve">FMC is a 593 bed public teaching hospital and medical school, co-located with Flinders University and Flinders Private Hospital. FMC serves the southern suburbs of Adelaide, but also cares for patients from regional areas of </w:t>
      </w:r>
      <w:r w:rsidR="0033116C">
        <w:t>SA</w:t>
      </w:r>
      <w:r>
        <w:t xml:space="preserve"> and </w:t>
      </w:r>
      <w:r w:rsidR="0033116C">
        <w:t>NT</w:t>
      </w:r>
      <w:r>
        <w:t>.</w:t>
      </w:r>
      <w:r w:rsidR="00FE00C2">
        <w:t xml:space="preserve"> The hospital </w:t>
      </w:r>
      <w:r>
        <w:t xml:space="preserve">provides an extensive range of services and is one of two major trauma centres in </w:t>
      </w:r>
      <w:r w:rsidR="0033116C">
        <w:t>SA</w:t>
      </w:r>
      <w:r>
        <w:t>.</w:t>
      </w:r>
    </w:p>
    <w:p w:rsidR="008D0D75" w:rsidRDefault="00723401" w:rsidP="008D0D75">
      <w:pPr>
        <w:pStyle w:val="PwCNormal"/>
        <w:numPr>
          <w:ilvl w:val="0"/>
          <w:numId w:val="0"/>
        </w:numPr>
      </w:pPr>
      <w:r>
        <w:t xml:space="preserve">The table below is a </w:t>
      </w:r>
      <w:r w:rsidR="00A93413">
        <w:t>summary</w:t>
      </w:r>
      <w:r>
        <w:t xml:space="preserve"> of costs beginning with total expenses from the GL through to the total costs submitted to IHPA with the various adjus</w:t>
      </w:r>
      <w:r w:rsidR="001C0FA7">
        <w:t>tments made during the process.</w:t>
      </w:r>
      <w:r w:rsidR="00FE00C2">
        <w:t xml:space="preserve"> </w:t>
      </w:r>
      <w:r w:rsidR="00044773">
        <w:t>No variances were noted between the GL and the financial data submitted to IHPA.</w:t>
      </w:r>
    </w:p>
    <w:p w:rsidR="009D2646" w:rsidRDefault="009D2646" w:rsidP="009D2646">
      <w:pPr>
        <w:pStyle w:val="Caption"/>
      </w:pPr>
      <w:r>
        <w:lastRenderedPageBreak/>
        <w:t xml:space="preserve">Table </w:t>
      </w:r>
      <w:r w:rsidR="008379DC">
        <w:fldChar w:fldCharType="begin"/>
      </w:r>
      <w:r w:rsidR="009E64DF">
        <w:instrText xml:space="preserve"> SEQ Table \* ARABIC </w:instrText>
      </w:r>
      <w:r w:rsidR="008379DC">
        <w:fldChar w:fldCharType="separate"/>
      </w:r>
      <w:r w:rsidR="00575DFC">
        <w:rPr>
          <w:noProof/>
        </w:rPr>
        <w:t>55</w:t>
      </w:r>
      <w:r w:rsidR="008379DC">
        <w:rPr>
          <w:noProof/>
        </w:rPr>
        <w:fldChar w:fldCharType="end"/>
      </w:r>
      <w:r>
        <w:t xml:space="preserve">: </w:t>
      </w:r>
      <w:r w:rsidRPr="00816C2F">
        <w:t xml:space="preserve">Financial </w:t>
      </w:r>
      <w:r w:rsidR="002C1CE6">
        <w:t>o</w:t>
      </w:r>
      <w:r w:rsidRPr="00816C2F">
        <w:t xml:space="preserve">verview of </w:t>
      </w:r>
      <w:r>
        <w:t>Flinders Medical Centre</w:t>
      </w:r>
      <w:r w:rsidR="002C1CE6">
        <w:t>, FY 2012/13</w:t>
      </w:r>
      <w:r w:rsidRPr="00816C2F">
        <w:t xml:space="preserve"> </w:t>
      </w:r>
    </w:p>
    <w:p w:rsidR="00D408DA" w:rsidRPr="00D408DA" w:rsidRDefault="00D408DA" w:rsidP="00D408DA">
      <w:pPr>
        <w:pStyle w:val="PwCNormal"/>
        <w:numPr>
          <w:ilvl w:val="0"/>
          <w:numId w:val="0"/>
        </w:numPr>
        <w:rPr>
          <w:sz w:val="16"/>
          <w:szCs w:val="16"/>
          <w:highlight w:val="yellow"/>
        </w:rPr>
      </w:pPr>
      <w:r w:rsidRPr="00D408DA">
        <w:rPr>
          <w:noProof/>
          <w:sz w:val="16"/>
          <w:szCs w:val="16"/>
          <w:lang w:eastAsia="en-AU"/>
        </w:rPr>
        <w:drawing>
          <wp:inline distT="0" distB="0" distL="0" distR="0" wp14:anchorId="20A9B1B9" wp14:editId="2913D602">
            <wp:extent cx="5032800" cy="4111200"/>
            <wp:effectExtent l="0" t="0" r="0" b="0"/>
            <wp:docPr id="51" name="Picture 51" descr="This table outlines the flow of costs from the $526m in the general ledger through to the $459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32800" cy="4111200"/>
                    </a:xfrm>
                    <a:prstGeom prst="rect">
                      <a:avLst/>
                    </a:prstGeom>
                    <a:noFill/>
                    <a:ln>
                      <a:noFill/>
                    </a:ln>
                  </pic:spPr>
                </pic:pic>
              </a:graphicData>
            </a:graphic>
          </wp:inline>
        </w:drawing>
      </w:r>
    </w:p>
    <w:p w:rsidR="00D408DA" w:rsidRPr="00D408DA" w:rsidRDefault="00D408DA" w:rsidP="009628A1">
      <w:pPr>
        <w:pStyle w:val="PwCNormal"/>
        <w:numPr>
          <w:ilvl w:val="0"/>
          <w:numId w:val="0"/>
        </w:numPr>
        <w:spacing w:before="120"/>
        <w:rPr>
          <w:sz w:val="16"/>
          <w:szCs w:val="16"/>
          <w:highlight w:val="yellow"/>
        </w:rPr>
      </w:pPr>
      <w:r w:rsidRPr="00D408DA">
        <w:rPr>
          <w:sz w:val="16"/>
          <w:szCs w:val="16"/>
        </w:rPr>
        <w:t>*This amount includes</w:t>
      </w:r>
      <w:r>
        <w:rPr>
          <w:sz w:val="16"/>
          <w:szCs w:val="16"/>
        </w:rPr>
        <w:t xml:space="preserve"> carried-forward costs from 2011/12</w:t>
      </w:r>
      <w:r w:rsidRPr="00D408DA">
        <w:rPr>
          <w:sz w:val="16"/>
          <w:szCs w:val="16"/>
        </w:rPr>
        <w:t xml:space="preserve"> and costs removed for patients who had not been discharged</w:t>
      </w:r>
      <w:r>
        <w:rPr>
          <w:sz w:val="16"/>
          <w:szCs w:val="16"/>
        </w:rPr>
        <w:t xml:space="preserve"> by year end</w:t>
      </w:r>
      <w:r w:rsidRPr="00D408DA">
        <w:rPr>
          <w:sz w:val="16"/>
          <w:szCs w:val="16"/>
        </w:rPr>
        <w:t>. Ca</w:t>
      </w:r>
      <w:r>
        <w:rPr>
          <w:sz w:val="16"/>
          <w:szCs w:val="16"/>
        </w:rPr>
        <w:t xml:space="preserve">rried </w:t>
      </w:r>
      <w:r w:rsidRPr="00D408DA">
        <w:rPr>
          <w:sz w:val="16"/>
          <w:szCs w:val="16"/>
        </w:rPr>
        <w:t>forward costs were indexed at 3%.</w:t>
      </w:r>
    </w:p>
    <w:p w:rsidR="008D0D75" w:rsidRPr="00DE22CA" w:rsidRDefault="00CB38E7" w:rsidP="00CE5EF2">
      <w:pPr>
        <w:pStyle w:val="Heading3"/>
      </w:pPr>
      <w:r>
        <w:t>Financial d</w:t>
      </w:r>
      <w:r w:rsidR="008D0D75" w:rsidRPr="00DE22CA">
        <w:t>ata</w:t>
      </w:r>
    </w:p>
    <w:p w:rsidR="008D0D75" w:rsidRPr="00DE22CA" w:rsidRDefault="008D0D75" w:rsidP="009D2646">
      <w:pPr>
        <w:pStyle w:val="PwCNormal"/>
        <w:numPr>
          <w:ilvl w:val="0"/>
          <w:numId w:val="0"/>
        </w:numPr>
        <w:spacing w:after="120"/>
        <w:rPr>
          <w:b/>
        </w:rPr>
      </w:pPr>
      <w:r w:rsidRPr="00DE22CA">
        <w:rPr>
          <w:b/>
        </w:rPr>
        <w:t xml:space="preserve">General </w:t>
      </w:r>
      <w:r w:rsidR="00CD308F">
        <w:rPr>
          <w:b/>
        </w:rPr>
        <w:t>L</w:t>
      </w:r>
      <w:r w:rsidRPr="00DE22CA">
        <w:rPr>
          <w:b/>
        </w:rPr>
        <w:t>edger (Item A)</w:t>
      </w:r>
    </w:p>
    <w:p w:rsidR="008D0D75" w:rsidRDefault="008D0D75" w:rsidP="008D0D75">
      <w:pPr>
        <w:pStyle w:val="PwCNormal"/>
        <w:numPr>
          <w:ilvl w:val="0"/>
          <w:numId w:val="0"/>
        </w:numPr>
      </w:pPr>
      <w:r>
        <w:t xml:space="preserve">Financial Statements are prepared at the SALHN level, and </w:t>
      </w:r>
      <w:r w:rsidR="00CA6711">
        <w:t>GLs</w:t>
      </w:r>
      <w:r>
        <w:t xml:space="preserve"> are maintained at the hospital level. </w:t>
      </w:r>
      <w:r w:rsidRPr="00DE22CA">
        <w:t>The total expenses per the financial statements for FY 2012/13 were $</w:t>
      </w:r>
      <w:r>
        <w:t>946.32</w:t>
      </w:r>
      <w:r w:rsidR="00AF1D40">
        <w:t xml:space="preserve"> </w:t>
      </w:r>
      <w:r>
        <w:t>m</w:t>
      </w:r>
      <w:r w:rsidR="00AF1D40">
        <w:t>illion</w:t>
      </w:r>
      <w:r w:rsidRPr="00DE22CA">
        <w:t xml:space="preserve">. </w:t>
      </w:r>
      <w:r>
        <w:t>Of this amount, FMC contributed $526.25</w:t>
      </w:r>
      <w:r w:rsidR="00AF1D40">
        <w:t xml:space="preserve"> </w:t>
      </w:r>
      <w:r>
        <w:t>m</w:t>
      </w:r>
      <w:r w:rsidR="00AF1D40">
        <w:t>illion</w:t>
      </w:r>
      <w:r w:rsidRPr="00DE22CA">
        <w:t xml:space="preserve">. </w:t>
      </w:r>
    </w:p>
    <w:p w:rsidR="009D2646" w:rsidRDefault="009D2646" w:rsidP="009D2646">
      <w:pPr>
        <w:pStyle w:val="Caption"/>
      </w:pPr>
      <w:bookmarkStart w:id="98" w:name="_Ref402706866"/>
      <w:r>
        <w:t xml:space="preserve">Table </w:t>
      </w:r>
      <w:r w:rsidR="008379DC">
        <w:fldChar w:fldCharType="begin"/>
      </w:r>
      <w:r w:rsidR="009E64DF">
        <w:instrText xml:space="preserve"> SEQ Table \* ARABIC </w:instrText>
      </w:r>
      <w:r w:rsidR="008379DC">
        <w:fldChar w:fldCharType="separate"/>
      </w:r>
      <w:r w:rsidR="00575DFC">
        <w:rPr>
          <w:noProof/>
        </w:rPr>
        <w:t>56</w:t>
      </w:r>
      <w:r w:rsidR="008379DC">
        <w:rPr>
          <w:noProof/>
        </w:rPr>
        <w:fldChar w:fldCharType="end"/>
      </w:r>
      <w:bookmarkEnd w:id="98"/>
      <w:r>
        <w:t xml:space="preserve">: </w:t>
      </w:r>
      <w:r w:rsidRPr="003A0EFE">
        <w:t>Treatment of specific cost items</w:t>
      </w:r>
    </w:p>
    <w:p w:rsidR="00D55CF5" w:rsidRDefault="003E2562" w:rsidP="009D2646">
      <w:pPr>
        <w:pStyle w:val="PwCNormal"/>
        <w:numPr>
          <w:ilvl w:val="0"/>
          <w:numId w:val="0"/>
        </w:numPr>
        <w:spacing w:before="240"/>
      </w:pPr>
      <w:r w:rsidRPr="003E2562">
        <w:rPr>
          <w:noProof/>
          <w:lang w:eastAsia="en-AU"/>
        </w:rPr>
        <w:drawing>
          <wp:inline distT="0" distB="0" distL="0" distR="0" wp14:anchorId="7905CF5C" wp14:editId="6EF0E4F2">
            <wp:extent cx="4586400" cy="2084400"/>
            <wp:effectExtent l="0" t="0" r="5080" b="0"/>
            <wp:docPr id="136" name="Picture 136" descr="Superannuation, Professional indemnity insurance, workers' compensation, defined benefit scheme contributions, annual leave costs and long service leave costs are all included in the hospital GL and included in the costing. &#10;&#10;PBS rebates and trade discounts on pharmaceuticals are not included in the co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86400" cy="2084400"/>
                    </a:xfrm>
                    <a:prstGeom prst="rect">
                      <a:avLst/>
                    </a:prstGeom>
                    <a:noFill/>
                    <a:ln>
                      <a:noFill/>
                    </a:ln>
                  </pic:spPr>
                </pic:pic>
              </a:graphicData>
            </a:graphic>
          </wp:inline>
        </w:drawing>
      </w:r>
    </w:p>
    <w:p w:rsidR="0015576C" w:rsidRDefault="008379DC" w:rsidP="0015576C">
      <w:pPr>
        <w:pStyle w:val="PwCNormal"/>
        <w:numPr>
          <w:ilvl w:val="0"/>
          <w:numId w:val="0"/>
        </w:numPr>
      </w:pPr>
      <w:r>
        <w:lastRenderedPageBreak/>
        <w:fldChar w:fldCharType="begin"/>
      </w:r>
      <w:r w:rsidR="0015576C">
        <w:instrText xml:space="preserve"> REF _Ref402706866 \h </w:instrText>
      </w:r>
      <w:r>
        <w:fldChar w:fldCharType="separate"/>
      </w:r>
      <w:r w:rsidR="00575DFC">
        <w:t xml:space="preserve">Table </w:t>
      </w:r>
      <w:r w:rsidR="00575DFC">
        <w:rPr>
          <w:noProof/>
        </w:rPr>
        <w:t>56</w:t>
      </w:r>
      <w:r>
        <w:fldChar w:fldCharType="end"/>
      </w:r>
      <w:r w:rsidR="0015576C">
        <w:t xml:space="preserve"> above </w:t>
      </w:r>
      <w:r w:rsidR="002D75A8">
        <w:t>identifies specific costs</w:t>
      </w:r>
      <w:r w:rsidR="0015576C">
        <w:t xml:space="preserve"> </w:t>
      </w:r>
      <w:r w:rsidR="00B57F23">
        <w:t xml:space="preserve">that </w:t>
      </w:r>
      <w:r w:rsidR="002D75A8">
        <w:t>were reviewed to understand their treatment in the GL and the costing process</w:t>
      </w:r>
      <w:r w:rsidR="0015576C">
        <w:t>. Once these costs are allocated to final cost centres they are distributed to patients using the allocation methodology of that cost centre. Key cost treatments to note include:</w:t>
      </w:r>
    </w:p>
    <w:p w:rsidR="008D0D75" w:rsidRPr="00B039D3" w:rsidRDefault="008D0D75" w:rsidP="009C4A5D">
      <w:pPr>
        <w:pStyle w:val="PwCNormal"/>
        <w:numPr>
          <w:ilvl w:val="0"/>
          <w:numId w:val="76"/>
        </w:numPr>
        <w:spacing w:before="240"/>
        <w:ind w:left="709" w:hanging="425"/>
      </w:pPr>
      <w:r w:rsidRPr="00B039D3">
        <w:t>Superannuation and defined benefit scheme contributions sit in the cost centre where the staff member is paid from. No additional charge for defined benefit scheme liability adjustments are charged to the hospital GL.</w:t>
      </w:r>
    </w:p>
    <w:p w:rsidR="008D0D75" w:rsidRPr="00B039D3" w:rsidRDefault="008D0D75" w:rsidP="009C4A5D">
      <w:pPr>
        <w:pStyle w:val="PwCNormal"/>
        <w:numPr>
          <w:ilvl w:val="0"/>
          <w:numId w:val="76"/>
        </w:numPr>
        <w:ind w:left="709" w:hanging="425"/>
      </w:pPr>
      <w:r w:rsidRPr="00B039D3">
        <w:t>Professional indemnity and building insurances are allocated to LHN cost centres as part of accounting practices and are then allocated to hospitals during the costing process.</w:t>
      </w:r>
    </w:p>
    <w:p w:rsidR="008D0D75" w:rsidRPr="00B039D3" w:rsidRDefault="008D0D75" w:rsidP="009C4A5D">
      <w:pPr>
        <w:pStyle w:val="PwCNormal"/>
        <w:numPr>
          <w:ilvl w:val="0"/>
          <w:numId w:val="76"/>
        </w:numPr>
        <w:ind w:left="709" w:hanging="425"/>
      </w:pPr>
      <w:r w:rsidRPr="00B039D3">
        <w:t>A workers compensation levy is paid centrally with hospitals incurring all the associated workers compensation costs.</w:t>
      </w:r>
    </w:p>
    <w:p w:rsidR="008D0D75" w:rsidRPr="00B039D3" w:rsidRDefault="008D0D75" w:rsidP="009C4A5D">
      <w:pPr>
        <w:pStyle w:val="PwCNormal"/>
        <w:numPr>
          <w:ilvl w:val="0"/>
          <w:numId w:val="76"/>
        </w:numPr>
        <w:ind w:left="709" w:hanging="425"/>
      </w:pPr>
      <w:r w:rsidRPr="00B039D3">
        <w:t>All leave expenses sit in the cost centre where the staff member is paid and no additional allocation is required.</w:t>
      </w:r>
    </w:p>
    <w:p w:rsidR="008D0D75" w:rsidRDefault="008D0D75" w:rsidP="009C4A5D">
      <w:pPr>
        <w:pStyle w:val="PwCNormal"/>
        <w:numPr>
          <w:ilvl w:val="0"/>
          <w:numId w:val="76"/>
        </w:numPr>
        <w:ind w:left="709" w:hanging="425"/>
      </w:pPr>
      <w:r w:rsidRPr="00B039D3">
        <w:t>PBS rebates sit within</w:t>
      </w:r>
      <w:r>
        <w:t xml:space="preserve"> revenue accounts and are not brought in for costing purposes. </w:t>
      </w:r>
    </w:p>
    <w:p w:rsidR="008D0D75" w:rsidRDefault="008D0D75" w:rsidP="009C4A5D">
      <w:pPr>
        <w:pStyle w:val="PwCNormal"/>
        <w:numPr>
          <w:ilvl w:val="0"/>
          <w:numId w:val="76"/>
        </w:numPr>
        <w:ind w:left="709" w:hanging="425"/>
      </w:pPr>
      <w:r>
        <w:t>Trade discounts are included in the expenses accounts and are therefore allocated to patients.</w:t>
      </w:r>
    </w:p>
    <w:p w:rsidR="008D0D75" w:rsidRDefault="008D0D75" w:rsidP="009C4A5D">
      <w:pPr>
        <w:pStyle w:val="PwCNormal"/>
        <w:numPr>
          <w:ilvl w:val="0"/>
          <w:numId w:val="76"/>
        </w:numPr>
        <w:ind w:left="709" w:hanging="425"/>
      </w:pPr>
      <w:r>
        <w:t xml:space="preserve">Asset valuations are performed every </w:t>
      </w:r>
      <w:r w:rsidR="00AF1D40">
        <w:t>three</w:t>
      </w:r>
      <w:r w:rsidR="00AF1D40" w:rsidRPr="000D643C">
        <w:t xml:space="preserve"> </w:t>
      </w:r>
      <w:r w:rsidRPr="000D643C">
        <w:t>years</w:t>
      </w:r>
      <w:r w:rsidR="00B039D3" w:rsidRPr="00B039D3">
        <w:t xml:space="preserve"> </w:t>
      </w:r>
      <w:r w:rsidR="00B039D3">
        <w:t>and the depreciation in the GL is adjusted accordingly.</w:t>
      </w:r>
    </w:p>
    <w:p w:rsidR="008D0D75" w:rsidRPr="00DE22CA" w:rsidRDefault="008D0D75" w:rsidP="008D0D75">
      <w:pPr>
        <w:pStyle w:val="PwCNormal"/>
        <w:numPr>
          <w:ilvl w:val="0"/>
          <w:numId w:val="0"/>
        </w:numPr>
        <w:rPr>
          <w:b/>
        </w:rPr>
      </w:pPr>
      <w:r w:rsidRPr="00426532">
        <w:rPr>
          <w:b/>
        </w:rPr>
        <w:t>Inclusions and exclusions (Item B)</w:t>
      </w:r>
    </w:p>
    <w:p w:rsidR="008D0D75" w:rsidRDefault="008D0D75" w:rsidP="008D0D75">
      <w:pPr>
        <w:pStyle w:val="PwCNormal"/>
        <w:numPr>
          <w:ilvl w:val="0"/>
          <w:numId w:val="0"/>
        </w:numPr>
      </w:pPr>
      <w:r w:rsidRPr="002B523F">
        <w:t>A total of $</w:t>
      </w:r>
      <w:r>
        <w:t>72.6</w:t>
      </w:r>
      <w:r w:rsidR="00AF1D40">
        <w:t xml:space="preserve"> </w:t>
      </w:r>
      <w:r>
        <w:t>m</w:t>
      </w:r>
      <w:r w:rsidR="00AF1D40">
        <w:t>illion</w:t>
      </w:r>
      <w:r w:rsidRPr="002B523F">
        <w:t xml:space="preserve"> </w:t>
      </w:r>
      <w:r>
        <w:t>was</w:t>
      </w:r>
      <w:r w:rsidRPr="002B523F">
        <w:t xml:space="preserve"> added to the extracted </w:t>
      </w:r>
      <w:r w:rsidR="00CA6711">
        <w:t>GL</w:t>
      </w:r>
      <w:r w:rsidRPr="002B523F">
        <w:t xml:space="preserve"> before uploading the total hospital costs into the costing system. Th</w:t>
      </w:r>
      <w:r>
        <w:t>is was</w:t>
      </w:r>
      <w:r w:rsidRPr="002B523F">
        <w:t xml:space="preserve"> made up of</w:t>
      </w:r>
      <w:r>
        <w:t>:</w:t>
      </w:r>
    </w:p>
    <w:p w:rsidR="008D0D75" w:rsidRDefault="008D0D75" w:rsidP="009C4A5D">
      <w:pPr>
        <w:pStyle w:val="PwCNormal"/>
        <w:numPr>
          <w:ilvl w:val="0"/>
          <w:numId w:val="60"/>
        </w:numPr>
      </w:pPr>
      <w:r>
        <w:t>$1.1</w:t>
      </w:r>
      <w:r w:rsidR="00AF1D40">
        <w:t xml:space="preserve"> </w:t>
      </w:r>
      <w:r>
        <w:t>m</w:t>
      </w:r>
      <w:r w:rsidR="00AF1D40">
        <w:t>illion</w:t>
      </w:r>
      <w:r>
        <w:t xml:space="preserve"> of procurement services</w:t>
      </w:r>
    </w:p>
    <w:p w:rsidR="008D0D75" w:rsidRDefault="008D0D75" w:rsidP="009C4A5D">
      <w:pPr>
        <w:pStyle w:val="PwCNormal"/>
        <w:numPr>
          <w:ilvl w:val="0"/>
          <w:numId w:val="60"/>
        </w:numPr>
      </w:pPr>
      <w:r>
        <w:t>$5.6</w:t>
      </w:r>
      <w:r w:rsidR="00AF1D40">
        <w:t xml:space="preserve"> </w:t>
      </w:r>
      <w:r>
        <w:t>m</w:t>
      </w:r>
      <w:r w:rsidR="00AF1D40">
        <w:t>illion</w:t>
      </w:r>
      <w:r>
        <w:t xml:space="preserve"> for the centrally run SA Pathology</w:t>
      </w:r>
    </w:p>
    <w:p w:rsidR="008D0D75" w:rsidRDefault="008D0D75" w:rsidP="009C4A5D">
      <w:pPr>
        <w:pStyle w:val="PwCNormal"/>
        <w:numPr>
          <w:ilvl w:val="0"/>
          <w:numId w:val="60"/>
        </w:numPr>
      </w:pPr>
      <w:r>
        <w:t>$0.2</w:t>
      </w:r>
      <w:r w:rsidR="00AF1D40">
        <w:t xml:space="preserve"> </w:t>
      </w:r>
      <w:r>
        <w:t>m</w:t>
      </w:r>
      <w:r w:rsidR="00AF1D40">
        <w:t>illion</w:t>
      </w:r>
      <w:r>
        <w:t xml:space="preserve"> for the transfer of RGH patients due to the closure of Repatriation General Hospital (RGH) Emergency Department</w:t>
      </w:r>
    </w:p>
    <w:p w:rsidR="008D0D75" w:rsidRDefault="008D0D75" w:rsidP="009C4A5D">
      <w:pPr>
        <w:pStyle w:val="PwCNormal"/>
        <w:numPr>
          <w:ilvl w:val="0"/>
          <w:numId w:val="60"/>
        </w:numPr>
      </w:pPr>
      <w:r>
        <w:t>$34.3</w:t>
      </w:r>
      <w:r w:rsidR="00AF1D40">
        <w:t xml:space="preserve"> </w:t>
      </w:r>
      <w:r>
        <w:t>m</w:t>
      </w:r>
      <w:r w:rsidR="00AF1D40">
        <w:t>illion</w:t>
      </w:r>
      <w:r>
        <w:t xml:space="preserve"> for the a</w:t>
      </w:r>
      <w:r w:rsidRPr="005D53C6">
        <w:t xml:space="preserve">llocation of </w:t>
      </w:r>
      <w:r>
        <w:t>SA</w:t>
      </w:r>
      <w:r w:rsidRPr="005D53C6">
        <w:t>LHN</w:t>
      </w:r>
      <w:r>
        <w:t xml:space="preserve"> corporate costs</w:t>
      </w:r>
    </w:p>
    <w:p w:rsidR="008D0D75" w:rsidRDefault="008D0D75" w:rsidP="009C4A5D">
      <w:pPr>
        <w:pStyle w:val="PwCNormal"/>
        <w:numPr>
          <w:ilvl w:val="0"/>
          <w:numId w:val="51"/>
        </w:numPr>
      </w:pPr>
      <w:r>
        <w:t>$22.4</w:t>
      </w:r>
      <w:r w:rsidR="00AF1D40">
        <w:t xml:space="preserve"> </w:t>
      </w:r>
      <w:r>
        <w:t>m</w:t>
      </w:r>
      <w:r w:rsidR="00AF1D40">
        <w:t>illion</w:t>
      </w:r>
      <w:r>
        <w:t xml:space="preserve"> for costs from other sites during the </w:t>
      </w:r>
      <w:r w:rsidRPr="005D53C6">
        <w:t>final patient costing process</w:t>
      </w:r>
    </w:p>
    <w:p w:rsidR="008D0D75" w:rsidRDefault="008D0D75" w:rsidP="009C4A5D">
      <w:pPr>
        <w:pStyle w:val="PwCNormal"/>
        <w:numPr>
          <w:ilvl w:val="0"/>
          <w:numId w:val="51"/>
        </w:numPr>
      </w:pPr>
      <w:r>
        <w:t>$9.2</w:t>
      </w:r>
      <w:r w:rsidR="00AF1D40">
        <w:t xml:space="preserve"> </w:t>
      </w:r>
      <w:r>
        <w:t>m</w:t>
      </w:r>
      <w:r w:rsidR="00AF1D40">
        <w:t>illion</w:t>
      </w:r>
      <w:r>
        <w:t xml:space="preserve"> for r</w:t>
      </w:r>
      <w:r w:rsidRPr="005D53C6">
        <w:t>eclass rules applied to FMC</w:t>
      </w:r>
      <w:r>
        <w:t xml:space="preserve"> (costs related to FMC services)</w:t>
      </w:r>
      <w:r w:rsidR="00AF1D40">
        <w:t>.</w:t>
      </w:r>
    </w:p>
    <w:p w:rsidR="008D0D75" w:rsidRDefault="008D0D75" w:rsidP="008D0D75">
      <w:pPr>
        <w:pStyle w:val="PwCNormal"/>
        <w:numPr>
          <w:ilvl w:val="0"/>
          <w:numId w:val="0"/>
        </w:numPr>
      </w:pPr>
      <w:r w:rsidRPr="002B523F">
        <w:t>A total of $</w:t>
      </w:r>
      <w:r>
        <w:t>31.8</w:t>
      </w:r>
      <w:r w:rsidR="00AF1D40">
        <w:t xml:space="preserve"> </w:t>
      </w:r>
      <w:r>
        <w:t>m</w:t>
      </w:r>
      <w:r w:rsidR="00AF1D40">
        <w:t>illion</w:t>
      </w:r>
      <w:r w:rsidRPr="002B523F">
        <w:t xml:space="preserve"> </w:t>
      </w:r>
      <w:r>
        <w:t>was</w:t>
      </w:r>
      <w:r w:rsidRPr="002B523F">
        <w:t xml:space="preserve"> </w:t>
      </w:r>
      <w:r>
        <w:t xml:space="preserve">excluded from the extracted </w:t>
      </w:r>
      <w:r w:rsidR="00CA6711">
        <w:t>GL</w:t>
      </w:r>
      <w:r>
        <w:t xml:space="preserve">. </w:t>
      </w:r>
      <w:r w:rsidRPr="002B523F">
        <w:t>Th</w:t>
      </w:r>
      <w:r>
        <w:t>is was</w:t>
      </w:r>
      <w:r w:rsidRPr="002B523F">
        <w:t xml:space="preserve"> made up of</w:t>
      </w:r>
      <w:r>
        <w:t>:</w:t>
      </w:r>
    </w:p>
    <w:p w:rsidR="008D0D75" w:rsidRDefault="008D0D75" w:rsidP="009C4A5D">
      <w:pPr>
        <w:pStyle w:val="PwCNormal"/>
        <w:numPr>
          <w:ilvl w:val="0"/>
          <w:numId w:val="60"/>
        </w:numPr>
      </w:pPr>
      <w:r>
        <w:t>$12.9</w:t>
      </w:r>
      <w:r w:rsidR="00AF1D40">
        <w:t xml:space="preserve"> </w:t>
      </w:r>
      <w:r>
        <w:t>m</w:t>
      </w:r>
      <w:r w:rsidR="00AF1D40">
        <w:t>illion</w:t>
      </w:r>
      <w:r>
        <w:t xml:space="preserve"> for recharges (revenue recouped for staff working in another hospital).</w:t>
      </w:r>
    </w:p>
    <w:p w:rsidR="008D0D75" w:rsidRDefault="00AF1D40" w:rsidP="009C4A5D">
      <w:pPr>
        <w:pStyle w:val="PwCNormal"/>
        <w:numPr>
          <w:ilvl w:val="0"/>
          <w:numId w:val="51"/>
        </w:numPr>
      </w:pPr>
      <w:r>
        <w:t>$</w:t>
      </w:r>
      <w:r w:rsidR="008D0D75">
        <w:t>0.01</w:t>
      </w:r>
      <w:r>
        <w:t xml:space="preserve"> </w:t>
      </w:r>
      <w:r w:rsidR="008D0D75">
        <w:t>m</w:t>
      </w:r>
      <w:r>
        <w:t>illion</w:t>
      </w:r>
      <w:r w:rsidR="008D0D75">
        <w:t xml:space="preserve"> for the collection of bad debts.</w:t>
      </w:r>
      <w:r w:rsidR="008D0D75" w:rsidRPr="00426532">
        <w:t xml:space="preserve"> </w:t>
      </w:r>
    </w:p>
    <w:p w:rsidR="008D0D75" w:rsidRDefault="008D0D75" w:rsidP="009C4A5D">
      <w:pPr>
        <w:pStyle w:val="PwCNormal"/>
        <w:numPr>
          <w:ilvl w:val="0"/>
          <w:numId w:val="51"/>
        </w:numPr>
      </w:pPr>
      <w:r>
        <w:t>$13.1</w:t>
      </w:r>
      <w:r w:rsidR="00AF1D40">
        <w:t xml:space="preserve"> </w:t>
      </w:r>
      <w:r>
        <w:t>m</w:t>
      </w:r>
      <w:r w:rsidR="00AF1D40">
        <w:t>illion</w:t>
      </w:r>
      <w:r>
        <w:t xml:space="preserve"> for o</w:t>
      </w:r>
      <w:r w:rsidRPr="005D53C6">
        <w:t xml:space="preserve">verheads in FMC </w:t>
      </w:r>
      <w:r>
        <w:t xml:space="preserve">relating </w:t>
      </w:r>
      <w:r w:rsidRPr="005D53C6">
        <w:t>to other sites</w:t>
      </w:r>
    </w:p>
    <w:p w:rsidR="008D0D75" w:rsidRDefault="008D0D75" w:rsidP="009C4A5D">
      <w:pPr>
        <w:pStyle w:val="PwCNormal"/>
        <w:numPr>
          <w:ilvl w:val="0"/>
          <w:numId w:val="51"/>
        </w:numPr>
        <w:spacing w:after="360"/>
        <w:ind w:left="714" w:hanging="357"/>
      </w:pPr>
      <w:r>
        <w:t>$5.8</w:t>
      </w:r>
      <w:r w:rsidR="00AF1D40">
        <w:t xml:space="preserve"> </w:t>
      </w:r>
      <w:r>
        <w:t>m</w:t>
      </w:r>
      <w:r w:rsidR="00AF1D40">
        <w:t>illion</w:t>
      </w:r>
      <w:r>
        <w:t xml:space="preserve"> r</w:t>
      </w:r>
      <w:r w:rsidRPr="005D53C6">
        <w:t>eclass rules applied From FMC</w:t>
      </w:r>
      <w:r>
        <w:t xml:space="preserve"> (costs unrelated to FMC services)</w:t>
      </w:r>
      <w:r w:rsidR="00AF1D40">
        <w:t>.</w:t>
      </w:r>
    </w:p>
    <w:p w:rsidR="00AF53C8" w:rsidRDefault="008D0D75" w:rsidP="008D0D75">
      <w:pPr>
        <w:pStyle w:val="PwCNormal"/>
        <w:numPr>
          <w:ilvl w:val="0"/>
          <w:numId w:val="0"/>
        </w:numPr>
      </w:pPr>
      <w:r>
        <w:t>After these inclusions and exclusions, total expenses for FMC were $567.01</w:t>
      </w:r>
      <w:r w:rsidR="00AF1D40">
        <w:t xml:space="preserve"> </w:t>
      </w:r>
      <w:r>
        <w:t>m</w:t>
      </w:r>
      <w:r w:rsidR="00AF1D40">
        <w:t>illion</w:t>
      </w:r>
      <w:r>
        <w:t>.</w:t>
      </w:r>
    </w:p>
    <w:p w:rsidR="00AF53C8" w:rsidRDefault="00AF53C8">
      <w:pPr>
        <w:kinsoku/>
        <w:overflowPunct/>
        <w:autoSpaceDE/>
        <w:autoSpaceDN/>
        <w:adjustRightInd/>
        <w:snapToGrid/>
      </w:pPr>
      <w:r>
        <w:br w:type="page"/>
      </w:r>
    </w:p>
    <w:p w:rsidR="008D0D75" w:rsidRPr="00DE22CA" w:rsidRDefault="008D0D75" w:rsidP="008D0D75">
      <w:pPr>
        <w:pStyle w:val="PwCNormal"/>
        <w:numPr>
          <w:ilvl w:val="0"/>
          <w:numId w:val="0"/>
        </w:numPr>
        <w:rPr>
          <w:b/>
        </w:rPr>
      </w:pPr>
      <w:r w:rsidRPr="00DE22CA">
        <w:rPr>
          <w:b/>
        </w:rPr>
        <w:lastRenderedPageBreak/>
        <w:t>Allocation of overheads (Item C)</w:t>
      </w:r>
    </w:p>
    <w:p w:rsidR="008D0D75" w:rsidRDefault="002821F4" w:rsidP="008D0D75">
      <w:pPr>
        <w:pStyle w:val="PwCNormal"/>
        <w:numPr>
          <w:ilvl w:val="0"/>
          <w:numId w:val="0"/>
        </w:numPr>
      </w:pPr>
      <w:r>
        <w:t>For</w:t>
      </w:r>
      <w:r w:rsidRPr="007C4899">
        <w:t xml:space="preserve"> </w:t>
      </w:r>
      <w:r>
        <w:t>FY</w:t>
      </w:r>
      <w:r w:rsidRPr="007C4899">
        <w:t xml:space="preserve"> 2012/13, overhead costs totalled $148.7 m</w:t>
      </w:r>
      <w:r>
        <w:t>illion,</w:t>
      </w:r>
      <w:r w:rsidRPr="007C4899">
        <w:t xml:space="preserve"> which represents 26.2% of total costs for FMC. </w:t>
      </w:r>
      <w:r w:rsidR="008D0D75" w:rsidRPr="007C4899">
        <w:t>These costs were allocated to the patient care areas based on a variety of allocation statistics</w:t>
      </w:r>
      <w:r w:rsidR="008D0D75">
        <w:t>. The</w:t>
      </w:r>
      <w:r w:rsidR="008D0D75" w:rsidRPr="007C4899">
        <w:t xml:space="preserve"> </w:t>
      </w:r>
      <w:r w:rsidR="008D0D75">
        <w:t>key allocation</w:t>
      </w:r>
      <w:r w:rsidR="008D0D75" w:rsidRPr="007C4899">
        <w:t xml:space="preserve"> statistics utilised for </w:t>
      </w:r>
      <w:r w:rsidR="006A194B">
        <w:t>Round 17</w:t>
      </w:r>
      <w:r w:rsidR="008D0D75" w:rsidRPr="007C4899">
        <w:t xml:space="preserve"> was headcount, total expenses, floor space, number of patients etc. The allocation statistics were determined based on the preferred hierarchy of allocation statistics in the AHPCS along with what reliable information was available.</w:t>
      </w:r>
    </w:p>
    <w:p w:rsidR="008D0D75" w:rsidRPr="00DE22CA" w:rsidRDefault="008D0D75" w:rsidP="008D0D75">
      <w:pPr>
        <w:pStyle w:val="PwCNormal"/>
        <w:numPr>
          <w:ilvl w:val="0"/>
          <w:numId w:val="0"/>
        </w:numPr>
        <w:rPr>
          <w:b/>
        </w:rPr>
      </w:pPr>
      <w:r w:rsidRPr="00DE22CA">
        <w:rPr>
          <w:b/>
        </w:rPr>
        <w:t>Distribution of costs between hospital products</w:t>
      </w:r>
      <w:r>
        <w:rPr>
          <w:b/>
        </w:rPr>
        <w:t xml:space="preserve"> (Item D)</w:t>
      </w:r>
    </w:p>
    <w:p w:rsidR="008D0D75" w:rsidRDefault="008D0D75" w:rsidP="008D0D75">
      <w:pPr>
        <w:pStyle w:val="PwCNormal"/>
        <w:numPr>
          <w:ilvl w:val="0"/>
          <w:numId w:val="0"/>
        </w:numPr>
      </w:pPr>
      <w:r>
        <w:t>Where some cost centres delivered services to multiple hospital products (such as medical cost centres servicing inpatients and outpatients along with some teaching), PFRACs were developed and utilised during the costing process.</w:t>
      </w:r>
      <w:r w:rsidR="00A93413">
        <w:t xml:space="preserve"> </w:t>
      </w:r>
      <w:r>
        <w:t>These PFRACs are reviewed on an annual basis in consultation with hospital staff and clinicians. PFRACs are also reviewed throughout the year if there is an indication of material change in hospital services provided by the cost area.</w:t>
      </w:r>
    </w:p>
    <w:p w:rsidR="008D0D75" w:rsidRPr="004E0B72" w:rsidRDefault="008D0D75" w:rsidP="00CE5EF2">
      <w:pPr>
        <w:pStyle w:val="Heading3"/>
      </w:pPr>
      <w:r>
        <w:t>Activity information and costing methodology</w:t>
      </w:r>
    </w:p>
    <w:p w:rsidR="008D0D75" w:rsidRPr="002449AB" w:rsidRDefault="008D0D75" w:rsidP="008D0D75">
      <w:pPr>
        <w:pStyle w:val="PwCNormal"/>
        <w:numPr>
          <w:ilvl w:val="0"/>
          <w:numId w:val="0"/>
        </w:numPr>
        <w:rPr>
          <w:b/>
        </w:rPr>
      </w:pPr>
      <w:r>
        <w:rPr>
          <w:b/>
        </w:rPr>
        <w:t>Overview</w:t>
      </w:r>
    </w:p>
    <w:p w:rsidR="008D0D75" w:rsidRDefault="008D0D75" w:rsidP="008D0D75">
      <w:pPr>
        <w:pStyle w:val="PwCNormal"/>
        <w:numPr>
          <w:ilvl w:val="0"/>
          <w:numId w:val="0"/>
        </w:numPr>
      </w:pPr>
      <w:r w:rsidRPr="0090280F">
        <w:t xml:space="preserve">Once costs are split into the various cost areas and are ready to be allocated, a variety of </w:t>
      </w:r>
      <w:r w:rsidR="000E4775">
        <w:t xml:space="preserve">allocation methodologies </w:t>
      </w:r>
      <w:r w:rsidRPr="0090280F">
        <w:t>are used to allocate costs to patients across all hospital products depending on the patient</w:t>
      </w:r>
      <w:r>
        <w:t xml:space="preserve"> care type</w:t>
      </w:r>
      <w:r w:rsidRPr="0090280F">
        <w:t>.</w:t>
      </w:r>
    </w:p>
    <w:p w:rsidR="009D2646" w:rsidRDefault="009D2646" w:rsidP="009D2646">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57</w:t>
      </w:r>
      <w:r w:rsidR="008379DC">
        <w:rPr>
          <w:noProof/>
        </w:rPr>
        <w:fldChar w:fldCharType="end"/>
      </w:r>
      <w:r>
        <w:t xml:space="preserve">: </w:t>
      </w:r>
      <w:r w:rsidRPr="00BB23C7">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8D0D75" w:rsidTr="006E68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8D0D75" w:rsidRPr="00C53A14" w:rsidRDefault="008D0D75" w:rsidP="008D0D75">
            <w:pPr>
              <w:pStyle w:val="PwCNormal"/>
              <w:numPr>
                <w:ilvl w:val="0"/>
                <w:numId w:val="0"/>
              </w:numPr>
              <w:rPr>
                <w:b/>
              </w:rPr>
            </w:pPr>
            <w:r w:rsidRPr="00C53A14">
              <w:rPr>
                <w:b/>
              </w:rPr>
              <w:t>Hospital product</w:t>
            </w:r>
          </w:p>
        </w:tc>
        <w:tc>
          <w:tcPr>
            <w:tcW w:w="6237" w:type="dxa"/>
          </w:tcPr>
          <w:p w:rsidR="008D0D75" w:rsidRPr="00C53A14" w:rsidRDefault="008D0D75" w:rsidP="008D0D75">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C53A14">
              <w:rPr>
                <w:b/>
              </w:rPr>
              <w:t>Allocation overview</w:t>
            </w:r>
          </w:p>
        </w:tc>
      </w:tr>
      <w:tr w:rsidR="008D0D75" w:rsidTr="006E6862">
        <w:tc>
          <w:tcPr>
            <w:tcW w:w="2376" w:type="dxa"/>
          </w:tcPr>
          <w:p w:rsidR="008D0D75" w:rsidRDefault="008D0D75" w:rsidP="008D0D75">
            <w:pPr>
              <w:pStyle w:val="PwCNormal"/>
              <w:numPr>
                <w:ilvl w:val="0"/>
                <w:numId w:val="0"/>
              </w:numPr>
            </w:pPr>
            <w:r>
              <w:t xml:space="preserve">Inpatient </w:t>
            </w:r>
            <w:r>
              <w:br/>
              <w:t xml:space="preserve">(acute and </w:t>
            </w:r>
            <w:r w:rsidR="006A7030">
              <w:t>sub-acute</w:t>
            </w:r>
            <w:r>
              <w:t>)</w:t>
            </w:r>
          </w:p>
        </w:tc>
        <w:tc>
          <w:tcPr>
            <w:tcW w:w="6237" w:type="dxa"/>
          </w:tcPr>
          <w:p w:rsidR="008D0D75" w:rsidRDefault="002821F4" w:rsidP="008D0D75">
            <w:pPr>
              <w:pStyle w:val="PwCNormal"/>
              <w:numPr>
                <w:ilvl w:val="0"/>
                <w:numId w:val="0"/>
              </w:numPr>
            </w:pPr>
            <w:r>
              <w:t xml:space="preserve">Inpatients are allocated costs using various feeder systems, which indicate consumption of hospital resources or services. </w:t>
            </w:r>
            <w:r w:rsidR="008D0D75">
              <w:t>Acute inpatients are classified using AR-DRGs and sub-acute patients are classified under AN-SNAP.</w:t>
            </w:r>
          </w:p>
          <w:p w:rsidR="008D0D75" w:rsidRDefault="008D0D75" w:rsidP="008D0D75">
            <w:pPr>
              <w:pStyle w:val="PwCNormal"/>
              <w:numPr>
                <w:ilvl w:val="0"/>
                <w:numId w:val="0"/>
              </w:numPr>
            </w:pPr>
            <w:r>
              <w:t xml:space="preserve">Nursing costs are allocated using patient </w:t>
            </w:r>
            <w:r w:rsidRPr="009B253B">
              <w:t>minutes</w:t>
            </w:r>
            <w:r>
              <w:t xml:space="preserve"> from </w:t>
            </w:r>
            <w:proofErr w:type="spellStart"/>
            <w:r>
              <w:t>Excelcare</w:t>
            </w:r>
            <w:proofErr w:type="spellEnd"/>
            <w:r w:rsidR="00574937">
              <w:t>, whereas w</w:t>
            </w:r>
            <w:r w:rsidRPr="009B253B">
              <w:t xml:space="preserve">ard medical costs are allocated based on fractional bed days. </w:t>
            </w:r>
            <w:r w:rsidR="00574937">
              <w:t>All inpatients are also allocated the costs of d</w:t>
            </w:r>
            <w:r w:rsidRPr="009B253B">
              <w:t xml:space="preserve">iagnostics tests (such as imaging and pathology), pharmacy and allied health use feeder data </w:t>
            </w:r>
            <w:r>
              <w:t xml:space="preserve">such as </w:t>
            </w:r>
            <w:r w:rsidRPr="009B253B">
              <w:t xml:space="preserve">standard/actual </w:t>
            </w:r>
            <w:r>
              <w:t>costs</w:t>
            </w:r>
            <w:r w:rsidRPr="009B253B">
              <w:t xml:space="preserve"> or </w:t>
            </w:r>
            <w:r>
              <w:t xml:space="preserve">duration to allocate costs at the patient level. </w:t>
            </w:r>
          </w:p>
          <w:p w:rsidR="00574937" w:rsidRDefault="00574937" w:rsidP="008D0D75">
            <w:pPr>
              <w:pStyle w:val="PwCNormal"/>
              <w:numPr>
                <w:ilvl w:val="0"/>
                <w:numId w:val="0"/>
              </w:numPr>
            </w:pPr>
            <w:r>
              <w:t>Prosthetic costs are allocated directly to patients using the Operating Theatre System (OTS) actual charge as the cost driver. If prostheses data is missing for patients expected to receive a prosthetic cost, then a national average prosthetic cost per DRG is used to allocate cost.</w:t>
            </w:r>
          </w:p>
          <w:p w:rsidR="008D0D75" w:rsidRDefault="008D0D75" w:rsidP="00CA6711">
            <w:pPr>
              <w:pStyle w:val="PwCNormal"/>
              <w:numPr>
                <w:ilvl w:val="0"/>
                <w:numId w:val="0"/>
              </w:numPr>
            </w:pPr>
            <w:r>
              <w:t xml:space="preserve">Blood products are not currently in the </w:t>
            </w:r>
            <w:r w:rsidR="00CA6711">
              <w:t>GL</w:t>
            </w:r>
            <w:r>
              <w:t xml:space="preserve"> </w:t>
            </w:r>
            <w:r w:rsidR="00574937">
              <w:t xml:space="preserve">of the hospital </w:t>
            </w:r>
            <w:r>
              <w:t>and thus are not included for costing. Blood products are funded by SA Health and the Commonwealth.</w:t>
            </w:r>
          </w:p>
        </w:tc>
      </w:tr>
      <w:tr w:rsidR="008D0D75" w:rsidTr="006E6862">
        <w:tc>
          <w:tcPr>
            <w:tcW w:w="2376" w:type="dxa"/>
          </w:tcPr>
          <w:p w:rsidR="008D0D75" w:rsidRDefault="008D0D75" w:rsidP="008D0D75">
            <w:pPr>
              <w:pStyle w:val="PwCNormal"/>
              <w:numPr>
                <w:ilvl w:val="0"/>
                <w:numId w:val="0"/>
              </w:numPr>
            </w:pPr>
            <w:r>
              <w:t>Emergency Department</w:t>
            </w:r>
          </w:p>
        </w:tc>
        <w:tc>
          <w:tcPr>
            <w:tcW w:w="6237" w:type="dxa"/>
          </w:tcPr>
          <w:p w:rsidR="008D0D75" w:rsidRPr="00DF1E93" w:rsidRDefault="008D0D75" w:rsidP="00574937">
            <w:pPr>
              <w:pStyle w:val="PwCNormal"/>
              <w:numPr>
                <w:ilvl w:val="0"/>
                <w:numId w:val="0"/>
              </w:numPr>
              <w:rPr>
                <w:highlight w:val="yellow"/>
              </w:rPr>
            </w:pPr>
            <w:r w:rsidRPr="00DF1E93">
              <w:t xml:space="preserve">Patients are allocated doctor and nursing costs based </w:t>
            </w:r>
            <w:r>
              <w:t>on ED presentation duration (</w:t>
            </w:r>
            <w:r w:rsidRPr="00DF1E93">
              <w:t>time first seen</w:t>
            </w:r>
            <w:r>
              <w:t xml:space="preserve"> by doctor</w:t>
            </w:r>
            <w:r w:rsidRPr="00DF1E93">
              <w:t xml:space="preserve"> to </w:t>
            </w:r>
            <w:r>
              <w:t>time of ED discharge) e</w:t>
            </w:r>
            <w:r w:rsidR="00574937">
              <w:t xml:space="preserve">xtracted from the EDDC system. </w:t>
            </w:r>
            <w:r w:rsidRPr="00DF1E93">
              <w:t>Diagnostic tests and dispensed pharmaceuticals are allocated to patients directly based on consumption.</w:t>
            </w:r>
          </w:p>
        </w:tc>
      </w:tr>
      <w:tr w:rsidR="008D0D75" w:rsidTr="006E6862">
        <w:tc>
          <w:tcPr>
            <w:tcW w:w="2376" w:type="dxa"/>
          </w:tcPr>
          <w:p w:rsidR="008D0D75" w:rsidRDefault="008D0D75" w:rsidP="008D0D75">
            <w:pPr>
              <w:pStyle w:val="PwCNormal"/>
              <w:numPr>
                <w:ilvl w:val="0"/>
                <w:numId w:val="0"/>
              </w:numPr>
            </w:pPr>
            <w:r>
              <w:t>Outpatients</w:t>
            </w:r>
          </w:p>
        </w:tc>
        <w:tc>
          <w:tcPr>
            <w:tcW w:w="6237" w:type="dxa"/>
          </w:tcPr>
          <w:p w:rsidR="008D0D75" w:rsidRDefault="008D0D75" w:rsidP="00574937">
            <w:pPr>
              <w:pStyle w:val="PwCNormal"/>
              <w:numPr>
                <w:ilvl w:val="0"/>
                <w:numId w:val="0"/>
              </w:numPr>
            </w:pPr>
            <w:r w:rsidRPr="00F575BE">
              <w:t>Outpatients are costed using a variety of feeder systems to reflect the patients’ consumption of resources.</w:t>
            </w:r>
            <w:r>
              <w:t xml:space="preserve"> Outpatient scheduling data is extracted from the CDW system and allocated to outpatient </w:t>
            </w:r>
            <w:r>
              <w:lastRenderedPageBreak/>
              <w:t>clinics.</w:t>
            </w:r>
            <w:r w:rsidR="00574937">
              <w:t xml:space="preserve"> </w:t>
            </w:r>
            <w:r w:rsidRPr="00DF1E93">
              <w:t xml:space="preserve">Diagnostic tests and dispensed pharmaceuticals are </w:t>
            </w:r>
            <w:r w:rsidR="00574937">
              <w:t xml:space="preserve">also </w:t>
            </w:r>
            <w:r w:rsidRPr="00DF1E93">
              <w:t>allocated to patients directly based on consumption.</w:t>
            </w:r>
            <w:r w:rsidR="00574937">
              <w:t xml:space="preserve"> </w:t>
            </w:r>
            <w:r w:rsidR="00574937" w:rsidRPr="00DF1E93">
              <w:t xml:space="preserve">Outpatients were not submitted in </w:t>
            </w:r>
            <w:r w:rsidR="00574937">
              <w:t>Round 17</w:t>
            </w:r>
            <w:r w:rsidR="00574937" w:rsidRPr="00DF1E93">
              <w:t>.</w:t>
            </w:r>
          </w:p>
        </w:tc>
      </w:tr>
      <w:tr w:rsidR="008D0D75" w:rsidTr="006E6862">
        <w:tc>
          <w:tcPr>
            <w:tcW w:w="2376" w:type="dxa"/>
          </w:tcPr>
          <w:p w:rsidR="008D0D75" w:rsidRDefault="008D0D75" w:rsidP="008D0D75">
            <w:pPr>
              <w:pStyle w:val="PwCNormal"/>
              <w:numPr>
                <w:ilvl w:val="0"/>
                <w:numId w:val="0"/>
              </w:numPr>
            </w:pPr>
            <w:r>
              <w:lastRenderedPageBreak/>
              <w:t>Mental Health</w:t>
            </w:r>
          </w:p>
        </w:tc>
        <w:tc>
          <w:tcPr>
            <w:tcW w:w="6237" w:type="dxa"/>
          </w:tcPr>
          <w:p w:rsidR="008D0D75" w:rsidRDefault="008D0D75" w:rsidP="008D0D75">
            <w:pPr>
              <w:pStyle w:val="PwCNormal"/>
              <w:numPr>
                <w:ilvl w:val="0"/>
                <w:numId w:val="0"/>
              </w:numPr>
            </w:pPr>
            <w:r w:rsidRPr="005442F2">
              <w:t xml:space="preserve"> </w:t>
            </w:r>
            <w:r>
              <w:t>M</w:t>
            </w:r>
            <w:r w:rsidRPr="005442F2">
              <w:t xml:space="preserve">ental health patients are costed using patient level consumption data where possible. Costing methodology for </w:t>
            </w:r>
            <w:r>
              <w:t>admitted mental health patients</w:t>
            </w:r>
            <w:r w:rsidRPr="005442F2">
              <w:t xml:space="preserve"> are consistent with other</w:t>
            </w:r>
            <w:r>
              <w:t xml:space="preserve"> admitted</w:t>
            </w:r>
            <w:r w:rsidRPr="005442F2">
              <w:t xml:space="preserve"> hospital services. </w:t>
            </w:r>
          </w:p>
        </w:tc>
      </w:tr>
      <w:tr w:rsidR="008D0D75" w:rsidTr="006E6862">
        <w:tc>
          <w:tcPr>
            <w:tcW w:w="2376" w:type="dxa"/>
          </w:tcPr>
          <w:p w:rsidR="008D0D75" w:rsidRDefault="008D0D75" w:rsidP="008D0D75">
            <w:pPr>
              <w:pStyle w:val="PwCNormal"/>
              <w:numPr>
                <w:ilvl w:val="0"/>
                <w:numId w:val="0"/>
              </w:numPr>
            </w:pPr>
            <w:r>
              <w:t>Teaching, training and research</w:t>
            </w:r>
          </w:p>
        </w:tc>
        <w:tc>
          <w:tcPr>
            <w:tcW w:w="6237" w:type="dxa"/>
          </w:tcPr>
          <w:p w:rsidR="008D0D75" w:rsidRDefault="008D0D75" w:rsidP="008D0D75">
            <w:pPr>
              <w:pStyle w:val="PwCNormal"/>
              <w:numPr>
                <w:ilvl w:val="0"/>
                <w:numId w:val="0"/>
              </w:numPr>
            </w:pPr>
            <w:r w:rsidRPr="009B253B">
              <w:t>Direct teaching</w:t>
            </w:r>
            <w:r>
              <w:t xml:space="preserve">, training and research </w:t>
            </w:r>
            <w:r w:rsidRPr="009B253B">
              <w:t xml:space="preserve">costs </w:t>
            </w:r>
            <w:proofErr w:type="spellStart"/>
            <w:r w:rsidRPr="009B253B">
              <w:t>where</w:t>
            </w:r>
            <w:proofErr w:type="spellEnd"/>
            <w:r w:rsidRPr="009B253B">
              <w:t xml:space="preserve"> </w:t>
            </w:r>
            <w:r>
              <w:t xml:space="preserve">identified as part of the costing process but were not included in the </w:t>
            </w:r>
            <w:r w:rsidR="006A194B">
              <w:t>Round 17</w:t>
            </w:r>
            <w:r>
              <w:t xml:space="preserve"> NHCDC submission.</w:t>
            </w:r>
          </w:p>
        </w:tc>
      </w:tr>
      <w:tr w:rsidR="008D0D75" w:rsidTr="006E6862">
        <w:tc>
          <w:tcPr>
            <w:tcW w:w="2376" w:type="dxa"/>
          </w:tcPr>
          <w:p w:rsidR="008D0D75" w:rsidRDefault="008D0D75" w:rsidP="008D0D75">
            <w:pPr>
              <w:pStyle w:val="PwCNormal"/>
              <w:numPr>
                <w:ilvl w:val="0"/>
                <w:numId w:val="0"/>
              </w:numPr>
            </w:pPr>
            <w:r>
              <w:t>Other</w:t>
            </w:r>
          </w:p>
        </w:tc>
        <w:tc>
          <w:tcPr>
            <w:tcW w:w="6237" w:type="dxa"/>
          </w:tcPr>
          <w:p w:rsidR="008D0D75" w:rsidRDefault="008D0D75" w:rsidP="008D0D75">
            <w:pPr>
              <w:pStyle w:val="PwCNormal"/>
              <w:numPr>
                <w:ilvl w:val="0"/>
                <w:numId w:val="0"/>
              </w:numPr>
            </w:pPr>
            <w:r>
              <w:t xml:space="preserve">Boarder activity and costs are excluded and not submitted to IHPA. </w:t>
            </w:r>
          </w:p>
        </w:tc>
      </w:tr>
    </w:tbl>
    <w:p w:rsidR="008D0D75" w:rsidRDefault="008D0D75" w:rsidP="008D0D75">
      <w:pPr>
        <w:pStyle w:val="PwCNormal"/>
        <w:numPr>
          <w:ilvl w:val="0"/>
          <w:numId w:val="0"/>
        </w:numPr>
      </w:pPr>
    </w:p>
    <w:p w:rsidR="008D0D75" w:rsidRPr="004E0B72" w:rsidRDefault="008D0D75" w:rsidP="00CE5EF2">
      <w:pPr>
        <w:pStyle w:val="Heading3"/>
      </w:pPr>
      <w:bookmarkStart w:id="99" w:name="_Ref403555097"/>
      <w:r>
        <w:t>Feeder data for sample areas</w:t>
      </w:r>
      <w:bookmarkEnd w:id="99"/>
    </w:p>
    <w:p w:rsidR="008D0D75" w:rsidRPr="002449AB" w:rsidRDefault="008D0D75" w:rsidP="008D0D75">
      <w:pPr>
        <w:pStyle w:val="PwCNormal"/>
        <w:numPr>
          <w:ilvl w:val="0"/>
          <w:numId w:val="0"/>
        </w:numPr>
        <w:rPr>
          <w:b/>
        </w:rPr>
      </w:pPr>
      <w:r>
        <w:rPr>
          <w:b/>
        </w:rPr>
        <w:t>Overview</w:t>
      </w:r>
    </w:p>
    <w:p w:rsidR="008D0D75" w:rsidRDefault="00B039D3" w:rsidP="008D0D75">
      <w:pPr>
        <w:pStyle w:val="PwCNormal"/>
        <w:numPr>
          <w:ilvl w:val="0"/>
          <w:numId w:val="0"/>
        </w:numPr>
      </w:pPr>
      <w:r>
        <w:t xml:space="preserve">As part of the costing process different methodologies will be utilised to allocate costs to a patient level. </w:t>
      </w:r>
      <w:r w:rsidR="002821F4">
        <w:t xml:space="preserve">The recommended methodology in the AHPCS is using a feeder system, which uses direct patient activity data to allocate costs; however if this is not available then service weights or RVUs could be used. </w:t>
      </w:r>
      <w:r>
        <w:t>Some allocation methodologies at FMC of note include</w:t>
      </w:r>
      <w:r w:rsidR="008D0D75">
        <w:t>:</w:t>
      </w:r>
    </w:p>
    <w:p w:rsidR="008D0D75" w:rsidRDefault="008D0D75" w:rsidP="009C4A5D">
      <w:pPr>
        <w:pStyle w:val="PwCNormal"/>
        <w:numPr>
          <w:ilvl w:val="0"/>
          <w:numId w:val="51"/>
        </w:numPr>
      </w:pPr>
      <w:r>
        <w:t>Patients are allocated theatre costs based not only on duration, but also on the number of surgeons/</w:t>
      </w:r>
      <w:r w:rsidRPr="0002662C">
        <w:t>anaesthetists</w:t>
      </w:r>
      <w:r>
        <w:t xml:space="preserve"> in attendance.</w:t>
      </w:r>
    </w:p>
    <w:p w:rsidR="008D0D75" w:rsidRDefault="008D0D75" w:rsidP="009C4A5D">
      <w:pPr>
        <w:pStyle w:val="PwCNormal"/>
        <w:numPr>
          <w:ilvl w:val="0"/>
          <w:numId w:val="51"/>
        </w:numPr>
      </w:pPr>
      <w:r>
        <w:t>Prosthetics costs are allocated directly to patients using the OTS actual charge data. If actual charge data is missing the national average cost per DRG is used as the cost driver.</w:t>
      </w:r>
    </w:p>
    <w:p w:rsidR="008D0D75" w:rsidRDefault="008D0D75" w:rsidP="008D0D75">
      <w:pPr>
        <w:pStyle w:val="PwCNormal"/>
        <w:numPr>
          <w:ilvl w:val="0"/>
          <w:numId w:val="0"/>
        </w:numPr>
        <w:rPr>
          <w:b/>
        </w:rPr>
      </w:pPr>
      <w:r>
        <w:rPr>
          <w:b/>
        </w:rPr>
        <w:t>Pharmacy</w:t>
      </w:r>
    </w:p>
    <w:p w:rsidR="00574937" w:rsidRDefault="008D0D75" w:rsidP="00574937">
      <w:pPr>
        <w:pStyle w:val="PwCNormal"/>
        <w:numPr>
          <w:ilvl w:val="0"/>
          <w:numId w:val="0"/>
        </w:numPr>
      </w:pPr>
      <w:r>
        <w:t xml:space="preserve">FMC uses </w:t>
      </w:r>
      <w:proofErr w:type="spellStart"/>
      <w:r>
        <w:t>iPharmacy</w:t>
      </w:r>
      <w:proofErr w:type="spellEnd"/>
      <w:r>
        <w:t xml:space="preserve">, which records patient level consumption of pharmaceutical products. </w:t>
      </w:r>
      <w:proofErr w:type="spellStart"/>
      <w:r w:rsidR="00574937">
        <w:t>Imprest</w:t>
      </w:r>
      <w:proofErr w:type="spellEnd"/>
      <w:r w:rsidR="00574937" w:rsidRPr="006A258E">
        <w:t xml:space="preserve"> drug costs are allocated to wards, and are the distributed to patients </w:t>
      </w:r>
      <w:r w:rsidR="00574937">
        <w:t>based on fractional bed days, whereas d</w:t>
      </w:r>
      <w:r>
        <w:t xml:space="preserve">ispensed drugs that are administered directly to patients are recorded in </w:t>
      </w:r>
      <w:proofErr w:type="spellStart"/>
      <w:r>
        <w:t>iPharmacy</w:t>
      </w:r>
      <w:proofErr w:type="spellEnd"/>
      <w:r>
        <w:t xml:space="preserve"> </w:t>
      </w:r>
      <w:r w:rsidR="00574937">
        <w:t xml:space="preserve">which is used to allocate costs. The results of the linking process are shown in table </w:t>
      </w:r>
      <w:r w:rsidR="00574937">
        <w:fldChar w:fldCharType="begin"/>
      </w:r>
      <w:r w:rsidR="00574937">
        <w:instrText xml:space="preserve"> REF _Ref402888497 \h </w:instrText>
      </w:r>
      <w:r w:rsidR="00574937">
        <w:fldChar w:fldCharType="separate"/>
      </w:r>
      <w:proofErr w:type="spellStart"/>
      <w:r w:rsidR="00575DFC">
        <w:t>Table</w:t>
      </w:r>
      <w:proofErr w:type="spellEnd"/>
      <w:r w:rsidR="00575DFC">
        <w:t xml:space="preserve"> </w:t>
      </w:r>
      <w:r w:rsidR="00575DFC">
        <w:rPr>
          <w:noProof/>
        </w:rPr>
        <w:t>58</w:t>
      </w:r>
      <w:r w:rsidR="00575DFC">
        <w:t xml:space="preserve">: </w:t>
      </w:r>
      <w:r w:rsidR="00575DFC" w:rsidRPr="00AE7AC9">
        <w:t>Outcome of pharmacy feeder linking</w:t>
      </w:r>
      <w:r w:rsidR="00574937">
        <w:fldChar w:fldCharType="end"/>
      </w:r>
      <w:r w:rsidR="00424B52">
        <w:t>.</w:t>
      </w:r>
    </w:p>
    <w:p w:rsidR="00D07430" w:rsidRDefault="008D0D75" w:rsidP="008D0D75">
      <w:pPr>
        <w:pStyle w:val="PwCNormal"/>
        <w:numPr>
          <w:ilvl w:val="0"/>
          <w:numId w:val="0"/>
        </w:numPr>
      </w:pPr>
      <w:r w:rsidRPr="006A258E">
        <w:t xml:space="preserve">Dispensed drugs are linked to patients based on </w:t>
      </w:r>
      <w:r w:rsidRPr="000E13F0">
        <w:t xml:space="preserve">their medical record number and </w:t>
      </w:r>
      <w:r w:rsidR="00D07430">
        <w:t xml:space="preserve">service date from </w:t>
      </w:r>
      <w:proofErr w:type="spellStart"/>
      <w:r w:rsidR="00D07430">
        <w:t>iPharmacy</w:t>
      </w:r>
      <w:proofErr w:type="spellEnd"/>
      <w:r w:rsidR="00574937">
        <w:t xml:space="preserve">, </w:t>
      </w:r>
      <w:r w:rsidR="00D07430">
        <w:t>where the unit cost</w:t>
      </w:r>
      <w:r w:rsidR="00574937">
        <w:t xml:space="preserve"> taken from the price list provided through vendors</w:t>
      </w:r>
      <w:r w:rsidR="00D07430">
        <w:t xml:space="preserve">. The records were </w:t>
      </w:r>
      <w:r w:rsidRPr="000E13F0">
        <w:t>first linked to inpatients</w:t>
      </w:r>
      <w:r w:rsidR="00D93E00">
        <w:t xml:space="preserve"> </w:t>
      </w:r>
      <w:r w:rsidR="00D07430">
        <w:t>if the service date was</w:t>
      </w:r>
      <w:r w:rsidR="00D93E00">
        <w:t xml:space="preserve"> either</w:t>
      </w:r>
      <w:r w:rsidR="00D07430">
        <w:t xml:space="preserve"> within </w:t>
      </w:r>
      <w:r w:rsidR="00D93E00">
        <w:t>two days</w:t>
      </w:r>
      <w:r w:rsidR="00D07430">
        <w:t xml:space="preserve"> before the admission or two days after the discharge date. If that linking failed, it was then linked to ED presentations with a service date</w:t>
      </w:r>
      <w:r w:rsidRPr="000E13F0">
        <w:t xml:space="preserve"> </w:t>
      </w:r>
      <w:r w:rsidR="00D07430">
        <w:t xml:space="preserve">within two days of the presentation date. If that linking failed, it was then linked to outpatients where the service date was within 30 days of the outpatient service event. </w:t>
      </w:r>
      <w:r w:rsidR="00D07430" w:rsidRPr="006A258E">
        <w:t xml:space="preserve">Records that are unable to be matched are linked to a virtual patient, </w:t>
      </w:r>
      <w:r w:rsidR="00D07430">
        <w:t>which</w:t>
      </w:r>
      <w:r w:rsidR="00D07430" w:rsidRPr="006A258E">
        <w:t xml:space="preserve"> holds the costs for those drugs.</w:t>
      </w:r>
    </w:p>
    <w:p w:rsidR="009D2646" w:rsidRDefault="009D2646" w:rsidP="009D2646">
      <w:pPr>
        <w:pStyle w:val="Caption"/>
      </w:pPr>
      <w:bookmarkStart w:id="100" w:name="_Ref402888497"/>
      <w:r>
        <w:lastRenderedPageBreak/>
        <w:t xml:space="preserve">Table </w:t>
      </w:r>
      <w:r w:rsidR="008379DC">
        <w:fldChar w:fldCharType="begin"/>
      </w:r>
      <w:r w:rsidR="009E64DF">
        <w:instrText xml:space="preserve"> SEQ Table \* ARABIC </w:instrText>
      </w:r>
      <w:r w:rsidR="008379DC">
        <w:fldChar w:fldCharType="separate"/>
      </w:r>
      <w:r w:rsidR="00575DFC">
        <w:rPr>
          <w:noProof/>
        </w:rPr>
        <w:t>58</w:t>
      </w:r>
      <w:r w:rsidR="008379DC">
        <w:rPr>
          <w:noProof/>
        </w:rPr>
        <w:fldChar w:fldCharType="end"/>
      </w:r>
      <w:r>
        <w:t xml:space="preserve">: </w:t>
      </w:r>
      <w:r w:rsidRPr="00AE7AC9">
        <w:t>Outcome of pharmacy feeder linking</w:t>
      </w:r>
      <w:bookmarkEnd w:id="100"/>
    </w:p>
    <w:p w:rsidR="008D0D75" w:rsidRDefault="008D0D75" w:rsidP="008D0D75">
      <w:pPr>
        <w:pStyle w:val="PwCNormal"/>
        <w:numPr>
          <w:ilvl w:val="0"/>
          <w:numId w:val="0"/>
        </w:numPr>
        <w:rPr>
          <w:highlight w:val="yellow"/>
        </w:rPr>
      </w:pPr>
      <w:r w:rsidRPr="00D4139B">
        <w:rPr>
          <w:noProof/>
          <w:lang w:eastAsia="en-AU"/>
        </w:rPr>
        <w:drawing>
          <wp:inline distT="0" distB="0" distL="0" distR="0" wp14:anchorId="64155802" wp14:editId="21DE4395">
            <wp:extent cx="2880000" cy="2659648"/>
            <wp:effectExtent l="0" t="0" r="0" b="7620"/>
            <wp:docPr id="60" name="Picture 1" descr="This table outlines the outcome of the pharmacy feeder linking rules to the different hospital produ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srcRect/>
                    <a:stretch>
                      <a:fillRect/>
                    </a:stretch>
                  </pic:blipFill>
                  <pic:spPr bwMode="auto">
                    <a:xfrm>
                      <a:off x="0" y="0"/>
                      <a:ext cx="2880000" cy="2659648"/>
                    </a:xfrm>
                    <a:prstGeom prst="rect">
                      <a:avLst/>
                    </a:prstGeom>
                    <a:noFill/>
                    <a:ln w="9525">
                      <a:noFill/>
                      <a:miter lim="800000"/>
                      <a:headEnd/>
                      <a:tailEnd/>
                    </a:ln>
                  </pic:spPr>
                </pic:pic>
              </a:graphicData>
            </a:graphic>
          </wp:inline>
        </w:drawing>
      </w:r>
    </w:p>
    <w:p w:rsidR="008D0D75" w:rsidRDefault="008D0D75" w:rsidP="008D0D75">
      <w:pPr>
        <w:pStyle w:val="PwCNormal"/>
        <w:numPr>
          <w:ilvl w:val="0"/>
          <w:numId w:val="0"/>
        </w:numPr>
      </w:pPr>
      <w:r>
        <w:t>While 197,298 records were</w:t>
      </w:r>
      <w:r w:rsidR="00424B52">
        <w:t xml:space="preserve"> extracted from the system, 4,17</w:t>
      </w:r>
      <w:r>
        <w:t xml:space="preserve">5 records related to </w:t>
      </w:r>
      <w:proofErr w:type="spellStart"/>
      <w:r>
        <w:t>imprest</w:t>
      </w:r>
      <w:proofErr w:type="spellEnd"/>
      <w:r>
        <w:t xml:space="preserve"> drugs that were allocated to wards. The remaining </w:t>
      </w:r>
      <w:r w:rsidRPr="00152D60">
        <w:t>193</w:t>
      </w:r>
      <w:r>
        <w:t>,113 records relate</w:t>
      </w:r>
      <w:r w:rsidR="00424B52">
        <w:t>d to dispensed drugs that were able to be linked to patient activity</w:t>
      </w:r>
      <w:r>
        <w:t>.</w:t>
      </w:r>
    </w:p>
    <w:p w:rsidR="008D0D75" w:rsidRDefault="008D0D75" w:rsidP="008D0D75">
      <w:pPr>
        <w:pStyle w:val="PwCNormal"/>
        <w:numPr>
          <w:ilvl w:val="0"/>
          <w:numId w:val="0"/>
        </w:numPr>
        <w:rPr>
          <w:b/>
        </w:rPr>
      </w:pPr>
      <w:r>
        <w:rPr>
          <w:b/>
        </w:rPr>
        <w:t>Theatre</w:t>
      </w:r>
    </w:p>
    <w:p w:rsidR="008D0D75" w:rsidRPr="00F07A1B" w:rsidRDefault="008D0D75" w:rsidP="008D0D75">
      <w:pPr>
        <w:pStyle w:val="PwCNormal"/>
        <w:numPr>
          <w:ilvl w:val="0"/>
          <w:numId w:val="0"/>
        </w:numPr>
      </w:pPr>
      <w:r w:rsidRPr="00F07A1B">
        <w:t>OACIS at FMC records various data points of the patients in theatre, such as start and end time of anaesthetics, number of surgeons and anaesthetists etc. Data is extracted from the system and links directly to the patient encounter.</w:t>
      </w:r>
      <w:r>
        <w:t xml:space="preserve"> </w:t>
      </w:r>
      <w:r w:rsidR="00424B52">
        <w:t>Records are first linked</w:t>
      </w:r>
      <w:r>
        <w:t xml:space="preserve"> </w:t>
      </w:r>
      <w:r w:rsidR="00424B52">
        <w:t xml:space="preserve">to </w:t>
      </w:r>
      <w:r>
        <w:t xml:space="preserve">inpatients if </w:t>
      </w:r>
      <w:r w:rsidR="00424B52">
        <w:t xml:space="preserve">the date of </w:t>
      </w:r>
      <w:r>
        <w:t>service</w:t>
      </w:r>
      <w:r w:rsidR="00424B52">
        <w:t xml:space="preserve"> is 24 hours before admission or 24 hours after discharge times, otherwise it is </w:t>
      </w:r>
      <w:r>
        <w:t>link</w:t>
      </w:r>
      <w:r w:rsidR="00424B52">
        <w:t>ed</w:t>
      </w:r>
      <w:r>
        <w:t xml:space="preserve"> </w:t>
      </w:r>
      <w:r w:rsidR="00424B52">
        <w:t xml:space="preserve">to </w:t>
      </w:r>
      <w:r>
        <w:t>outpatients</w:t>
      </w:r>
      <w:r w:rsidR="00424B52">
        <w:t xml:space="preserve"> if within 24 hours of service date and time. The </w:t>
      </w:r>
      <w:proofErr w:type="gramStart"/>
      <w:r w:rsidR="00424B52">
        <w:t>results of this linking process is</w:t>
      </w:r>
      <w:proofErr w:type="gramEnd"/>
      <w:r w:rsidR="00424B52">
        <w:t xml:space="preserve"> displayed in </w:t>
      </w:r>
      <w:r w:rsidR="00424B52">
        <w:fldChar w:fldCharType="begin"/>
      </w:r>
      <w:r w:rsidR="00424B52">
        <w:instrText xml:space="preserve"> REF _Ref402889081 \h </w:instrText>
      </w:r>
      <w:r w:rsidR="00424B52">
        <w:fldChar w:fldCharType="separate"/>
      </w:r>
      <w:r w:rsidR="00575DFC">
        <w:t xml:space="preserve">Table </w:t>
      </w:r>
      <w:r w:rsidR="00575DFC">
        <w:rPr>
          <w:noProof/>
        </w:rPr>
        <w:t>59</w:t>
      </w:r>
      <w:r w:rsidR="00424B52">
        <w:fldChar w:fldCharType="end"/>
      </w:r>
      <w:r w:rsidR="00424B52">
        <w:t xml:space="preserve"> below.</w:t>
      </w:r>
    </w:p>
    <w:p w:rsidR="008D0D75" w:rsidRPr="009D2893" w:rsidRDefault="008D0D75" w:rsidP="008D0D75">
      <w:pPr>
        <w:pStyle w:val="PwCNormal"/>
        <w:numPr>
          <w:ilvl w:val="0"/>
          <w:numId w:val="0"/>
        </w:numPr>
      </w:pPr>
      <w:r w:rsidRPr="009D2893">
        <w:t>Multiple cost drivers are</w:t>
      </w:r>
      <w:r>
        <w:t xml:space="preserve"> used to allocate theatre costs</w:t>
      </w:r>
      <w:r w:rsidRPr="009D2893">
        <w:t xml:space="preserve">, which includes patient surgery </w:t>
      </w:r>
      <w:r>
        <w:t>duration (start to end time)</w:t>
      </w:r>
      <w:r w:rsidRPr="009D2893">
        <w:t>, anaesthetic duration (start to end), number of surgeons</w:t>
      </w:r>
      <w:r>
        <w:t xml:space="preserve">, </w:t>
      </w:r>
      <w:r w:rsidR="001C0FA7">
        <w:t xml:space="preserve">and </w:t>
      </w:r>
      <w:r>
        <w:t>number of anaesthetists</w:t>
      </w:r>
      <w:r w:rsidRPr="009D2893">
        <w:t>.</w:t>
      </w:r>
      <w:r>
        <w:t xml:space="preserve"> The system does not record the number of nurses per operation and</w:t>
      </w:r>
      <w:r w:rsidR="001C0FA7">
        <w:t xml:space="preserve"> as such, </w:t>
      </w:r>
      <w:r>
        <w:t xml:space="preserve">total theatre time is used to allocate nursing costs to a patient. </w:t>
      </w:r>
      <w:r w:rsidRPr="009D2893">
        <w:t>Central Sterilisation Department</w:t>
      </w:r>
      <w:r w:rsidR="00D61ABE">
        <w:t xml:space="preserve"> (</w:t>
      </w:r>
      <w:r w:rsidR="00D61ABE" w:rsidRPr="009D2893">
        <w:t>CSSD</w:t>
      </w:r>
      <w:r w:rsidRPr="009D2893">
        <w:t>) costs are allocated as an overhead.</w:t>
      </w:r>
    </w:p>
    <w:p w:rsidR="009D2646" w:rsidRDefault="009D2646" w:rsidP="009D2646">
      <w:pPr>
        <w:pStyle w:val="Caption"/>
      </w:pPr>
      <w:bookmarkStart w:id="101" w:name="_Ref402889081"/>
      <w:r>
        <w:t xml:space="preserve">Table </w:t>
      </w:r>
      <w:r w:rsidR="008379DC">
        <w:fldChar w:fldCharType="begin"/>
      </w:r>
      <w:r w:rsidR="009E64DF">
        <w:instrText xml:space="preserve"> SEQ Table \* ARABIC </w:instrText>
      </w:r>
      <w:r w:rsidR="008379DC">
        <w:fldChar w:fldCharType="separate"/>
      </w:r>
      <w:r w:rsidR="00575DFC">
        <w:rPr>
          <w:noProof/>
        </w:rPr>
        <w:t>59</w:t>
      </w:r>
      <w:r w:rsidR="008379DC">
        <w:rPr>
          <w:noProof/>
        </w:rPr>
        <w:fldChar w:fldCharType="end"/>
      </w:r>
      <w:bookmarkEnd w:id="101"/>
      <w:r>
        <w:t xml:space="preserve">: </w:t>
      </w:r>
      <w:r w:rsidRPr="00036A46">
        <w:t>Outcome of theatre feeder linking</w:t>
      </w:r>
    </w:p>
    <w:p w:rsidR="008D0D75" w:rsidRDefault="008D0D75" w:rsidP="008D0D75">
      <w:pPr>
        <w:pStyle w:val="PwCNormal"/>
        <w:numPr>
          <w:ilvl w:val="0"/>
          <w:numId w:val="0"/>
        </w:numPr>
      </w:pPr>
      <w:r w:rsidRPr="00D4139B">
        <w:rPr>
          <w:noProof/>
          <w:lang w:eastAsia="en-AU"/>
        </w:rPr>
        <w:drawing>
          <wp:inline distT="0" distB="0" distL="0" distR="0" wp14:anchorId="66D37275" wp14:editId="58DAEFB5">
            <wp:extent cx="2880000" cy="2659648"/>
            <wp:effectExtent l="0" t="0" r="0" b="7620"/>
            <wp:docPr id="61" name="Picture 2"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2880000" cy="2659648"/>
                    </a:xfrm>
                    <a:prstGeom prst="rect">
                      <a:avLst/>
                    </a:prstGeom>
                    <a:noFill/>
                    <a:ln w="9525">
                      <a:noFill/>
                      <a:miter lim="800000"/>
                      <a:headEnd/>
                      <a:tailEnd/>
                    </a:ln>
                  </pic:spPr>
                </pic:pic>
              </a:graphicData>
            </a:graphic>
          </wp:inline>
        </w:drawing>
      </w:r>
    </w:p>
    <w:p w:rsidR="008D0D75" w:rsidRDefault="008D0D75" w:rsidP="008D0D75">
      <w:pPr>
        <w:pStyle w:val="PwCNormal"/>
        <w:numPr>
          <w:ilvl w:val="0"/>
          <w:numId w:val="0"/>
        </w:numPr>
      </w:pPr>
      <w:r>
        <w:lastRenderedPageBreak/>
        <w:t>There were 16,039 records extracted from OACIS, of which 16,023 could be linked to patients. This leaves 16 records that could not be matched/linked with admitted patient episodes.</w:t>
      </w:r>
    </w:p>
    <w:p w:rsidR="008D0D75" w:rsidRPr="002449AB" w:rsidRDefault="008D0D75" w:rsidP="008D0D75">
      <w:pPr>
        <w:pStyle w:val="PwCNormal"/>
        <w:numPr>
          <w:ilvl w:val="0"/>
          <w:numId w:val="0"/>
        </w:numPr>
        <w:rPr>
          <w:b/>
        </w:rPr>
      </w:pPr>
      <w:r>
        <w:rPr>
          <w:b/>
        </w:rPr>
        <w:t>Ward Nursing</w:t>
      </w:r>
    </w:p>
    <w:p w:rsidR="008D0D75" w:rsidRPr="003C1C59" w:rsidRDefault="002821F4" w:rsidP="008D0D75">
      <w:pPr>
        <w:pStyle w:val="PwCNormal"/>
        <w:numPr>
          <w:ilvl w:val="0"/>
          <w:numId w:val="0"/>
        </w:numPr>
        <w:rPr>
          <w:highlight w:val="yellow"/>
        </w:rPr>
      </w:pPr>
      <w:proofErr w:type="spellStart"/>
      <w:r>
        <w:t>Excelcare</w:t>
      </w:r>
      <w:proofErr w:type="spellEnd"/>
      <w:r>
        <w:t xml:space="preserve"> is the nursing dependency </w:t>
      </w:r>
      <w:r w:rsidRPr="0090280F">
        <w:t>system at FMC</w:t>
      </w:r>
      <w:r>
        <w:t>,</w:t>
      </w:r>
      <w:r w:rsidRPr="0090280F">
        <w:t xml:space="preserve"> </w:t>
      </w:r>
      <w:r>
        <w:t>which provides nursing time by patient, which is the basis of allocating nursing cost to the patient.</w:t>
      </w:r>
      <w:r w:rsidRPr="00F07A1B">
        <w:t xml:space="preserve"> </w:t>
      </w:r>
      <w:r w:rsidR="008D0D75" w:rsidRPr="00F07A1B">
        <w:t>Data is extracted from the system and links directly to the patient encounter.</w:t>
      </w:r>
      <w:r w:rsidR="008D0D75">
        <w:t xml:space="preserve"> Inpatients are linked if their activity falls within 2 days of the service.</w:t>
      </w:r>
    </w:p>
    <w:p w:rsidR="008D0D75" w:rsidRDefault="008D0D75" w:rsidP="008D0D75">
      <w:pPr>
        <w:pStyle w:val="PwCNormal"/>
        <w:numPr>
          <w:ilvl w:val="0"/>
          <w:numId w:val="0"/>
        </w:numPr>
      </w:pPr>
      <w:r w:rsidRPr="0090280F">
        <w:t>The table below outlines the linking of records from the source system to patients within the hospital products.</w:t>
      </w:r>
    </w:p>
    <w:p w:rsidR="00D61ABE" w:rsidRDefault="00D61ABE" w:rsidP="00D61ABE">
      <w:pPr>
        <w:pStyle w:val="Caption"/>
      </w:pPr>
      <w:bookmarkStart w:id="102" w:name="_Ref404340258"/>
      <w:r>
        <w:t xml:space="preserve">Table </w:t>
      </w:r>
      <w:fldSimple w:instr=" SEQ Table \* ARABIC ">
        <w:r w:rsidR="00575DFC">
          <w:rPr>
            <w:noProof/>
          </w:rPr>
          <w:t>60</w:t>
        </w:r>
      </w:fldSimple>
      <w:r>
        <w:t xml:space="preserve">: </w:t>
      </w:r>
      <w:r w:rsidRPr="002C0603">
        <w:t>Outcome of ward nursing feeder linking</w:t>
      </w:r>
      <w:bookmarkEnd w:id="102"/>
    </w:p>
    <w:p w:rsidR="008D0D75" w:rsidRDefault="008D0D75" w:rsidP="008D0D75">
      <w:pPr>
        <w:pStyle w:val="PwCNormal"/>
        <w:numPr>
          <w:ilvl w:val="0"/>
          <w:numId w:val="0"/>
        </w:numPr>
      </w:pPr>
      <w:r w:rsidRPr="00D4139B">
        <w:rPr>
          <w:noProof/>
          <w:lang w:eastAsia="en-AU"/>
        </w:rPr>
        <w:drawing>
          <wp:inline distT="0" distB="0" distL="0" distR="0" wp14:anchorId="622AE099" wp14:editId="21F7325D">
            <wp:extent cx="2880000" cy="2659648"/>
            <wp:effectExtent l="0" t="0" r="0" b="7620"/>
            <wp:docPr id="62" name="Picture 3"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srcRect/>
                    <a:stretch>
                      <a:fillRect/>
                    </a:stretch>
                  </pic:blipFill>
                  <pic:spPr bwMode="auto">
                    <a:xfrm>
                      <a:off x="0" y="0"/>
                      <a:ext cx="2880000" cy="2659648"/>
                    </a:xfrm>
                    <a:prstGeom prst="rect">
                      <a:avLst/>
                    </a:prstGeom>
                    <a:noFill/>
                    <a:ln w="9525">
                      <a:noFill/>
                      <a:miter lim="800000"/>
                      <a:headEnd/>
                      <a:tailEnd/>
                    </a:ln>
                  </pic:spPr>
                </pic:pic>
              </a:graphicData>
            </a:graphic>
          </wp:inline>
        </w:drawing>
      </w:r>
    </w:p>
    <w:p w:rsidR="008D0D75" w:rsidRDefault="008D0D75" w:rsidP="008D0D75">
      <w:pPr>
        <w:pStyle w:val="PwCNormal"/>
        <w:numPr>
          <w:ilvl w:val="0"/>
          <w:numId w:val="0"/>
        </w:numPr>
      </w:pPr>
      <w:r>
        <w:t xml:space="preserve">There were </w:t>
      </w:r>
      <w:r w:rsidRPr="00994616">
        <w:t>453</w:t>
      </w:r>
      <w:r>
        <w:t>,</w:t>
      </w:r>
      <w:r w:rsidRPr="00994616">
        <w:t>922</w:t>
      </w:r>
      <w:r>
        <w:t xml:space="preserve"> records extracted from </w:t>
      </w:r>
      <w:proofErr w:type="spellStart"/>
      <w:r>
        <w:t>Exclecare</w:t>
      </w:r>
      <w:proofErr w:type="spellEnd"/>
      <w:r>
        <w:t xml:space="preserve">, of which </w:t>
      </w:r>
      <w:r w:rsidRPr="00994616">
        <w:t>439</w:t>
      </w:r>
      <w:r>
        <w:t>,</w:t>
      </w:r>
      <w:r w:rsidRPr="00994616">
        <w:t xml:space="preserve">089 </w:t>
      </w:r>
      <w:r>
        <w:t xml:space="preserve">could be linked to patients. This leaves 14,833 records that could not be </w:t>
      </w:r>
      <w:proofErr w:type="gramStart"/>
      <w:r>
        <w:t>matched/linked</w:t>
      </w:r>
      <w:proofErr w:type="gramEnd"/>
      <w:r>
        <w:t>.</w:t>
      </w:r>
      <w:r w:rsidR="0015576C">
        <w:t xml:space="preserve"> Costs attributed to this activity were excluded from the submission.</w:t>
      </w:r>
    </w:p>
    <w:p w:rsidR="008D0D75" w:rsidRPr="004E0B72" w:rsidRDefault="008D0D75" w:rsidP="00CE5EF2">
      <w:pPr>
        <w:pStyle w:val="Heading3"/>
      </w:pPr>
      <w:bookmarkStart w:id="103" w:name="_Ref402764189"/>
      <w:r>
        <w:t>The costed dataset</w:t>
      </w:r>
      <w:bookmarkEnd w:id="103"/>
    </w:p>
    <w:p w:rsidR="008D0D75" w:rsidRPr="002449AB" w:rsidRDefault="008D0D75" w:rsidP="008D0D75">
      <w:pPr>
        <w:pStyle w:val="PwCNormal"/>
        <w:numPr>
          <w:ilvl w:val="0"/>
          <w:numId w:val="0"/>
        </w:numPr>
        <w:rPr>
          <w:b/>
        </w:rPr>
      </w:pPr>
      <w:r>
        <w:rPr>
          <w:b/>
        </w:rPr>
        <w:t>QA process</w:t>
      </w:r>
    </w:p>
    <w:p w:rsidR="008D0D75" w:rsidRDefault="008D0D75" w:rsidP="009011D9">
      <w:pPr>
        <w:pStyle w:val="PwCNormal"/>
        <w:numPr>
          <w:ilvl w:val="0"/>
          <w:numId w:val="0"/>
        </w:numPr>
        <w:spacing w:after="180"/>
      </w:pPr>
      <w:r w:rsidRPr="00366C3D">
        <w:t xml:space="preserve">Once costing has completed a range of quality assurance checks and reconciliations are performed by the SA Health staff. </w:t>
      </w:r>
      <w:r w:rsidR="002821F4">
        <w:t>High-level</w:t>
      </w:r>
      <w:r w:rsidR="00424B52">
        <w:t xml:space="preserve"> reconciliations are performed on the total costs and activities to check that the source data that went into the costing system agrees to the </w:t>
      </w:r>
      <w:r w:rsidR="009011D9">
        <w:t>costing output. Reports are then produced that show average DRGs costs, average cost by hospital product and reporting on any negative costs or separations. Exception reporting is also produced on high or low cost separations, and usual data items like extensive stays in ED. Identified issues during this</w:t>
      </w:r>
      <w:r w:rsidRPr="00366C3D">
        <w:t xml:space="preserve"> process are rectified</w:t>
      </w:r>
      <w:r w:rsidR="009011D9">
        <w:t>, costing is performed again, an</w:t>
      </w:r>
      <w:r w:rsidRPr="00366C3D">
        <w:t>d the new costing results go through the QA processes until SA Health is satisfied with the results.</w:t>
      </w:r>
    </w:p>
    <w:p w:rsidR="008D0D75" w:rsidRPr="002449AB" w:rsidRDefault="008D0D75" w:rsidP="008D0D75">
      <w:pPr>
        <w:pStyle w:val="PwCNormal"/>
        <w:numPr>
          <w:ilvl w:val="0"/>
          <w:numId w:val="0"/>
        </w:numPr>
        <w:rPr>
          <w:b/>
        </w:rPr>
      </w:pPr>
      <w:r>
        <w:rPr>
          <w:b/>
        </w:rPr>
        <w:t>Adjustments</w:t>
      </w:r>
    </w:p>
    <w:p w:rsidR="00AF53C8" w:rsidRDefault="008D0D75" w:rsidP="008D0D75">
      <w:pPr>
        <w:pStyle w:val="PwCNormal"/>
        <w:numPr>
          <w:ilvl w:val="0"/>
          <w:numId w:val="0"/>
        </w:numPr>
      </w:pPr>
      <w:r w:rsidRPr="009E57F2">
        <w:t xml:space="preserve">SA Health </w:t>
      </w:r>
      <w:r>
        <w:t>made</w:t>
      </w:r>
      <w:r w:rsidRPr="009E57F2">
        <w:t xml:space="preserve"> adjustments for W</w:t>
      </w:r>
      <w:r w:rsidR="00AF1D40">
        <w:t>I</w:t>
      </w:r>
      <w:r w:rsidRPr="009E57F2">
        <w:t xml:space="preserve">P patients (discussed in the sections below). </w:t>
      </w:r>
      <w:r>
        <w:t xml:space="preserve">Further adjustments were made for patients that did not have a complete APC submission record. This </w:t>
      </w:r>
      <w:r w:rsidRPr="009E57F2">
        <w:t xml:space="preserve">amounted to </w:t>
      </w:r>
      <w:r>
        <w:t>$1.5</w:t>
      </w:r>
      <w:r w:rsidR="009628A1">
        <w:t xml:space="preserve"> </w:t>
      </w:r>
      <w:r>
        <w:t>m</w:t>
      </w:r>
      <w:r w:rsidR="00AF1D40">
        <w:t>illion</w:t>
      </w:r>
      <w:r>
        <w:t xml:space="preserve"> in FY 2012/13</w:t>
      </w:r>
      <w:r w:rsidR="00AF1D40">
        <w:t>,</w:t>
      </w:r>
      <w:r>
        <w:t xml:space="preserve"> which was excluded from submission to IHPA.</w:t>
      </w:r>
      <w:r w:rsidR="009247FC">
        <w:t xml:space="preserve"> Another $81.4</w:t>
      </w:r>
      <w:r w:rsidR="00AF1D40">
        <w:t xml:space="preserve"> </w:t>
      </w:r>
      <w:r w:rsidR="009247FC">
        <w:t>m</w:t>
      </w:r>
      <w:r w:rsidR="00AF1D40">
        <w:t>illion</w:t>
      </w:r>
      <w:r w:rsidR="009247FC">
        <w:t xml:space="preserve"> was excluded for outpatients that were costed but not submitted to IHPA.</w:t>
      </w:r>
    </w:p>
    <w:p w:rsidR="00AF53C8" w:rsidRDefault="00AF53C8">
      <w:pPr>
        <w:kinsoku/>
        <w:overflowPunct/>
        <w:autoSpaceDE/>
        <w:autoSpaceDN/>
        <w:adjustRightInd/>
        <w:snapToGrid/>
      </w:pPr>
      <w:r>
        <w:br w:type="page"/>
      </w:r>
    </w:p>
    <w:p w:rsidR="008D0D75" w:rsidRPr="002449AB" w:rsidRDefault="008D0D75" w:rsidP="008D0D75">
      <w:pPr>
        <w:pStyle w:val="PwCNormal"/>
        <w:numPr>
          <w:ilvl w:val="0"/>
          <w:numId w:val="0"/>
        </w:numPr>
        <w:rPr>
          <w:b/>
        </w:rPr>
      </w:pPr>
      <w:r>
        <w:rPr>
          <w:b/>
        </w:rPr>
        <w:lastRenderedPageBreak/>
        <w:t>Work in progress (Item E)</w:t>
      </w:r>
    </w:p>
    <w:p w:rsidR="008D0D75" w:rsidRDefault="008D0D75" w:rsidP="008D0D75">
      <w:pPr>
        <w:pStyle w:val="PwCNormal"/>
        <w:numPr>
          <w:ilvl w:val="0"/>
          <w:numId w:val="0"/>
        </w:numPr>
      </w:pPr>
      <w:r>
        <w:t>Adjustments are made for patients whose stay at the hospital crosses the financial year. The diagram below illustrates the four combinations of admission and discharge dates that can occur and the treatment of cost and submission through to IHPA.</w:t>
      </w:r>
    </w:p>
    <w:p w:rsidR="009D2646" w:rsidRDefault="009D2646" w:rsidP="009D2646">
      <w:pPr>
        <w:pStyle w:val="Caption"/>
      </w:pPr>
      <w:r>
        <w:t xml:space="preserve">Figure </w:t>
      </w:r>
      <w:r w:rsidR="008379DC">
        <w:fldChar w:fldCharType="begin"/>
      </w:r>
      <w:r w:rsidR="009E64DF">
        <w:instrText xml:space="preserve"> SEQ Figure \* ARABIC </w:instrText>
      </w:r>
      <w:r w:rsidR="008379DC">
        <w:fldChar w:fldCharType="separate"/>
      </w:r>
      <w:r w:rsidR="00575DFC">
        <w:rPr>
          <w:noProof/>
        </w:rPr>
        <w:t>7</w:t>
      </w:r>
      <w:r w:rsidR="008379DC">
        <w:rPr>
          <w:noProof/>
        </w:rPr>
        <w:fldChar w:fldCharType="end"/>
      </w:r>
      <w:r>
        <w:t xml:space="preserve">: </w:t>
      </w:r>
      <w:r w:rsidRPr="004941FE">
        <w:t xml:space="preserve">Treatment of </w:t>
      </w:r>
      <w:r w:rsidR="005914E9">
        <w:t>WIP</w:t>
      </w:r>
      <w:r w:rsidRPr="004941FE">
        <w:t xml:space="preserve"> patients</w:t>
      </w:r>
    </w:p>
    <w:p w:rsidR="000D62BB" w:rsidRPr="002B7575" w:rsidRDefault="000D62BB" w:rsidP="000D62BB">
      <w:pPr>
        <w:pStyle w:val="PwCNormal"/>
        <w:numPr>
          <w:ilvl w:val="0"/>
          <w:numId w:val="0"/>
        </w:numPr>
      </w:pPr>
      <w:r w:rsidRPr="000D62BB">
        <w:rPr>
          <w:noProof/>
          <w:lang w:eastAsia="en-AU"/>
        </w:rPr>
        <w:drawing>
          <wp:inline distT="0" distB="0" distL="0" distR="0" wp14:anchorId="2353D907" wp14:editId="62B9A0B5">
            <wp:extent cx="5850255" cy="1530977"/>
            <wp:effectExtent l="0" t="0" r="0" b="0"/>
            <wp:docPr id="23" name="Picture 23" descr="This table outlines the treatment of work in progress patients. All patients who were admitted during the financial year were allocated costs, but only those discharged were in the financial year were submitted." title="Treatment of work in progres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255" cy="1530977"/>
                    </a:xfrm>
                    <a:prstGeom prst="rect">
                      <a:avLst/>
                    </a:prstGeom>
                    <a:noFill/>
                    <a:ln>
                      <a:noFill/>
                    </a:ln>
                  </pic:spPr>
                </pic:pic>
              </a:graphicData>
            </a:graphic>
          </wp:inline>
        </w:drawing>
      </w:r>
    </w:p>
    <w:p w:rsidR="008D0D75" w:rsidRDefault="008D0D75" w:rsidP="008D0D75">
      <w:pPr>
        <w:pStyle w:val="PwCNormal"/>
        <w:numPr>
          <w:ilvl w:val="0"/>
          <w:numId w:val="0"/>
        </w:numPr>
      </w:pPr>
      <w:r>
        <w:t xml:space="preserve">For FMC in </w:t>
      </w:r>
      <w:r w:rsidR="006A194B">
        <w:t>Round 17</w:t>
      </w:r>
      <w:r>
        <w:t>, patients in each of these scenarios were treated the following ways:</w:t>
      </w:r>
    </w:p>
    <w:p w:rsidR="008D0D75" w:rsidRPr="00994616" w:rsidRDefault="008D0D75" w:rsidP="009C4A5D">
      <w:pPr>
        <w:pStyle w:val="PwCNormal"/>
        <w:numPr>
          <w:ilvl w:val="0"/>
          <w:numId w:val="44"/>
        </w:numPr>
      </w:pPr>
      <w:r w:rsidRPr="00994616">
        <w:t>Scenario 1 patients were allocated FY 2012/13 costs for their full length of their stay. These patients were submitted to IHPA.</w:t>
      </w:r>
    </w:p>
    <w:p w:rsidR="008D0D75" w:rsidRPr="00994616" w:rsidRDefault="008D0D75" w:rsidP="009C4A5D">
      <w:pPr>
        <w:pStyle w:val="PwCNormal"/>
        <w:numPr>
          <w:ilvl w:val="0"/>
          <w:numId w:val="44"/>
        </w:numPr>
      </w:pPr>
      <w:r w:rsidRPr="00994616">
        <w:t>Scenario 2 patients were allocated FY 2012/13 cost for the portion of their stay that fell within the year. FY 2011/12 costs were then br</w:t>
      </w:r>
      <w:r w:rsidR="001C0FA7">
        <w:t>ought forward and indexed at 3%. These were submitted to IHPA.</w:t>
      </w:r>
    </w:p>
    <w:p w:rsidR="008D0D75" w:rsidRPr="00994616" w:rsidRDefault="008D0D75" w:rsidP="009C4A5D">
      <w:pPr>
        <w:pStyle w:val="PwCNormal"/>
        <w:numPr>
          <w:ilvl w:val="0"/>
          <w:numId w:val="44"/>
        </w:numPr>
      </w:pPr>
      <w:r w:rsidRPr="00994616">
        <w:t xml:space="preserve">Scenario 3 patients </w:t>
      </w:r>
      <w:r>
        <w:t xml:space="preserve">were allocated </w:t>
      </w:r>
      <w:r w:rsidRPr="00994616">
        <w:t>FY 2012/13 cost for the portion of their stay that fell within the year. These patients were then set aside and will be submitted to IHPA in future rounds.</w:t>
      </w:r>
    </w:p>
    <w:p w:rsidR="008D0D75" w:rsidRPr="00D4139B" w:rsidRDefault="008D0D75" w:rsidP="009C4A5D">
      <w:pPr>
        <w:pStyle w:val="PwCNormal"/>
        <w:numPr>
          <w:ilvl w:val="0"/>
          <w:numId w:val="44"/>
        </w:numPr>
      </w:pPr>
      <w:bookmarkStart w:id="104" w:name="OLE_LINK3"/>
      <w:r w:rsidRPr="00D4139B">
        <w:t xml:space="preserve">Scenario 4 patients were allocated FY 2012/13 cost for the portion of their stay that fell within the year. Prior year costs were then brought forward and indexed at 3%. </w:t>
      </w:r>
      <w:r>
        <w:t xml:space="preserve">SA Health do not submit any multi-year patients </w:t>
      </w:r>
      <w:proofErr w:type="gramStart"/>
      <w:r>
        <w:t>whose</w:t>
      </w:r>
      <w:proofErr w:type="gramEnd"/>
      <w:r>
        <w:t xml:space="preserve"> </w:t>
      </w:r>
      <w:r w:rsidR="00EA1B8A">
        <w:t xml:space="preserve">LOS </w:t>
      </w:r>
      <w:r>
        <w:t>extend beyond one year.</w:t>
      </w:r>
    </w:p>
    <w:bookmarkEnd w:id="104"/>
    <w:p w:rsidR="008D0D75" w:rsidRPr="004E0B72" w:rsidRDefault="008D0D75" w:rsidP="00CE5EF2">
      <w:pPr>
        <w:pStyle w:val="Heading3"/>
      </w:pPr>
      <w:r>
        <w:t>Sample patients</w:t>
      </w:r>
    </w:p>
    <w:p w:rsidR="008D0D75" w:rsidRDefault="002729CE" w:rsidP="008D0D75">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8D0D75">
        <w:t xml:space="preserve">. </w:t>
      </w:r>
      <w:r w:rsidR="009247FC">
        <w:t xml:space="preserve">The reconciliation found no variances, which is shown in in </w:t>
      </w:r>
      <w:r w:rsidR="009247FC">
        <w:fldChar w:fldCharType="begin"/>
      </w:r>
      <w:r w:rsidR="009247FC">
        <w:instrText xml:space="preserve"> REF _Ref402894850 \h </w:instrText>
      </w:r>
      <w:r w:rsidR="009247FC">
        <w:fldChar w:fldCharType="separate"/>
      </w:r>
      <w:r w:rsidR="00575DFC">
        <w:t xml:space="preserve">Table </w:t>
      </w:r>
      <w:r w:rsidR="00575DFC">
        <w:rPr>
          <w:noProof/>
        </w:rPr>
        <w:t>61</w:t>
      </w:r>
      <w:r w:rsidR="00575DFC">
        <w:t xml:space="preserve">: </w:t>
      </w:r>
      <w:r w:rsidR="00575DFC" w:rsidRPr="006A0FC9">
        <w:t>Sample patient reconciliation with IHPA</w:t>
      </w:r>
      <w:r w:rsidR="009247FC">
        <w:fldChar w:fldCharType="end"/>
      </w:r>
    </w:p>
    <w:p w:rsidR="009D2646" w:rsidRDefault="009D2646" w:rsidP="009D2646">
      <w:pPr>
        <w:pStyle w:val="Caption"/>
      </w:pPr>
      <w:bookmarkStart w:id="105" w:name="_Ref402894850"/>
      <w:r>
        <w:t xml:space="preserve">Table </w:t>
      </w:r>
      <w:r w:rsidR="008379DC">
        <w:fldChar w:fldCharType="begin"/>
      </w:r>
      <w:r w:rsidR="009E64DF">
        <w:instrText xml:space="preserve"> SEQ Table \* ARABIC </w:instrText>
      </w:r>
      <w:r w:rsidR="008379DC">
        <w:fldChar w:fldCharType="separate"/>
      </w:r>
      <w:r w:rsidR="00575DFC">
        <w:rPr>
          <w:noProof/>
        </w:rPr>
        <w:t>61</w:t>
      </w:r>
      <w:r w:rsidR="008379DC">
        <w:rPr>
          <w:noProof/>
        </w:rPr>
        <w:fldChar w:fldCharType="end"/>
      </w:r>
      <w:r>
        <w:t xml:space="preserve">: </w:t>
      </w:r>
      <w:r w:rsidRPr="006A0FC9">
        <w:t>Sample patient reconciliation with IHPA</w:t>
      </w:r>
      <w:bookmarkEnd w:id="105"/>
    </w:p>
    <w:p w:rsidR="009628A1" w:rsidRDefault="009628A1" w:rsidP="008D0D75">
      <w:pPr>
        <w:pStyle w:val="PwCNormal"/>
        <w:numPr>
          <w:ilvl w:val="0"/>
          <w:numId w:val="0"/>
        </w:numPr>
      </w:pPr>
      <w:r w:rsidRPr="009628A1">
        <w:rPr>
          <w:noProof/>
          <w:lang w:eastAsia="en-AU"/>
        </w:rPr>
        <w:drawing>
          <wp:inline distT="0" distB="0" distL="0" distR="0" wp14:anchorId="06571E51" wp14:editId="5732C5BE">
            <wp:extent cx="3604437" cy="989657"/>
            <wp:effectExtent l="0" t="0" r="0" b="1270"/>
            <wp:docPr id="69" name="Picture 69"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04334" cy="989629"/>
                    </a:xfrm>
                    <a:prstGeom prst="rect">
                      <a:avLst/>
                    </a:prstGeom>
                    <a:noFill/>
                    <a:ln>
                      <a:noFill/>
                    </a:ln>
                  </pic:spPr>
                </pic:pic>
              </a:graphicData>
            </a:graphic>
          </wp:inline>
        </w:drawing>
      </w:r>
    </w:p>
    <w:p w:rsidR="009247FC" w:rsidRDefault="009247FC">
      <w:pPr>
        <w:kinsoku/>
        <w:overflowPunct/>
        <w:autoSpaceDE/>
        <w:autoSpaceDN/>
        <w:adjustRightInd/>
        <w:snapToGrid/>
      </w:pPr>
      <w:r>
        <w:br w:type="page"/>
      </w:r>
    </w:p>
    <w:p w:rsidR="008D0D75" w:rsidRDefault="0010601A" w:rsidP="008D0D75">
      <w:pPr>
        <w:pStyle w:val="Heading2"/>
        <w:spacing w:before="0" w:after="40"/>
      </w:pPr>
      <w:r>
        <w:lastRenderedPageBreak/>
        <w:t xml:space="preserve">Noarlunga </w:t>
      </w:r>
      <w:r w:rsidR="009628A1">
        <w:t>Hospital</w:t>
      </w:r>
    </w:p>
    <w:p w:rsidR="008D0D75" w:rsidRPr="004E0B72" w:rsidRDefault="008D0D75" w:rsidP="00CE5EF2">
      <w:pPr>
        <w:pStyle w:val="Heading3"/>
      </w:pPr>
      <w:r>
        <w:t>Site overview</w:t>
      </w:r>
    </w:p>
    <w:p w:rsidR="008D0D75" w:rsidRDefault="009628A1" w:rsidP="008D0D75">
      <w:pPr>
        <w:pStyle w:val="PwCNormal"/>
      </w:pPr>
      <w:r>
        <w:t>NH</w:t>
      </w:r>
      <w:r w:rsidR="008D0D75">
        <w:t xml:space="preserve"> is an 82 bed public hospital that is co-located with Noarlunga Private Hospital. </w:t>
      </w:r>
      <w:r>
        <w:t>NH</w:t>
      </w:r>
      <w:r w:rsidR="008D0D75">
        <w:t xml:space="preserve"> serves the southern suburbs of Adelaide offering a variety of services, including emergency care and community services. Complex cases or seriously ill patients are transferred to Flinders Medical Centre for treatment.</w:t>
      </w:r>
      <w:r w:rsidR="00044773">
        <w:t xml:space="preserve"> </w:t>
      </w:r>
      <w:r>
        <w:t>NH</w:t>
      </w:r>
      <w:r w:rsidR="008D0D75">
        <w:t xml:space="preserve"> has a Mental Health Unit and a large Emergency Department treating approx</w:t>
      </w:r>
      <w:r w:rsidR="001C0FA7">
        <w:t>imately 50,000 patients a year.</w:t>
      </w:r>
    </w:p>
    <w:p w:rsidR="001C0FA7" w:rsidRPr="00E0498A" w:rsidRDefault="001C0FA7" w:rsidP="001C0FA7">
      <w:pPr>
        <w:pStyle w:val="PwCNormal"/>
        <w:rPr>
          <w:b/>
        </w:rPr>
      </w:pPr>
      <w:r>
        <w:t>The table below is a summary of costs beginning with total expenses from the GL through to the total costs submitted to IHPA with the various adjustments made during the process. No variances were noted between the GL and the financial data submitted to IHPA.</w:t>
      </w:r>
    </w:p>
    <w:p w:rsidR="009D2646" w:rsidRDefault="009D2646" w:rsidP="009D2646">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62</w:t>
      </w:r>
      <w:r w:rsidR="008379DC">
        <w:rPr>
          <w:noProof/>
        </w:rPr>
        <w:fldChar w:fldCharType="end"/>
      </w:r>
      <w:r>
        <w:t xml:space="preserve">: Financial </w:t>
      </w:r>
      <w:r w:rsidR="0062027E">
        <w:t xml:space="preserve">overview </w:t>
      </w:r>
      <w:r>
        <w:t xml:space="preserve">of Noarlunga </w:t>
      </w:r>
      <w:r w:rsidR="0062027E">
        <w:t>Hospital,</w:t>
      </w:r>
      <w:r w:rsidRPr="00D51DBE">
        <w:t xml:space="preserve"> FY 2012/13</w:t>
      </w:r>
    </w:p>
    <w:p w:rsidR="009628A1" w:rsidRDefault="009628A1" w:rsidP="008D0D75">
      <w:pPr>
        <w:kinsoku/>
        <w:overflowPunct/>
        <w:autoSpaceDE/>
        <w:autoSpaceDN/>
        <w:adjustRightInd/>
        <w:snapToGrid/>
      </w:pPr>
      <w:r w:rsidRPr="009628A1">
        <w:rPr>
          <w:noProof/>
          <w:lang w:eastAsia="en-AU"/>
        </w:rPr>
        <w:drawing>
          <wp:inline distT="0" distB="0" distL="0" distR="0" wp14:anchorId="51D8EC54" wp14:editId="09EF3859">
            <wp:extent cx="5634990" cy="4592955"/>
            <wp:effectExtent l="0" t="0" r="3810" b="0"/>
            <wp:docPr id="72" name="Picture 72" descr="This table outlines the flow of cost movements from the $69m in the general ledger through to the $64m submitted to IHPA." title="Financial overview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34990" cy="4592955"/>
                    </a:xfrm>
                    <a:prstGeom prst="rect">
                      <a:avLst/>
                    </a:prstGeom>
                    <a:noFill/>
                    <a:ln>
                      <a:noFill/>
                    </a:ln>
                  </pic:spPr>
                </pic:pic>
              </a:graphicData>
            </a:graphic>
          </wp:inline>
        </w:drawing>
      </w:r>
    </w:p>
    <w:p w:rsidR="009628A1" w:rsidRPr="009628A1" w:rsidRDefault="009628A1" w:rsidP="009628A1">
      <w:pPr>
        <w:pStyle w:val="PwCNormal"/>
        <w:spacing w:before="120"/>
      </w:pPr>
      <w:r w:rsidRPr="00D408DA">
        <w:rPr>
          <w:sz w:val="16"/>
          <w:szCs w:val="16"/>
        </w:rPr>
        <w:t>*This amount includes</w:t>
      </w:r>
      <w:r>
        <w:rPr>
          <w:sz w:val="16"/>
          <w:szCs w:val="16"/>
        </w:rPr>
        <w:t xml:space="preserve"> carried-forward costs from 2011/12</w:t>
      </w:r>
      <w:r w:rsidRPr="00D408DA">
        <w:rPr>
          <w:sz w:val="16"/>
          <w:szCs w:val="16"/>
        </w:rPr>
        <w:t xml:space="preserve"> and costs removed for patients who had not been discharged</w:t>
      </w:r>
      <w:r>
        <w:rPr>
          <w:sz w:val="16"/>
          <w:szCs w:val="16"/>
        </w:rPr>
        <w:t xml:space="preserve"> by year end</w:t>
      </w:r>
      <w:r w:rsidRPr="00D408DA">
        <w:rPr>
          <w:sz w:val="16"/>
          <w:szCs w:val="16"/>
        </w:rPr>
        <w:t>. Ca</w:t>
      </w:r>
      <w:r>
        <w:rPr>
          <w:sz w:val="16"/>
          <w:szCs w:val="16"/>
        </w:rPr>
        <w:t xml:space="preserve">rried </w:t>
      </w:r>
      <w:r w:rsidRPr="00D408DA">
        <w:rPr>
          <w:sz w:val="16"/>
          <w:szCs w:val="16"/>
        </w:rPr>
        <w:t>forward costs were indexed at 3%.</w:t>
      </w:r>
    </w:p>
    <w:p w:rsidR="008D0D75" w:rsidRDefault="008D0D75" w:rsidP="008D0D75">
      <w:pPr>
        <w:kinsoku/>
        <w:overflowPunct/>
        <w:autoSpaceDE/>
        <w:autoSpaceDN/>
        <w:adjustRightInd/>
        <w:snapToGrid/>
        <w:rPr>
          <w:rFonts w:asciiTheme="majorHAnsi" w:hAnsiTheme="majorHAnsi"/>
          <w:i/>
          <w:iCs/>
          <w:color w:val="A32020" w:themeColor="text2"/>
          <w:sz w:val="28"/>
          <w:szCs w:val="28"/>
        </w:rPr>
      </w:pPr>
      <w:r>
        <w:br w:type="page"/>
      </w:r>
    </w:p>
    <w:p w:rsidR="008D0D75" w:rsidRPr="00DE22CA" w:rsidRDefault="00CB38E7" w:rsidP="00CE5EF2">
      <w:pPr>
        <w:pStyle w:val="Heading3"/>
      </w:pPr>
      <w:r>
        <w:lastRenderedPageBreak/>
        <w:t>Financial d</w:t>
      </w:r>
      <w:r w:rsidR="008D0D75" w:rsidRPr="00DE22CA">
        <w:t>ata</w:t>
      </w:r>
    </w:p>
    <w:p w:rsidR="008D0D75" w:rsidRPr="00DE22CA" w:rsidRDefault="00CA6711" w:rsidP="008D0D75">
      <w:pPr>
        <w:pStyle w:val="PwCNormal"/>
        <w:numPr>
          <w:ilvl w:val="0"/>
          <w:numId w:val="0"/>
        </w:numPr>
        <w:rPr>
          <w:b/>
        </w:rPr>
      </w:pPr>
      <w:r>
        <w:rPr>
          <w:b/>
        </w:rPr>
        <w:t xml:space="preserve">General </w:t>
      </w:r>
      <w:r w:rsidR="00CD308F">
        <w:rPr>
          <w:b/>
        </w:rPr>
        <w:t>L</w:t>
      </w:r>
      <w:r w:rsidR="008D0D75" w:rsidRPr="00DE22CA">
        <w:rPr>
          <w:b/>
        </w:rPr>
        <w:t>edger (Item A)</w:t>
      </w:r>
    </w:p>
    <w:p w:rsidR="008D0D75" w:rsidRPr="00DE22CA" w:rsidRDefault="008D0D75" w:rsidP="008D0D75">
      <w:pPr>
        <w:pStyle w:val="PwCNormal"/>
        <w:numPr>
          <w:ilvl w:val="0"/>
          <w:numId w:val="0"/>
        </w:numPr>
      </w:pPr>
      <w:r>
        <w:t xml:space="preserve">Financial </w:t>
      </w:r>
      <w:r w:rsidR="009D552E">
        <w:t xml:space="preserve">statements </w:t>
      </w:r>
      <w:r>
        <w:t>are prepared at the SALHN level, and</w:t>
      </w:r>
      <w:r w:rsidR="009D552E">
        <w:t xml:space="preserve"> the</w:t>
      </w:r>
      <w:r>
        <w:t xml:space="preserve"> </w:t>
      </w:r>
      <w:r w:rsidR="00CA6711">
        <w:t>GL</w:t>
      </w:r>
      <w:r>
        <w:t xml:space="preserve"> </w:t>
      </w:r>
      <w:r w:rsidR="009D552E">
        <w:t xml:space="preserve">is </w:t>
      </w:r>
      <w:r>
        <w:t xml:space="preserve">maintained at </w:t>
      </w:r>
      <w:r w:rsidR="009D552E">
        <w:t xml:space="preserve">the </w:t>
      </w:r>
      <w:r>
        <w:t xml:space="preserve">hospital level. </w:t>
      </w:r>
      <w:r w:rsidRPr="00DE22CA">
        <w:t>The total expenses per the financial statements for FY 2012/13 were $</w:t>
      </w:r>
      <w:r>
        <w:t>946.32</w:t>
      </w:r>
      <w:r w:rsidR="00AF1D40">
        <w:t xml:space="preserve"> </w:t>
      </w:r>
      <w:r>
        <w:t>m</w:t>
      </w:r>
      <w:r w:rsidR="00AF1D40">
        <w:t>illion</w:t>
      </w:r>
      <w:r w:rsidRPr="00DE22CA">
        <w:t xml:space="preserve">. </w:t>
      </w:r>
      <w:r>
        <w:t xml:space="preserve">Of this amount, </w:t>
      </w:r>
      <w:r w:rsidR="009628A1">
        <w:t>NH</w:t>
      </w:r>
      <w:r>
        <w:t xml:space="preserve"> contributed $69.82</w:t>
      </w:r>
      <w:r w:rsidR="00AF1D40">
        <w:t xml:space="preserve"> </w:t>
      </w:r>
      <w:r>
        <w:t>m</w:t>
      </w:r>
      <w:r w:rsidR="00AF1D40">
        <w:t>illion</w:t>
      </w:r>
      <w:r w:rsidR="00044773">
        <w:t>.</w:t>
      </w:r>
    </w:p>
    <w:p w:rsidR="009D2646" w:rsidRDefault="009D2646" w:rsidP="009D2646">
      <w:pPr>
        <w:pStyle w:val="Caption"/>
      </w:pPr>
      <w:bookmarkStart w:id="106" w:name="_Ref402707102"/>
      <w:r>
        <w:t xml:space="preserve">Table </w:t>
      </w:r>
      <w:r w:rsidR="008379DC">
        <w:fldChar w:fldCharType="begin"/>
      </w:r>
      <w:r w:rsidR="009E64DF">
        <w:instrText xml:space="preserve"> SEQ Table \* ARABIC </w:instrText>
      </w:r>
      <w:r w:rsidR="008379DC">
        <w:fldChar w:fldCharType="separate"/>
      </w:r>
      <w:r w:rsidR="00575DFC">
        <w:rPr>
          <w:noProof/>
        </w:rPr>
        <w:t>63</w:t>
      </w:r>
      <w:r w:rsidR="008379DC">
        <w:rPr>
          <w:noProof/>
        </w:rPr>
        <w:fldChar w:fldCharType="end"/>
      </w:r>
      <w:bookmarkEnd w:id="106"/>
      <w:r>
        <w:t xml:space="preserve">: </w:t>
      </w:r>
      <w:r w:rsidRPr="00FC188E">
        <w:t>Treatment of specific cost items</w:t>
      </w:r>
    </w:p>
    <w:p w:rsidR="003E2562" w:rsidRDefault="003E2562" w:rsidP="008D0D75">
      <w:pPr>
        <w:pStyle w:val="PwCNormal"/>
        <w:numPr>
          <w:ilvl w:val="0"/>
          <w:numId w:val="0"/>
        </w:numPr>
      </w:pPr>
      <w:r w:rsidRPr="003E2562">
        <w:rPr>
          <w:noProof/>
          <w:lang w:eastAsia="en-AU"/>
        </w:rPr>
        <w:drawing>
          <wp:inline distT="0" distB="0" distL="0" distR="0" wp14:anchorId="39515C0A" wp14:editId="0144BDD5">
            <wp:extent cx="4586400" cy="1915200"/>
            <wp:effectExtent l="0" t="0" r="5080" b="0"/>
            <wp:docPr id="137" name="Picture 137" descr="Superannuation, Professional indemnity insurance, workers' compensation, defined benefit scheme contributions, annual leave costs and long service leave costs are all included in the hospital GL and included in the costing. &#10;PBS rebates and trade discounts on pharmaceuticals are not included in the co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86400" cy="1915200"/>
                    </a:xfrm>
                    <a:prstGeom prst="rect">
                      <a:avLst/>
                    </a:prstGeom>
                    <a:noFill/>
                    <a:ln>
                      <a:noFill/>
                    </a:ln>
                  </pic:spPr>
                </pic:pic>
              </a:graphicData>
            </a:graphic>
          </wp:inline>
        </w:drawing>
      </w:r>
    </w:p>
    <w:p w:rsidR="00B039D3" w:rsidRDefault="008379DC" w:rsidP="00B039D3">
      <w:pPr>
        <w:pStyle w:val="PwCNormal"/>
        <w:numPr>
          <w:ilvl w:val="0"/>
          <w:numId w:val="0"/>
        </w:numPr>
      </w:pPr>
      <w:r>
        <w:fldChar w:fldCharType="begin"/>
      </w:r>
      <w:r w:rsidR="00B039D3">
        <w:instrText xml:space="preserve"> REF _Ref402707102 \h </w:instrText>
      </w:r>
      <w:r>
        <w:fldChar w:fldCharType="separate"/>
      </w:r>
      <w:r w:rsidR="00575DFC">
        <w:t xml:space="preserve">Table </w:t>
      </w:r>
      <w:r w:rsidR="00575DFC">
        <w:rPr>
          <w:noProof/>
        </w:rPr>
        <w:t>63</w:t>
      </w:r>
      <w:r>
        <w:fldChar w:fldCharType="end"/>
      </w:r>
      <w:r w:rsidR="00B039D3">
        <w:t xml:space="preserve"> above </w:t>
      </w:r>
      <w:r w:rsidR="002D75A8">
        <w:t>identifies specific costs</w:t>
      </w:r>
      <w:r w:rsidR="00B039D3">
        <w:t xml:space="preserve"> </w:t>
      </w:r>
      <w:r w:rsidR="00B57F23">
        <w:t xml:space="preserve">that </w:t>
      </w:r>
      <w:r w:rsidR="002D75A8">
        <w:t>were reviewed to understand their treatment in the GL and the costing process</w:t>
      </w:r>
      <w:r w:rsidR="00B039D3">
        <w:t>. Once these costs are allocated to final cost centres they are distributed to patients using the allocation methodology of that cost centre. Key cost treatments to note include:</w:t>
      </w:r>
    </w:p>
    <w:p w:rsidR="008D0D75" w:rsidRPr="00B039D3" w:rsidRDefault="008D0D75" w:rsidP="009C4A5D">
      <w:pPr>
        <w:pStyle w:val="PwCNormal"/>
        <w:numPr>
          <w:ilvl w:val="0"/>
          <w:numId w:val="77"/>
        </w:numPr>
        <w:ind w:left="709" w:hanging="425"/>
      </w:pPr>
      <w:r w:rsidRPr="00B039D3">
        <w:t>Superannuation and defined benefit scheme contributions sit in the cost centre where the staff member is paid from. No additional charge for defined benefit scheme liability adjustments are charged to the hospital GL.</w:t>
      </w:r>
    </w:p>
    <w:p w:rsidR="008D0D75" w:rsidRPr="00B039D3" w:rsidRDefault="008D0D75" w:rsidP="009C4A5D">
      <w:pPr>
        <w:pStyle w:val="PwCNormal"/>
        <w:numPr>
          <w:ilvl w:val="0"/>
          <w:numId w:val="77"/>
        </w:numPr>
        <w:ind w:left="709" w:hanging="425"/>
      </w:pPr>
      <w:r w:rsidRPr="00B039D3">
        <w:t>Professional indemnity and building insurances are allocated to LHN cost centres as part of accounting practices and are then allocated to hospitals during the costing process.</w:t>
      </w:r>
    </w:p>
    <w:p w:rsidR="008D0D75" w:rsidRPr="00B039D3" w:rsidRDefault="008D0D75" w:rsidP="009C4A5D">
      <w:pPr>
        <w:pStyle w:val="PwCNormal"/>
        <w:numPr>
          <w:ilvl w:val="0"/>
          <w:numId w:val="77"/>
        </w:numPr>
        <w:ind w:left="709" w:hanging="425"/>
      </w:pPr>
      <w:r w:rsidRPr="00B039D3">
        <w:t>A workers compensation levy is paid centrally with hospitals incurring all the associated workers compensation costs.</w:t>
      </w:r>
    </w:p>
    <w:p w:rsidR="008D0D75" w:rsidRPr="00B039D3" w:rsidRDefault="008D0D75" w:rsidP="009C4A5D">
      <w:pPr>
        <w:pStyle w:val="PwCNormal"/>
        <w:numPr>
          <w:ilvl w:val="0"/>
          <w:numId w:val="77"/>
        </w:numPr>
        <w:ind w:left="709" w:hanging="425"/>
      </w:pPr>
      <w:r w:rsidRPr="00B039D3">
        <w:t>All leave expenses sit in the cost centre where the staff member is paid from and no additional allocation is required.</w:t>
      </w:r>
    </w:p>
    <w:p w:rsidR="008D0D75" w:rsidRPr="00B039D3" w:rsidRDefault="008D0D75" w:rsidP="009C4A5D">
      <w:pPr>
        <w:pStyle w:val="PwCNormal"/>
        <w:numPr>
          <w:ilvl w:val="0"/>
          <w:numId w:val="77"/>
        </w:numPr>
        <w:ind w:left="709" w:hanging="425"/>
      </w:pPr>
      <w:r w:rsidRPr="00B039D3">
        <w:t>PBS rebates sit within revenue accounts and are not brought in for costing purposes.</w:t>
      </w:r>
    </w:p>
    <w:p w:rsidR="008D0D75" w:rsidRPr="00B039D3" w:rsidRDefault="008D0D75" w:rsidP="009C4A5D">
      <w:pPr>
        <w:pStyle w:val="PwCNormal"/>
        <w:numPr>
          <w:ilvl w:val="0"/>
          <w:numId w:val="77"/>
        </w:numPr>
        <w:ind w:left="709" w:hanging="425"/>
      </w:pPr>
      <w:r w:rsidRPr="00B039D3">
        <w:t>Trade discounts are included in the expenses accounts and are therefore allocated to patients.</w:t>
      </w:r>
    </w:p>
    <w:p w:rsidR="008D0D75" w:rsidRPr="00B039D3" w:rsidRDefault="008D0D75" w:rsidP="009C4A5D">
      <w:pPr>
        <w:pStyle w:val="PwCNormal"/>
        <w:numPr>
          <w:ilvl w:val="0"/>
          <w:numId w:val="77"/>
        </w:numPr>
        <w:ind w:left="709" w:hanging="425"/>
      </w:pPr>
      <w:r w:rsidRPr="00B039D3">
        <w:t>Asset valuations are performed every 3 years</w:t>
      </w:r>
      <w:r w:rsidR="00B039D3" w:rsidRPr="00B039D3">
        <w:t xml:space="preserve"> </w:t>
      </w:r>
      <w:r w:rsidR="00B039D3">
        <w:t>and the depreciation in the GL is adjusted accordingly</w:t>
      </w:r>
      <w:r w:rsidRPr="00B039D3">
        <w:t>.</w:t>
      </w:r>
    </w:p>
    <w:p w:rsidR="008D0D75" w:rsidRPr="00DE22CA" w:rsidRDefault="008D0D75" w:rsidP="008D0D75">
      <w:pPr>
        <w:pStyle w:val="PwCNormal"/>
        <w:numPr>
          <w:ilvl w:val="0"/>
          <w:numId w:val="0"/>
        </w:numPr>
        <w:rPr>
          <w:b/>
        </w:rPr>
      </w:pPr>
      <w:r w:rsidRPr="00FF451F">
        <w:rPr>
          <w:b/>
        </w:rPr>
        <w:t>Inclusions and exclusions (Item B)</w:t>
      </w:r>
    </w:p>
    <w:p w:rsidR="008D0D75" w:rsidRDefault="008D0D75" w:rsidP="008D0D75">
      <w:pPr>
        <w:pStyle w:val="PwCNormal"/>
        <w:numPr>
          <w:ilvl w:val="0"/>
          <w:numId w:val="0"/>
        </w:numPr>
      </w:pPr>
      <w:r w:rsidRPr="002B523F">
        <w:t>A total of $</w:t>
      </w:r>
      <w:r>
        <w:t>8.89</w:t>
      </w:r>
      <w:r w:rsidR="00AF1D40">
        <w:t xml:space="preserve"> </w:t>
      </w:r>
      <w:r>
        <w:t>m</w:t>
      </w:r>
      <w:r w:rsidR="00AF1D40">
        <w:t>illion</w:t>
      </w:r>
      <w:r w:rsidRPr="002B523F">
        <w:t xml:space="preserve"> </w:t>
      </w:r>
      <w:r>
        <w:t>was</w:t>
      </w:r>
      <w:r w:rsidRPr="002B523F">
        <w:t xml:space="preserve"> added to the extracted </w:t>
      </w:r>
      <w:r w:rsidR="00CA6711">
        <w:t>GL</w:t>
      </w:r>
      <w:r w:rsidRPr="002B523F">
        <w:t xml:space="preserve"> before uploading the total hospital costs into the costing system. Th</w:t>
      </w:r>
      <w:r>
        <w:t>is was</w:t>
      </w:r>
      <w:r w:rsidRPr="002B523F">
        <w:t xml:space="preserve"> made up of</w:t>
      </w:r>
      <w:r>
        <w:t>:</w:t>
      </w:r>
    </w:p>
    <w:p w:rsidR="008D0D75" w:rsidRDefault="008D0D75" w:rsidP="009C4A5D">
      <w:pPr>
        <w:pStyle w:val="PwCNormal"/>
        <w:numPr>
          <w:ilvl w:val="0"/>
          <w:numId w:val="60"/>
        </w:numPr>
      </w:pPr>
      <w:r>
        <w:t>$0.14</w:t>
      </w:r>
      <w:r w:rsidR="00AF1D40">
        <w:t xml:space="preserve"> </w:t>
      </w:r>
      <w:r>
        <w:t>m</w:t>
      </w:r>
      <w:r w:rsidR="00AF1D40">
        <w:t>illion</w:t>
      </w:r>
      <w:r>
        <w:t xml:space="preserve"> for procurement services.</w:t>
      </w:r>
    </w:p>
    <w:p w:rsidR="008D0D75" w:rsidRDefault="008D0D75" w:rsidP="009C4A5D">
      <w:pPr>
        <w:pStyle w:val="PwCNormal"/>
        <w:numPr>
          <w:ilvl w:val="0"/>
          <w:numId w:val="60"/>
        </w:numPr>
      </w:pPr>
      <w:r>
        <w:t>$0.27</w:t>
      </w:r>
      <w:r w:rsidR="00AF1D40">
        <w:t xml:space="preserve"> </w:t>
      </w:r>
      <w:r>
        <w:t>m</w:t>
      </w:r>
      <w:r w:rsidR="00AF1D40">
        <w:t>illion</w:t>
      </w:r>
      <w:r>
        <w:t xml:space="preserve"> for the centrally run SA Pathology.</w:t>
      </w:r>
    </w:p>
    <w:p w:rsidR="008D0D75" w:rsidRDefault="008D0D75" w:rsidP="009C4A5D">
      <w:pPr>
        <w:pStyle w:val="PwCNormal"/>
        <w:numPr>
          <w:ilvl w:val="0"/>
          <w:numId w:val="60"/>
        </w:numPr>
      </w:pPr>
      <w:r>
        <w:lastRenderedPageBreak/>
        <w:t>$0.04</w:t>
      </w:r>
      <w:r w:rsidR="00AF1D40">
        <w:t xml:space="preserve"> </w:t>
      </w:r>
      <w:r>
        <w:t>m</w:t>
      </w:r>
      <w:r w:rsidR="00AF1D40">
        <w:t>illion</w:t>
      </w:r>
      <w:r>
        <w:t xml:space="preserve"> for the transfer of RGH patients due to the closure of Repatriation General Hospital (RGH) Emergency Department. </w:t>
      </w:r>
    </w:p>
    <w:p w:rsidR="008D0D75" w:rsidRDefault="008D0D75" w:rsidP="009C4A5D">
      <w:pPr>
        <w:pStyle w:val="PwCNormal"/>
        <w:numPr>
          <w:ilvl w:val="0"/>
          <w:numId w:val="60"/>
        </w:numPr>
      </w:pPr>
      <w:r>
        <w:t>$5.92</w:t>
      </w:r>
      <w:r w:rsidR="00AF1D40">
        <w:t xml:space="preserve"> </w:t>
      </w:r>
      <w:r>
        <w:t>m</w:t>
      </w:r>
      <w:r w:rsidR="00AF1D40">
        <w:t>illion</w:t>
      </w:r>
      <w:r>
        <w:t xml:space="preserve"> for the a</w:t>
      </w:r>
      <w:r w:rsidRPr="005D53C6">
        <w:t xml:space="preserve">llocation of </w:t>
      </w:r>
      <w:r>
        <w:t>SA</w:t>
      </w:r>
      <w:r w:rsidRPr="005D53C6">
        <w:t>LHN</w:t>
      </w:r>
      <w:r>
        <w:t xml:space="preserve"> corporate costs</w:t>
      </w:r>
    </w:p>
    <w:p w:rsidR="008D0D75" w:rsidRDefault="008D0D75" w:rsidP="009C4A5D">
      <w:pPr>
        <w:pStyle w:val="PwCNormal"/>
        <w:numPr>
          <w:ilvl w:val="0"/>
          <w:numId w:val="60"/>
        </w:numPr>
      </w:pPr>
      <w:r>
        <w:t>$2.52</w:t>
      </w:r>
      <w:r w:rsidR="00AF1D40">
        <w:t xml:space="preserve"> </w:t>
      </w:r>
      <w:r>
        <w:t>m</w:t>
      </w:r>
      <w:r w:rsidR="00AF1D40">
        <w:t>illion</w:t>
      </w:r>
      <w:r>
        <w:t xml:space="preserve"> for reclass rules applied to </w:t>
      </w:r>
      <w:r w:rsidR="009628A1">
        <w:t>NH</w:t>
      </w:r>
      <w:r>
        <w:t xml:space="preserve"> (related to </w:t>
      </w:r>
      <w:r w:rsidR="009628A1">
        <w:t>NH</w:t>
      </w:r>
      <w:r>
        <w:t xml:space="preserve"> services)</w:t>
      </w:r>
      <w:r w:rsidR="00AF1D40">
        <w:t>.</w:t>
      </w:r>
    </w:p>
    <w:p w:rsidR="008D0D75" w:rsidRDefault="008D0D75" w:rsidP="008D0D75">
      <w:pPr>
        <w:pStyle w:val="PwCNormal"/>
        <w:numPr>
          <w:ilvl w:val="0"/>
          <w:numId w:val="0"/>
        </w:numPr>
      </w:pPr>
      <w:r w:rsidRPr="002B523F">
        <w:t>A total of $</w:t>
      </w:r>
      <w:r>
        <w:t>7.44</w:t>
      </w:r>
      <w:r w:rsidR="00AF1D40">
        <w:t xml:space="preserve"> </w:t>
      </w:r>
      <w:r>
        <w:t>m</w:t>
      </w:r>
      <w:r w:rsidR="00AF1D40">
        <w:t>illion</w:t>
      </w:r>
      <w:r w:rsidRPr="002B523F">
        <w:t xml:space="preserve"> </w:t>
      </w:r>
      <w:r>
        <w:t>was</w:t>
      </w:r>
      <w:r w:rsidRPr="002B523F">
        <w:t xml:space="preserve"> </w:t>
      </w:r>
      <w:r>
        <w:t xml:space="preserve">excluded from the extracted </w:t>
      </w:r>
      <w:r w:rsidR="00CA6711">
        <w:t>GL</w:t>
      </w:r>
      <w:r>
        <w:t xml:space="preserve">. </w:t>
      </w:r>
      <w:r w:rsidRPr="002B523F">
        <w:t>Th</w:t>
      </w:r>
      <w:r>
        <w:t>is was</w:t>
      </w:r>
      <w:r w:rsidRPr="002B523F">
        <w:t xml:space="preserve"> made up of</w:t>
      </w:r>
      <w:r>
        <w:t>:</w:t>
      </w:r>
    </w:p>
    <w:p w:rsidR="008D0D75" w:rsidRDefault="008D0D75" w:rsidP="009C4A5D">
      <w:pPr>
        <w:pStyle w:val="PwCNormal"/>
        <w:numPr>
          <w:ilvl w:val="0"/>
          <w:numId w:val="60"/>
        </w:numPr>
      </w:pPr>
      <w:r>
        <w:t>$0.81</w:t>
      </w:r>
      <w:r w:rsidR="00AF1D40">
        <w:t xml:space="preserve"> </w:t>
      </w:r>
      <w:r>
        <w:t>m</w:t>
      </w:r>
      <w:r w:rsidR="00AF1D40">
        <w:t>illion</w:t>
      </w:r>
      <w:r>
        <w:t xml:space="preserve"> for recharges (revenue recouped for staff working in another hospital).</w:t>
      </w:r>
    </w:p>
    <w:p w:rsidR="008D0D75" w:rsidRDefault="008D0D75" w:rsidP="009C4A5D">
      <w:pPr>
        <w:pStyle w:val="PwCNormal"/>
        <w:numPr>
          <w:ilvl w:val="0"/>
          <w:numId w:val="51"/>
        </w:numPr>
      </w:pPr>
      <w:r>
        <w:t>$0.07</w:t>
      </w:r>
      <w:r w:rsidR="00AF1D40">
        <w:t xml:space="preserve"> </w:t>
      </w:r>
      <w:r>
        <w:t>m</w:t>
      </w:r>
      <w:r w:rsidR="00AF1D40">
        <w:t>illion</w:t>
      </w:r>
      <w:r>
        <w:t xml:space="preserve"> for bad debts.</w:t>
      </w:r>
      <w:r w:rsidRPr="00FF451F">
        <w:t xml:space="preserve"> </w:t>
      </w:r>
    </w:p>
    <w:p w:rsidR="008D0D75" w:rsidRDefault="008D0D75" w:rsidP="009C4A5D">
      <w:pPr>
        <w:pStyle w:val="PwCNormal"/>
        <w:numPr>
          <w:ilvl w:val="0"/>
          <w:numId w:val="51"/>
        </w:numPr>
      </w:pPr>
      <w:r>
        <w:t>$3.51</w:t>
      </w:r>
      <w:r w:rsidR="00AF1D40">
        <w:t xml:space="preserve"> </w:t>
      </w:r>
      <w:r>
        <w:t>m</w:t>
      </w:r>
      <w:r w:rsidR="00AF1D40">
        <w:t>illion</w:t>
      </w:r>
      <w:r>
        <w:t xml:space="preserve"> for overheads in </w:t>
      </w:r>
      <w:r w:rsidR="009628A1">
        <w:t>NH</w:t>
      </w:r>
      <w:r w:rsidRPr="005D53C6">
        <w:t xml:space="preserve"> </w:t>
      </w:r>
      <w:r>
        <w:t xml:space="preserve">relating </w:t>
      </w:r>
      <w:r w:rsidRPr="005D53C6">
        <w:t>to other sites</w:t>
      </w:r>
    </w:p>
    <w:p w:rsidR="008D0D75" w:rsidRDefault="008D0D75" w:rsidP="009C4A5D">
      <w:pPr>
        <w:pStyle w:val="PwCNormal"/>
        <w:numPr>
          <w:ilvl w:val="0"/>
          <w:numId w:val="51"/>
        </w:numPr>
      </w:pPr>
      <w:r>
        <w:t>$1.86</w:t>
      </w:r>
      <w:r w:rsidR="00AF1D40">
        <w:t xml:space="preserve"> </w:t>
      </w:r>
      <w:r>
        <w:t>m</w:t>
      </w:r>
      <w:r w:rsidR="00AF1D40">
        <w:t>illion</w:t>
      </w:r>
      <w:r>
        <w:t xml:space="preserve"> for costs from other sites during the </w:t>
      </w:r>
      <w:r w:rsidRPr="005D53C6">
        <w:t>final patient costing process</w:t>
      </w:r>
    </w:p>
    <w:p w:rsidR="008D0D75" w:rsidRDefault="008D0D75" w:rsidP="009C4A5D">
      <w:pPr>
        <w:pStyle w:val="PwCNormal"/>
        <w:numPr>
          <w:ilvl w:val="0"/>
          <w:numId w:val="51"/>
        </w:numPr>
        <w:spacing w:after="360"/>
        <w:ind w:left="714" w:hanging="357"/>
      </w:pPr>
      <w:r>
        <w:t>$1.18</w:t>
      </w:r>
      <w:r w:rsidR="00AF1D40">
        <w:t xml:space="preserve"> </w:t>
      </w:r>
      <w:r>
        <w:t>m</w:t>
      </w:r>
      <w:r w:rsidR="00AF1D40">
        <w:t>illion</w:t>
      </w:r>
      <w:r>
        <w:t xml:space="preserve"> reclass rules applied From </w:t>
      </w:r>
      <w:r w:rsidR="009628A1">
        <w:t>NH</w:t>
      </w:r>
      <w:r>
        <w:t xml:space="preserve"> (unrelated to </w:t>
      </w:r>
      <w:r w:rsidR="009628A1">
        <w:t>NH</w:t>
      </w:r>
      <w:r>
        <w:t xml:space="preserve"> services)</w:t>
      </w:r>
    </w:p>
    <w:p w:rsidR="008D0D75" w:rsidRPr="00DE22CA" w:rsidRDefault="008D0D75" w:rsidP="008D0D75">
      <w:pPr>
        <w:pStyle w:val="PwCNormal"/>
        <w:numPr>
          <w:ilvl w:val="0"/>
          <w:numId w:val="0"/>
        </w:numPr>
      </w:pPr>
      <w:r>
        <w:t>After these inclusions and exclusions, total expenses for FMC were $71.28</w:t>
      </w:r>
      <w:r w:rsidR="00AF1D40">
        <w:t xml:space="preserve"> </w:t>
      </w:r>
      <w:r>
        <w:t>m</w:t>
      </w:r>
      <w:r w:rsidR="00AF1D40">
        <w:t>illion</w:t>
      </w:r>
      <w:r>
        <w:t>.</w:t>
      </w:r>
    </w:p>
    <w:p w:rsidR="008D0D75" w:rsidRPr="00DE22CA" w:rsidRDefault="008D0D75" w:rsidP="008D0D75">
      <w:pPr>
        <w:pStyle w:val="PwCNormal"/>
        <w:numPr>
          <w:ilvl w:val="0"/>
          <w:numId w:val="0"/>
        </w:numPr>
        <w:rPr>
          <w:b/>
        </w:rPr>
      </w:pPr>
      <w:r w:rsidRPr="00DE22CA">
        <w:rPr>
          <w:b/>
        </w:rPr>
        <w:t>Allocation of overheads (Item C)</w:t>
      </w:r>
    </w:p>
    <w:p w:rsidR="008D0D75" w:rsidRDefault="008D0D75" w:rsidP="008D0D75">
      <w:pPr>
        <w:pStyle w:val="PwCNormal"/>
        <w:numPr>
          <w:ilvl w:val="0"/>
          <w:numId w:val="0"/>
        </w:numPr>
      </w:pPr>
      <w:r w:rsidRPr="007C4899">
        <w:t xml:space="preserve">For </w:t>
      </w:r>
      <w:r w:rsidR="00CA6711">
        <w:t>FY</w:t>
      </w:r>
      <w:r w:rsidRPr="007C4899">
        <w:t xml:space="preserve"> 2012/13, overhead costs totalled $18.3 m</w:t>
      </w:r>
      <w:r w:rsidR="00AF1D40">
        <w:t>illion,</w:t>
      </w:r>
      <w:r w:rsidRPr="007C4899">
        <w:t xml:space="preserve"> which represents 25.7% of total costs for </w:t>
      </w:r>
      <w:r w:rsidR="009628A1">
        <w:t>NH</w:t>
      </w:r>
      <w:r w:rsidRPr="007C4899">
        <w:t xml:space="preserve">. These costs were allocated to the patient care areas based on a variety of allocation statistics, but the major statistics utilised for </w:t>
      </w:r>
      <w:r w:rsidR="006A194B">
        <w:t>Round 17</w:t>
      </w:r>
      <w:r w:rsidRPr="007C4899">
        <w:t xml:space="preserve"> was headcount, total expenses, floor space, number of patients etc. The allocation statistics were determined based on the preferred hierarchy of allocation statistics in the AHPCS along with what reliable information was available.</w:t>
      </w:r>
    </w:p>
    <w:p w:rsidR="008D0D75" w:rsidRPr="00FF451F" w:rsidRDefault="008D0D75" w:rsidP="008D0D75">
      <w:pPr>
        <w:pStyle w:val="PwCNormal"/>
        <w:numPr>
          <w:ilvl w:val="0"/>
          <w:numId w:val="0"/>
        </w:numPr>
      </w:pPr>
      <w:r w:rsidRPr="00FF451F">
        <w:rPr>
          <w:b/>
        </w:rPr>
        <w:t>Distribution of costs between hospital products (Item D)</w:t>
      </w:r>
    </w:p>
    <w:p w:rsidR="008D0D75" w:rsidRDefault="008D0D75" w:rsidP="008D0D75">
      <w:pPr>
        <w:pStyle w:val="PwCNormal"/>
        <w:numPr>
          <w:ilvl w:val="0"/>
          <w:numId w:val="0"/>
        </w:numPr>
      </w:pPr>
      <w:r>
        <w:t>Where some cost centres delivered services to multiple hospital products (such as medical cost centres servicing inpatients and outpatients along with some teaching), PFRACs were developed.</w:t>
      </w:r>
      <w:r w:rsidR="00044773">
        <w:t xml:space="preserve"> </w:t>
      </w:r>
      <w:r>
        <w:t xml:space="preserve">These PFRACs </w:t>
      </w:r>
      <w:r w:rsidR="00044773">
        <w:t xml:space="preserve">are </w:t>
      </w:r>
      <w:r>
        <w:t>reviewed on an annual basis in consultation with hospital staff and clinicians</w:t>
      </w:r>
      <w:r w:rsidR="00044773">
        <w:t>, and were reviewed for the Round 17 costing</w:t>
      </w:r>
      <w:r>
        <w:t>.</w:t>
      </w:r>
      <w:r w:rsidRPr="00F65539">
        <w:t xml:space="preserve"> </w:t>
      </w:r>
      <w:r>
        <w:t>PFRACs are also reviewed throughout the year if there is an indication of material change in hospital services provided by the cost area.</w:t>
      </w:r>
    </w:p>
    <w:p w:rsidR="008D0D75" w:rsidRPr="004E0B72" w:rsidRDefault="008D0D75" w:rsidP="00CE5EF2">
      <w:pPr>
        <w:pStyle w:val="Heading3"/>
      </w:pPr>
      <w:r>
        <w:t>Activity information and costing methodology</w:t>
      </w:r>
    </w:p>
    <w:p w:rsidR="008D0D75" w:rsidRPr="002449AB" w:rsidRDefault="008D0D75" w:rsidP="008D0D75">
      <w:pPr>
        <w:pStyle w:val="PwCNormal"/>
        <w:numPr>
          <w:ilvl w:val="0"/>
          <w:numId w:val="0"/>
        </w:numPr>
        <w:rPr>
          <w:b/>
        </w:rPr>
      </w:pPr>
      <w:r>
        <w:rPr>
          <w:b/>
        </w:rPr>
        <w:t>Overview</w:t>
      </w:r>
    </w:p>
    <w:p w:rsidR="00D61ABE" w:rsidRDefault="008D0D75" w:rsidP="00F20521">
      <w:pPr>
        <w:pStyle w:val="PwCNormal"/>
        <w:numPr>
          <w:ilvl w:val="0"/>
          <w:numId w:val="0"/>
        </w:numPr>
        <w:rPr>
          <w:rFonts w:asciiTheme="majorHAnsi" w:hAnsiTheme="majorHAnsi"/>
          <w:b/>
          <w:bCs/>
          <w:color w:val="A32020" w:themeColor="text2"/>
          <w:szCs w:val="18"/>
        </w:rPr>
      </w:pPr>
      <w:r w:rsidRPr="0090280F">
        <w:t>Once costs are split into the various cost areas and are ready to be allocated, a variety of feeder systems are used to allocate costs to patients across all hospital pr</w:t>
      </w:r>
      <w:r>
        <w:t xml:space="preserve">oducts depending on the </w:t>
      </w:r>
      <w:r w:rsidRPr="0090280F">
        <w:t>patient</w:t>
      </w:r>
      <w:r>
        <w:t xml:space="preserve"> care type</w:t>
      </w:r>
      <w:r w:rsidRPr="0090280F">
        <w:t xml:space="preserve">. </w:t>
      </w:r>
      <w:r>
        <w:t>The table below outlines the costing methodology fo</w:t>
      </w:r>
      <w:r w:rsidR="009D2646">
        <w:t>r the various hospital products.</w:t>
      </w:r>
      <w:r w:rsidR="00D61ABE">
        <w:br w:type="page"/>
      </w:r>
    </w:p>
    <w:p w:rsidR="009D2646" w:rsidRDefault="009D2646" w:rsidP="009D2646">
      <w:pPr>
        <w:pStyle w:val="Caption"/>
      </w:pPr>
      <w:r>
        <w:lastRenderedPageBreak/>
        <w:t xml:space="preserve">Table </w:t>
      </w:r>
      <w:r w:rsidR="008379DC">
        <w:fldChar w:fldCharType="begin"/>
      </w:r>
      <w:r w:rsidR="009E64DF">
        <w:instrText xml:space="preserve"> SEQ Table \* ARABIC </w:instrText>
      </w:r>
      <w:r w:rsidR="008379DC">
        <w:fldChar w:fldCharType="separate"/>
      </w:r>
      <w:r w:rsidR="00575DFC">
        <w:rPr>
          <w:noProof/>
        </w:rPr>
        <w:t>64</w:t>
      </w:r>
      <w:r w:rsidR="008379DC">
        <w:rPr>
          <w:noProof/>
        </w:rPr>
        <w:fldChar w:fldCharType="end"/>
      </w:r>
      <w:r>
        <w:t xml:space="preserve">: </w:t>
      </w:r>
      <w:r w:rsidRPr="00751127">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8D0D75" w:rsidTr="008D0D7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8D0D75" w:rsidRPr="00C53A14" w:rsidRDefault="008D0D75" w:rsidP="008D0D75">
            <w:pPr>
              <w:pStyle w:val="PwCNormal"/>
              <w:numPr>
                <w:ilvl w:val="0"/>
                <w:numId w:val="0"/>
              </w:numPr>
              <w:rPr>
                <w:b/>
              </w:rPr>
            </w:pPr>
            <w:r w:rsidRPr="00C53A14">
              <w:rPr>
                <w:b/>
              </w:rPr>
              <w:t>Hospital product</w:t>
            </w:r>
          </w:p>
        </w:tc>
        <w:tc>
          <w:tcPr>
            <w:tcW w:w="6237" w:type="dxa"/>
          </w:tcPr>
          <w:p w:rsidR="008D0D75" w:rsidRPr="00C53A14" w:rsidRDefault="008D0D75" w:rsidP="008D0D75">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C53A14">
              <w:rPr>
                <w:b/>
              </w:rPr>
              <w:t>Allocation overview</w:t>
            </w:r>
          </w:p>
        </w:tc>
      </w:tr>
      <w:tr w:rsidR="008D0D75" w:rsidTr="008D0D75">
        <w:tc>
          <w:tcPr>
            <w:tcW w:w="2376" w:type="dxa"/>
          </w:tcPr>
          <w:p w:rsidR="008D0D75" w:rsidRDefault="008D0D75" w:rsidP="008D0D75">
            <w:pPr>
              <w:pStyle w:val="PwCNormal"/>
              <w:numPr>
                <w:ilvl w:val="0"/>
                <w:numId w:val="0"/>
              </w:numPr>
            </w:pPr>
            <w:r>
              <w:t xml:space="preserve">Inpatient </w:t>
            </w:r>
            <w:r>
              <w:br/>
              <w:t xml:space="preserve">(acute and </w:t>
            </w:r>
            <w:r w:rsidR="006A7030">
              <w:t>sub-acute</w:t>
            </w:r>
            <w:r>
              <w:t>)</w:t>
            </w:r>
          </w:p>
        </w:tc>
        <w:tc>
          <w:tcPr>
            <w:tcW w:w="6237" w:type="dxa"/>
          </w:tcPr>
          <w:p w:rsidR="008D0D75" w:rsidRDefault="00044773" w:rsidP="008D0D75">
            <w:pPr>
              <w:pStyle w:val="PwCNormal"/>
              <w:numPr>
                <w:ilvl w:val="0"/>
                <w:numId w:val="0"/>
              </w:numPr>
            </w:pPr>
            <w:r>
              <w:t>Inpatients were</w:t>
            </w:r>
            <w:r w:rsidR="008D0D75">
              <w:t xml:space="preserve"> allocated costs using various feeder </w:t>
            </w:r>
            <w:r w:rsidR="002821F4">
              <w:t>systems, which</w:t>
            </w:r>
            <w:r w:rsidR="008D0D75">
              <w:t xml:space="preserve"> indicate consumption of hospital resources or services. Nur</w:t>
            </w:r>
            <w:r>
              <w:t>sing and Ward Medical costs were</w:t>
            </w:r>
            <w:r w:rsidR="008D0D75">
              <w:t xml:space="preserve"> allocated using </w:t>
            </w:r>
            <w:r w:rsidR="00EA1B8A">
              <w:t xml:space="preserve">LOS </w:t>
            </w:r>
            <w:r w:rsidR="008D25BC">
              <w:t>(fractional bed days), while d</w:t>
            </w:r>
            <w:r w:rsidR="008D0D75" w:rsidRPr="00502A63">
              <w:t>iagnostics tests (such as imaging and pathology), pharmacy and allied health costs use feeder data to allocate costs with RVUs directive from either standard/actual costs, or minutes.</w:t>
            </w:r>
          </w:p>
          <w:p w:rsidR="008D0D75" w:rsidRDefault="008D0D75" w:rsidP="00D61ABE">
            <w:pPr>
              <w:pStyle w:val="PwCNormal"/>
              <w:numPr>
                <w:ilvl w:val="0"/>
                <w:numId w:val="0"/>
              </w:numPr>
            </w:pPr>
            <w:r>
              <w:t>Prosthetic costs were allocated directly to patients using the OTS actual charge as the co</w:t>
            </w:r>
            <w:r w:rsidR="008D25BC">
              <w:t>st driver. If prostheses data was</w:t>
            </w:r>
            <w:r>
              <w:t xml:space="preserve"> missing for patients expected to receive a prosthetics cost, then a national a</w:t>
            </w:r>
            <w:r w:rsidR="008D25BC">
              <w:t>verage prosthetic cost per DRG was</w:t>
            </w:r>
            <w:r>
              <w:t xml:space="preserve"> used as the cost driver.</w:t>
            </w:r>
            <w:r w:rsidR="008D25BC">
              <w:t xml:space="preserve"> Blood products were not in the </w:t>
            </w:r>
            <w:r w:rsidR="00CA6711">
              <w:t>GL</w:t>
            </w:r>
            <w:r w:rsidR="008D25BC">
              <w:t xml:space="preserve"> and thus are not included for costing.</w:t>
            </w:r>
          </w:p>
        </w:tc>
      </w:tr>
      <w:tr w:rsidR="008D0D75" w:rsidTr="008D0D75">
        <w:tc>
          <w:tcPr>
            <w:tcW w:w="2376" w:type="dxa"/>
          </w:tcPr>
          <w:p w:rsidR="008D0D75" w:rsidRDefault="008D0D75" w:rsidP="008D0D75">
            <w:pPr>
              <w:pStyle w:val="PwCNormal"/>
              <w:numPr>
                <w:ilvl w:val="0"/>
                <w:numId w:val="0"/>
              </w:numPr>
            </w:pPr>
            <w:r>
              <w:t>Emergency Department</w:t>
            </w:r>
          </w:p>
        </w:tc>
        <w:tc>
          <w:tcPr>
            <w:tcW w:w="6237" w:type="dxa"/>
          </w:tcPr>
          <w:p w:rsidR="008D0D75" w:rsidRDefault="008D25BC" w:rsidP="008D25BC">
            <w:pPr>
              <w:pStyle w:val="PwCNormal"/>
              <w:numPr>
                <w:ilvl w:val="0"/>
                <w:numId w:val="0"/>
              </w:numPr>
            </w:pPr>
            <w:r>
              <w:t>Patients were</w:t>
            </w:r>
            <w:r w:rsidR="008D0D75" w:rsidRPr="00DF1E93">
              <w:t xml:space="preserve"> allocated doctor and nursing costs based </w:t>
            </w:r>
            <w:r w:rsidR="008D0D75">
              <w:t>on ED presentation duration (</w:t>
            </w:r>
            <w:r w:rsidR="008D0D75" w:rsidRPr="00DF1E93">
              <w:t>time first seen</w:t>
            </w:r>
            <w:r w:rsidR="008D0D75">
              <w:t xml:space="preserve"> by doctor</w:t>
            </w:r>
            <w:r w:rsidR="008D0D75" w:rsidRPr="00DF1E93">
              <w:t xml:space="preserve"> to </w:t>
            </w:r>
            <w:r w:rsidR="008D0D75">
              <w:t>time of ED discharge) e</w:t>
            </w:r>
            <w:r>
              <w:t xml:space="preserve">xtracted from the EDDC system. </w:t>
            </w:r>
            <w:r w:rsidR="008D0D75" w:rsidRPr="00DF1E93">
              <w:t xml:space="preserve">Diagnostic tests </w:t>
            </w:r>
            <w:r>
              <w:t>and dispensed pharmaceuticals were</w:t>
            </w:r>
            <w:r w:rsidR="008D0D75" w:rsidRPr="00DF1E93">
              <w:t xml:space="preserve"> </w:t>
            </w:r>
            <w:r>
              <w:t xml:space="preserve">also </w:t>
            </w:r>
            <w:r w:rsidR="008D0D75" w:rsidRPr="00DF1E93">
              <w:t>allocated to patients directly based on consumption.</w:t>
            </w:r>
          </w:p>
        </w:tc>
      </w:tr>
      <w:tr w:rsidR="008D0D75" w:rsidTr="008D0D75">
        <w:tc>
          <w:tcPr>
            <w:tcW w:w="2376" w:type="dxa"/>
          </w:tcPr>
          <w:p w:rsidR="008D0D75" w:rsidRDefault="008D0D75" w:rsidP="008D0D75">
            <w:pPr>
              <w:pStyle w:val="PwCNormal"/>
              <w:numPr>
                <w:ilvl w:val="0"/>
                <w:numId w:val="0"/>
              </w:numPr>
            </w:pPr>
            <w:r>
              <w:t>Outpatients</w:t>
            </w:r>
          </w:p>
        </w:tc>
        <w:tc>
          <w:tcPr>
            <w:tcW w:w="6237" w:type="dxa"/>
          </w:tcPr>
          <w:p w:rsidR="008D0D75" w:rsidRDefault="008D25BC" w:rsidP="008D25BC">
            <w:pPr>
              <w:pStyle w:val="PwCNormal"/>
              <w:numPr>
                <w:ilvl w:val="0"/>
                <w:numId w:val="0"/>
              </w:numPr>
            </w:pPr>
            <w:r>
              <w:t>Outpatients were</w:t>
            </w:r>
            <w:r w:rsidR="008D0D75" w:rsidRPr="00F575BE">
              <w:t xml:space="preserve"> costed using a variety of feeder systems to reflect the patients’ consumption of resources.</w:t>
            </w:r>
            <w:r w:rsidR="008D0D75">
              <w:t xml:space="preserve"> For example, allied health scheduling data is extracted from the CME system and allocated to allied health clinics.</w:t>
            </w:r>
            <w:r w:rsidRPr="00DF1E93">
              <w:t xml:space="preserve"> Diagnostic tests a</w:t>
            </w:r>
            <w:r>
              <w:t>nd dispensed pharmaceuticals were</w:t>
            </w:r>
            <w:r w:rsidRPr="00DF1E93">
              <w:t xml:space="preserve"> allocated to patients directly based on consumption.</w:t>
            </w:r>
          </w:p>
        </w:tc>
      </w:tr>
      <w:tr w:rsidR="008D0D75" w:rsidTr="008D0D75">
        <w:tc>
          <w:tcPr>
            <w:tcW w:w="2376" w:type="dxa"/>
          </w:tcPr>
          <w:p w:rsidR="008D0D75" w:rsidRDefault="008D0D75" w:rsidP="008D0D75">
            <w:pPr>
              <w:pStyle w:val="PwCNormal"/>
              <w:numPr>
                <w:ilvl w:val="0"/>
                <w:numId w:val="0"/>
              </w:numPr>
            </w:pPr>
            <w:r>
              <w:t>Mental Health</w:t>
            </w:r>
          </w:p>
        </w:tc>
        <w:tc>
          <w:tcPr>
            <w:tcW w:w="6237" w:type="dxa"/>
          </w:tcPr>
          <w:p w:rsidR="008D0D75" w:rsidRDefault="008D0D75" w:rsidP="008D0D75">
            <w:pPr>
              <w:pStyle w:val="PwCNormal"/>
              <w:numPr>
                <w:ilvl w:val="0"/>
                <w:numId w:val="0"/>
              </w:numPr>
            </w:pPr>
            <w:r>
              <w:t>M</w:t>
            </w:r>
            <w:r w:rsidRPr="005442F2">
              <w:t xml:space="preserve">ental health patients are costed using patient level consumption data where possible. Costing methodology for </w:t>
            </w:r>
            <w:r>
              <w:t>admitted mental health patients</w:t>
            </w:r>
            <w:r w:rsidRPr="005442F2">
              <w:t xml:space="preserve"> are consistent with other</w:t>
            </w:r>
            <w:r>
              <w:t xml:space="preserve"> admitted</w:t>
            </w:r>
            <w:r w:rsidRPr="005442F2">
              <w:t xml:space="preserve"> hospital services.</w:t>
            </w:r>
          </w:p>
        </w:tc>
      </w:tr>
      <w:tr w:rsidR="008D0D75" w:rsidTr="008D0D75">
        <w:tc>
          <w:tcPr>
            <w:tcW w:w="2376" w:type="dxa"/>
          </w:tcPr>
          <w:p w:rsidR="008D0D75" w:rsidRDefault="008D0D75" w:rsidP="008D0D75">
            <w:pPr>
              <w:pStyle w:val="PwCNormal"/>
              <w:numPr>
                <w:ilvl w:val="0"/>
                <w:numId w:val="0"/>
              </w:numPr>
            </w:pPr>
            <w:r>
              <w:t>Teaching, training and research</w:t>
            </w:r>
          </w:p>
        </w:tc>
        <w:tc>
          <w:tcPr>
            <w:tcW w:w="6237" w:type="dxa"/>
          </w:tcPr>
          <w:p w:rsidR="008D0D75" w:rsidRDefault="008D0D75" w:rsidP="008D0D75">
            <w:pPr>
              <w:pStyle w:val="PwCNormal"/>
              <w:numPr>
                <w:ilvl w:val="0"/>
                <w:numId w:val="0"/>
              </w:numPr>
            </w:pPr>
            <w:r w:rsidRPr="009B253B">
              <w:t>Direct teaching</w:t>
            </w:r>
            <w:r>
              <w:t>, training and research</w:t>
            </w:r>
            <w:r w:rsidRPr="009B253B">
              <w:t xml:space="preserve"> costs</w:t>
            </w:r>
            <w:r w:rsidR="008D25BC">
              <w:t xml:space="preserve"> w</w:t>
            </w:r>
            <w:r w:rsidRPr="009B253B">
              <w:t>ere identifi</w:t>
            </w:r>
            <w:r>
              <w:t>ed as p</w:t>
            </w:r>
            <w:r w:rsidR="00B039D3">
              <w:t xml:space="preserve">art of the costing process but </w:t>
            </w:r>
            <w:r>
              <w:t xml:space="preserve">were not included in the </w:t>
            </w:r>
            <w:r w:rsidR="006A194B">
              <w:t>Round 17</w:t>
            </w:r>
            <w:r>
              <w:t xml:space="preserve"> NHCDC submission.</w:t>
            </w:r>
          </w:p>
        </w:tc>
      </w:tr>
      <w:tr w:rsidR="008D0D75" w:rsidTr="008D0D75">
        <w:tc>
          <w:tcPr>
            <w:tcW w:w="2376" w:type="dxa"/>
          </w:tcPr>
          <w:p w:rsidR="008D0D75" w:rsidRDefault="008D0D75" w:rsidP="008D0D75">
            <w:pPr>
              <w:pStyle w:val="PwCNormal"/>
              <w:numPr>
                <w:ilvl w:val="0"/>
                <w:numId w:val="0"/>
              </w:numPr>
            </w:pPr>
            <w:r>
              <w:t>Other</w:t>
            </w:r>
          </w:p>
        </w:tc>
        <w:tc>
          <w:tcPr>
            <w:tcW w:w="6237" w:type="dxa"/>
          </w:tcPr>
          <w:p w:rsidR="008D0D75" w:rsidRDefault="008D0D75" w:rsidP="008D0D75">
            <w:pPr>
              <w:pStyle w:val="PwCNormal"/>
              <w:numPr>
                <w:ilvl w:val="0"/>
                <w:numId w:val="0"/>
              </w:numPr>
            </w:pPr>
            <w:r>
              <w:t xml:space="preserve">Boarder activity and costs are excluded and not submitted to IHPA. </w:t>
            </w:r>
          </w:p>
        </w:tc>
      </w:tr>
    </w:tbl>
    <w:p w:rsidR="008D0D75" w:rsidRDefault="008D0D75" w:rsidP="008D0D75">
      <w:pPr>
        <w:pStyle w:val="PwCNormal"/>
        <w:numPr>
          <w:ilvl w:val="0"/>
          <w:numId w:val="0"/>
        </w:numPr>
      </w:pPr>
    </w:p>
    <w:p w:rsidR="008D0D75" w:rsidRPr="004E0B72" w:rsidRDefault="008D0D75" w:rsidP="00CE5EF2">
      <w:pPr>
        <w:pStyle w:val="Heading3"/>
      </w:pPr>
      <w:r>
        <w:t>Feeder data for sample areas</w:t>
      </w:r>
    </w:p>
    <w:p w:rsidR="008D0D75" w:rsidRPr="002449AB" w:rsidRDefault="008D0D75" w:rsidP="008D0D75">
      <w:pPr>
        <w:pStyle w:val="PwCNormal"/>
        <w:numPr>
          <w:ilvl w:val="0"/>
          <w:numId w:val="0"/>
        </w:numPr>
        <w:rPr>
          <w:b/>
        </w:rPr>
      </w:pPr>
      <w:r>
        <w:rPr>
          <w:b/>
        </w:rPr>
        <w:t>Overview</w:t>
      </w:r>
    </w:p>
    <w:p w:rsidR="008D0D75" w:rsidRDefault="00B039D3" w:rsidP="00B039D3">
      <w:pPr>
        <w:spacing w:after="240"/>
      </w:pPr>
      <w:r>
        <w:t>As part of the costing process different methodologies will be utilised to allocate costs to a patient level. The recommended methodology in the AHPCS is using a feeder system</w:t>
      </w:r>
      <w:r w:rsidR="00597FBD">
        <w:t>,</w:t>
      </w:r>
      <w:r>
        <w:t xml:space="preserve"> which uses direct patient activity data to allocate costs; however if this is not available then service weights or </w:t>
      </w:r>
      <w:r w:rsidR="000D62BB">
        <w:t xml:space="preserve">RVUs could be used. </w:t>
      </w:r>
      <w:r>
        <w:t xml:space="preserve">Some allocation methodologies at </w:t>
      </w:r>
      <w:r w:rsidR="009628A1">
        <w:t>NH</w:t>
      </w:r>
      <w:r>
        <w:t xml:space="preserve"> of note include:</w:t>
      </w:r>
    </w:p>
    <w:p w:rsidR="008D0D75" w:rsidRDefault="008D0D75" w:rsidP="009C4A5D">
      <w:pPr>
        <w:pStyle w:val="PwCNormal"/>
        <w:numPr>
          <w:ilvl w:val="0"/>
          <w:numId w:val="51"/>
        </w:numPr>
      </w:pPr>
      <w:r>
        <w:t>Patients are allocated theatre costs based not only on duration, but also on the number of surgeons/</w:t>
      </w:r>
      <w:r w:rsidRPr="0002662C">
        <w:t>anaesthetists</w:t>
      </w:r>
      <w:r>
        <w:t xml:space="preserve"> in attendance.</w:t>
      </w:r>
    </w:p>
    <w:p w:rsidR="008D0D75" w:rsidRDefault="008D0D75" w:rsidP="009C4A5D">
      <w:pPr>
        <w:pStyle w:val="PwCNormal"/>
        <w:numPr>
          <w:ilvl w:val="0"/>
          <w:numId w:val="51"/>
        </w:numPr>
      </w:pPr>
      <w:r>
        <w:t>Prosthetics costs are allocated directly to patients using ORMIS actual charge data.</w:t>
      </w:r>
      <w:r w:rsidRPr="00AA31A1">
        <w:t xml:space="preserve"> </w:t>
      </w:r>
      <w:r>
        <w:t>If actual charge data is missing the national average cost per DRG is used as the cost driver.</w:t>
      </w:r>
      <w:r w:rsidR="00B039D3">
        <w:br/>
      </w:r>
    </w:p>
    <w:p w:rsidR="008A2E49" w:rsidRDefault="008A2E49">
      <w:pPr>
        <w:kinsoku/>
        <w:overflowPunct/>
        <w:autoSpaceDE/>
        <w:autoSpaceDN/>
        <w:adjustRightInd/>
        <w:snapToGrid/>
        <w:rPr>
          <w:b/>
        </w:rPr>
      </w:pPr>
      <w:r>
        <w:rPr>
          <w:b/>
        </w:rPr>
        <w:br w:type="page"/>
      </w:r>
    </w:p>
    <w:p w:rsidR="008D0D75" w:rsidRDefault="008D0D75" w:rsidP="008D0D75">
      <w:pPr>
        <w:pStyle w:val="PwCNormal"/>
        <w:numPr>
          <w:ilvl w:val="0"/>
          <w:numId w:val="0"/>
        </w:numPr>
        <w:rPr>
          <w:b/>
        </w:rPr>
      </w:pPr>
      <w:r>
        <w:rPr>
          <w:b/>
        </w:rPr>
        <w:lastRenderedPageBreak/>
        <w:t>Pharmacy</w:t>
      </w:r>
    </w:p>
    <w:p w:rsidR="008D0D75" w:rsidRDefault="009628A1" w:rsidP="008D0D75">
      <w:pPr>
        <w:pStyle w:val="PwCNormal"/>
        <w:numPr>
          <w:ilvl w:val="0"/>
          <w:numId w:val="0"/>
        </w:numPr>
      </w:pPr>
      <w:r>
        <w:t>NH</w:t>
      </w:r>
      <w:r w:rsidR="008D0D75">
        <w:t xml:space="preserve"> uses </w:t>
      </w:r>
      <w:proofErr w:type="spellStart"/>
      <w:r w:rsidR="008D0D75">
        <w:t>iPharmacy</w:t>
      </w:r>
      <w:proofErr w:type="spellEnd"/>
      <w:r w:rsidR="008D0D75">
        <w:t xml:space="preserve">, which records consumption of pharmacy products by patients. </w:t>
      </w:r>
      <w:proofErr w:type="spellStart"/>
      <w:r w:rsidR="008D25BC">
        <w:t>Imprest</w:t>
      </w:r>
      <w:proofErr w:type="spellEnd"/>
      <w:r w:rsidR="008D25BC">
        <w:t xml:space="preserve"> drug costs were allocated to wards, and were</w:t>
      </w:r>
      <w:r w:rsidR="008D25BC" w:rsidRPr="000C3671">
        <w:t xml:space="preserve"> the</w:t>
      </w:r>
      <w:r w:rsidR="008D25BC">
        <w:t>n</w:t>
      </w:r>
      <w:r w:rsidR="008D25BC" w:rsidRPr="000C3671">
        <w:t xml:space="preserve"> distributed to patients </w:t>
      </w:r>
      <w:r w:rsidR="008D25BC">
        <w:t>based on fractional bed days. The costs of dispensed drugs that were</w:t>
      </w:r>
      <w:r w:rsidR="008D0D75">
        <w:t xml:space="preserve"> administered directly to patients </w:t>
      </w:r>
      <w:r w:rsidR="008D25BC">
        <w:t xml:space="preserve">were allocated using </w:t>
      </w:r>
      <w:proofErr w:type="spellStart"/>
      <w:r w:rsidR="008D25BC">
        <w:t>iPharmacy</w:t>
      </w:r>
      <w:proofErr w:type="spellEnd"/>
      <w:r w:rsidR="008D25BC">
        <w:t xml:space="preserve"> data</w:t>
      </w:r>
      <w:r w:rsidR="008D0D75">
        <w:t>. The unit cost allocated to pa</w:t>
      </w:r>
      <w:r w:rsidR="008D25BC">
        <w:t>tients was</w:t>
      </w:r>
      <w:r w:rsidR="008D0D75">
        <w:t xml:space="preserve"> taken from the price list provided through vendors.</w:t>
      </w:r>
      <w:r w:rsidR="008D25BC">
        <w:t xml:space="preserve"> </w:t>
      </w:r>
      <w:r w:rsidR="002821F4">
        <w:t xml:space="preserve">The results of the linking process are shown in </w:t>
      </w:r>
      <w:r w:rsidR="002821F4">
        <w:fldChar w:fldCharType="begin"/>
      </w:r>
      <w:r w:rsidR="002821F4">
        <w:instrText xml:space="preserve"> REF _Ref402895477 \h </w:instrText>
      </w:r>
      <w:r w:rsidR="002821F4">
        <w:fldChar w:fldCharType="separate"/>
      </w:r>
      <w:r w:rsidR="00575DFC">
        <w:t xml:space="preserve">Table </w:t>
      </w:r>
      <w:r w:rsidR="00575DFC">
        <w:rPr>
          <w:noProof/>
        </w:rPr>
        <w:t>65</w:t>
      </w:r>
      <w:r w:rsidR="002821F4">
        <w:fldChar w:fldCharType="end"/>
      </w:r>
      <w:r w:rsidR="002821F4">
        <w:t xml:space="preserve"> below.</w:t>
      </w:r>
    </w:p>
    <w:p w:rsidR="00D07430" w:rsidRDefault="00D07430" w:rsidP="00D07430">
      <w:pPr>
        <w:pStyle w:val="PwCNormal"/>
        <w:numPr>
          <w:ilvl w:val="0"/>
          <w:numId w:val="0"/>
        </w:numPr>
      </w:pPr>
      <w:r w:rsidRPr="006A258E">
        <w:t xml:space="preserve">Dispensed drugs are linked to patients based on </w:t>
      </w:r>
      <w:r w:rsidRPr="000E13F0">
        <w:t xml:space="preserve">their medical record number and </w:t>
      </w:r>
      <w:r>
        <w:t xml:space="preserve">service date from </w:t>
      </w:r>
      <w:proofErr w:type="spellStart"/>
      <w:r>
        <w:t>iPharmacy</w:t>
      </w:r>
      <w:proofErr w:type="spellEnd"/>
      <w:r>
        <w:t xml:space="preserve">, where the unit cost taken from the price list provided through vendors. The records were </w:t>
      </w:r>
      <w:r w:rsidRPr="000E13F0">
        <w:t>first linked to inpatients</w:t>
      </w:r>
      <w:r>
        <w:t xml:space="preserve"> if the service date was either within two days before the admission or two days after the discharge date. If that linking failed, it was then linked to ED presentations with a service date</w:t>
      </w:r>
      <w:r w:rsidRPr="000E13F0">
        <w:t xml:space="preserve"> </w:t>
      </w:r>
      <w:r>
        <w:t xml:space="preserve">within two days of the presentation date. If that linking failed, it was then linked to outpatients where the service date was within 30 days of the outpatient service event. </w:t>
      </w:r>
      <w:r w:rsidRPr="006A258E">
        <w:t xml:space="preserve">Records that are unable to be matched are linked to a virtual patient, </w:t>
      </w:r>
      <w:r>
        <w:t>which</w:t>
      </w:r>
      <w:r w:rsidRPr="006A258E">
        <w:t xml:space="preserve"> holds the costs for those drugs.</w:t>
      </w:r>
    </w:p>
    <w:p w:rsidR="009D2646" w:rsidRDefault="009D2646" w:rsidP="009D2646">
      <w:pPr>
        <w:pStyle w:val="Caption"/>
      </w:pPr>
      <w:bookmarkStart w:id="107" w:name="_Ref402895477"/>
      <w:r>
        <w:t xml:space="preserve">Table </w:t>
      </w:r>
      <w:r w:rsidR="008379DC">
        <w:fldChar w:fldCharType="begin"/>
      </w:r>
      <w:r w:rsidR="009E64DF">
        <w:instrText xml:space="preserve"> SEQ Table \* ARABIC </w:instrText>
      </w:r>
      <w:r w:rsidR="008379DC">
        <w:fldChar w:fldCharType="separate"/>
      </w:r>
      <w:r w:rsidR="00575DFC">
        <w:rPr>
          <w:noProof/>
        </w:rPr>
        <w:t>65</w:t>
      </w:r>
      <w:r w:rsidR="008379DC">
        <w:rPr>
          <w:noProof/>
        </w:rPr>
        <w:fldChar w:fldCharType="end"/>
      </w:r>
      <w:bookmarkEnd w:id="107"/>
      <w:r>
        <w:t xml:space="preserve">: </w:t>
      </w:r>
      <w:r w:rsidRPr="00A77EE1">
        <w:t>Outcome of pharmacy feeder linking</w:t>
      </w:r>
    </w:p>
    <w:p w:rsidR="008D0D75" w:rsidRDefault="008D0D75" w:rsidP="008D0D75">
      <w:pPr>
        <w:pStyle w:val="PwCNormal"/>
        <w:numPr>
          <w:ilvl w:val="0"/>
          <w:numId w:val="0"/>
        </w:numPr>
        <w:rPr>
          <w:highlight w:val="yellow"/>
        </w:rPr>
      </w:pPr>
      <w:r w:rsidRPr="00D4139B">
        <w:rPr>
          <w:noProof/>
          <w:lang w:eastAsia="en-AU"/>
        </w:rPr>
        <w:drawing>
          <wp:inline distT="0" distB="0" distL="0" distR="0" wp14:anchorId="4269745B" wp14:editId="62A199ED">
            <wp:extent cx="2880000" cy="2659649"/>
            <wp:effectExtent l="0" t="0" r="0" b="7620"/>
            <wp:docPr id="66" name="Picture 4"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srcRect/>
                    <a:stretch>
                      <a:fillRect/>
                    </a:stretch>
                  </pic:blipFill>
                  <pic:spPr bwMode="auto">
                    <a:xfrm>
                      <a:off x="0" y="0"/>
                      <a:ext cx="2880000" cy="2659649"/>
                    </a:xfrm>
                    <a:prstGeom prst="rect">
                      <a:avLst/>
                    </a:prstGeom>
                    <a:noFill/>
                    <a:ln w="9525">
                      <a:noFill/>
                      <a:miter lim="800000"/>
                      <a:headEnd/>
                      <a:tailEnd/>
                    </a:ln>
                  </pic:spPr>
                </pic:pic>
              </a:graphicData>
            </a:graphic>
          </wp:inline>
        </w:drawing>
      </w:r>
    </w:p>
    <w:p w:rsidR="008D0D75" w:rsidRDefault="008D0D75" w:rsidP="008D0D75">
      <w:pPr>
        <w:pStyle w:val="PwCNormal"/>
        <w:numPr>
          <w:ilvl w:val="0"/>
          <w:numId w:val="0"/>
        </w:numPr>
      </w:pPr>
      <w:r w:rsidRPr="009E74C9">
        <w:t>While 20,266</w:t>
      </w:r>
      <w:r>
        <w:t xml:space="preserve"> </w:t>
      </w:r>
      <w:r w:rsidRPr="009E74C9">
        <w:t xml:space="preserve">records </w:t>
      </w:r>
      <w:r>
        <w:t>were extracted from the system,</w:t>
      </w:r>
      <w:r w:rsidRPr="009E74C9">
        <w:t xml:space="preserve"> 20,153 records related to dispensed drugs to patients</w:t>
      </w:r>
      <w:r>
        <w:t xml:space="preserve"> with 113 records unmatched</w:t>
      </w:r>
      <w:r w:rsidRPr="009E74C9">
        <w:t>.</w:t>
      </w:r>
    </w:p>
    <w:p w:rsidR="008D0D75" w:rsidRDefault="008D0D75" w:rsidP="008D0D75">
      <w:pPr>
        <w:pStyle w:val="PwCNormal"/>
        <w:numPr>
          <w:ilvl w:val="0"/>
          <w:numId w:val="0"/>
        </w:numPr>
        <w:rPr>
          <w:b/>
        </w:rPr>
      </w:pPr>
      <w:r>
        <w:rPr>
          <w:b/>
        </w:rPr>
        <w:t>Theatre</w:t>
      </w:r>
    </w:p>
    <w:p w:rsidR="008D0D75" w:rsidRDefault="008D0D75" w:rsidP="008D0D75">
      <w:pPr>
        <w:pStyle w:val="PwCNormal"/>
        <w:numPr>
          <w:ilvl w:val="0"/>
          <w:numId w:val="0"/>
        </w:numPr>
      </w:pPr>
      <w:r w:rsidRPr="009E74C9">
        <w:t xml:space="preserve">OACIS at </w:t>
      </w:r>
      <w:r w:rsidR="009628A1">
        <w:t>NH</w:t>
      </w:r>
      <w:r w:rsidRPr="009E74C9">
        <w:t xml:space="preserve"> records various data points of the patient operations, such as start and end time of anaesthetics, date and time of first cut time spent in recovery etc. Data is extracted from the system and links directly to the patient encounter.</w:t>
      </w:r>
      <w:r>
        <w:t xml:space="preserve"> </w:t>
      </w:r>
      <w:r w:rsidRPr="006A258E">
        <w:t xml:space="preserve">The linking </w:t>
      </w:r>
      <w:r>
        <w:t>rules applied are as follows; first link inpatients if within 24 hours of service, then link outpatients if within 24 hours service.</w:t>
      </w:r>
      <w:r w:rsidRPr="00F14676">
        <w:t xml:space="preserve"> </w:t>
      </w:r>
      <w:r>
        <w:t>The system does not record the number of nurses per operation and total theatre time is used to allocate nursing costs to a patient.</w:t>
      </w:r>
      <w:r w:rsidR="00D07430">
        <w:t xml:space="preserve"> </w:t>
      </w:r>
      <w:r w:rsidRPr="0090280F">
        <w:t>The table below outlines the linking of records from OACIS to patients within the hospital products.</w:t>
      </w:r>
    </w:p>
    <w:p w:rsidR="009D2646" w:rsidRDefault="009D2646" w:rsidP="009D2646">
      <w:pPr>
        <w:pStyle w:val="Caption"/>
      </w:pPr>
      <w:r>
        <w:lastRenderedPageBreak/>
        <w:t xml:space="preserve">Table </w:t>
      </w:r>
      <w:r w:rsidR="008379DC">
        <w:fldChar w:fldCharType="begin"/>
      </w:r>
      <w:r w:rsidR="009E64DF">
        <w:instrText xml:space="preserve"> SEQ Table \* ARABIC </w:instrText>
      </w:r>
      <w:r w:rsidR="008379DC">
        <w:fldChar w:fldCharType="separate"/>
      </w:r>
      <w:r w:rsidR="00575DFC">
        <w:rPr>
          <w:noProof/>
        </w:rPr>
        <w:t>66</w:t>
      </w:r>
      <w:r w:rsidR="008379DC">
        <w:rPr>
          <w:noProof/>
        </w:rPr>
        <w:fldChar w:fldCharType="end"/>
      </w:r>
      <w:r>
        <w:t xml:space="preserve">: </w:t>
      </w:r>
      <w:r w:rsidRPr="00D17685">
        <w:t>Outcome of theatre feeder linking</w:t>
      </w:r>
    </w:p>
    <w:p w:rsidR="008D0D75" w:rsidRDefault="008D0D75" w:rsidP="008D0D75">
      <w:pPr>
        <w:pStyle w:val="PwCNormal"/>
        <w:numPr>
          <w:ilvl w:val="0"/>
          <w:numId w:val="0"/>
        </w:numPr>
      </w:pPr>
      <w:r w:rsidRPr="00E6776F">
        <w:rPr>
          <w:noProof/>
          <w:lang w:eastAsia="en-AU"/>
        </w:rPr>
        <w:drawing>
          <wp:inline distT="0" distB="0" distL="0" distR="0" wp14:anchorId="6C9B1540" wp14:editId="148B37A2">
            <wp:extent cx="2880000" cy="2659648"/>
            <wp:effectExtent l="0" t="0" r="0" b="7620"/>
            <wp:docPr id="67" name="Picture 7"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srcRect/>
                    <a:stretch>
                      <a:fillRect/>
                    </a:stretch>
                  </pic:blipFill>
                  <pic:spPr bwMode="auto">
                    <a:xfrm>
                      <a:off x="0" y="0"/>
                      <a:ext cx="2880000" cy="2659648"/>
                    </a:xfrm>
                    <a:prstGeom prst="rect">
                      <a:avLst/>
                    </a:prstGeom>
                    <a:noFill/>
                    <a:ln w="9525">
                      <a:noFill/>
                      <a:miter lim="800000"/>
                      <a:headEnd/>
                      <a:tailEnd/>
                    </a:ln>
                  </pic:spPr>
                </pic:pic>
              </a:graphicData>
            </a:graphic>
          </wp:inline>
        </w:drawing>
      </w:r>
    </w:p>
    <w:p w:rsidR="008D0D75" w:rsidRDefault="008D0D75" w:rsidP="008D0D75">
      <w:pPr>
        <w:pStyle w:val="PwCNormal"/>
        <w:numPr>
          <w:ilvl w:val="0"/>
          <w:numId w:val="0"/>
        </w:numPr>
      </w:pPr>
      <w:r w:rsidRPr="00C51069">
        <w:t>There were 6,763 records extracted from OACIS, of which 6,751could be linked to patients. This leaves 12 records that coul</w:t>
      </w:r>
      <w:r>
        <w:t>d not be matched/linked with admitted patient episodes.</w:t>
      </w:r>
    </w:p>
    <w:p w:rsidR="008D0D75" w:rsidRPr="002449AB" w:rsidRDefault="008D0D75" w:rsidP="008D0D75">
      <w:pPr>
        <w:pStyle w:val="PwCNormal"/>
        <w:numPr>
          <w:ilvl w:val="0"/>
          <w:numId w:val="0"/>
        </w:numPr>
        <w:rPr>
          <w:b/>
        </w:rPr>
      </w:pPr>
      <w:r>
        <w:rPr>
          <w:b/>
        </w:rPr>
        <w:t>Ward Nursing</w:t>
      </w:r>
    </w:p>
    <w:p w:rsidR="008D0D75" w:rsidRDefault="008D0D75" w:rsidP="008D0D75">
      <w:pPr>
        <w:pStyle w:val="PwCNormal"/>
        <w:numPr>
          <w:ilvl w:val="0"/>
          <w:numId w:val="0"/>
        </w:numPr>
      </w:pPr>
      <w:r>
        <w:t xml:space="preserve">An in-house patient administration system is used </w:t>
      </w:r>
      <w:r w:rsidRPr="0090280F">
        <w:t xml:space="preserve">at </w:t>
      </w:r>
      <w:r w:rsidR="009628A1">
        <w:t>NH</w:t>
      </w:r>
      <w:r>
        <w:t xml:space="preserve"> and captures</w:t>
      </w:r>
      <w:r w:rsidRPr="0090280F">
        <w:t xml:space="preserve"> </w:t>
      </w:r>
      <w:r w:rsidRPr="00502A63">
        <w:t>data on the patient’s encounter in hospital, such as the admission and discharge date and time, tra</w:t>
      </w:r>
      <w:r>
        <w:t xml:space="preserve">nsfers between wards and units. </w:t>
      </w:r>
      <w:r w:rsidRPr="00502A63">
        <w:t>Data is extracted from the system and links directly to the patient encounter.</w:t>
      </w:r>
      <w:r>
        <w:t xml:space="preserve"> Inpatients are linked if their activity falls within 2 days of the service.</w:t>
      </w:r>
      <w:r w:rsidR="00460F4B">
        <w:t xml:space="preserve"> </w:t>
      </w:r>
      <w:r w:rsidR="00357CF2">
        <w:t>As the table below demonstrates, all records were linked to inpatients.</w:t>
      </w:r>
    </w:p>
    <w:p w:rsidR="009D2646" w:rsidRDefault="009D2646" w:rsidP="009D2646">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67</w:t>
      </w:r>
      <w:r w:rsidR="008379DC">
        <w:rPr>
          <w:noProof/>
        </w:rPr>
        <w:fldChar w:fldCharType="end"/>
      </w:r>
      <w:r>
        <w:t xml:space="preserve">: </w:t>
      </w:r>
      <w:r w:rsidRPr="00E327C7">
        <w:t>Outcome of ward nursing feeder linking</w:t>
      </w:r>
    </w:p>
    <w:p w:rsidR="008D0D75" w:rsidRDefault="008D0D75" w:rsidP="008D0D75">
      <w:pPr>
        <w:pStyle w:val="PwCNormal"/>
        <w:numPr>
          <w:ilvl w:val="0"/>
          <w:numId w:val="0"/>
        </w:numPr>
      </w:pPr>
      <w:r w:rsidRPr="003E0B27">
        <w:rPr>
          <w:noProof/>
          <w:lang w:eastAsia="en-AU"/>
        </w:rPr>
        <w:drawing>
          <wp:inline distT="0" distB="0" distL="0" distR="0" wp14:anchorId="3BE1ED3C" wp14:editId="6556F727">
            <wp:extent cx="2882900" cy="2660725"/>
            <wp:effectExtent l="0" t="0" r="0" b="6350"/>
            <wp:docPr id="68" name="Picture 68"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85937" cy="2663528"/>
                    </a:xfrm>
                    <a:prstGeom prst="rect">
                      <a:avLst/>
                    </a:prstGeom>
                    <a:noFill/>
                    <a:ln>
                      <a:noFill/>
                    </a:ln>
                  </pic:spPr>
                </pic:pic>
              </a:graphicData>
            </a:graphic>
          </wp:inline>
        </w:drawing>
      </w:r>
    </w:p>
    <w:p w:rsidR="00F20459" w:rsidRDefault="00F20459">
      <w:pPr>
        <w:kinsoku/>
        <w:overflowPunct/>
        <w:autoSpaceDE/>
        <w:autoSpaceDN/>
        <w:adjustRightInd/>
        <w:snapToGrid/>
      </w:pPr>
      <w:r>
        <w:br w:type="page"/>
      </w:r>
    </w:p>
    <w:p w:rsidR="008D0D75" w:rsidRPr="004E0B72" w:rsidRDefault="008D0D75" w:rsidP="00CE5EF2">
      <w:pPr>
        <w:pStyle w:val="Heading3"/>
      </w:pPr>
      <w:bookmarkStart w:id="108" w:name="_Ref402900557"/>
      <w:r>
        <w:lastRenderedPageBreak/>
        <w:t>The costed dataset</w:t>
      </w:r>
      <w:bookmarkEnd w:id="108"/>
    </w:p>
    <w:p w:rsidR="008D0D75" w:rsidRPr="002449AB" w:rsidRDefault="008D0D75" w:rsidP="008D0D75">
      <w:pPr>
        <w:pStyle w:val="PwCNormal"/>
        <w:numPr>
          <w:ilvl w:val="0"/>
          <w:numId w:val="0"/>
        </w:numPr>
        <w:rPr>
          <w:b/>
        </w:rPr>
      </w:pPr>
      <w:r>
        <w:rPr>
          <w:b/>
        </w:rPr>
        <w:t>QA process</w:t>
      </w:r>
    </w:p>
    <w:p w:rsidR="008D0D75" w:rsidRDefault="00EE33D1" w:rsidP="008D0D75">
      <w:pPr>
        <w:pStyle w:val="PwCNormal"/>
        <w:numPr>
          <w:ilvl w:val="0"/>
          <w:numId w:val="0"/>
        </w:numPr>
      </w:pPr>
      <w:r>
        <w:t xml:space="preserve">After costing was completed, SA Health performed various quality assurance checks and reconciliations over the costed dataset. The tests and reconciliations performed on the </w:t>
      </w:r>
      <w:r w:rsidR="009628A1">
        <w:t>NH</w:t>
      </w:r>
      <w:r>
        <w:t xml:space="preserve"> dataset were consistent with that performed over FMC. Details of these tests can be found in </w:t>
      </w:r>
      <w:r w:rsidR="00F84A9F">
        <w:t>S</w:t>
      </w:r>
      <w:r>
        <w:t xml:space="preserve">ection </w:t>
      </w:r>
      <w:r>
        <w:fldChar w:fldCharType="begin"/>
      </w:r>
      <w:r>
        <w:instrText xml:space="preserve"> REF _Ref402900557 \r \h </w:instrText>
      </w:r>
      <w:r>
        <w:fldChar w:fldCharType="separate"/>
      </w:r>
      <w:r w:rsidR="00575DFC">
        <w:t>7.3.5</w:t>
      </w:r>
      <w:r>
        <w:fldChar w:fldCharType="end"/>
      </w:r>
      <w:r>
        <w:t xml:space="preserve">. </w:t>
      </w:r>
      <w:r w:rsidR="008D0D75" w:rsidRPr="00366C3D">
        <w:t>Identified issues during the process are rectified and the new costing results again go through the QA processes until SA Health is satisfied with the results.</w:t>
      </w:r>
    </w:p>
    <w:p w:rsidR="008D0D75" w:rsidRPr="002449AB" w:rsidRDefault="008D0D75" w:rsidP="008D0D75">
      <w:pPr>
        <w:pStyle w:val="PwCNormal"/>
        <w:numPr>
          <w:ilvl w:val="0"/>
          <w:numId w:val="0"/>
        </w:numPr>
        <w:rPr>
          <w:b/>
        </w:rPr>
      </w:pPr>
      <w:r>
        <w:rPr>
          <w:b/>
        </w:rPr>
        <w:t>Adjustments</w:t>
      </w:r>
    </w:p>
    <w:p w:rsidR="008D0D75" w:rsidRDefault="008D0D75" w:rsidP="008D0D75">
      <w:pPr>
        <w:pStyle w:val="PwCNormal"/>
        <w:numPr>
          <w:ilvl w:val="0"/>
          <w:numId w:val="0"/>
        </w:numPr>
      </w:pPr>
      <w:r w:rsidRPr="009E57F2">
        <w:t xml:space="preserve">SA Health </w:t>
      </w:r>
      <w:r>
        <w:t>made</w:t>
      </w:r>
      <w:r w:rsidRPr="009E57F2">
        <w:t xml:space="preserve"> adjustments for W</w:t>
      </w:r>
      <w:r w:rsidR="00AF1D40">
        <w:t>I</w:t>
      </w:r>
      <w:r w:rsidRPr="009E57F2">
        <w:t xml:space="preserve">P patients (discussed in the sections below). </w:t>
      </w:r>
      <w:r>
        <w:t xml:space="preserve">Further adjustments were made for patients that did not have a complete APC submission record. This </w:t>
      </w:r>
      <w:r w:rsidRPr="009E57F2">
        <w:t xml:space="preserve">amounted to </w:t>
      </w:r>
      <w:r>
        <w:t>$1.5</w:t>
      </w:r>
      <w:r w:rsidR="009628A1">
        <w:t xml:space="preserve"> </w:t>
      </w:r>
      <w:r>
        <w:t>m</w:t>
      </w:r>
      <w:r w:rsidR="00AF1D40">
        <w:t>illion</w:t>
      </w:r>
      <w:r>
        <w:t xml:space="preserve"> in FY 2012/13</w:t>
      </w:r>
      <w:r w:rsidR="00AF1D40">
        <w:t>,</w:t>
      </w:r>
      <w:r>
        <w:t xml:space="preserve"> which was excluded from submission to IHPA.</w:t>
      </w:r>
      <w:r w:rsidR="00EE33D1">
        <w:t xml:space="preserve"> Another $5.9</w:t>
      </w:r>
      <w:r w:rsidR="00AF1D40">
        <w:t xml:space="preserve"> </w:t>
      </w:r>
      <w:r w:rsidR="00EE33D1">
        <w:t>m</w:t>
      </w:r>
      <w:r w:rsidR="00AF1D40">
        <w:t>illion</w:t>
      </w:r>
      <w:r w:rsidR="00EE33D1">
        <w:t xml:space="preserve"> was excluded for outpatients that were costed but not submitted to IHPA.</w:t>
      </w:r>
    </w:p>
    <w:p w:rsidR="008D0D75" w:rsidRPr="002449AB" w:rsidRDefault="008D0D75" w:rsidP="008D0D75">
      <w:pPr>
        <w:pStyle w:val="PwCNormal"/>
        <w:numPr>
          <w:ilvl w:val="0"/>
          <w:numId w:val="0"/>
        </w:numPr>
        <w:rPr>
          <w:b/>
        </w:rPr>
      </w:pPr>
      <w:r>
        <w:rPr>
          <w:b/>
        </w:rPr>
        <w:t>Work in progress (Item E)</w:t>
      </w:r>
    </w:p>
    <w:p w:rsidR="008D0D75" w:rsidRPr="00D4139B" w:rsidRDefault="000D62BB" w:rsidP="000D62BB">
      <w:pPr>
        <w:pStyle w:val="PwCNormal"/>
        <w:numPr>
          <w:ilvl w:val="0"/>
          <w:numId w:val="0"/>
        </w:numPr>
      </w:pPr>
      <w:r>
        <w:t>The a</w:t>
      </w:r>
      <w:r w:rsidRPr="003A6D69">
        <w:t xml:space="preserve">djustments </w:t>
      </w:r>
      <w:r>
        <w:t>that were</w:t>
      </w:r>
      <w:r w:rsidRPr="003A6D69">
        <w:t xml:space="preserve"> made for patients whose stay at the hospital crosses the financial year</w:t>
      </w:r>
      <w:r>
        <w:t xml:space="preserve"> is consistent with approach taken at FMC. Please see </w:t>
      </w:r>
      <w:r w:rsidR="00F84A9F">
        <w:t xml:space="preserve">Section </w:t>
      </w:r>
      <w:r>
        <w:fldChar w:fldCharType="begin"/>
      </w:r>
      <w:r>
        <w:instrText xml:space="preserve"> REF _Ref402764189 \r \h </w:instrText>
      </w:r>
      <w:r>
        <w:fldChar w:fldCharType="separate"/>
      </w:r>
      <w:r w:rsidR="00575DFC">
        <w:t>7.2.5</w:t>
      </w:r>
      <w:r>
        <w:fldChar w:fldCharType="end"/>
      </w:r>
      <w:r>
        <w:t xml:space="preserve"> for more details.</w:t>
      </w:r>
    </w:p>
    <w:p w:rsidR="008D0D75" w:rsidRPr="004E0B72" w:rsidRDefault="008D0D75" w:rsidP="00CE5EF2">
      <w:pPr>
        <w:pStyle w:val="Heading3"/>
      </w:pPr>
      <w:r>
        <w:t>Sample patients</w:t>
      </w:r>
    </w:p>
    <w:p w:rsidR="008D0D75" w:rsidRDefault="002729CE" w:rsidP="008D0D75">
      <w:pPr>
        <w:pStyle w:val="PwCNormal"/>
        <w:numPr>
          <w:ilvl w:val="0"/>
          <w:numId w:val="0"/>
        </w:numPr>
        <w:rPr>
          <w:noProof/>
          <w:lang w:eastAsia="en-AU"/>
        </w:r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8D0D75">
        <w:t>.</w:t>
      </w:r>
      <w:r w:rsidR="00EE33D1">
        <w:t xml:space="preserve"> The reconciliation found no variances, as displayed in </w:t>
      </w:r>
      <w:r w:rsidR="00EE33D1">
        <w:fldChar w:fldCharType="begin"/>
      </w:r>
      <w:r w:rsidR="00EE33D1">
        <w:instrText xml:space="preserve"> REF _Ref402900893 \h </w:instrText>
      </w:r>
      <w:r w:rsidR="00EE33D1">
        <w:fldChar w:fldCharType="separate"/>
      </w:r>
      <w:r w:rsidR="00575DFC">
        <w:t xml:space="preserve">Table </w:t>
      </w:r>
      <w:r w:rsidR="00575DFC">
        <w:rPr>
          <w:noProof/>
        </w:rPr>
        <w:t>68</w:t>
      </w:r>
      <w:r w:rsidR="00575DFC">
        <w:t xml:space="preserve">: </w:t>
      </w:r>
      <w:r w:rsidR="00575DFC" w:rsidRPr="00A31DD3">
        <w:t>Sample patient reconciliation with IHPA</w:t>
      </w:r>
      <w:r w:rsidR="00EE33D1">
        <w:fldChar w:fldCharType="end"/>
      </w:r>
      <w:r w:rsidR="00EE33D1">
        <w:t xml:space="preserve"> below.</w:t>
      </w:r>
    </w:p>
    <w:p w:rsidR="009D2646" w:rsidRDefault="009D2646" w:rsidP="009D2646">
      <w:pPr>
        <w:pStyle w:val="Caption"/>
      </w:pPr>
      <w:bookmarkStart w:id="109" w:name="_Ref402900893"/>
      <w:r>
        <w:t xml:space="preserve">Table </w:t>
      </w:r>
      <w:r w:rsidR="008379DC">
        <w:fldChar w:fldCharType="begin"/>
      </w:r>
      <w:r w:rsidR="009E64DF">
        <w:instrText xml:space="preserve"> SEQ Table \* ARABIC </w:instrText>
      </w:r>
      <w:r w:rsidR="008379DC">
        <w:fldChar w:fldCharType="separate"/>
      </w:r>
      <w:r w:rsidR="00575DFC">
        <w:rPr>
          <w:noProof/>
        </w:rPr>
        <w:t>68</w:t>
      </w:r>
      <w:r w:rsidR="008379DC">
        <w:rPr>
          <w:noProof/>
        </w:rPr>
        <w:fldChar w:fldCharType="end"/>
      </w:r>
      <w:r>
        <w:t xml:space="preserve">: </w:t>
      </w:r>
      <w:r w:rsidRPr="00A31DD3">
        <w:t>Sample patient reconciliation with IHPA</w:t>
      </w:r>
      <w:bookmarkEnd w:id="109"/>
    </w:p>
    <w:p w:rsidR="00017735" w:rsidRDefault="00017735" w:rsidP="008D0D75">
      <w:pPr>
        <w:pStyle w:val="PwCNormal"/>
        <w:numPr>
          <w:ilvl w:val="0"/>
          <w:numId w:val="0"/>
        </w:numPr>
      </w:pPr>
      <w:r w:rsidRPr="00017735">
        <w:rPr>
          <w:noProof/>
          <w:lang w:eastAsia="en-AU"/>
        </w:rPr>
        <w:drawing>
          <wp:inline distT="0" distB="0" distL="0" distR="0" wp14:anchorId="545483A2" wp14:editId="494AD057">
            <wp:extent cx="3604437" cy="989657"/>
            <wp:effectExtent l="0" t="0" r="0" b="1270"/>
            <wp:docPr id="73" name="Picture 73"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04334" cy="989629"/>
                    </a:xfrm>
                    <a:prstGeom prst="rect">
                      <a:avLst/>
                    </a:prstGeom>
                    <a:noFill/>
                    <a:ln>
                      <a:noFill/>
                    </a:ln>
                  </pic:spPr>
                </pic:pic>
              </a:graphicData>
            </a:graphic>
          </wp:inline>
        </w:drawing>
      </w:r>
    </w:p>
    <w:p w:rsidR="008D0D75" w:rsidRDefault="008D0D75" w:rsidP="008D0D75">
      <w:pPr>
        <w:pStyle w:val="PwCNormal"/>
        <w:numPr>
          <w:ilvl w:val="0"/>
          <w:numId w:val="0"/>
        </w:numPr>
      </w:pPr>
      <w:r>
        <w:br w:type="page"/>
      </w:r>
    </w:p>
    <w:p w:rsidR="008D0D75" w:rsidRDefault="008D0D75" w:rsidP="008D0D75">
      <w:pPr>
        <w:pStyle w:val="Heading2"/>
        <w:spacing w:before="0" w:after="40"/>
      </w:pPr>
      <w:r>
        <w:lastRenderedPageBreak/>
        <w:t>Jurisdictional overview</w:t>
      </w:r>
    </w:p>
    <w:p w:rsidR="008D0D75" w:rsidRDefault="008D0D75" w:rsidP="00CE5EF2">
      <w:pPr>
        <w:pStyle w:val="Heading3"/>
      </w:pPr>
      <w:r>
        <w:t>Overview of process</w:t>
      </w:r>
    </w:p>
    <w:p w:rsidR="008D0D75" w:rsidRPr="00366C3D" w:rsidRDefault="008D0D75" w:rsidP="008D0D75">
      <w:pPr>
        <w:pStyle w:val="PwCNormal"/>
        <w:numPr>
          <w:ilvl w:val="0"/>
          <w:numId w:val="0"/>
        </w:numPr>
        <w:spacing w:before="240"/>
      </w:pPr>
      <w:r w:rsidRPr="00366C3D">
        <w:t>SA Health performs t</w:t>
      </w:r>
      <w:r w:rsidR="001C0FA7">
        <w:t>he costing for all hospitals in</w:t>
      </w:r>
      <w:r w:rsidRPr="00366C3D">
        <w:t xml:space="preserve"> the </w:t>
      </w:r>
      <w:r>
        <w:t>five</w:t>
      </w:r>
      <w:r w:rsidRPr="00366C3D">
        <w:t xml:space="preserve"> LHNs. This along with the </w:t>
      </w:r>
      <w:r w:rsidR="002821F4" w:rsidRPr="00366C3D">
        <w:t>state</w:t>
      </w:r>
      <w:r w:rsidR="008A2E49">
        <w:t xml:space="preserve"> </w:t>
      </w:r>
      <w:r w:rsidR="002821F4" w:rsidRPr="00366C3D">
        <w:t>wide</w:t>
      </w:r>
      <w:r w:rsidRPr="00366C3D">
        <w:t xml:space="preserve"> implementation of PPM2 software helps ensure consistency and comparability across the state. </w:t>
      </w:r>
    </w:p>
    <w:p w:rsidR="008D0D75" w:rsidRPr="00366C3D" w:rsidRDefault="008D0D75" w:rsidP="008D0D75">
      <w:pPr>
        <w:pStyle w:val="PwCNormal"/>
        <w:numPr>
          <w:ilvl w:val="0"/>
          <w:numId w:val="0"/>
        </w:numPr>
      </w:pPr>
      <w:r w:rsidRPr="00366C3D">
        <w:t>Input from hospitals is sought at various stages of the costing process, including at the PFRAC review stage through to review and reporting of costed results. Costed data is also presented to hospitals to assist with benchmarking and performance improvement processes.</w:t>
      </w:r>
    </w:p>
    <w:p w:rsidR="008D0D75" w:rsidRDefault="008D0D75" w:rsidP="00CE5EF2">
      <w:pPr>
        <w:pStyle w:val="Heading3"/>
      </w:pPr>
      <w:r>
        <w:t>Adjustments to costed dataset</w:t>
      </w:r>
    </w:p>
    <w:p w:rsidR="008D0D75" w:rsidRDefault="008D0D75" w:rsidP="008D0D75">
      <w:pPr>
        <w:pStyle w:val="PwCNormal"/>
        <w:numPr>
          <w:ilvl w:val="0"/>
          <w:numId w:val="0"/>
        </w:numPr>
      </w:pPr>
      <w:r>
        <w:t>The following adjustments for each of the sites were made to the dataset before submission was made to IHPA:</w:t>
      </w:r>
    </w:p>
    <w:p w:rsidR="008D0D75" w:rsidRPr="00317EA9" w:rsidRDefault="008D0D75" w:rsidP="008D0D75">
      <w:pPr>
        <w:pStyle w:val="PwCNormal"/>
        <w:numPr>
          <w:ilvl w:val="0"/>
          <w:numId w:val="0"/>
        </w:numPr>
        <w:rPr>
          <w:i/>
          <w:color w:val="A32020" w:themeColor="text2"/>
          <w:sz w:val="24"/>
          <w:szCs w:val="24"/>
        </w:rPr>
      </w:pPr>
      <w:r>
        <w:rPr>
          <w:i/>
          <w:color w:val="A32020" w:themeColor="text2"/>
          <w:sz w:val="24"/>
          <w:szCs w:val="24"/>
        </w:rPr>
        <w:t>Flinders Medical Centre</w:t>
      </w:r>
    </w:p>
    <w:p w:rsidR="008D0D75" w:rsidRDefault="008D0D75" w:rsidP="009C4A5D">
      <w:pPr>
        <w:pStyle w:val="PwCNormal"/>
        <w:numPr>
          <w:ilvl w:val="0"/>
          <w:numId w:val="55"/>
        </w:numPr>
      </w:pPr>
      <w:r>
        <w:t>A cost inclusion of $0.17</w:t>
      </w:r>
      <w:r w:rsidR="00AF1D40">
        <w:t xml:space="preserve"> </w:t>
      </w:r>
      <w:r>
        <w:t>m</w:t>
      </w:r>
      <w:r w:rsidR="00AF1D40">
        <w:t>illion</w:t>
      </w:r>
      <w:r>
        <w:t xml:space="preserve"> for the WIP patients who were discharged in </w:t>
      </w:r>
      <w:r w:rsidR="006A194B">
        <w:t>Round 17</w:t>
      </w:r>
      <w:r>
        <w:t>.</w:t>
      </w:r>
    </w:p>
    <w:p w:rsidR="009247FC" w:rsidRDefault="008D0D75" w:rsidP="009C4A5D">
      <w:pPr>
        <w:pStyle w:val="PwCNormal"/>
        <w:numPr>
          <w:ilvl w:val="0"/>
          <w:numId w:val="55"/>
        </w:numPr>
      </w:pPr>
      <w:r>
        <w:t>A cost exclusion of $3.58</w:t>
      </w:r>
      <w:r w:rsidR="00AF1D40">
        <w:t xml:space="preserve"> </w:t>
      </w:r>
      <w:r>
        <w:t>m</w:t>
      </w:r>
      <w:r w:rsidR="00AF1D40">
        <w:t>illion</w:t>
      </w:r>
      <w:r>
        <w:t xml:space="preserve"> for WIP patients not yet discharged.</w:t>
      </w:r>
    </w:p>
    <w:p w:rsidR="008D0D75" w:rsidRDefault="008D0D75" w:rsidP="009C4A5D">
      <w:pPr>
        <w:pStyle w:val="PwCNormal"/>
        <w:numPr>
          <w:ilvl w:val="0"/>
          <w:numId w:val="55"/>
        </w:numPr>
      </w:pPr>
      <w:r>
        <w:t>A cost exclusion of $1.50</w:t>
      </w:r>
      <w:r w:rsidR="00AF1D40">
        <w:t xml:space="preserve"> </w:t>
      </w:r>
      <w:r>
        <w:t>m</w:t>
      </w:r>
      <w:r w:rsidR="00AF1D40">
        <w:t>illion</w:t>
      </w:r>
      <w:r>
        <w:t xml:space="preserve"> for patients that did not have a complete APC submission record.</w:t>
      </w:r>
    </w:p>
    <w:p w:rsidR="008D0D75" w:rsidRDefault="008D0D75" w:rsidP="008D0D75">
      <w:pPr>
        <w:pStyle w:val="PwCNormal"/>
        <w:numPr>
          <w:ilvl w:val="0"/>
          <w:numId w:val="0"/>
        </w:numPr>
      </w:pPr>
      <w:r>
        <w:t>The impact of these adjustments on activity submitted across the hospital products is listed below:</w:t>
      </w:r>
    </w:p>
    <w:p w:rsidR="008D0D75" w:rsidRDefault="008D0D75" w:rsidP="009C4A5D">
      <w:pPr>
        <w:pStyle w:val="PwCNormal"/>
        <w:numPr>
          <w:ilvl w:val="0"/>
          <w:numId w:val="58"/>
        </w:numPr>
      </w:pPr>
      <w:r>
        <w:t>Acute –</w:t>
      </w:r>
      <w:r w:rsidR="00A513CA">
        <w:t xml:space="preserve"> </w:t>
      </w:r>
      <w:r>
        <w:t>1,480 encounters</w:t>
      </w:r>
      <w:r w:rsidR="00A513CA" w:rsidRPr="00A513CA">
        <w:t xml:space="preserve"> </w:t>
      </w:r>
      <w:r w:rsidR="00A513CA">
        <w:t>excluded</w:t>
      </w:r>
    </w:p>
    <w:p w:rsidR="008D0D75" w:rsidRDefault="008D0D75" w:rsidP="009C4A5D">
      <w:pPr>
        <w:pStyle w:val="PwCNormal"/>
        <w:numPr>
          <w:ilvl w:val="0"/>
          <w:numId w:val="58"/>
        </w:numPr>
      </w:pPr>
      <w:r>
        <w:t>Emergency –</w:t>
      </w:r>
      <w:r w:rsidR="00A513CA">
        <w:t xml:space="preserve"> </w:t>
      </w:r>
      <w:r>
        <w:t>255 encounters</w:t>
      </w:r>
      <w:r w:rsidR="00A513CA" w:rsidRPr="00A513CA">
        <w:t xml:space="preserve"> </w:t>
      </w:r>
      <w:r w:rsidR="00A513CA">
        <w:t>excluded</w:t>
      </w:r>
    </w:p>
    <w:p w:rsidR="008D0D75" w:rsidRDefault="008D0D75" w:rsidP="009C4A5D">
      <w:pPr>
        <w:pStyle w:val="PwCNormal"/>
        <w:numPr>
          <w:ilvl w:val="0"/>
          <w:numId w:val="58"/>
        </w:numPr>
      </w:pPr>
      <w:r>
        <w:t>Sub-acute –</w:t>
      </w:r>
      <w:r w:rsidR="00A513CA">
        <w:t xml:space="preserve"> </w:t>
      </w:r>
      <w:r>
        <w:t>113 encounters</w:t>
      </w:r>
      <w:r w:rsidR="00A513CA" w:rsidRPr="00A513CA">
        <w:t xml:space="preserve"> </w:t>
      </w:r>
      <w:r w:rsidR="00A513CA">
        <w:t>excluded</w:t>
      </w:r>
      <w:r w:rsidR="00AF1D40">
        <w:t>.</w:t>
      </w:r>
    </w:p>
    <w:p w:rsidR="008D0D75" w:rsidRPr="00317EA9" w:rsidRDefault="008D0D75" w:rsidP="008D0D75">
      <w:pPr>
        <w:pStyle w:val="PwCNormal"/>
        <w:numPr>
          <w:ilvl w:val="0"/>
          <w:numId w:val="0"/>
        </w:numPr>
        <w:rPr>
          <w:i/>
          <w:color w:val="A32020" w:themeColor="text2"/>
          <w:sz w:val="24"/>
          <w:szCs w:val="24"/>
        </w:rPr>
      </w:pPr>
      <w:r>
        <w:rPr>
          <w:i/>
          <w:color w:val="A32020" w:themeColor="text2"/>
          <w:sz w:val="24"/>
          <w:szCs w:val="24"/>
        </w:rPr>
        <w:t>Noarlunga Health Services</w:t>
      </w:r>
    </w:p>
    <w:p w:rsidR="008D0D75" w:rsidRDefault="008D0D75" w:rsidP="009C4A5D">
      <w:pPr>
        <w:pStyle w:val="PwCNormal"/>
        <w:numPr>
          <w:ilvl w:val="0"/>
          <w:numId w:val="55"/>
        </w:numPr>
      </w:pPr>
      <w:r>
        <w:t>A cost inclusion of $0.01</w:t>
      </w:r>
      <w:r w:rsidR="00AF1D40">
        <w:t xml:space="preserve"> </w:t>
      </w:r>
      <w:r>
        <w:t>m</w:t>
      </w:r>
      <w:r w:rsidR="00AF1D40">
        <w:t>illion</w:t>
      </w:r>
      <w:r>
        <w:t xml:space="preserve"> for the WIP patients who were discharged in </w:t>
      </w:r>
      <w:r w:rsidR="006A194B">
        <w:t>Round 17</w:t>
      </w:r>
      <w:r>
        <w:t>.</w:t>
      </w:r>
    </w:p>
    <w:p w:rsidR="008D0D75" w:rsidRDefault="008D0D75" w:rsidP="009C4A5D">
      <w:pPr>
        <w:pStyle w:val="PwCNormal"/>
        <w:numPr>
          <w:ilvl w:val="0"/>
          <w:numId w:val="55"/>
        </w:numPr>
      </w:pPr>
      <w:r>
        <w:t>A cost exclusion of $0.83</w:t>
      </w:r>
      <w:r w:rsidR="00AF1D40">
        <w:t xml:space="preserve"> </w:t>
      </w:r>
      <w:r>
        <w:t>m</w:t>
      </w:r>
      <w:r w:rsidR="00AF1D40">
        <w:t>illion</w:t>
      </w:r>
      <w:r>
        <w:t xml:space="preserve"> for WIP patients not yet discharged.</w:t>
      </w:r>
    </w:p>
    <w:p w:rsidR="008D0D75" w:rsidRDefault="008D0D75" w:rsidP="009C4A5D">
      <w:pPr>
        <w:pStyle w:val="PwCNormal"/>
        <w:numPr>
          <w:ilvl w:val="0"/>
          <w:numId w:val="55"/>
        </w:numPr>
      </w:pPr>
      <w:r>
        <w:t>A cost exclusion of $0.20</w:t>
      </w:r>
      <w:r w:rsidR="00AF1D40">
        <w:t xml:space="preserve"> </w:t>
      </w:r>
      <w:r>
        <w:t>m</w:t>
      </w:r>
      <w:r w:rsidR="00AF1D40">
        <w:t>illion</w:t>
      </w:r>
      <w:r>
        <w:t xml:space="preserve"> for patients that did not have a complete APC submission record.</w:t>
      </w:r>
    </w:p>
    <w:p w:rsidR="008D0D75" w:rsidRDefault="008D0D75" w:rsidP="008D0D75">
      <w:pPr>
        <w:pStyle w:val="PwCNormal"/>
        <w:numPr>
          <w:ilvl w:val="0"/>
          <w:numId w:val="0"/>
        </w:numPr>
      </w:pPr>
      <w:r>
        <w:t>The impact of these adjustments on activity submitted across the hospital products is listed below:</w:t>
      </w:r>
    </w:p>
    <w:p w:rsidR="008D0D75" w:rsidRDefault="008D0D75" w:rsidP="009C4A5D">
      <w:pPr>
        <w:pStyle w:val="PwCNormal"/>
        <w:numPr>
          <w:ilvl w:val="0"/>
          <w:numId w:val="58"/>
        </w:numPr>
      </w:pPr>
      <w:r>
        <w:t>Acute –</w:t>
      </w:r>
      <w:r w:rsidR="00A513CA">
        <w:t xml:space="preserve"> </w:t>
      </w:r>
      <w:r>
        <w:t>151 encounters</w:t>
      </w:r>
      <w:r w:rsidR="00A513CA" w:rsidRPr="00A513CA">
        <w:t xml:space="preserve"> </w:t>
      </w:r>
      <w:r w:rsidR="00A513CA">
        <w:t>excluded</w:t>
      </w:r>
    </w:p>
    <w:p w:rsidR="008D0D75" w:rsidRDefault="008D0D75" w:rsidP="009C4A5D">
      <w:pPr>
        <w:pStyle w:val="PwCNormal"/>
        <w:numPr>
          <w:ilvl w:val="0"/>
          <w:numId w:val="58"/>
        </w:numPr>
      </w:pPr>
      <w:r>
        <w:t>Emergency –</w:t>
      </w:r>
      <w:r w:rsidR="00A513CA">
        <w:t xml:space="preserve"> </w:t>
      </w:r>
      <w:r>
        <w:t>14 encounters</w:t>
      </w:r>
      <w:r w:rsidR="00A513CA" w:rsidRPr="00A513CA">
        <w:t xml:space="preserve"> </w:t>
      </w:r>
      <w:r w:rsidR="00A513CA">
        <w:t>excluded</w:t>
      </w:r>
    </w:p>
    <w:p w:rsidR="00F20459" w:rsidRDefault="008D0D75" w:rsidP="009C4A5D">
      <w:pPr>
        <w:pStyle w:val="PwCNormal"/>
        <w:numPr>
          <w:ilvl w:val="0"/>
          <w:numId w:val="58"/>
        </w:numPr>
      </w:pPr>
      <w:r>
        <w:t>Sub-acute –</w:t>
      </w:r>
      <w:r w:rsidR="00A513CA">
        <w:t xml:space="preserve"> </w:t>
      </w:r>
      <w:r>
        <w:t>34 encounters</w:t>
      </w:r>
      <w:r w:rsidR="00A513CA" w:rsidRPr="00A513CA">
        <w:t xml:space="preserve"> </w:t>
      </w:r>
      <w:r w:rsidR="00A513CA">
        <w:t>excluded.</w:t>
      </w:r>
    </w:p>
    <w:p w:rsidR="00F20459" w:rsidRDefault="00F20459">
      <w:pPr>
        <w:kinsoku/>
        <w:overflowPunct/>
        <w:autoSpaceDE/>
        <w:autoSpaceDN/>
        <w:adjustRightInd/>
        <w:snapToGrid/>
      </w:pPr>
      <w:r>
        <w:br w:type="page"/>
      </w:r>
    </w:p>
    <w:p w:rsidR="008D0D75" w:rsidRDefault="008D0D75" w:rsidP="00CE5EF2">
      <w:pPr>
        <w:pStyle w:val="Heading3"/>
      </w:pPr>
      <w:r>
        <w:lastRenderedPageBreak/>
        <w:t>Reconciliation with IHPA</w:t>
      </w:r>
    </w:p>
    <w:p w:rsidR="008D0D75" w:rsidRDefault="0008008B" w:rsidP="008D0D75">
      <w:pPr>
        <w:pStyle w:val="PwCNormal"/>
        <w:numPr>
          <w:ilvl w:val="0"/>
          <w:numId w:val="0"/>
        </w:numPr>
      </w:pPr>
      <w:r>
        <w:fldChar w:fldCharType="begin"/>
      </w:r>
      <w:r>
        <w:instrText xml:space="preserve"> REF _Ref403231989 \h </w:instrText>
      </w:r>
      <w:r>
        <w:fldChar w:fldCharType="separate"/>
      </w:r>
      <w:r w:rsidR="00575DFC">
        <w:t xml:space="preserve">Table </w:t>
      </w:r>
      <w:r w:rsidR="00575DFC">
        <w:rPr>
          <w:noProof/>
        </w:rPr>
        <w:t>69</w:t>
      </w:r>
      <w:r>
        <w:fldChar w:fldCharType="end"/>
      </w:r>
      <w:r w:rsidR="00CB38E7">
        <w:t xml:space="preserve"> </w:t>
      </w:r>
      <w:r w:rsidRPr="005B6050">
        <w:t>below compares the total costs and activity</w:t>
      </w:r>
      <w:r>
        <w:t xml:space="preserve"> records</w:t>
      </w:r>
      <w:r w:rsidRPr="005B6050">
        <w:t xml:space="preserve"> subm</w:t>
      </w:r>
      <w:r>
        <w:t>itted by the jurisdiction with</w:t>
      </w:r>
      <w:r w:rsidRPr="005B6050">
        <w:t xml:space="preserve"> the total costs and activity </w:t>
      </w:r>
      <w:r>
        <w:t>records that were received by IHPA</w:t>
      </w:r>
      <w:r w:rsidR="00034011">
        <w:t>.</w:t>
      </w:r>
      <w:r w:rsidR="006065A0">
        <w:t xml:space="preserve"> No difference in activity was noted however a cost variance was identified, representing less than 0.02% of total cost for each site.</w:t>
      </w:r>
    </w:p>
    <w:p w:rsidR="009D2646" w:rsidRDefault="009D2646" w:rsidP="009D2646">
      <w:pPr>
        <w:pStyle w:val="Caption"/>
      </w:pPr>
      <w:bookmarkStart w:id="110" w:name="_Ref403231989"/>
      <w:r>
        <w:t xml:space="preserve">Table </w:t>
      </w:r>
      <w:r w:rsidR="008379DC">
        <w:fldChar w:fldCharType="begin"/>
      </w:r>
      <w:r w:rsidR="009E64DF">
        <w:instrText xml:space="preserve"> SEQ Table \* ARABIC </w:instrText>
      </w:r>
      <w:r w:rsidR="008379DC">
        <w:fldChar w:fldCharType="separate"/>
      </w:r>
      <w:r w:rsidR="00575DFC">
        <w:rPr>
          <w:noProof/>
        </w:rPr>
        <w:t>69</w:t>
      </w:r>
      <w:r w:rsidR="008379DC">
        <w:rPr>
          <w:noProof/>
        </w:rPr>
        <w:fldChar w:fldCharType="end"/>
      </w:r>
      <w:bookmarkEnd w:id="110"/>
      <w:r>
        <w:t xml:space="preserve">: </w:t>
      </w:r>
      <w:r w:rsidRPr="00AB7B76">
        <w:t>Reconciliation of total costs and activity submitted</w:t>
      </w:r>
    </w:p>
    <w:p w:rsidR="006065A0" w:rsidRPr="006065A0" w:rsidRDefault="006065A0" w:rsidP="006065A0">
      <w:r w:rsidRPr="006065A0">
        <w:rPr>
          <w:noProof/>
          <w:lang w:eastAsia="en-AU"/>
        </w:rPr>
        <w:drawing>
          <wp:inline distT="0" distB="0" distL="0" distR="0" wp14:anchorId="5627886C" wp14:editId="45A989E0">
            <wp:extent cx="3690000" cy="1756800"/>
            <wp:effectExtent l="0" t="0" r="5715" b="0"/>
            <wp:docPr id="26" name="Picture 26" descr="This table details the costs and activity submitted by the jurisdiction and what was received by IHPA." title="Reconciliation table with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90000" cy="1756800"/>
                    </a:xfrm>
                    <a:prstGeom prst="rect">
                      <a:avLst/>
                    </a:prstGeom>
                    <a:noFill/>
                    <a:ln>
                      <a:noFill/>
                    </a:ln>
                  </pic:spPr>
                </pic:pic>
              </a:graphicData>
            </a:graphic>
          </wp:inline>
        </w:drawing>
      </w:r>
    </w:p>
    <w:p w:rsidR="008D0D75" w:rsidRDefault="008D0D75">
      <w:pPr>
        <w:kinsoku/>
        <w:overflowPunct/>
        <w:autoSpaceDE/>
        <w:autoSpaceDN/>
        <w:adjustRightInd/>
        <w:snapToGrid/>
      </w:pPr>
      <w:r>
        <w:br w:type="page"/>
      </w:r>
    </w:p>
    <w:p w:rsidR="00F67619" w:rsidRDefault="00F67619" w:rsidP="00F67619">
      <w:pPr>
        <w:pStyle w:val="Heading1"/>
      </w:pPr>
      <w:bookmarkStart w:id="111" w:name="_Toc402895108"/>
      <w:bookmarkStart w:id="112" w:name="_Toc404355508"/>
      <w:r>
        <w:lastRenderedPageBreak/>
        <w:t>Tasmania</w:t>
      </w:r>
      <w:bookmarkEnd w:id="111"/>
      <w:bookmarkEnd w:id="112"/>
    </w:p>
    <w:p w:rsidR="00F67619" w:rsidRPr="00F4623C" w:rsidRDefault="00F67619" w:rsidP="00F67619">
      <w:pPr>
        <w:pStyle w:val="Heading2"/>
        <w:spacing w:before="0" w:after="40"/>
      </w:pPr>
      <w:r w:rsidRPr="00F4623C">
        <w:t>Tasmania overall</w:t>
      </w:r>
    </w:p>
    <w:p w:rsidR="00F67619" w:rsidRPr="00F4623C" w:rsidRDefault="00F67619" w:rsidP="00F67619">
      <w:pPr>
        <w:pStyle w:val="PwCNormal"/>
      </w:pPr>
      <w:r w:rsidRPr="00F4623C">
        <w:t xml:space="preserve">The Department of Health and Human Services (DHHS) costed all hospitals in </w:t>
      </w:r>
      <w:r w:rsidR="0033116C">
        <w:t>TAS</w:t>
      </w:r>
      <w:r w:rsidR="0033116C" w:rsidRPr="00F4623C">
        <w:t xml:space="preserve"> </w:t>
      </w:r>
      <w:r w:rsidR="00733DCF" w:rsidRPr="00017735">
        <w:t xml:space="preserve">for </w:t>
      </w:r>
      <w:r w:rsidRPr="00F4623C">
        <w:t xml:space="preserve">Round 17, which is consistent with previous rounds. </w:t>
      </w:r>
      <w:r w:rsidR="00733DCF" w:rsidRPr="00017735">
        <w:t xml:space="preserve">DHHS completed this </w:t>
      </w:r>
      <w:r w:rsidRPr="00F4623C">
        <w:t xml:space="preserve">costing process and </w:t>
      </w:r>
      <w:r w:rsidR="00733DCF" w:rsidRPr="00017735">
        <w:t>QA</w:t>
      </w:r>
      <w:r w:rsidRPr="00F4623C">
        <w:t xml:space="preserve"> </w:t>
      </w:r>
      <w:r w:rsidR="00733DCF" w:rsidRPr="00017735">
        <w:t xml:space="preserve">data </w:t>
      </w:r>
      <w:r w:rsidRPr="00F4623C">
        <w:t xml:space="preserve">review in consultation with hospital staff and clinicians </w:t>
      </w:r>
      <w:r w:rsidR="00733DCF" w:rsidRPr="00017735">
        <w:t>to ensure the results were</w:t>
      </w:r>
      <w:r w:rsidRPr="00F4623C">
        <w:t xml:space="preserve"> appropriate</w:t>
      </w:r>
      <w:r w:rsidR="00733DCF" w:rsidRPr="00017735">
        <w:t>ly</w:t>
      </w:r>
      <w:r w:rsidRPr="00F4623C">
        <w:t xml:space="preserve"> </w:t>
      </w:r>
      <w:r w:rsidR="00733DCF" w:rsidRPr="00017735">
        <w:t>reviewed</w:t>
      </w:r>
      <w:r w:rsidRPr="00F4623C">
        <w:t>.</w:t>
      </w:r>
    </w:p>
    <w:p w:rsidR="00F67619" w:rsidRPr="00F4623C" w:rsidRDefault="00733DCF" w:rsidP="00F67619">
      <w:pPr>
        <w:pStyle w:val="PwCNormal"/>
      </w:pPr>
      <w:r w:rsidRPr="00017735">
        <w:t xml:space="preserve">DHHS nominated </w:t>
      </w:r>
      <w:r w:rsidR="00F67619" w:rsidRPr="00F4623C">
        <w:t>Royal Hobart Hospital (RHH) as the participating hospital for the Round 17 review</w:t>
      </w:r>
      <w:r w:rsidRPr="00017735">
        <w:t xml:space="preserve">. RHH </w:t>
      </w:r>
      <w:r w:rsidR="00F67619" w:rsidRPr="00F4623C">
        <w:t xml:space="preserve">is part of the Tasmanian Health Organisation </w:t>
      </w:r>
      <w:r w:rsidRPr="00017735">
        <w:t>–</w:t>
      </w:r>
      <w:r w:rsidR="00F67619" w:rsidRPr="00F4623C">
        <w:t xml:space="preserve"> South (THOS).</w:t>
      </w:r>
    </w:p>
    <w:p w:rsidR="00F67619" w:rsidRPr="00F4623C" w:rsidRDefault="00F67619" w:rsidP="00F67619">
      <w:pPr>
        <w:pStyle w:val="Heading3"/>
      </w:pPr>
      <w:r w:rsidRPr="00F4623C">
        <w:t>Changes since Round 16</w:t>
      </w:r>
    </w:p>
    <w:p w:rsidR="00F67619" w:rsidRPr="00F4623C" w:rsidRDefault="00733DCF" w:rsidP="00F67619">
      <w:pPr>
        <w:pStyle w:val="PwCNormal"/>
      </w:pPr>
      <w:r w:rsidRPr="00017735">
        <w:t xml:space="preserve">DHHS implemented a </w:t>
      </w:r>
      <w:r w:rsidR="00F67619" w:rsidRPr="00F4623C">
        <w:t>new GL structure during Round 17, developed with some input from the costing team. One of the major improvements for the costing team was the increased breakdown in cost centres by clinical specialty</w:t>
      </w:r>
      <w:r w:rsidRPr="00017735">
        <w:t>,</w:t>
      </w:r>
      <w:r w:rsidR="00F67619" w:rsidRPr="00F4623C">
        <w:t xml:space="preserve"> and increased consultation with clinicians including</w:t>
      </w:r>
      <w:r w:rsidRPr="00017735">
        <w:t xml:space="preserve"> in</w:t>
      </w:r>
      <w:r w:rsidR="00F67619" w:rsidRPr="00F4623C">
        <w:t xml:space="preserve"> pathology, imaging, pharmacy and oncology. </w:t>
      </w:r>
      <w:r w:rsidR="00F67619" w:rsidRPr="00F4623C">
        <w:rPr>
          <w:rFonts w:eastAsia="Calibri"/>
        </w:rPr>
        <w:t>This has been beneficial in</w:t>
      </w:r>
      <w:r w:rsidRPr="00017735">
        <w:rPr>
          <w:rFonts w:eastAsia="Calibri"/>
        </w:rPr>
        <w:t xml:space="preserve"> helping the DHHS</w:t>
      </w:r>
      <w:r w:rsidR="00F67619" w:rsidRPr="00F4623C">
        <w:rPr>
          <w:rFonts w:eastAsia="Calibri"/>
        </w:rPr>
        <w:t xml:space="preserve"> correctly </w:t>
      </w:r>
      <w:r w:rsidRPr="00F4623C">
        <w:rPr>
          <w:rFonts w:eastAsia="Calibri"/>
        </w:rPr>
        <w:t xml:space="preserve">source </w:t>
      </w:r>
      <w:r w:rsidR="00F67619" w:rsidRPr="00F4623C">
        <w:rPr>
          <w:rFonts w:eastAsia="Calibri"/>
        </w:rPr>
        <w:t>RVUs for these feeder systems.</w:t>
      </w:r>
    </w:p>
    <w:p w:rsidR="00F67619" w:rsidRDefault="00F67619" w:rsidP="00F67619">
      <w:pPr>
        <w:pStyle w:val="Heading2"/>
        <w:spacing w:before="0" w:after="40"/>
      </w:pPr>
      <w:bookmarkStart w:id="113" w:name="_Ref403229900"/>
      <w:r>
        <w:t>Royal Hobart Hospital</w:t>
      </w:r>
      <w:bookmarkEnd w:id="113"/>
    </w:p>
    <w:p w:rsidR="00F67619" w:rsidRPr="004E0B72" w:rsidRDefault="00F67619" w:rsidP="00F67619">
      <w:pPr>
        <w:pStyle w:val="Heading3"/>
      </w:pPr>
      <w:r>
        <w:t>Site overview</w:t>
      </w:r>
    </w:p>
    <w:p w:rsidR="00F67619" w:rsidRDefault="00F67619" w:rsidP="00F67619">
      <w:pPr>
        <w:pStyle w:val="PwCNormal"/>
      </w:pPr>
      <w:r>
        <w:t xml:space="preserve">RHH is the major metro tertiary hospital in the region, performing most major surgeries and offering a wide range of specialities (including neonatal, burns and cardiothoracic). The hospital has approximately 430 beds and a broad mix of patients. It is also the major teaching hospital for THOS. RHH also has close ties with the Menzies Research Institute </w:t>
      </w:r>
      <w:r w:rsidR="0033116C">
        <w:t>TAS</w:t>
      </w:r>
      <w:r>
        <w:t>, which conducts research and utilises some of the hospital’s services.</w:t>
      </w:r>
    </w:p>
    <w:p w:rsidR="00F67619" w:rsidRPr="00DE22CA" w:rsidRDefault="00F67619" w:rsidP="00F67619">
      <w:pPr>
        <w:pStyle w:val="PwCNormal"/>
      </w:pPr>
      <w:r>
        <w:t xml:space="preserve">As DHHS costed RHH, it was subject to many of the </w:t>
      </w:r>
      <w:r w:rsidR="002821F4">
        <w:t>state</w:t>
      </w:r>
      <w:r w:rsidR="008A2E49">
        <w:t xml:space="preserve"> </w:t>
      </w:r>
      <w:r w:rsidR="002821F4">
        <w:t>wide</w:t>
      </w:r>
      <w:r>
        <w:t xml:space="preserve"> improvements, including the new GL structure, increased feeder data quality and the new patient administration system. </w:t>
      </w:r>
      <w:r>
        <w:fldChar w:fldCharType="begin"/>
      </w:r>
      <w:r>
        <w:instrText xml:space="preserve"> REF _Ref403222493 \h </w:instrText>
      </w:r>
      <w:r>
        <w:fldChar w:fldCharType="separate"/>
      </w:r>
      <w:r w:rsidR="00575DFC">
        <w:t xml:space="preserve">Table </w:t>
      </w:r>
      <w:r w:rsidR="00575DFC">
        <w:rPr>
          <w:noProof/>
        </w:rPr>
        <w:t>70</w:t>
      </w:r>
      <w:r>
        <w:fldChar w:fldCharType="end"/>
      </w:r>
      <w:r>
        <w:t xml:space="preserve"> below provides a summary of costs beginning with total expenses from the GL through to the total costs submitted to IHPA with the various adjustments made during the process. No variances were noted.</w:t>
      </w:r>
    </w:p>
    <w:p w:rsidR="00F67619" w:rsidRDefault="00F67619" w:rsidP="00F67619">
      <w:pPr>
        <w:pStyle w:val="Caption"/>
      </w:pPr>
      <w:bookmarkStart w:id="114" w:name="_Ref403222493"/>
      <w:bookmarkStart w:id="115" w:name="_Ref403222487"/>
      <w:r>
        <w:lastRenderedPageBreak/>
        <w:t xml:space="preserve">Table </w:t>
      </w:r>
      <w:fldSimple w:instr=" SEQ Table \* ARABIC ">
        <w:r w:rsidR="00575DFC">
          <w:rPr>
            <w:noProof/>
          </w:rPr>
          <w:t>70</w:t>
        </w:r>
      </w:fldSimple>
      <w:bookmarkEnd w:id="114"/>
      <w:r>
        <w:t xml:space="preserve">: </w:t>
      </w:r>
      <w:r w:rsidRPr="00076669">
        <w:t xml:space="preserve">Financial </w:t>
      </w:r>
      <w:r>
        <w:t>o</w:t>
      </w:r>
      <w:r w:rsidRPr="00076669">
        <w:t xml:space="preserve">verview of </w:t>
      </w:r>
      <w:r>
        <w:t>Royal Hobart Hospital</w:t>
      </w:r>
      <w:r w:rsidR="0062027E">
        <w:t xml:space="preserve">, </w:t>
      </w:r>
      <w:r w:rsidRPr="00076669">
        <w:t>FY 2012/13</w:t>
      </w:r>
      <w:bookmarkEnd w:id="115"/>
    </w:p>
    <w:p w:rsidR="00F67619" w:rsidRPr="00CA2E5D" w:rsidRDefault="00F67619" w:rsidP="00F67619">
      <w:pPr>
        <w:pStyle w:val="PwCNormal"/>
        <w:rPr>
          <w:highlight w:val="yellow"/>
        </w:rPr>
      </w:pPr>
      <w:r w:rsidRPr="00CA2E5D">
        <w:rPr>
          <w:noProof/>
          <w:lang w:eastAsia="en-AU"/>
        </w:rPr>
        <w:drawing>
          <wp:inline distT="0" distB="0" distL="0" distR="0" wp14:anchorId="141B2CC5" wp14:editId="71914599">
            <wp:extent cx="5036400" cy="4269600"/>
            <wp:effectExtent l="0" t="0" r="0" b="0"/>
            <wp:docPr id="108" name="Picture 108" descr="This table outlines the flow of cost movements from the $438n in the general ledger through to the $461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36400" cy="4269600"/>
                    </a:xfrm>
                    <a:prstGeom prst="rect">
                      <a:avLst/>
                    </a:prstGeom>
                    <a:noFill/>
                    <a:ln>
                      <a:noFill/>
                    </a:ln>
                  </pic:spPr>
                </pic:pic>
              </a:graphicData>
            </a:graphic>
          </wp:inline>
        </w:drawing>
      </w:r>
    </w:p>
    <w:p w:rsidR="00F67619" w:rsidRPr="00DE22CA" w:rsidRDefault="00F67619" w:rsidP="00F67619">
      <w:pPr>
        <w:pStyle w:val="Heading3"/>
      </w:pPr>
      <w:r w:rsidRPr="00DE22CA">
        <w:t xml:space="preserve">Financial </w:t>
      </w:r>
      <w:r>
        <w:t>d</w:t>
      </w:r>
      <w:r w:rsidRPr="00DE22CA">
        <w:t>ata</w:t>
      </w:r>
    </w:p>
    <w:p w:rsidR="00F67619" w:rsidRPr="00DE22CA" w:rsidRDefault="00CA6711" w:rsidP="00F67619">
      <w:pPr>
        <w:pStyle w:val="PwCNormal"/>
        <w:numPr>
          <w:ilvl w:val="0"/>
          <w:numId w:val="0"/>
        </w:numPr>
        <w:rPr>
          <w:b/>
        </w:rPr>
      </w:pPr>
      <w:r>
        <w:rPr>
          <w:b/>
        </w:rPr>
        <w:t xml:space="preserve">General </w:t>
      </w:r>
      <w:r w:rsidR="009D552E">
        <w:rPr>
          <w:b/>
        </w:rPr>
        <w:t>L</w:t>
      </w:r>
      <w:r w:rsidR="00F67619" w:rsidRPr="00DE22CA">
        <w:rPr>
          <w:b/>
        </w:rPr>
        <w:t>edger (Item A)</w:t>
      </w:r>
    </w:p>
    <w:p w:rsidR="00F67619" w:rsidRDefault="00F67619" w:rsidP="00F67619">
      <w:pPr>
        <w:pStyle w:val="PwCNormal"/>
        <w:numPr>
          <w:ilvl w:val="0"/>
          <w:numId w:val="0"/>
        </w:numPr>
      </w:pPr>
      <w:r>
        <w:t xml:space="preserve">Financial </w:t>
      </w:r>
      <w:r w:rsidR="009D552E">
        <w:t xml:space="preserve">statements </w:t>
      </w:r>
      <w:r>
        <w:t xml:space="preserve">are prepared at the THOS level, and GLs are maintained at hospital level. </w:t>
      </w:r>
      <w:r w:rsidRPr="00DE22CA">
        <w:t xml:space="preserve">The total </w:t>
      </w:r>
      <w:proofErr w:type="gramStart"/>
      <w:r w:rsidRPr="00DE22CA">
        <w:t>expenses per the financial statements for FY 2012/13 was</w:t>
      </w:r>
      <w:proofErr w:type="gramEnd"/>
      <w:r w:rsidRPr="00DE22CA">
        <w:t xml:space="preserve"> $</w:t>
      </w:r>
      <w:r>
        <w:t>529.7</w:t>
      </w:r>
      <w:r w:rsidR="007D0F17">
        <w:t xml:space="preserve"> </w:t>
      </w:r>
      <w:r>
        <w:t>m</w:t>
      </w:r>
      <w:r w:rsidR="007D0F17">
        <w:t>illion</w:t>
      </w:r>
      <w:r w:rsidRPr="00DE22CA">
        <w:t xml:space="preserve">. </w:t>
      </w:r>
      <w:r>
        <w:t>Of this, $438.2</w:t>
      </w:r>
      <w:r w:rsidR="007D0F17">
        <w:t xml:space="preserve"> </w:t>
      </w:r>
      <w:r>
        <w:t>m</w:t>
      </w:r>
      <w:r w:rsidR="007D0F17">
        <w:t>illion</w:t>
      </w:r>
      <w:r w:rsidRPr="00DE22CA">
        <w:t xml:space="preserve"> was in the </w:t>
      </w:r>
      <w:r>
        <w:t>RHH</w:t>
      </w:r>
      <w:r w:rsidRPr="00DE22CA">
        <w:t xml:space="preserve"> GL. </w:t>
      </w:r>
      <w:r>
        <w:t>Table 7</w:t>
      </w:r>
      <w:r w:rsidR="008A2E49">
        <w:t>0</w:t>
      </w:r>
      <w:r>
        <w:t xml:space="preserve"> below outlines some specific cost items and how they are treated in the GL.</w:t>
      </w:r>
    </w:p>
    <w:p w:rsidR="00F67619" w:rsidRDefault="00F67619" w:rsidP="00F67619">
      <w:pPr>
        <w:pStyle w:val="Caption"/>
      </w:pPr>
      <w:bookmarkStart w:id="116" w:name="_Ref403223102"/>
      <w:r>
        <w:t xml:space="preserve">Table </w:t>
      </w:r>
      <w:fldSimple w:instr=" SEQ Table \* ARABIC ">
        <w:r w:rsidR="00575DFC">
          <w:rPr>
            <w:noProof/>
          </w:rPr>
          <w:t>71</w:t>
        </w:r>
      </w:fldSimple>
      <w:bookmarkEnd w:id="116"/>
      <w:r>
        <w:t xml:space="preserve">: </w:t>
      </w:r>
      <w:r w:rsidRPr="00DD2989">
        <w:t>Treatment of specific cost items</w:t>
      </w:r>
    </w:p>
    <w:p w:rsidR="008A2E49" w:rsidRDefault="00F67619" w:rsidP="00F20521">
      <w:r w:rsidRPr="00CA2E5D">
        <w:rPr>
          <w:noProof/>
          <w:lang w:eastAsia="en-AU"/>
        </w:rPr>
        <w:drawing>
          <wp:inline distT="0" distB="0" distL="0" distR="0" wp14:anchorId="6D27FC16" wp14:editId="31FEBB6C">
            <wp:extent cx="4039200" cy="1688400"/>
            <wp:effectExtent l="0" t="0" r="0" b="0"/>
            <wp:docPr id="117" name="Picture 117" descr="This table outlines the treatment of some of the cost items in the site's general ledger." title="Treatment of specific cost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39200" cy="1688400"/>
                    </a:xfrm>
                    <a:prstGeom prst="rect">
                      <a:avLst/>
                    </a:prstGeom>
                    <a:noFill/>
                    <a:ln>
                      <a:noFill/>
                    </a:ln>
                  </pic:spPr>
                </pic:pic>
              </a:graphicData>
            </a:graphic>
          </wp:inline>
        </w:drawing>
      </w:r>
      <w:r w:rsidR="008A2E49">
        <w:br w:type="page"/>
      </w:r>
    </w:p>
    <w:p w:rsidR="00F67619" w:rsidRDefault="00F67619" w:rsidP="00F67619">
      <w:pPr>
        <w:pStyle w:val="PwCNormal"/>
        <w:numPr>
          <w:ilvl w:val="0"/>
          <w:numId w:val="0"/>
        </w:numPr>
      </w:pPr>
      <w:r>
        <w:lastRenderedPageBreak/>
        <w:fldChar w:fldCharType="begin"/>
      </w:r>
      <w:r>
        <w:instrText xml:space="preserve"> REF _Ref403223102 \h </w:instrText>
      </w:r>
      <w:r>
        <w:fldChar w:fldCharType="separate"/>
      </w:r>
      <w:r w:rsidR="00575DFC">
        <w:t xml:space="preserve">Table </w:t>
      </w:r>
      <w:r w:rsidR="00575DFC">
        <w:rPr>
          <w:noProof/>
        </w:rPr>
        <w:t>71</w:t>
      </w:r>
      <w:r>
        <w:fldChar w:fldCharType="end"/>
      </w:r>
      <w:r>
        <w:t>above lists specific costs that were reviewed to understand their treatment in the GL and the costing process. Once these costs are allocated to final cost centres they are distributed to patients using that cost centre’s allocation methodology. Key cost treatments to note include:</w:t>
      </w:r>
    </w:p>
    <w:p w:rsidR="00F67619" w:rsidRDefault="00F67619" w:rsidP="00F67619">
      <w:pPr>
        <w:pStyle w:val="PwCNormal"/>
        <w:numPr>
          <w:ilvl w:val="0"/>
          <w:numId w:val="86"/>
        </w:numPr>
      </w:pPr>
      <w:r>
        <w:t xml:space="preserve">A payment of </w:t>
      </w:r>
      <w:r w:rsidRPr="00E06E85">
        <w:t xml:space="preserve">12.3% </w:t>
      </w:r>
      <w:r>
        <w:t>of salaries and wages expense is made to a retirement benefits fund; employees who are not on the defined benefit scheme receive 9.25% of this payment, the remainder is used to top up the defined benefit scheme liability. This contribution sits in the cost centre where the staff member is paid. The liability of the defined benefit scheme payouts sits with Treasury and no additional costs are brought down to the hospital for costing above the initial 12.3% contribution.</w:t>
      </w:r>
    </w:p>
    <w:p w:rsidR="00F67619" w:rsidRPr="00E06E85" w:rsidRDefault="00F67619" w:rsidP="00F67619">
      <w:pPr>
        <w:pStyle w:val="PwCNormal"/>
        <w:numPr>
          <w:ilvl w:val="0"/>
          <w:numId w:val="86"/>
        </w:numPr>
      </w:pPr>
      <w:r>
        <w:t xml:space="preserve">Professional indemnity and building insurances is included in an overhead cost centre and is </w:t>
      </w:r>
      <w:r w:rsidRPr="00E06E85">
        <w:t>allocated to direct cost centres.</w:t>
      </w:r>
    </w:p>
    <w:p w:rsidR="00F67619" w:rsidRDefault="00F67619" w:rsidP="00F67619">
      <w:pPr>
        <w:pStyle w:val="PwCNormal"/>
        <w:numPr>
          <w:ilvl w:val="0"/>
          <w:numId w:val="86"/>
        </w:numPr>
      </w:pPr>
      <w:r w:rsidRPr="00E06E85">
        <w:t xml:space="preserve">A workers compensation premium is charged to all hospitals in </w:t>
      </w:r>
      <w:r>
        <w:t>THOS</w:t>
      </w:r>
      <w:r w:rsidRPr="00E06E85">
        <w:t xml:space="preserve">. As part of accounting practices these costs sit in the cost centres where </w:t>
      </w:r>
      <w:proofErr w:type="gramStart"/>
      <w:r w:rsidRPr="00E06E85">
        <w:t>staff are</w:t>
      </w:r>
      <w:proofErr w:type="gramEnd"/>
      <w:r w:rsidRPr="00E06E85">
        <w:t xml:space="preserve"> paid. Claims and reimbursements are also charged directly to cost centres where </w:t>
      </w:r>
      <w:proofErr w:type="gramStart"/>
      <w:r w:rsidRPr="00E06E85">
        <w:t>staff are</w:t>
      </w:r>
      <w:proofErr w:type="gramEnd"/>
      <w:r w:rsidRPr="00E06E85">
        <w:t xml:space="preserve"> paid as part of accounting practices. No adjustment is required</w:t>
      </w:r>
      <w:r>
        <w:t xml:space="preserve"> for costing purposes.</w:t>
      </w:r>
    </w:p>
    <w:p w:rsidR="00F67619" w:rsidRDefault="00F67619" w:rsidP="00F67619">
      <w:pPr>
        <w:pStyle w:val="PwCNormal"/>
        <w:numPr>
          <w:ilvl w:val="0"/>
          <w:numId w:val="86"/>
        </w:numPr>
      </w:pPr>
      <w:r>
        <w:t>All leave expenses sit in the cost centre where the staff member is paid and no additional allocation is required.</w:t>
      </w:r>
    </w:p>
    <w:p w:rsidR="00F67619" w:rsidRDefault="00F67619" w:rsidP="00F67619">
      <w:pPr>
        <w:pStyle w:val="PwCNormal"/>
        <w:numPr>
          <w:ilvl w:val="0"/>
          <w:numId w:val="86"/>
        </w:numPr>
      </w:pPr>
      <w:r>
        <w:t>PBS rebates and trade discounts sit within revenue accounts and are not brought in for costing purposes.</w:t>
      </w:r>
    </w:p>
    <w:p w:rsidR="00F67619" w:rsidRDefault="00F67619" w:rsidP="00F67619">
      <w:pPr>
        <w:pStyle w:val="PwCNormal"/>
        <w:numPr>
          <w:ilvl w:val="0"/>
          <w:numId w:val="86"/>
        </w:numPr>
      </w:pPr>
      <w:r>
        <w:t>Assets are revalued every three to four years, and indexed annually when not revalued. The adjusted depreciation is included in the costing results and submitted to IHPA.</w:t>
      </w:r>
    </w:p>
    <w:p w:rsidR="00F67619" w:rsidRPr="00DE22CA" w:rsidRDefault="00F67619" w:rsidP="00F67619">
      <w:pPr>
        <w:pStyle w:val="PwCNormal"/>
        <w:numPr>
          <w:ilvl w:val="0"/>
          <w:numId w:val="0"/>
        </w:numPr>
        <w:rPr>
          <w:b/>
        </w:rPr>
      </w:pPr>
      <w:r w:rsidRPr="00DE22CA">
        <w:rPr>
          <w:b/>
        </w:rPr>
        <w:t>Inclusions and exclusions (Item B)</w:t>
      </w:r>
    </w:p>
    <w:p w:rsidR="00F67619" w:rsidRDefault="00F67619" w:rsidP="00F67619">
      <w:pPr>
        <w:pStyle w:val="PwCNormal"/>
        <w:numPr>
          <w:ilvl w:val="0"/>
          <w:numId w:val="0"/>
        </w:numPr>
      </w:pPr>
      <w:r w:rsidRPr="002B523F">
        <w:t>A total of $</w:t>
      </w:r>
      <w:r>
        <w:t>22.7</w:t>
      </w:r>
      <w:r w:rsidR="007D0F17">
        <w:t xml:space="preserve"> </w:t>
      </w:r>
      <w:r>
        <w:t>m</w:t>
      </w:r>
      <w:r w:rsidR="007D0F17">
        <w:t>illion</w:t>
      </w:r>
      <w:r w:rsidRPr="002B523F">
        <w:t xml:space="preserve"> </w:t>
      </w:r>
      <w:r>
        <w:t>was</w:t>
      </w:r>
      <w:r w:rsidRPr="002B523F">
        <w:t xml:space="preserve"> added to the extracted </w:t>
      </w:r>
      <w:r>
        <w:t>GL</w:t>
      </w:r>
      <w:r w:rsidRPr="002B523F">
        <w:t xml:space="preserve"> before uploading the total hospital costs to the costing system. Th</w:t>
      </w:r>
      <w:r>
        <w:t>is was</w:t>
      </w:r>
      <w:r w:rsidRPr="002B523F">
        <w:t xml:space="preserve"> made up of</w:t>
      </w:r>
      <w:r>
        <w:t>:</w:t>
      </w:r>
    </w:p>
    <w:p w:rsidR="00F67619" w:rsidRDefault="00F67619" w:rsidP="00F67619">
      <w:pPr>
        <w:pStyle w:val="PwCNormal"/>
        <w:numPr>
          <w:ilvl w:val="0"/>
          <w:numId w:val="60"/>
        </w:numPr>
      </w:pPr>
      <w:r>
        <w:t>$11.4</w:t>
      </w:r>
      <w:r w:rsidR="007D0F17">
        <w:t xml:space="preserve"> </w:t>
      </w:r>
      <w:r>
        <w:t>m</w:t>
      </w:r>
      <w:r w:rsidR="007D0F17">
        <w:t>illion</w:t>
      </w:r>
      <w:r>
        <w:t xml:space="preserve"> </w:t>
      </w:r>
      <w:r w:rsidR="007D0F17">
        <w:t xml:space="preserve">in </w:t>
      </w:r>
      <w:r>
        <w:t>corporate overheads from THOS. This consists of costs from finance, payroll, IT and human resources</w:t>
      </w:r>
    </w:p>
    <w:p w:rsidR="00F67619" w:rsidRDefault="00F67619" w:rsidP="00F67619">
      <w:pPr>
        <w:pStyle w:val="PwCNormal"/>
        <w:numPr>
          <w:ilvl w:val="0"/>
          <w:numId w:val="60"/>
        </w:numPr>
      </w:pPr>
      <w:r>
        <w:t>$9.7</w:t>
      </w:r>
      <w:r w:rsidR="007D0F17">
        <w:t xml:space="preserve"> </w:t>
      </w:r>
      <w:r>
        <w:t>m</w:t>
      </w:r>
      <w:r w:rsidR="007D0F17">
        <w:t>illion</w:t>
      </w:r>
      <w:r>
        <w:t xml:space="preserve"> for the Mental Health ward and psychiatric intensive care units, which sit outside the hospital’s GL</w:t>
      </w:r>
    </w:p>
    <w:p w:rsidR="00F67619" w:rsidRDefault="00F67619" w:rsidP="00F67619">
      <w:pPr>
        <w:pStyle w:val="PwCNormal"/>
        <w:numPr>
          <w:ilvl w:val="0"/>
          <w:numId w:val="60"/>
        </w:numPr>
      </w:pPr>
      <w:r>
        <w:t>$1.6</w:t>
      </w:r>
      <w:r w:rsidR="007D0F17">
        <w:t xml:space="preserve"> </w:t>
      </w:r>
      <w:r>
        <w:t>m</w:t>
      </w:r>
      <w:r w:rsidR="007D0F17">
        <w:t>illion</w:t>
      </w:r>
      <w:r>
        <w:t xml:space="preserve"> </w:t>
      </w:r>
      <w:r w:rsidR="007D0F17">
        <w:t xml:space="preserve">in </w:t>
      </w:r>
      <w:r>
        <w:t>corporate overheads from THOS relating to the Mental Health ward and psychiatric intensive care unit.</w:t>
      </w:r>
    </w:p>
    <w:p w:rsidR="00F67619" w:rsidRPr="00DE22CA" w:rsidRDefault="00F67619" w:rsidP="00F67619">
      <w:pPr>
        <w:pStyle w:val="PwCNormal"/>
        <w:numPr>
          <w:ilvl w:val="0"/>
          <w:numId w:val="0"/>
        </w:numPr>
      </w:pPr>
      <w:r>
        <w:t>No costs were removed from the GL at this stage as all non-ABF products and programs were allocated costs and removed after costing.</w:t>
      </w:r>
      <w:r w:rsidR="005B17A3">
        <w:t xml:space="preserve"> </w:t>
      </w:r>
      <w:r>
        <w:t xml:space="preserve">After these inclusions, </w:t>
      </w:r>
      <w:proofErr w:type="gramStart"/>
      <w:r>
        <w:t>total expenses for RHH was</w:t>
      </w:r>
      <w:proofErr w:type="gramEnd"/>
      <w:r>
        <w:t xml:space="preserve"> $460.9</w:t>
      </w:r>
      <w:r w:rsidR="007D0F17">
        <w:t xml:space="preserve"> </w:t>
      </w:r>
      <w:r>
        <w:t>m</w:t>
      </w:r>
      <w:r w:rsidR="007D0F17">
        <w:t>illion</w:t>
      </w:r>
      <w:r>
        <w:t>.</w:t>
      </w:r>
    </w:p>
    <w:p w:rsidR="00F67619" w:rsidRPr="00DE22CA" w:rsidRDefault="00F67619" w:rsidP="00F67619">
      <w:pPr>
        <w:pStyle w:val="PwCNormal"/>
        <w:numPr>
          <w:ilvl w:val="0"/>
          <w:numId w:val="0"/>
        </w:numPr>
        <w:rPr>
          <w:b/>
        </w:rPr>
      </w:pPr>
      <w:r w:rsidRPr="00DE22CA">
        <w:rPr>
          <w:b/>
        </w:rPr>
        <w:t>Allocation of overheads (Item C)</w:t>
      </w:r>
    </w:p>
    <w:p w:rsidR="00F67619" w:rsidRPr="00DE22CA" w:rsidRDefault="00F67619" w:rsidP="00F67619">
      <w:pPr>
        <w:pStyle w:val="PwCNormal"/>
        <w:numPr>
          <w:ilvl w:val="0"/>
          <w:numId w:val="0"/>
        </w:numPr>
      </w:pPr>
      <w:r>
        <w:t>For FY 2012/13, overhead costs totalled $101.5</w:t>
      </w:r>
      <w:r w:rsidR="007D0F17">
        <w:t xml:space="preserve"> </w:t>
      </w:r>
      <w:r>
        <w:t>m</w:t>
      </w:r>
      <w:r w:rsidR="007D0F17">
        <w:t>illion</w:t>
      </w:r>
      <w:r>
        <w:t xml:space="preserve">, which represents 22.0% of total costs for RHH. These costs were allocated to the patient care areas based on a variety of allocation statistics, but the major statistics utilised for Round 17 were share of total expenses, number of occupied bed days, </w:t>
      </w:r>
      <w:proofErr w:type="gramStart"/>
      <w:r>
        <w:t>number</w:t>
      </w:r>
      <w:proofErr w:type="gramEnd"/>
      <w:r>
        <w:t xml:space="preserve"> of FTEs and patient usage of buildings. The allocation statistics were determined based on the preferred hierarchy of allocation statistics in the AHPCS along with any reliable information that was available.</w:t>
      </w:r>
    </w:p>
    <w:p w:rsidR="00F67619" w:rsidRPr="00DE22CA" w:rsidRDefault="00F67619" w:rsidP="00F67619">
      <w:pPr>
        <w:pStyle w:val="PwCNormal"/>
        <w:numPr>
          <w:ilvl w:val="0"/>
          <w:numId w:val="0"/>
        </w:numPr>
        <w:rPr>
          <w:b/>
        </w:rPr>
      </w:pPr>
      <w:r w:rsidRPr="00DE22CA">
        <w:rPr>
          <w:b/>
        </w:rPr>
        <w:t>Distribution of costs between hospital products</w:t>
      </w:r>
      <w:r>
        <w:rPr>
          <w:b/>
        </w:rPr>
        <w:t xml:space="preserve"> (Item D)</w:t>
      </w:r>
    </w:p>
    <w:p w:rsidR="00F67619" w:rsidRPr="00DE22CA" w:rsidRDefault="00F67619" w:rsidP="00F67619">
      <w:pPr>
        <w:pStyle w:val="PwCNormal"/>
        <w:numPr>
          <w:ilvl w:val="0"/>
          <w:numId w:val="0"/>
        </w:numPr>
      </w:pPr>
      <w:r>
        <w:t>Where some cost centres delivered services to multiple hospital products (such as medical cost centres servicing inpatients and outpatients along with some teaching), PFRACs were developed.</w:t>
      </w:r>
    </w:p>
    <w:p w:rsidR="00F67619" w:rsidRDefault="002821F4" w:rsidP="00F67619">
      <w:pPr>
        <w:pStyle w:val="PwCNormal"/>
        <w:numPr>
          <w:ilvl w:val="0"/>
          <w:numId w:val="0"/>
        </w:numPr>
      </w:pPr>
      <w:r>
        <w:lastRenderedPageBreak/>
        <w:t xml:space="preserve">DHHS staff developed templates, which it sent to hospital cost centre managers to complete. </w:t>
      </w:r>
      <w:r w:rsidR="00F67619">
        <w:t>The cost centre managers entered a proportion of time spent between hospital products, the intensive care units and the wards. This process is conducted each year.</w:t>
      </w:r>
    </w:p>
    <w:p w:rsidR="00F67619" w:rsidRPr="004E0B72" w:rsidRDefault="00F67619" w:rsidP="00F67619">
      <w:pPr>
        <w:pStyle w:val="Heading3"/>
      </w:pPr>
      <w:r>
        <w:t>Activity information and costing methodology</w:t>
      </w:r>
    </w:p>
    <w:p w:rsidR="00F67619" w:rsidRPr="002449AB" w:rsidRDefault="00F67619" w:rsidP="00F67619">
      <w:pPr>
        <w:pStyle w:val="PwCNormal"/>
        <w:numPr>
          <w:ilvl w:val="0"/>
          <w:numId w:val="0"/>
        </w:numPr>
        <w:rPr>
          <w:b/>
        </w:rPr>
      </w:pPr>
      <w:r>
        <w:rPr>
          <w:b/>
        </w:rPr>
        <w:t>Overview</w:t>
      </w:r>
    </w:p>
    <w:p w:rsidR="00F67619" w:rsidRDefault="00F67619" w:rsidP="00F67619">
      <w:pPr>
        <w:pStyle w:val="PwCNormal"/>
        <w:numPr>
          <w:ilvl w:val="0"/>
          <w:numId w:val="0"/>
        </w:numPr>
      </w:pPr>
      <w:r>
        <w:t>Once costs are split into the various cost areas and are ready for allocation, a variety of feeder systems are used to allocate costs to patients across all hospital products depending on the type of patient. With the new patient administration system (</w:t>
      </w:r>
      <w:proofErr w:type="spellStart"/>
      <w:r>
        <w:t>iPAS</w:t>
      </w:r>
      <w:proofErr w:type="spellEnd"/>
      <w:r>
        <w:t>) and emergency department system (EDIS), more data was available for allocation, such as better collected theatre time (</w:t>
      </w:r>
      <w:proofErr w:type="spellStart"/>
      <w:r>
        <w:t>iniPAS</w:t>
      </w:r>
      <w:proofErr w:type="spellEnd"/>
      <w:r>
        <w:t>) and time spent in EDIS.</w:t>
      </w:r>
    </w:p>
    <w:p w:rsidR="00F67619" w:rsidRDefault="00F67619" w:rsidP="00F67619">
      <w:pPr>
        <w:pStyle w:val="PwCNormal"/>
        <w:numPr>
          <w:ilvl w:val="0"/>
          <w:numId w:val="0"/>
        </w:numPr>
      </w:pPr>
      <w:r>
        <w:t>Table 7</w:t>
      </w:r>
      <w:r w:rsidR="008A2E49">
        <w:t>1</w:t>
      </w:r>
      <w:r>
        <w:t xml:space="preserve"> below outlines the costing methodology for the various hospital products.</w:t>
      </w:r>
    </w:p>
    <w:p w:rsidR="00F67619" w:rsidRDefault="00F67619" w:rsidP="00F67619">
      <w:pPr>
        <w:pStyle w:val="Caption"/>
      </w:pPr>
      <w:r>
        <w:t xml:space="preserve">Table </w:t>
      </w:r>
      <w:fldSimple w:instr=" SEQ Table \* ARABIC ">
        <w:r w:rsidR="00575DFC">
          <w:rPr>
            <w:noProof/>
          </w:rPr>
          <w:t>72</w:t>
        </w:r>
      </w:fldSimple>
      <w:r>
        <w:t xml:space="preserve">: </w:t>
      </w:r>
      <w:r w:rsidRPr="00141D3B">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Allocation methodologies for hospital products&#10;This table outlines how the various hospital products were costed."/>
      </w:tblPr>
      <w:tblGrid>
        <w:gridCol w:w="2376"/>
        <w:gridCol w:w="6237"/>
      </w:tblGrid>
      <w:tr w:rsidR="00F67619" w:rsidTr="006E68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F67619" w:rsidRPr="00C53A14" w:rsidRDefault="00F67619" w:rsidP="00CA6711">
            <w:pPr>
              <w:pStyle w:val="PwCNormal"/>
              <w:numPr>
                <w:ilvl w:val="0"/>
                <w:numId w:val="0"/>
              </w:numPr>
              <w:rPr>
                <w:b/>
              </w:rPr>
            </w:pPr>
            <w:r w:rsidRPr="00C53A14">
              <w:rPr>
                <w:b/>
              </w:rPr>
              <w:t>Hospital product</w:t>
            </w:r>
          </w:p>
        </w:tc>
        <w:tc>
          <w:tcPr>
            <w:tcW w:w="6237" w:type="dxa"/>
          </w:tcPr>
          <w:p w:rsidR="00F67619" w:rsidRPr="00C53A14" w:rsidRDefault="00F67619" w:rsidP="00CA6711">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C53A14">
              <w:rPr>
                <w:b/>
              </w:rPr>
              <w:t>Allocation overview</w:t>
            </w:r>
          </w:p>
        </w:tc>
      </w:tr>
      <w:tr w:rsidR="00F67619" w:rsidTr="006E6862">
        <w:tc>
          <w:tcPr>
            <w:tcW w:w="2376" w:type="dxa"/>
          </w:tcPr>
          <w:p w:rsidR="00F67619" w:rsidRDefault="00F67619" w:rsidP="00CA6711">
            <w:pPr>
              <w:pStyle w:val="PwCNormal"/>
              <w:numPr>
                <w:ilvl w:val="0"/>
                <w:numId w:val="0"/>
              </w:numPr>
            </w:pPr>
            <w:r>
              <w:t xml:space="preserve">Inpatient </w:t>
            </w:r>
            <w:r>
              <w:br/>
              <w:t>(acute and sub-acute)</w:t>
            </w:r>
          </w:p>
        </w:tc>
        <w:tc>
          <w:tcPr>
            <w:tcW w:w="6237" w:type="dxa"/>
          </w:tcPr>
          <w:p w:rsidR="00F67619" w:rsidRDefault="00F67619" w:rsidP="00CA6711">
            <w:pPr>
              <w:pStyle w:val="PwCNormal"/>
              <w:numPr>
                <w:ilvl w:val="0"/>
                <w:numId w:val="0"/>
              </w:numPr>
            </w:pPr>
            <w:r>
              <w:t xml:space="preserve">Acute inpatients are costed at the episode level, utilising data from </w:t>
            </w:r>
            <w:proofErr w:type="spellStart"/>
            <w:r>
              <w:t>iPAS</w:t>
            </w:r>
            <w:proofErr w:type="spellEnd"/>
            <w:r>
              <w:t>. Sub-acute patients are costed at the care-type level and are not classified under AN-SNAP.</w:t>
            </w:r>
          </w:p>
          <w:p w:rsidR="00F67619" w:rsidRDefault="00F67619" w:rsidP="00CA6711">
            <w:pPr>
              <w:pStyle w:val="PwCNormal"/>
              <w:numPr>
                <w:ilvl w:val="0"/>
                <w:numId w:val="0"/>
              </w:numPr>
            </w:pPr>
            <w:r>
              <w:t>Costs are allocated to inpatients</w:t>
            </w:r>
            <w:r w:rsidDel="0048578F">
              <w:t xml:space="preserve"> </w:t>
            </w:r>
            <w:r>
              <w:t xml:space="preserve">using various feeder </w:t>
            </w:r>
            <w:r w:rsidR="002821F4">
              <w:t>systems, which</w:t>
            </w:r>
            <w:r>
              <w:t xml:space="preserve"> indicate consumption of hospital resources or services. Nursing costs are allocated using LOS, weighted by the patient’s PCCL. Ward medical costs are allocated based on LOS. Diagnostics tests (such as imaging and pathology), Pharmacy and allied health costs use feeder data to allocate costs with RVUs derived from either standard/actual costs (that is, the cost of the drug) or minutes.</w:t>
            </w:r>
          </w:p>
          <w:p w:rsidR="00F67619" w:rsidRDefault="00F67619" w:rsidP="00CA6711">
            <w:pPr>
              <w:pStyle w:val="PwCNormal"/>
              <w:numPr>
                <w:ilvl w:val="0"/>
                <w:numId w:val="0"/>
              </w:numPr>
            </w:pPr>
            <w:r>
              <w:t>Prosthetic costs were allocated directly to private patients; however, the data was not suitable for public patients. A cost model was developed based on ICD10 and supplier price lists.</w:t>
            </w:r>
          </w:p>
        </w:tc>
      </w:tr>
      <w:tr w:rsidR="00F67619" w:rsidTr="006E6862">
        <w:tc>
          <w:tcPr>
            <w:tcW w:w="2376" w:type="dxa"/>
          </w:tcPr>
          <w:p w:rsidR="00F67619" w:rsidRDefault="00F67619" w:rsidP="00CA6711">
            <w:pPr>
              <w:pStyle w:val="PwCNormal"/>
              <w:numPr>
                <w:ilvl w:val="0"/>
                <w:numId w:val="0"/>
              </w:numPr>
            </w:pPr>
            <w:r>
              <w:t>Emergency Department</w:t>
            </w:r>
          </w:p>
        </w:tc>
        <w:tc>
          <w:tcPr>
            <w:tcW w:w="6237" w:type="dxa"/>
          </w:tcPr>
          <w:p w:rsidR="00F67619" w:rsidRDefault="00F67619" w:rsidP="00CA6711">
            <w:pPr>
              <w:pStyle w:val="PwCNormal"/>
              <w:numPr>
                <w:ilvl w:val="0"/>
                <w:numId w:val="0"/>
              </w:numPr>
            </w:pPr>
            <w:r>
              <w:t xml:space="preserve">Patients are allocated costs based on a model developed around the cubicles in the ED (such as the waiting room, mental health cubicle and resuscitation cube). Each cubicle has a </w:t>
            </w:r>
            <w:r w:rsidR="002821F4">
              <w:t>weighting, which</w:t>
            </w:r>
            <w:r>
              <w:t xml:space="preserve"> is used to allocate all costs in that cubicle. These weights are reviewed each year. Diagnostic tests and dispensed pharmaceuticals are allocated to patients directly based on consumption.</w:t>
            </w:r>
          </w:p>
        </w:tc>
      </w:tr>
      <w:tr w:rsidR="00F67619" w:rsidTr="006E6862">
        <w:tc>
          <w:tcPr>
            <w:tcW w:w="2376" w:type="dxa"/>
          </w:tcPr>
          <w:p w:rsidR="00F67619" w:rsidRDefault="00F67619" w:rsidP="00CA6711">
            <w:pPr>
              <w:pStyle w:val="PwCNormal"/>
              <w:numPr>
                <w:ilvl w:val="0"/>
                <w:numId w:val="0"/>
              </w:numPr>
            </w:pPr>
            <w:r>
              <w:t>Outpatients</w:t>
            </w:r>
          </w:p>
        </w:tc>
        <w:tc>
          <w:tcPr>
            <w:tcW w:w="6237" w:type="dxa"/>
          </w:tcPr>
          <w:p w:rsidR="00F67619" w:rsidRDefault="00F67619" w:rsidP="00CA6711">
            <w:pPr>
              <w:pStyle w:val="PwCNormal"/>
              <w:numPr>
                <w:ilvl w:val="0"/>
                <w:numId w:val="0"/>
              </w:numPr>
            </w:pPr>
            <w:r>
              <w:t>All outpatient activity is classified under Tier 2. Each specialty has its own cost centre from which costs are allocated to patients based on the length of the appointment. Multidisciplinary clinics are flagged and split out for costing purposes. No adjustment is made with group clinics and patients are mapped to a single clinic.</w:t>
            </w:r>
          </w:p>
          <w:p w:rsidR="00F67619" w:rsidRDefault="00F67619" w:rsidP="00CA6711">
            <w:pPr>
              <w:pStyle w:val="PwCNormal"/>
              <w:numPr>
                <w:ilvl w:val="0"/>
                <w:numId w:val="0"/>
              </w:numPr>
            </w:pPr>
            <w:r>
              <w:t>Diagnostic tests and dispensed pharmaceuticals are allocated to patients directly based on consumption.</w:t>
            </w:r>
          </w:p>
        </w:tc>
      </w:tr>
      <w:tr w:rsidR="00F67619" w:rsidTr="006E6862">
        <w:tc>
          <w:tcPr>
            <w:tcW w:w="2376" w:type="dxa"/>
          </w:tcPr>
          <w:p w:rsidR="00F67619" w:rsidRDefault="00F67619" w:rsidP="00CA6711">
            <w:pPr>
              <w:pStyle w:val="PwCNormal"/>
              <w:numPr>
                <w:ilvl w:val="0"/>
                <w:numId w:val="0"/>
              </w:numPr>
            </w:pPr>
            <w:r>
              <w:t>Mental Health</w:t>
            </w:r>
          </w:p>
        </w:tc>
        <w:tc>
          <w:tcPr>
            <w:tcW w:w="6237" w:type="dxa"/>
          </w:tcPr>
          <w:p w:rsidR="00F67619" w:rsidRDefault="00F67619" w:rsidP="00CA6711">
            <w:pPr>
              <w:pStyle w:val="PwCNormal"/>
              <w:numPr>
                <w:ilvl w:val="0"/>
                <w:numId w:val="0"/>
              </w:numPr>
            </w:pPr>
            <w:r>
              <w:t xml:space="preserve">Mental health patients are treated as inpatients and costed according to the same acute and sub-acute methodologies. There are ICU mental health </w:t>
            </w:r>
            <w:r w:rsidR="002821F4">
              <w:t>beds, which</w:t>
            </w:r>
            <w:r>
              <w:t xml:space="preserve"> are separately identified and allocated to those patients that use them.</w:t>
            </w:r>
          </w:p>
        </w:tc>
      </w:tr>
      <w:tr w:rsidR="00F67619" w:rsidTr="006E6862">
        <w:tc>
          <w:tcPr>
            <w:tcW w:w="2376" w:type="dxa"/>
          </w:tcPr>
          <w:p w:rsidR="00F67619" w:rsidRDefault="00F67619" w:rsidP="00CA6711">
            <w:pPr>
              <w:pStyle w:val="PwCNormal"/>
              <w:numPr>
                <w:ilvl w:val="0"/>
                <w:numId w:val="0"/>
              </w:numPr>
            </w:pPr>
            <w:r>
              <w:t>Teaching, training and research</w:t>
            </w:r>
          </w:p>
        </w:tc>
        <w:tc>
          <w:tcPr>
            <w:tcW w:w="6237" w:type="dxa"/>
          </w:tcPr>
          <w:p w:rsidR="00F67619" w:rsidRDefault="00F67619" w:rsidP="00CA6711">
            <w:pPr>
              <w:pStyle w:val="PwCNormal"/>
              <w:numPr>
                <w:ilvl w:val="0"/>
                <w:numId w:val="0"/>
              </w:numPr>
            </w:pPr>
            <w:r>
              <w:t xml:space="preserve">Direct teaching costs are counted where identifiable; however, an additional 10% of medical costs and 5% of nursing and allied health costs are allocated to a ‘direct teaching’ cost centre and are not </w:t>
            </w:r>
            <w:r>
              <w:lastRenderedPageBreak/>
              <w:t>allocated to patients.</w:t>
            </w:r>
          </w:p>
          <w:p w:rsidR="00F67619" w:rsidRDefault="00F67619" w:rsidP="00CA6711">
            <w:pPr>
              <w:pStyle w:val="PwCNormal"/>
              <w:numPr>
                <w:ilvl w:val="0"/>
                <w:numId w:val="0"/>
              </w:numPr>
            </w:pPr>
            <w:r>
              <w:t>Research costs are generally held in special purpose funds and are not brought in for costing. Where diagnostics are used for research, those tests are allocated costs and attributed to research.</w:t>
            </w:r>
          </w:p>
        </w:tc>
      </w:tr>
      <w:tr w:rsidR="00F67619" w:rsidTr="006E6862">
        <w:tc>
          <w:tcPr>
            <w:tcW w:w="2376" w:type="dxa"/>
          </w:tcPr>
          <w:p w:rsidR="00F67619" w:rsidRDefault="00F67619" w:rsidP="00CA6711">
            <w:pPr>
              <w:pStyle w:val="PwCNormal"/>
              <w:numPr>
                <w:ilvl w:val="0"/>
                <w:numId w:val="0"/>
              </w:numPr>
            </w:pPr>
            <w:r>
              <w:lastRenderedPageBreak/>
              <w:t>Other</w:t>
            </w:r>
          </w:p>
        </w:tc>
        <w:tc>
          <w:tcPr>
            <w:tcW w:w="6237" w:type="dxa"/>
          </w:tcPr>
          <w:p w:rsidR="00F67619" w:rsidRDefault="00F67619" w:rsidP="00CA6711">
            <w:pPr>
              <w:pStyle w:val="PwCNormal"/>
              <w:numPr>
                <w:ilvl w:val="0"/>
                <w:numId w:val="0"/>
              </w:numPr>
            </w:pPr>
            <w:r>
              <w:t xml:space="preserve">Boarders are costed in line with other inpatients, but are only allocated 10% of the total costs. </w:t>
            </w:r>
          </w:p>
        </w:tc>
      </w:tr>
    </w:tbl>
    <w:p w:rsidR="00F67619" w:rsidRDefault="00F67619" w:rsidP="00F67619">
      <w:pPr>
        <w:pStyle w:val="PwCNormal"/>
        <w:numPr>
          <w:ilvl w:val="0"/>
          <w:numId w:val="0"/>
        </w:numPr>
      </w:pPr>
    </w:p>
    <w:p w:rsidR="00F67619" w:rsidRPr="004E0B72" w:rsidRDefault="00F67619" w:rsidP="00F67619">
      <w:pPr>
        <w:pStyle w:val="Heading3"/>
      </w:pPr>
      <w:r>
        <w:t>Feeder data for sample areas</w:t>
      </w:r>
    </w:p>
    <w:p w:rsidR="00F67619" w:rsidRPr="002449AB" w:rsidRDefault="00F67619" w:rsidP="00F67619">
      <w:pPr>
        <w:pStyle w:val="PwCNormal"/>
        <w:numPr>
          <w:ilvl w:val="0"/>
          <w:numId w:val="0"/>
        </w:numPr>
        <w:rPr>
          <w:b/>
        </w:rPr>
      </w:pPr>
      <w:r>
        <w:rPr>
          <w:b/>
        </w:rPr>
        <w:t>Overview</w:t>
      </w:r>
    </w:p>
    <w:p w:rsidR="00F67619" w:rsidRDefault="00F67619" w:rsidP="00F67619">
      <w:pPr>
        <w:pStyle w:val="PwCNormal"/>
        <w:numPr>
          <w:ilvl w:val="0"/>
          <w:numId w:val="0"/>
        </w:numPr>
      </w:pPr>
      <w:r>
        <w:t>A variety of feeders are used to allocate costs at RHH including the following areas: imaging, pharmacy, pathology, theatre, critical care units and allied health. Some allocation methodologies of note include:</w:t>
      </w:r>
    </w:p>
    <w:p w:rsidR="00F67619" w:rsidRDefault="00F67619" w:rsidP="00F67619">
      <w:pPr>
        <w:pStyle w:val="PwCNormal"/>
        <w:numPr>
          <w:ilvl w:val="0"/>
          <w:numId w:val="51"/>
        </w:numPr>
      </w:pPr>
      <w:r>
        <w:t>Patients are allocated ward medical costs based on their LOS.</w:t>
      </w:r>
    </w:p>
    <w:p w:rsidR="00F67619" w:rsidRDefault="00F67619" w:rsidP="00F67619">
      <w:pPr>
        <w:pStyle w:val="PwCNormal"/>
        <w:numPr>
          <w:ilvl w:val="0"/>
          <w:numId w:val="51"/>
        </w:numPr>
      </w:pPr>
      <w:r>
        <w:t xml:space="preserve">Prosthetics costs are allocated directly to private patients, but cost modelled to public patients using their ICD10 codes and a vendor price list. The cost data used to create this model was sourced from Germany, </w:t>
      </w:r>
      <w:r w:rsidR="0033116C">
        <w:t xml:space="preserve">QLD </w:t>
      </w:r>
      <w:r>
        <w:t xml:space="preserve">and </w:t>
      </w:r>
      <w:r w:rsidR="0033116C">
        <w:t>TAS</w:t>
      </w:r>
      <w:r>
        <w:t>.</w:t>
      </w:r>
    </w:p>
    <w:p w:rsidR="00F67619" w:rsidRDefault="00F67619" w:rsidP="00F67619">
      <w:pPr>
        <w:pStyle w:val="PwCNormal"/>
        <w:numPr>
          <w:ilvl w:val="0"/>
          <w:numId w:val="0"/>
        </w:numPr>
        <w:rPr>
          <w:b/>
        </w:rPr>
      </w:pPr>
      <w:r>
        <w:rPr>
          <w:b/>
        </w:rPr>
        <w:t>Pharmacy</w:t>
      </w:r>
    </w:p>
    <w:p w:rsidR="00F67619" w:rsidRDefault="00F67619" w:rsidP="00F67619">
      <w:pPr>
        <w:pStyle w:val="PwCNormal"/>
        <w:numPr>
          <w:ilvl w:val="0"/>
          <w:numId w:val="0"/>
        </w:numPr>
      </w:pPr>
      <w:r>
        <w:t xml:space="preserve">RHH uses </w:t>
      </w:r>
      <w:proofErr w:type="spellStart"/>
      <w:r>
        <w:t>iPharmacy</w:t>
      </w:r>
      <w:proofErr w:type="spellEnd"/>
      <w:r>
        <w:t xml:space="preserve">, which records consumption of pharmacy products by patients. Dispensed drugs that are administered directly to patients are recorded in </w:t>
      </w:r>
      <w:proofErr w:type="spellStart"/>
      <w:r w:rsidR="002821F4">
        <w:t>iPharmacy</w:t>
      </w:r>
      <w:proofErr w:type="spellEnd"/>
      <w:r w:rsidR="002821F4">
        <w:t>, which</w:t>
      </w:r>
      <w:r>
        <w:t xml:space="preserve"> is used to allocate costs directly to the patient during costing. The unit cost allocated to patients is taken from the vendors’ price list.</w:t>
      </w:r>
    </w:p>
    <w:p w:rsidR="00F67619" w:rsidRDefault="00F67619" w:rsidP="00F67619">
      <w:pPr>
        <w:pStyle w:val="PwCNormal"/>
        <w:numPr>
          <w:ilvl w:val="0"/>
          <w:numId w:val="0"/>
        </w:numPr>
      </w:pPr>
      <w:r>
        <w:t>Dispensed drugs are linked to patients based on their medical record number and date of service. It is first linked to inpatients, then emergency department patients, outpatients and then other patient types. The linking is done in waves around the date of service, starting with zero, then increasing to 1 day, 7 days, 15 days and then 35 days on their side of the date. Records that are unable to be matched are linked to a virtual patient, who holds the costs for those drugs.</w:t>
      </w:r>
    </w:p>
    <w:p w:rsidR="00F67619" w:rsidRDefault="00F67619" w:rsidP="00F67619">
      <w:pPr>
        <w:pStyle w:val="PwCNormal"/>
        <w:numPr>
          <w:ilvl w:val="0"/>
          <w:numId w:val="0"/>
        </w:numPr>
      </w:pPr>
      <w:proofErr w:type="spellStart"/>
      <w:r>
        <w:t>Imprest</w:t>
      </w:r>
      <w:proofErr w:type="spellEnd"/>
      <w:r>
        <w:t xml:space="preserve"> drug costs are allocated to wards, and are then distributed to patients along with the ward nursing </w:t>
      </w:r>
      <w:r w:rsidR="002821F4">
        <w:t>costs. Table</w:t>
      </w:r>
      <w:r>
        <w:t xml:space="preserve"> 7</w:t>
      </w:r>
      <w:r w:rsidR="008A2E49">
        <w:t>2</w:t>
      </w:r>
      <w:r>
        <w:t xml:space="preserve"> below outlines the linking of records from the source system to patients within the hospital products.</w:t>
      </w:r>
    </w:p>
    <w:p w:rsidR="00F67619" w:rsidRDefault="00F67619" w:rsidP="00F67619">
      <w:pPr>
        <w:pStyle w:val="Caption"/>
      </w:pPr>
      <w:r>
        <w:lastRenderedPageBreak/>
        <w:t xml:space="preserve">Table </w:t>
      </w:r>
      <w:fldSimple w:instr=" SEQ Table \* ARABIC ">
        <w:r w:rsidR="00575DFC">
          <w:rPr>
            <w:noProof/>
          </w:rPr>
          <w:t>73</w:t>
        </w:r>
      </w:fldSimple>
      <w:r>
        <w:t xml:space="preserve">: </w:t>
      </w:r>
      <w:r w:rsidRPr="00635A24">
        <w:t>Outcome of pharmacy feeder linking</w:t>
      </w:r>
    </w:p>
    <w:p w:rsidR="00F67619" w:rsidRDefault="00F67619" w:rsidP="00F67619">
      <w:pPr>
        <w:pStyle w:val="PwCNormal"/>
        <w:numPr>
          <w:ilvl w:val="0"/>
          <w:numId w:val="0"/>
        </w:numPr>
        <w:rPr>
          <w:highlight w:val="yellow"/>
        </w:rPr>
      </w:pPr>
      <w:r w:rsidRPr="004B7473">
        <w:rPr>
          <w:noProof/>
          <w:lang w:eastAsia="en-AU"/>
        </w:rPr>
        <w:drawing>
          <wp:inline distT="0" distB="0" distL="0" distR="0" wp14:anchorId="3AF26D45" wp14:editId="0156CFE7">
            <wp:extent cx="2880000" cy="2663341"/>
            <wp:effectExtent l="0" t="0" r="0" b="3810"/>
            <wp:docPr id="74" name="Picture 74"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80000" cy="2663341"/>
                    </a:xfrm>
                    <a:prstGeom prst="rect">
                      <a:avLst/>
                    </a:prstGeom>
                    <a:noFill/>
                    <a:ln>
                      <a:noFill/>
                    </a:ln>
                  </pic:spPr>
                </pic:pic>
              </a:graphicData>
            </a:graphic>
          </wp:inline>
        </w:drawing>
      </w:r>
    </w:p>
    <w:p w:rsidR="00F67619" w:rsidRDefault="00F67619" w:rsidP="00F67619">
      <w:pPr>
        <w:pStyle w:val="PwCNormal"/>
        <w:numPr>
          <w:ilvl w:val="0"/>
          <w:numId w:val="0"/>
        </w:numPr>
      </w:pPr>
      <w:r>
        <w:t xml:space="preserve">While 270,364 records were extracted from the system, 123,777 related to </w:t>
      </w:r>
      <w:proofErr w:type="spellStart"/>
      <w:r>
        <w:t>imprest</w:t>
      </w:r>
      <w:proofErr w:type="spellEnd"/>
      <w:r>
        <w:t xml:space="preserve"> drugs that were allocated to wards. The remaining 146,587 records related to dispensed drugs to patients.</w:t>
      </w:r>
    </w:p>
    <w:p w:rsidR="00F67619" w:rsidRDefault="00F67619" w:rsidP="00F67619">
      <w:pPr>
        <w:pStyle w:val="PwCNormal"/>
        <w:numPr>
          <w:ilvl w:val="0"/>
          <w:numId w:val="0"/>
        </w:numPr>
        <w:rPr>
          <w:b/>
        </w:rPr>
      </w:pPr>
      <w:r>
        <w:rPr>
          <w:b/>
        </w:rPr>
        <w:t>Theatre</w:t>
      </w:r>
    </w:p>
    <w:p w:rsidR="005B17A3" w:rsidRDefault="00F67619" w:rsidP="005B17A3">
      <w:pPr>
        <w:pStyle w:val="PwCNormal"/>
        <w:numPr>
          <w:ilvl w:val="0"/>
          <w:numId w:val="0"/>
        </w:numPr>
      </w:pPr>
      <w:proofErr w:type="spellStart"/>
      <w:proofErr w:type="gramStart"/>
      <w:r>
        <w:t>iPAS</w:t>
      </w:r>
      <w:proofErr w:type="spellEnd"/>
      <w:proofErr w:type="gramEnd"/>
      <w:r>
        <w:t xml:space="preserve"> at RHH records various data points of the patient operations, such as start and end time of anaesthetics, and date and time of first-cut time spent in recovery. Data is extracted from the system and links directly to the patient encounter.</w:t>
      </w:r>
      <w:r w:rsidR="005B17A3">
        <w:t xml:space="preserve"> Table 7</w:t>
      </w:r>
      <w:r w:rsidR="008A2E49">
        <w:t>3</w:t>
      </w:r>
      <w:r w:rsidR="005B17A3">
        <w:t xml:space="preserve"> below outlines the linking of records from </w:t>
      </w:r>
      <w:proofErr w:type="spellStart"/>
      <w:r w:rsidR="005B17A3">
        <w:t>iPAS</w:t>
      </w:r>
      <w:proofErr w:type="spellEnd"/>
      <w:r w:rsidR="005B17A3">
        <w:t xml:space="preserve"> to patients within the hospital products. Since </w:t>
      </w:r>
      <w:proofErr w:type="spellStart"/>
      <w:r w:rsidR="005B17A3">
        <w:t>iPAS</w:t>
      </w:r>
      <w:proofErr w:type="spellEnd"/>
      <w:r w:rsidR="005B17A3">
        <w:t xml:space="preserve"> manages inpatients as well as the theatre, all records were linked directly to patients.</w:t>
      </w:r>
    </w:p>
    <w:p w:rsidR="00F67619" w:rsidRDefault="00F67619" w:rsidP="005B17A3">
      <w:pPr>
        <w:pStyle w:val="PwCNormal"/>
        <w:numPr>
          <w:ilvl w:val="0"/>
          <w:numId w:val="0"/>
        </w:numPr>
      </w:pPr>
      <w:r>
        <w:t>Theatre costs are divided into several cost centres and different feeder data is used to allo</w:t>
      </w:r>
      <w:r w:rsidR="005B17A3">
        <w:t>cate different costs, including preparation start and end time used to allocate pre-operation costs, medical and nursing salaries allocated using surgery start and end time, and medical supplies allocated using surgery start and end time.</w:t>
      </w:r>
    </w:p>
    <w:p w:rsidR="00F67619" w:rsidRDefault="00F67619" w:rsidP="00F67619">
      <w:pPr>
        <w:pStyle w:val="Caption"/>
      </w:pPr>
      <w:r>
        <w:t xml:space="preserve">Table </w:t>
      </w:r>
      <w:fldSimple w:instr=" SEQ Table \* ARABIC ">
        <w:r w:rsidR="00575DFC">
          <w:rPr>
            <w:noProof/>
          </w:rPr>
          <w:t>74</w:t>
        </w:r>
      </w:fldSimple>
      <w:r>
        <w:t xml:space="preserve">: </w:t>
      </w:r>
      <w:r w:rsidRPr="000F6CD7">
        <w:t>Outcome of theatre feeder linking</w:t>
      </w:r>
    </w:p>
    <w:p w:rsidR="00AF53C8" w:rsidRDefault="00F67619" w:rsidP="00F67619">
      <w:pPr>
        <w:pStyle w:val="PwCNormal"/>
        <w:numPr>
          <w:ilvl w:val="0"/>
          <w:numId w:val="0"/>
        </w:numPr>
      </w:pPr>
      <w:r w:rsidRPr="004B7473">
        <w:rPr>
          <w:noProof/>
          <w:lang w:eastAsia="en-AU"/>
        </w:rPr>
        <w:drawing>
          <wp:inline distT="0" distB="0" distL="0" distR="0" wp14:anchorId="7A72909B" wp14:editId="18227349">
            <wp:extent cx="2880000" cy="2663341"/>
            <wp:effectExtent l="0" t="0" r="0" b="3810"/>
            <wp:docPr id="75" name="Picture 75"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880000" cy="2663341"/>
                    </a:xfrm>
                    <a:prstGeom prst="rect">
                      <a:avLst/>
                    </a:prstGeom>
                    <a:noFill/>
                    <a:ln>
                      <a:noFill/>
                    </a:ln>
                  </pic:spPr>
                </pic:pic>
              </a:graphicData>
            </a:graphic>
          </wp:inline>
        </w:drawing>
      </w:r>
    </w:p>
    <w:p w:rsidR="00AF53C8" w:rsidRDefault="00AF53C8">
      <w:pPr>
        <w:kinsoku/>
        <w:overflowPunct/>
        <w:autoSpaceDE/>
        <w:autoSpaceDN/>
        <w:adjustRightInd/>
        <w:snapToGrid/>
      </w:pPr>
      <w:r>
        <w:br w:type="page"/>
      </w:r>
    </w:p>
    <w:p w:rsidR="00F67619" w:rsidRPr="002449AB" w:rsidRDefault="00F67619" w:rsidP="00F67619">
      <w:pPr>
        <w:pStyle w:val="PwCNormal"/>
        <w:numPr>
          <w:ilvl w:val="0"/>
          <w:numId w:val="0"/>
        </w:numPr>
        <w:rPr>
          <w:b/>
        </w:rPr>
      </w:pPr>
      <w:r>
        <w:rPr>
          <w:b/>
        </w:rPr>
        <w:lastRenderedPageBreak/>
        <w:t>Ward nursing</w:t>
      </w:r>
    </w:p>
    <w:p w:rsidR="005B17A3" w:rsidRDefault="00F67619" w:rsidP="005B17A3">
      <w:pPr>
        <w:pStyle w:val="PwCNormal"/>
        <w:numPr>
          <w:ilvl w:val="0"/>
          <w:numId w:val="0"/>
        </w:numPr>
      </w:pPr>
      <w:proofErr w:type="spellStart"/>
      <w:proofErr w:type="gramStart"/>
      <w:r>
        <w:t>iPAS</w:t>
      </w:r>
      <w:proofErr w:type="spellEnd"/>
      <w:proofErr w:type="gramEnd"/>
      <w:r>
        <w:t xml:space="preserve"> is the key patient administration system at RHH and includes data on the patient’s encounter in hospital, such as the admission and discharge date and time, transfers between wards and units, and theatre information. Data is extracted from the system and links directly to the patient encounter.</w:t>
      </w:r>
      <w:r w:rsidR="005B17A3">
        <w:t xml:space="preserve"> </w:t>
      </w:r>
      <w:r w:rsidR="00367B9F">
        <w:fldChar w:fldCharType="begin"/>
      </w:r>
      <w:r w:rsidR="00367B9F">
        <w:instrText xml:space="preserve"> REF _Ref403229865 \h </w:instrText>
      </w:r>
      <w:r w:rsidR="00367B9F">
        <w:fldChar w:fldCharType="separate"/>
      </w:r>
      <w:r w:rsidR="00575DFC">
        <w:t xml:space="preserve">Table </w:t>
      </w:r>
      <w:r w:rsidR="00575DFC">
        <w:rPr>
          <w:noProof/>
        </w:rPr>
        <w:t>75</w:t>
      </w:r>
      <w:r w:rsidR="00367B9F">
        <w:fldChar w:fldCharType="end"/>
      </w:r>
      <w:r w:rsidR="005B17A3">
        <w:t xml:space="preserve"> below outlines the linking of records from the source system to patients within the hospital products.</w:t>
      </w:r>
    </w:p>
    <w:p w:rsidR="00F67619" w:rsidRDefault="00F67619" w:rsidP="00F67619">
      <w:pPr>
        <w:pStyle w:val="PwCNormal"/>
        <w:numPr>
          <w:ilvl w:val="0"/>
          <w:numId w:val="0"/>
        </w:numPr>
      </w:pPr>
      <w:r>
        <w:t>Patient stay was identified down to the ward and unit level (such as a maternity ward or critical care unit) and a LOS was generated from the start and end date and time. This was also weighted by the PCCL score so that patients with a higher acuity received more of the cost. This is to reflect the higher consumption of doctor and nurse time by those patients.</w:t>
      </w:r>
    </w:p>
    <w:p w:rsidR="00F67619" w:rsidRDefault="00F67619" w:rsidP="00F67619">
      <w:pPr>
        <w:pStyle w:val="Caption"/>
      </w:pPr>
      <w:bookmarkStart w:id="117" w:name="_Ref403229865"/>
      <w:r>
        <w:t xml:space="preserve">Table </w:t>
      </w:r>
      <w:fldSimple w:instr=" SEQ Table \* ARABIC ">
        <w:r w:rsidR="00575DFC">
          <w:rPr>
            <w:noProof/>
          </w:rPr>
          <w:t>75</w:t>
        </w:r>
      </w:fldSimple>
      <w:bookmarkEnd w:id="117"/>
      <w:r>
        <w:t xml:space="preserve">: </w:t>
      </w:r>
      <w:r w:rsidRPr="00477D7D">
        <w:t>Outcome of ward nursing feeder linking</w:t>
      </w:r>
    </w:p>
    <w:p w:rsidR="00F67619" w:rsidRDefault="00F67619" w:rsidP="00F67619">
      <w:pPr>
        <w:pStyle w:val="PwCNormal"/>
        <w:numPr>
          <w:ilvl w:val="0"/>
          <w:numId w:val="0"/>
        </w:numPr>
      </w:pPr>
      <w:r w:rsidRPr="004B7473">
        <w:rPr>
          <w:noProof/>
          <w:lang w:eastAsia="en-AU"/>
        </w:rPr>
        <w:drawing>
          <wp:inline distT="0" distB="0" distL="0" distR="0" wp14:anchorId="7CAD88F7" wp14:editId="286C5694">
            <wp:extent cx="2880000" cy="2663341"/>
            <wp:effectExtent l="0" t="0" r="0" b="3810"/>
            <wp:docPr id="76" name="Picture 76"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80000" cy="2663341"/>
                    </a:xfrm>
                    <a:prstGeom prst="rect">
                      <a:avLst/>
                    </a:prstGeom>
                    <a:noFill/>
                    <a:ln>
                      <a:noFill/>
                    </a:ln>
                  </pic:spPr>
                </pic:pic>
              </a:graphicData>
            </a:graphic>
          </wp:inline>
        </w:drawing>
      </w:r>
    </w:p>
    <w:p w:rsidR="00F67619" w:rsidRPr="004E0B72" w:rsidRDefault="00F67619" w:rsidP="00F67619">
      <w:pPr>
        <w:pStyle w:val="Heading3"/>
      </w:pPr>
      <w:r>
        <w:t>The costed dataset</w:t>
      </w:r>
    </w:p>
    <w:p w:rsidR="00F67619" w:rsidRPr="002449AB" w:rsidRDefault="00F67619" w:rsidP="00F67619">
      <w:pPr>
        <w:pStyle w:val="PwCNormal"/>
        <w:numPr>
          <w:ilvl w:val="0"/>
          <w:numId w:val="0"/>
        </w:numPr>
        <w:rPr>
          <w:b/>
        </w:rPr>
      </w:pPr>
      <w:r>
        <w:rPr>
          <w:b/>
        </w:rPr>
        <w:t>QA process</w:t>
      </w:r>
    </w:p>
    <w:p w:rsidR="00F67619" w:rsidRDefault="00F67619" w:rsidP="00F67619">
      <w:pPr>
        <w:pStyle w:val="PwCNormal"/>
        <w:numPr>
          <w:ilvl w:val="0"/>
          <w:numId w:val="0"/>
        </w:numPr>
      </w:pPr>
      <w:r>
        <w:t>Once costing was completed, the DHHS staff performed a range of quality assurance checks and reconciliations. These included:</w:t>
      </w:r>
    </w:p>
    <w:p w:rsidR="00F67619" w:rsidRDefault="00F67619" w:rsidP="00F67619">
      <w:pPr>
        <w:pStyle w:val="PwCNormal"/>
        <w:numPr>
          <w:ilvl w:val="0"/>
          <w:numId w:val="61"/>
        </w:numPr>
      </w:pPr>
      <w:r>
        <w:t>high-level reconciliations of total costs allocated to patients and products compared to the GL loaded into the costing system</w:t>
      </w:r>
    </w:p>
    <w:p w:rsidR="00F67619" w:rsidRDefault="00F67619" w:rsidP="00F67619">
      <w:pPr>
        <w:pStyle w:val="PwCNormal"/>
        <w:numPr>
          <w:ilvl w:val="0"/>
          <w:numId w:val="61"/>
        </w:numPr>
      </w:pPr>
      <w:r>
        <w:t>high-level reconciliations of number of costed separations compared to what was loaded into the costing system</w:t>
      </w:r>
    </w:p>
    <w:p w:rsidR="00F67619" w:rsidRDefault="00F67619" w:rsidP="00F67619">
      <w:pPr>
        <w:pStyle w:val="PwCNormal"/>
        <w:numPr>
          <w:ilvl w:val="0"/>
          <w:numId w:val="61"/>
        </w:numPr>
      </w:pPr>
      <w:r>
        <w:t>reports on average and weighted average DRG costs by total costs, as well as average cost by hospital product</w:t>
      </w:r>
    </w:p>
    <w:p w:rsidR="00F67619" w:rsidRDefault="00F67619" w:rsidP="00F67619">
      <w:pPr>
        <w:pStyle w:val="PwCNormal"/>
        <w:numPr>
          <w:ilvl w:val="0"/>
          <w:numId w:val="61"/>
        </w:numPr>
      </w:pPr>
      <w:r>
        <w:t>review of high-cost or low-cost patients</w:t>
      </w:r>
    </w:p>
    <w:p w:rsidR="00F67619" w:rsidRDefault="00F67619" w:rsidP="00F67619">
      <w:pPr>
        <w:pStyle w:val="PwCNormal"/>
        <w:numPr>
          <w:ilvl w:val="0"/>
          <w:numId w:val="61"/>
        </w:numPr>
      </w:pPr>
      <w:proofErr w:type="gramStart"/>
      <w:r>
        <w:t>review</w:t>
      </w:r>
      <w:proofErr w:type="gramEnd"/>
      <w:r>
        <w:t xml:space="preserve"> of negative cost items and patients.</w:t>
      </w:r>
    </w:p>
    <w:p w:rsidR="00AF53C8" w:rsidRDefault="00F67619" w:rsidP="00F67619">
      <w:pPr>
        <w:pStyle w:val="PwCNormal"/>
        <w:numPr>
          <w:ilvl w:val="0"/>
          <w:numId w:val="0"/>
        </w:numPr>
      </w:pPr>
      <w:r>
        <w:t>Issues identified during the process are rectified and the new costing results again go through the QA processes.</w:t>
      </w:r>
    </w:p>
    <w:p w:rsidR="00AF53C8" w:rsidRDefault="00AF53C8">
      <w:pPr>
        <w:kinsoku/>
        <w:overflowPunct/>
        <w:autoSpaceDE/>
        <w:autoSpaceDN/>
        <w:adjustRightInd/>
        <w:snapToGrid/>
      </w:pPr>
      <w:r>
        <w:br w:type="page"/>
      </w:r>
    </w:p>
    <w:p w:rsidR="00F67619" w:rsidRPr="002449AB" w:rsidRDefault="00F67619" w:rsidP="00F67619">
      <w:pPr>
        <w:pStyle w:val="PwCNormal"/>
        <w:numPr>
          <w:ilvl w:val="0"/>
          <w:numId w:val="0"/>
        </w:numPr>
        <w:rPr>
          <w:b/>
        </w:rPr>
      </w:pPr>
      <w:r>
        <w:rPr>
          <w:b/>
        </w:rPr>
        <w:lastRenderedPageBreak/>
        <w:t>Adjustments</w:t>
      </w:r>
    </w:p>
    <w:p w:rsidR="00F67619" w:rsidRDefault="00F67619" w:rsidP="00F67619">
      <w:pPr>
        <w:pStyle w:val="PwCNormal"/>
        <w:numPr>
          <w:ilvl w:val="0"/>
          <w:numId w:val="0"/>
        </w:numPr>
      </w:pPr>
      <w:r>
        <w:t>No adjustments are made at this point in the process other than WIP adjustments, which is discussed in the sections below.</w:t>
      </w:r>
    </w:p>
    <w:p w:rsidR="00F67619" w:rsidRPr="002449AB" w:rsidRDefault="00F67619" w:rsidP="00F67619">
      <w:pPr>
        <w:pStyle w:val="PwCNormal"/>
        <w:numPr>
          <w:ilvl w:val="0"/>
          <w:numId w:val="0"/>
        </w:numPr>
        <w:rPr>
          <w:b/>
        </w:rPr>
      </w:pPr>
      <w:r>
        <w:rPr>
          <w:b/>
        </w:rPr>
        <w:t>Work in progress (Item E)</w:t>
      </w:r>
    </w:p>
    <w:p w:rsidR="00F67619" w:rsidRDefault="00F67619" w:rsidP="00F67619">
      <w:pPr>
        <w:pStyle w:val="PwCNormal"/>
        <w:numPr>
          <w:ilvl w:val="0"/>
          <w:numId w:val="0"/>
        </w:numPr>
      </w:pPr>
      <w:r>
        <w:t>Adjustments are made for patients whose stay at the hospital crosses the financial year. Figure 8 below illustrates the four combinations of admission and discharge dates that can occur and the treatment of cost and submission through to IHPA.</w:t>
      </w:r>
    </w:p>
    <w:p w:rsidR="00F67619" w:rsidRDefault="00F67619" w:rsidP="00F67619">
      <w:pPr>
        <w:pStyle w:val="Caption"/>
      </w:pPr>
      <w:r>
        <w:t xml:space="preserve">Figure </w:t>
      </w:r>
      <w:fldSimple w:instr=" SEQ Figure \* ARABIC ">
        <w:r w:rsidR="00575DFC">
          <w:rPr>
            <w:noProof/>
          </w:rPr>
          <w:t>8</w:t>
        </w:r>
      </w:fldSimple>
      <w:r>
        <w:t xml:space="preserve">: </w:t>
      </w:r>
      <w:r w:rsidRPr="00196402">
        <w:t xml:space="preserve">Treatment of </w:t>
      </w:r>
      <w:r w:rsidR="00CE2045">
        <w:t>WIP</w:t>
      </w:r>
      <w:r w:rsidRPr="00196402">
        <w:t xml:space="preserve"> patients</w:t>
      </w:r>
    </w:p>
    <w:p w:rsidR="00F67619" w:rsidRDefault="00283DEC" w:rsidP="00F67619">
      <w:r w:rsidRPr="000D62BB">
        <w:rPr>
          <w:noProof/>
          <w:lang w:eastAsia="en-AU"/>
        </w:rPr>
        <w:drawing>
          <wp:inline distT="0" distB="0" distL="0" distR="0" wp14:anchorId="5F424681" wp14:editId="0C979B6F">
            <wp:extent cx="5850255" cy="1530350"/>
            <wp:effectExtent l="0" t="0" r="0" b="0"/>
            <wp:docPr id="131" name="Picture 131" descr="This table outlines the treatment of work in progress patients. All patients who were admitted during the financial year were allocated costs, but only those discharged were in the financial year were submitted." title="Treatment of work in progres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255" cy="1530350"/>
                    </a:xfrm>
                    <a:prstGeom prst="rect">
                      <a:avLst/>
                    </a:prstGeom>
                    <a:noFill/>
                    <a:ln>
                      <a:noFill/>
                    </a:ln>
                  </pic:spPr>
                </pic:pic>
              </a:graphicData>
            </a:graphic>
          </wp:inline>
        </w:drawing>
      </w:r>
    </w:p>
    <w:p w:rsidR="00F67619" w:rsidRPr="002B7575" w:rsidRDefault="00F67619" w:rsidP="00F67619">
      <w:pPr>
        <w:pStyle w:val="PwCNormal"/>
      </w:pPr>
    </w:p>
    <w:p w:rsidR="00F67619" w:rsidRDefault="00F67619" w:rsidP="00F67619">
      <w:pPr>
        <w:pStyle w:val="PwCNormal"/>
        <w:numPr>
          <w:ilvl w:val="0"/>
          <w:numId w:val="0"/>
        </w:numPr>
      </w:pPr>
      <w:r>
        <w:t>In Round 17, RHH patients in each of these scenarios were treated in the following ways:</w:t>
      </w:r>
    </w:p>
    <w:p w:rsidR="00F67619" w:rsidRDefault="00F67619" w:rsidP="00F67619">
      <w:pPr>
        <w:pStyle w:val="PwCNormal"/>
        <w:numPr>
          <w:ilvl w:val="0"/>
          <w:numId w:val="44"/>
        </w:numPr>
      </w:pPr>
      <w:r>
        <w:t>Scenario 1 patients were allocated FY 2012/13 costs for the full length of their stay. These patients were submitted to IHPA.</w:t>
      </w:r>
    </w:p>
    <w:p w:rsidR="00F67619" w:rsidRDefault="00F67619" w:rsidP="00F67619">
      <w:pPr>
        <w:pStyle w:val="PwCNormal"/>
        <w:numPr>
          <w:ilvl w:val="0"/>
          <w:numId w:val="44"/>
        </w:numPr>
      </w:pPr>
      <w:r>
        <w:t xml:space="preserve">Scenario 2 patients were allocated FY 2012/13 costs for the portion of their stay that fell within the year. No </w:t>
      </w:r>
      <w:r w:rsidRPr="002D3AAD">
        <w:t>costs were brought forward from prior years.</w:t>
      </w:r>
    </w:p>
    <w:p w:rsidR="00F67619" w:rsidRDefault="00F67619" w:rsidP="00F67619">
      <w:pPr>
        <w:pStyle w:val="PwCNormal"/>
        <w:numPr>
          <w:ilvl w:val="0"/>
          <w:numId w:val="44"/>
        </w:numPr>
      </w:pPr>
      <w:r>
        <w:t>Scenario 3 patients were allocated FY 2012/13 costs for the portion of their stay that fell within the year. These patients were then set aside and will be submitted to IHPA in future rounds.</w:t>
      </w:r>
    </w:p>
    <w:p w:rsidR="00F67619" w:rsidRDefault="00F67619" w:rsidP="00F67619">
      <w:pPr>
        <w:pStyle w:val="PwCNormal"/>
        <w:numPr>
          <w:ilvl w:val="0"/>
          <w:numId w:val="44"/>
        </w:numPr>
      </w:pPr>
      <w:r>
        <w:t xml:space="preserve">There were no scenario 4 patients in Round 17 at RHH. </w:t>
      </w:r>
    </w:p>
    <w:p w:rsidR="00F67619" w:rsidRDefault="00F67619" w:rsidP="00F67619">
      <w:pPr>
        <w:pStyle w:val="PwCNormal"/>
        <w:numPr>
          <w:ilvl w:val="0"/>
          <w:numId w:val="0"/>
        </w:numPr>
      </w:pPr>
      <w:r>
        <w:t>This is the first year that WIP adjustments were made to costing data at RHH, so costs will be brought forward for scenario 2 patients in future rounds.</w:t>
      </w:r>
    </w:p>
    <w:p w:rsidR="00F67619" w:rsidRPr="004E0B72" w:rsidRDefault="00F67619" w:rsidP="00F67619">
      <w:pPr>
        <w:pStyle w:val="Heading3"/>
      </w:pPr>
      <w:r>
        <w:t>Sample patients</w:t>
      </w:r>
    </w:p>
    <w:p w:rsidR="00F67619" w:rsidRDefault="002729CE" w:rsidP="00F67619">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F67619" w:rsidRPr="00E22F8A">
        <w:t>.</w:t>
      </w:r>
      <w:r w:rsidR="00F67619">
        <w:t xml:space="preserve"> The results</w:t>
      </w:r>
      <w:r w:rsidR="00F67619" w:rsidDel="000D3A01">
        <w:t xml:space="preserve"> </w:t>
      </w:r>
      <w:r w:rsidR="00F67619">
        <w:t>are listed in Table 7</w:t>
      </w:r>
      <w:r w:rsidR="008A2E49">
        <w:t>5</w:t>
      </w:r>
      <w:r w:rsidR="00F67619">
        <w:t xml:space="preserve"> below. No variances were noted in the reconciliation.</w:t>
      </w:r>
    </w:p>
    <w:p w:rsidR="00F67619" w:rsidRDefault="00F67619" w:rsidP="00F67619">
      <w:pPr>
        <w:pStyle w:val="Caption"/>
      </w:pPr>
      <w:r>
        <w:t xml:space="preserve">Table </w:t>
      </w:r>
      <w:fldSimple w:instr=" SEQ Table \* ARABIC ">
        <w:r w:rsidR="00575DFC">
          <w:rPr>
            <w:noProof/>
          </w:rPr>
          <w:t>76</w:t>
        </w:r>
      </w:fldSimple>
      <w:r>
        <w:rPr>
          <w:noProof/>
        </w:rPr>
        <w:t xml:space="preserve"> : </w:t>
      </w:r>
      <w:r w:rsidRPr="003A37A9">
        <w:rPr>
          <w:noProof/>
        </w:rPr>
        <w:t>Sample patient reconciliation with IHPA</w:t>
      </w:r>
    </w:p>
    <w:p w:rsidR="00F67619" w:rsidRDefault="00F67619" w:rsidP="00F67619">
      <w:pPr>
        <w:pStyle w:val="PwCNormal"/>
        <w:numPr>
          <w:ilvl w:val="0"/>
          <w:numId w:val="0"/>
        </w:numPr>
      </w:pPr>
      <w:r w:rsidRPr="002D3AAD">
        <w:rPr>
          <w:noProof/>
          <w:lang w:eastAsia="en-AU"/>
        </w:rPr>
        <w:drawing>
          <wp:inline distT="0" distB="0" distL="0" distR="0" wp14:anchorId="2F329943" wp14:editId="432E7210">
            <wp:extent cx="3600000" cy="980084"/>
            <wp:effectExtent l="0" t="0" r="635" b="0"/>
            <wp:docPr id="78" name="Picture 78"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600000" cy="980084"/>
                    </a:xfrm>
                    <a:prstGeom prst="rect">
                      <a:avLst/>
                    </a:prstGeom>
                    <a:noFill/>
                    <a:ln>
                      <a:noFill/>
                    </a:ln>
                  </pic:spPr>
                </pic:pic>
              </a:graphicData>
            </a:graphic>
          </wp:inline>
        </w:drawing>
      </w:r>
    </w:p>
    <w:p w:rsidR="00F67619" w:rsidRDefault="00F67619" w:rsidP="00F67619">
      <w:pPr>
        <w:kinsoku/>
        <w:overflowPunct/>
        <w:autoSpaceDE/>
        <w:autoSpaceDN/>
        <w:adjustRightInd/>
        <w:snapToGrid/>
      </w:pPr>
      <w:r>
        <w:br w:type="page"/>
      </w:r>
    </w:p>
    <w:p w:rsidR="00F67619" w:rsidRDefault="00F67619" w:rsidP="00F67619">
      <w:pPr>
        <w:pStyle w:val="Heading2"/>
        <w:spacing w:before="0" w:after="40"/>
      </w:pPr>
      <w:r>
        <w:lastRenderedPageBreak/>
        <w:t>Jurisdictional overview</w:t>
      </w:r>
    </w:p>
    <w:p w:rsidR="00F67619" w:rsidRDefault="00F67619" w:rsidP="00F67619">
      <w:pPr>
        <w:pStyle w:val="Heading3"/>
      </w:pPr>
      <w:r>
        <w:t>Overview of process</w:t>
      </w:r>
    </w:p>
    <w:p w:rsidR="00F67619" w:rsidRDefault="00F67619" w:rsidP="00F67619">
      <w:pPr>
        <w:pStyle w:val="PwCNormal"/>
        <w:numPr>
          <w:ilvl w:val="0"/>
          <w:numId w:val="0"/>
        </w:numPr>
      </w:pPr>
      <w:r>
        <w:t xml:space="preserve">DHHS performs the </w:t>
      </w:r>
      <w:proofErr w:type="spellStart"/>
      <w:r>
        <w:t>costings</w:t>
      </w:r>
      <w:proofErr w:type="spellEnd"/>
      <w:r>
        <w:t xml:space="preserve"> for all hospitals in the three THOS. This helps ensure consistency and comparability across the state, and to overcome skill shortages in more remote areas of the state. Input from hospitals is sought at various stages of the costing process, including at the PFRAC review stage through to review and reporting of costed results. Costed data is also presented to hospitals to assist with benchmarking and performance improvement processes. No additional process is performed other than that discussed in </w:t>
      </w:r>
      <w:r w:rsidR="00F84A9F">
        <w:t xml:space="preserve">Section </w:t>
      </w:r>
      <w:r w:rsidR="00367B9F">
        <w:fldChar w:fldCharType="begin"/>
      </w:r>
      <w:r w:rsidR="00367B9F">
        <w:instrText xml:space="preserve"> REF _Ref403229900 \r \h </w:instrText>
      </w:r>
      <w:r w:rsidR="00367B9F">
        <w:fldChar w:fldCharType="separate"/>
      </w:r>
      <w:r w:rsidR="00575DFC">
        <w:t>8.2</w:t>
      </w:r>
      <w:r w:rsidR="00367B9F">
        <w:fldChar w:fldCharType="end"/>
      </w:r>
      <w:r>
        <w:t>.</w:t>
      </w:r>
    </w:p>
    <w:p w:rsidR="00F67619" w:rsidRDefault="00F67619" w:rsidP="00F67619">
      <w:pPr>
        <w:pStyle w:val="Heading3"/>
      </w:pPr>
      <w:r>
        <w:t>Adjustments to costed dataset</w:t>
      </w:r>
    </w:p>
    <w:p w:rsidR="00F67619" w:rsidRDefault="00F67619" w:rsidP="00F67619">
      <w:pPr>
        <w:pStyle w:val="PwCNormal"/>
        <w:numPr>
          <w:ilvl w:val="0"/>
          <w:numId w:val="0"/>
        </w:numPr>
      </w:pPr>
      <w:r>
        <w:t>The following adjustments were made to the dataset before submission to IHPA:</w:t>
      </w:r>
    </w:p>
    <w:p w:rsidR="00F67619" w:rsidRDefault="00F67619" w:rsidP="00F67619">
      <w:pPr>
        <w:pStyle w:val="PwCNormal"/>
        <w:numPr>
          <w:ilvl w:val="0"/>
          <w:numId w:val="52"/>
        </w:numPr>
      </w:pPr>
      <w:r>
        <w:t>$40</w:t>
      </w:r>
      <w:r w:rsidR="007D0F17">
        <w:t xml:space="preserve"> </w:t>
      </w:r>
      <w:r>
        <w:t>m</w:t>
      </w:r>
      <w:r w:rsidR="007D0F17">
        <w:t>illion</w:t>
      </w:r>
      <w:r>
        <w:t xml:space="preserve"> relating to the oral health program whose costs sit in the RHH GL was removed.</w:t>
      </w:r>
    </w:p>
    <w:p w:rsidR="00F67619" w:rsidRDefault="00F67619" w:rsidP="00F67619">
      <w:pPr>
        <w:pStyle w:val="PwCNormal"/>
        <w:numPr>
          <w:ilvl w:val="0"/>
          <w:numId w:val="52"/>
        </w:numPr>
      </w:pPr>
      <w:r>
        <w:t>$25.4</w:t>
      </w:r>
      <w:r w:rsidR="007D0F17">
        <w:t xml:space="preserve"> </w:t>
      </w:r>
      <w:r>
        <w:t>m</w:t>
      </w:r>
      <w:r w:rsidR="007D0F17">
        <w:t>illion</w:t>
      </w:r>
      <w:r>
        <w:t xml:space="preserve"> for out-of-scope activity relating to private patients was removed. This is a special arrangement with the DHHS and is not funded under ABF.</w:t>
      </w:r>
    </w:p>
    <w:p w:rsidR="00F67619" w:rsidRDefault="00F67619" w:rsidP="00F67619">
      <w:pPr>
        <w:pStyle w:val="PwCNormal"/>
        <w:numPr>
          <w:ilvl w:val="0"/>
          <w:numId w:val="52"/>
        </w:numPr>
      </w:pPr>
      <w:r>
        <w:t>$18</w:t>
      </w:r>
      <w:r w:rsidR="007D0F17">
        <w:t xml:space="preserve"> </w:t>
      </w:r>
      <w:r>
        <w:t>m</w:t>
      </w:r>
      <w:r w:rsidR="007D0F17">
        <w:t>illion</w:t>
      </w:r>
      <w:r>
        <w:t xml:space="preserve"> relating to teaching was removed.</w:t>
      </w:r>
    </w:p>
    <w:p w:rsidR="00F67619" w:rsidRDefault="00F67619" w:rsidP="00F67619">
      <w:pPr>
        <w:pStyle w:val="PwCNormal"/>
        <w:numPr>
          <w:ilvl w:val="0"/>
          <w:numId w:val="52"/>
        </w:numPr>
      </w:pPr>
      <w:r>
        <w:t>$12.9</w:t>
      </w:r>
      <w:r w:rsidR="007D0F17">
        <w:t xml:space="preserve"> </w:t>
      </w:r>
      <w:r>
        <w:t>m</w:t>
      </w:r>
      <w:r w:rsidR="007D0F17">
        <w:t>illion</w:t>
      </w:r>
      <w:r>
        <w:t xml:space="preserve"> relating to activity that was provided for and recorded at other facilities was removed.</w:t>
      </w:r>
    </w:p>
    <w:p w:rsidR="00F67619" w:rsidRDefault="00F67619" w:rsidP="00F67619">
      <w:pPr>
        <w:pStyle w:val="PwCNormal"/>
        <w:numPr>
          <w:ilvl w:val="0"/>
          <w:numId w:val="52"/>
        </w:numPr>
      </w:pPr>
      <w:r>
        <w:t>$1.7</w:t>
      </w:r>
      <w:r w:rsidR="007D0F17">
        <w:t xml:space="preserve"> </w:t>
      </w:r>
      <w:r>
        <w:t>m</w:t>
      </w:r>
      <w:r w:rsidR="007D0F17">
        <w:t>illion</w:t>
      </w:r>
      <w:r>
        <w:t xml:space="preserve"> was allocated to 391 patients who were not discharged by the end of the financial year. These patients and their allocated costs were removed from the dataset and will be submitted to IHPA in future rounds of the NHCDC.</w:t>
      </w:r>
    </w:p>
    <w:p w:rsidR="00F67619" w:rsidRDefault="00F67619" w:rsidP="00F67619">
      <w:pPr>
        <w:pStyle w:val="Heading3"/>
      </w:pPr>
      <w:r>
        <w:t>Reconciliation with IHPA</w:t>
      </w:r>
    </w:p>
    <w:p w:rsidR="00F67619" w:rsidRDefault="0008008B" w:rsidP="00F67619">
      <w:pPr>
        <w:pStyle w:val="PwCNormal"/>
        <w:numPr>
          <w:ilvl w:val="0"/>
          <w:numId w:val="0"/>
        </w:numPr>
      </w:pPr>
      <w:r>
        <w:fldChar w:fldCharType="begin"/>
      </w:r>
      <w:r>
        <w:instrText xml:space="preserve"> REF _Ref403232017 \h </w:instrText>
      </w:r>
      <w:r>
        <w:fldChar w:fldCharType="separate"/>
      </w:r>
      <w:r w:rsidR="00575DFC">
        <w:t xml:space="preserve">Table </w:t>
      </w:r>
      <w:r w:rsidR="00575DFC">
        <w:rPr>
          <w:noProof/>
        </w:rPr>
        <w:t>77</w:t>
      </w:r>
      <w:r>
        <w:fldChar w:fldCharType="end"/>
      </w:r>
      <w:r w:rsidR="00CB38E7">
        <w:t xml:space="preserve"> </w:t>
      </w:r>
      <w:r w:rsidRPr="005B6050">
        <w:t>below compares the total costs and activity</w:t>
      </w:r>
      <w:r>
        <w:t xml:space="preserve"> records</w:t>
      </w:r>
      <w:r w:rsidRPr="005B6050">
        <w:t xml:space="preserve"> subm</w:t>
      </w:r>
      <w:r>
        <w:t>itted by the jurisdiction with</w:t>
      </w:r>
      <w:r w:rsidRPr="005B6050">
        <w:t xml:space="preserve"> the total costs and activity </w:t>
      </w:r>
      <w:r>
        <w:t>records that were received by IHPA.</w:t>
      </w:r>
      <w:r w:rsidR="00F67619">
        <w:t xml:space="preserve"> A variance of $75,000 was noted, which represents 0.02% of the total costs dataset.</w:t>
      </w:r>
    </w:p>
    <w:p w:rsidR="00F67619" w:rsidRDefault="00F67619" w:rsidP="00F67619">
      <w:pPr>
        <w:pStyle w:val="Caption"/>
      </w:pPr>
      <w:bookmarkStart w:id="118" w:name="_Ref403232017"/>
      <w:r>
        <w:t xml:space="preserve">Table </w:t>
      </w:r>
      <w:fldSimple w:instr=" SEQ Table \* ARABIC ">
        <w:r w:rsidR="00575DFC">
          <w:rPr>
            <w:noProof/>
          </w:rPr>
          <w:t>77</w:t>
        </w:r>
      </w:fldSimple>
      <w:bookmarkEnd w:id="118"/>
      <w:r>
        <w:t xml:space="preserve">: </w:t>
      </w:r>
      <w:r w:rsidRPr="00E459A0">
        <w:t>Reconciliation of total costs and activity submitted</w:t>
      </w:r>
    </w:p>
    <w:p w:rsidR="00F67619" w:rsidRDefault="00F67619" w:rsidP="00F67619">
      <w:pPr>
        <w:pStyle w:val="PwCNormal"/>
        <w:numPr>
          <w:ilvl w:val="0"/>
          <w:numId w:val="0"/>
        </w:numPr>
      </w:pPr>
      <w:r w:rsidRPr="0096149B">
        <w:rPr>
          <w:noProof/>
          <w:lang w:eastAsia="en-AU"/>
        </w:rPr>
        <w:drawing>
          <wp:inline distT="0" distB="0" distL="0" distR="0" wp14:anchorId="67DA97AB" wp14:editId="47F95C61">
            <wp:extent cx="2919600" cy="1908000"/>
            <wp:effectExtent l="0" t="0" r="0" b="0"/>
            <wp:docPr id="28" name="Picture 28" descr="This table details the costs and activity submitted by the jurisdiction and what was received by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19600" cy="1908000"/>
                    </a:xfrm>
                    <a:prstGeom prst="rect">
                      <a:avLst/>
                    </a:prstGeom>
                    <a:noFill/>
                    <a:ln>
                      <a:noFill/>
                    </a:ln>
                  </pic:spPr>
                </pic:pic>
              </a:graphicData>
            </a:graphic>
          </wp:inline>
        </w:drawing>
      </w:r>
    </w:p>
    <w:p w:rsidR="00BD07CD" w:rsidRDefault="00BD07CD">
      <w:pPr>
        <w:kinsoku/>
        <w:overflowPunct/>
        <w:autoSpaceDE/>
        <w:autoSpaceDN/>
        <w:adjustRightInd/>
        <w:snapToGrid/>
        <w:rPr>
          <w:b/>
        </w:rPr>
      </w:pPr>
      <w:r>
        <w:rPr>
          <w:b/>
        </w:rPr>
        <w:br w:type="page"/>
      </w:r>
    </w:p>
    <w:p w:rsidR="00BD07CD" w:rsidRDefault="00BD07CD" w:rsidP="00BD07CD">
      <w:pPr>
        <w:pStyle w:val="Heading1"/>
      </w:pPr>
      <w:bookmarkStart w:id="119" w:name="_Toc404355509"/>
      <w:r>
        <w:lastRenderedPageBreak/>
        <w:t>Victoria</w:t>
      </w:r>
      <w:bookmarkEnd w:id="119"/>
    </w:p>
    <w:p w:rsidR="00BD07CD" w:rsidRPr="00263213" w:rsidRDefault="00BD07CD" w:rsidP="00BD07CD">
      <w:pPr>
        <w:pStyle w:val="Heading2"/>
        <w:spacing w:before="0" w:after="40"/>
      </w:pPr>
      <w:bookmarkStart w:id="120" w:name="_Ref402968377"/>
      <w:r w:rsidRPr="00263213">
        <w:t xml:space="preserve">Victoria </w:t>
      </w:r>
      <w:bookmarkEnd w:id="120"/>
      <w:r w:rsidR="0063671A" w:rsidRPr="0076262B">
        <w:t>overall</w:t>
      </w:r>
    </w:p>
    <w:p w:rsidR="00BD07CD" w:rsidRPr="00263213" w:rsidRDefault="0067656D" w:rsidP="0067656D">
      <w:pPr>
        <w:pStyle w:val="Default"/>
        <w:spacing w:after="240"/>
        <w:rPr>
          <w:sz w:val="20"/>
          <w:szCs w:val="20"/>
        </w:rPr>
      </w:pPr>
      <w:r w:rsidRPr="00263213">
        <w:rPr>
          <w:sz w:val="20"/>
          <w:szCs w:val="20"/>
        </w:rPr>
        <w:t>Each</w:t>
      </w:r>
      <w:r w:rsidR="00BD07CD" w:rsidRPr="00263213">
        <w:rPr>
          <w:sz w:val="20"/>
          <w:szCs w:val="20"/>
        </w:rPr>
        <w:t xml:space="preserve"> Heal</w:t>
      </w:r>
      <w:r w:rsidRPr="00263213">
        <w:rPr>
          <w:sz w:val="20"/>
          <w:szCs w:val="20"/>
        </w:rPr>
        <w:t>th Service (HS</w:t>
      </w:r>
      <w:r w:rsidR="00BD07CD" w:rsidRPr="00263213">
        <w:rPr>
          <w:sz w:val="20"/>
          <w:szCs w:val="20"/>
        </w:rPr>
        <w:t xml:space="preserve">) within </w:t>
      </w:r>
      <w:r w:rsidR="0033116C">
        <w:rPr>
          <w:sz w:val="20"/>
          <w:szCs w:val="20"/>
        </w:rPr>
        <w:t>VIC</w:t>
      </w:r>
      <w:r w:rsidR="0033116C" w:rsidRPr="00263213">
        <w:rPr>
          <w:sz w:val="20"/>
          <w:szCs w:val="20"/>
        </w:rPr>
        <w:t xml:space="preserve"> </w:t>
      </w:r>
      <w:r w:rsidR="0018270C" w:rsidRPr="00263213">
        <w:rPr>
          <w:sz w:val="20"/>
          <w:szCs w:val="20"/>
        </w:rPr>
        <w:t>is</w:t>
      </w:r>
      <w:r w:rsidRPr="00263213">
        <w:rPr>
          <w:sz w:val="20"/>
          <w:szCs w:val="20"/>
        </w:rPr>
        <w:t xml:space="preserve"> responsible for prepar</w:t>
      </w:r>
      <w:r w:rsidR="00F4623C" w:rsidRPr="0076262B">
        <w:rPr>
          <w:sz w:val="20"/>
          <w:szCs w:val="20"/>
        </w:rPr>
        <w:t>ing</w:t>
      </w:r>
      <w:r w:rsidRPr="00263213">
        <w:rPr>
          <w:sz w:val="20"/>
          <w:szCs w:val="20"/>
        </w:rPr>
        <w:t xml:space="preserve">, processing and submitting </w:t>
      </w:r>
      <w:r w:rsidR="00F4623C" w:rsidRPr="0076262B">
        <w:rPr>
          <w:sz w:val="20"/>
          <w:szCs w:val="20"/>
        </w:rPr>
        <w:t xml:space="preserve">its </w:t>
      </w:r>
      <w:r w:rsidRPr="00263213">
        <w:rPr>
          <w:sz w:val="20"/>
          <w:szCs w:val="20"/>
        </w:rPr>
        <w:t xml:space="preserve">costed data to the Victorian Department of Health (DH). </w:t>
      </w:r>
      <w:r w:rsidR="00F4623C" w:rsidRPr="0076262B">
        <w:rPr>
          <w:sz w:val="20"/>
          <w:szCs w:val="20"/>
        </w:rPr>
        <w:t>The data collected in this</w:t>
      </w:r>
      <w:r w:rsidRPr="00263213">
        <w:rPr>
          <w:sz w:val="20"/>
          <w:szCs w:val="20"/>
        </w:rPr>
        <w:t xml:space="preserve"> Victorian Cost Data Collection (VCDC) is the primary data </w:t>
      </w:r>
      <w:r w:rsidR="00F4623C" w:rsidRPr="0076262B">
        <w:rPr>
          <w:sz w:val="20"/>
          <w:szCs w:val="20"/>
        </w:rPr>
        <w:t xml:space="preserve">behind </w:t>
      </w:r>
      <w:r w:rsidRPr="00263213">
        <w:rPr>
          <w:sz w:val="20"/>
          <w:szCs w:val="20"/>
        </w:rPr>
        <w:t>the state’s activity planning and budgeting</w:t>
      </w:r>
      <w:r w:rsidR="00F4623C" w:rsidRPr="0076262B">
        <w:rPr>
          <w:sz w:val="20"/>
          <w:szCs w:val="20"/>
        </w:rPr>
        <w:t xml:space="preserve"> process</w:t>
      </w:r>
      <w:r w:rsidR="0018270C" w:rsidRPr="00263213">
        <w:rPr>
          <w:sz w:val="20"/>
          <w:szCs w:val="20"/>
        </w:rPr>
        <w:t xml:space="preserve">, but also </w:t>
      </w:r>
      <w:r w:rsidR="00F4623C" w:rsidRPr="0076262B">
        <w:rPr>
          <w:sz w:val="20"/>
          <w:szCs w:val="20"/>
        </w:rPr>
        <w:t>forms the basis of</w:t>
      </w:r>
      <w:r w:rsidR="0018270C" w:rsidRPr="00263213">
        <w:rPr>
          <w:sz w:val="20"/>
          <w:szCs w:val="20"/>
        </w:rPr>
        <w:t xml:space="preserve"> </w:t>
      </w:r>
      <w:r w:rsidR="0033116C">
        <w:rPr>
          <w:sz w:val="20"/>
          <w:szCs w:val="20"/>
        </w:rPr>
        <w:t>VIC</w:t>
      </w:r>
      <w:r w:rsidR="0033116C" w:rsidRPr="0076262B">
        <w:rPr>
          <w:sz w:val="20"/>
          <w:szCs w:val="20"/>
        </w:rPr>
        <w:t xml:space="preserve">’s </w:t>
      </w:r>
      <w:r w:rsidR="0018270C" w:rsidRPr="00263213">
        <w:rPr>
          <w:sz w:val="20"/>
          <w:szCs w:val="20"/>
        </w:rPr>
        <w:t>NHCDC submission.</w:t>
      </w:r>
    </w:p>
    <w:p w:rsidR="00DB36B7" w:rsidRPr="00263213" w:rsidRDefault="0067656D" w:rsidP="00DB36B7">
      <w:pPr>
        <w:pStyle w:val="PwCNormal"/>
      </w:pPr>
      <w:r w:rsidRPr="00263213">
        <w:t>Once the</w:t>
      </w:r>
      <w:r w:rsidR="00F4623C" w:rsidRPr="0076262B">
        <w:t xml:space="preserve"> DH receives the costing</w:t>
      </w:r>
      <w:r w:rsidRPr="00263213">
        <w:t xml:space="preserve"> </w:t>
      </w:r>
      <w:r w:rsidR="00F4623C" w:rsidRPr="0076262B">
        <w:t>data</w:t>
      </w:r>
      <w:r w:rsidR="00BD07CD" w:rsidRPr="00263213">
        <w:t>, jurisdictional staff</w:t>
      </w:r>
      <w:r w:rsidR="00F4623C" w:rsidRPr="0076262B">
        <w:t xml:space="preserve"> members</w:t>
      </w:r>
      <w:r w:rsidR="00BD07CD" w:rsidRPr="00263213">
        <w:t xml:space="preserve"> within the Information and Funding Systems Branch perform a number of internal </w:t>
      </w:r>
      <w:r w:rsidRPr="00263213">
        <w:t xml:space="preserve">reviews and check </w:t>
      </w:r>
      <w:r w:rsidR="00F4623C" w:rsidRPr="0076262B">
        <w:t>t</w:t>
      </w:r>
      <w:r w:rsidRPr="00263213">
        <w:t xml:space="preserve">he data. Any issues identified </w:t>
      </w:r>
      <w:r w:rsidR="00F4623C" w:rsidRPr="0076262B">
        <w:t xml:space="preserve">in </w:t>
      </w:r>
      <w:r w:rsidRPr="00263213">
        <w:t xml:space="preserve">this </w:t>
      </w:r>
      <w:r w:rsidR="00F4623C" w:rsidRPr="0076262B">
        <w:t>are</w:t>
      </w:r>
      <w:r w:rsidRPr="00263213">
        <w:t xml:space="preserve"> </w:t>
      </w:r>
      <w:r w:rsidR="001726E0" w:rsidRPr="00263213">
        <w:t xml:space="preserve">investigated with the </w:t>
      </w:r>
      <w:r w:rsidR="002821F4" w:rsidRPr="0076262B">
        <w:t>HS, which</w:t>
      </w:r>
      <w:r w:rsidR="001726E0" w:rsidRPr="00263213">
        <w:t xml:space="preserve"> may or may not require </w:t>
      </w:r>
      <w:r w:rsidR="00F4623C" w:rsidRPr="0076262B">
        <w:t xml:space="preserve">a </w:t>
      </w:r>
      <w:r w:rsidR="001726E0" w:rsidRPr="00263213">
        <w:t>resubmission. If data is resubmitted, the DH run</w:t>
      </w:r>
      <w:r w:rsidR="00F4623C" w:rsidRPr="0076262B">
        <w:t>s</w:t>
      </w:r>
      <w:r w:rsidR="001726E0" w:rsidRPr="00263213">
        <w:t xml:space="preserve"> the same reviews and checks </w:t>
      </w:r>
      <w:r w:rsidR="00F4623C" w:rsidRPr="0076262B">
        <w:t>again before submitting the data to the IHPA</w:t>
      </w:r>
      <w:r w:rsidR="001726E0" w:rsidRPr="00263213">
        <w:t>.</w:t>
      </w:r>
    </w:p>
    <w:p w:rsidR="0067656D" w:rsidRPr="00263213" w:rsidRDefault="00BD07CD" w:rsidP="00BD07CD">
      <w:pPr>
        <w:pStyle w:val="PwCNormal"/>
      </w:pPr>
      <w:r w:rsidRPr="00263213">
        <w:t xml:space="preserve">The DH </w:t>
      </w:r>
      <w:r w:rsidR="00DB36B7" w:rsidRPr="00263213">
        <w:t>uses VCDC data f</w:t>
      </w:r>
      <w:r w:rsidR="0018270C" w:rsidRPr="00263213">
        <w:t xml:space="preserve">or the NHCDC submissions, but </w:t>
      </w:r>
      <w:r w:rsidR="00DB36B7" w:rsidRPr="00263213">
        <w:t xml:space="preserve">maps the data so the VCDC mapping aligns to the NHCDC mapping. </w:t>
      </w:r>
      <w:r w:rsidR="00F4623C" w:rsidRPr="0076262B">
        <w:t xml:space="preserve">It then submits this </w:t>
      </w:r>
      <w:r w:rsidR="00DB36B7" w:rsidRPr="00263213">
        <w:t>data to</w:t>
      </w:r>
      <w:r w:rsidR="00F4623C" w:rsidRPr="0076262B">
        <w:t xml:space="preserve"> the</w:t>
      </w:r>
      <w:r w:rsidR="00DB36B7" w:rsidRPr="00263213">
        <w:t xml:space="preserve"> IHPA for </w:t>
      </w:r>
      <w:r w:rsidR="00F4623C" w:rsidRPr="0076262B">
        <w:t xml:space="preserve">inclusion in </w:t>
      </w:r>
      <w:r w:rsidR="00DB36B7" w:rsidRPr="00263213">
        <w:t xml:space="preserve">the NHCDC. </w:t>
      </w:r>
      <w:r w:rsidR="00F4623C" w:rsidRPr="0076262B">
        <w:t>DH nominated</w:t>
      </w:r>
      <w:r w:rsidR="00DB36B7" w:rsidRPr="00263213">
        <w:t xml:space="preserve"> Barwon Health</w:t>
      </w:r>
      <w:r w:rsidR="0018270C" w:rsidRPr="00263213">
        <w:t xml:space="preserve"> (BH)</w:t>
      </w:r>
      <w:r w:rsidR="00DB36B7" w:rsidRPr="00263213">
        <w:t xml:space="preserve"> and Western Health</w:t>
      </w:r>
      <w:r w:rsidR="00F12946" w:rsidRPr="00263213">
        <w:t xml:space="preserve"> (WH)</w:t>
      </w:r>
      <w:r w:rsidR="00DB36B7" w:rsidRPr="00263213">
        <w:t xml:space="preserve"> </w:t>
      </w:r>
      <w:r w:rsidR="00F4623C" w:rsidRPr="0076262B">
        <w:t>for inclusion in Round 17</w:t>
      </w:r>
      <w:r w:rsidR="00DB36B7" w:rsidRPr="00263213">
        <w:t>.</w:t>
      </w:r>
    </w:p>
    <w:p w:rsidR="00BD07CD" w:rsidRDefault="00BD07CD" w:rsidP="00BD07CD">
      <w:pPr>
        <w:pStyle w:val="Heading2"/>
        <w:spacing w:before="0" w:after="40"/>
      </w:pPr>
      <w:r>
        <w:t>Western Health</w:t>
      </w:r>
    </w:p>
    <w:p w:rsidR="00BD07CD" w:rsidRPr="004E0B72" w:rsidRDefault="00BD07CD" w:rsidP="00CE5EF2">
      <w:pPr>
        <w:pStyle w:val="Heading3"/>
      </w:pPr>
      <w:r>
        <w:t>Site overview</w:t>
      </w:r>
    </w:p>
    <w:p w:rsidR="00BD07CD" w:rsidRDefault="00F12946" w:rsidP="00BD07CD">
      <w:pPr>
        <w:pStyle w:val="PwCNormal"/>
        <w:numPr>
          <w:ilvl w:val="0"/>
          <w:numId w:val="0"/>
        </w:numPr>
        <w:spacing w:before="240"/>
      </w:pPr>
      <w:r>
        <w:t>WH</w:t>
      </w:r>
      <w:r w:rsidR="00BD07CD">
        <w:t xml:space="preserve"> </w:t>
      </w:r>
      <w:r>
        <w:t>contains</w:t>
      </w:r>
      <w:r w:rsidR="00BD07CD">
        <w:t xml:space="preserve"> three acute hospitals, Western Hospital, Sunshine Hospital and the Williamstown hospital. These hospitals provide a range of acute and </w:t>
      </w:r>
      <w:r w:rsidR="006A7030">
        <w:t>sub-acute</w:t>
      </w:r>
      <w:r w:rsidR="00422464">
        <w:t xml:space="preserve"> health services. Sunshine H</w:t>
      </w:r>
      <w:r w:rsidR="00BD07CD">
        <w:t xml:space="preserve">ospital currently caters for the highest number of births in the State. Western Health also operates a day procedure centre in Sunbury and in FY12-13 a small aged care facility in </w:t>
      </w:r>
      <w:r w:rsidR="002821F4">
        <w:t>Melton, which</w:t>
      </w:r>
      <w:r w:rsidR="00BD07CD">
        <w:t xml:space="preserve"> has since been closed. </w:t>
      </w:r>
    </w:p>
    <w:p w:rsidR="00BD07CD" w:rsidRDefault="00BD07CD" w:rsidP="00BD07CD">
      <w:pPr>
        <w:pStyle w:val="PwCNormal"/>
        <w:numPr>
          <w:ilvl w:val="0"/>
          <w:numId w:val="0"/>
        </w:numPr>
      </w:pPr>
      <w:r>
        <w:t>WH</w:t>
      </w:r>
      <w:r w:rsidR="00F12946">
        <w:t xml:space="preserve"> </w:t>
      </w:r>
      <w:r>
        <w:t>operates across the western metropolitan area of Melbourne. Its catchment area is diverse</w:t>
      </w:r>
      <w:r w:rsidR="00F12946">
        <w:t>,</w:t>
      </w:r>
      <w:r>
        <w:t xml:space="preserve"> covering significant residential areas that are experiencing rapid population growth while also including large pockets of dense industrial precincts that are in decline. The catchment area can be categorised as having significant levels of socioeconomic disadvantage. A large proportion of the population of the background nominate English as a second language, with areas in the inner west experiencing a strong population growth from resettled refugees.  </w:t>
      </w:r>
    </w:p>
    <w:p w:rsidR="00F12946" w:rsidRDefault="00BD07CD" w:rsidP="00BD07CD">
      <w:pPr>
        <w:pStyle w:val="PwCNormal"/>
        <w:numPr>
          <w:ilvl w:val="0"/>
          <w:numId w:val="0"/>
        </w:numPr>
      </w:pPr>
      <w:r w:rsidRPr="00BA4A32">
        <w:t>Western Health uses the Power Performance Management</w:t>
      </w:r>
      <w:r>
        <w:t xml:space="preserve"> (PPM2)</w:t>
      </w:r>
      <w:r w:rsidRPr="00BA4A32">
        <w:t xml:space="preserve"> costing </w:t>
      </w:r>
      <w:r w:rsidR="002821F4" w:rsidRPr="00BA4A32">
        <w:t>system, which</w:t>
      </w:r>
      <w:r w:rsidRPr="00BA4A32">
        <w:t xml:space="preserve"> w</w:t>
      </w:r>
      <w:r>
        <w:t>as introduced in January 2013</w:t>
      </w:r>
      <w:r w:rsidRPr="00BA4A32">
        <w:t xml:space="preserve">. </w:t>
      </w:r>
      <w:r>
        <w:t>The costing process</w:t>
      </w:r>
      <w:r w:rsidR="00F12946">
        <w:t xml:space="preserve"> undertaken by WH’s Performance Unit is conducted for all three WH hospitals and is submitted as part of the VCDC, and then ultimately to IHPA.</w:t>
      </w:r>
    </w:p>
    <w:p w:rsidR="00F12946" w:rsidRPr="00AB4287" w:rsidRDefault="00F12946" w:rsidP="00F12946">
      <w:pPr>
        <w:pStyle w:val="PwCNormal"/>
      </w:pPr>
      <w:r>
        <w:fldChar w:fldCharType="begin"/>
      </w:r>
      <w:r>
        <w:instrText xml:space="preserve"> REF _Ref402957065 \h </w:instrText>
      </w:r>
      <w:r>
        <w:fldChar w:fldCharType="separate"/>
      </w:r>
      <w:r w:rsidR="00575DFC">
        <w:t xml:space="preserve">Table </w:t>
      </w:r>
      <w:r w:rsidR="00575DFC">
        <w:rPr>
          <w:noProof/>
        </w:rPr>
        <w:t>78</w:t>
      </w:r>
      <w:r>
        <w:fldChar w:fldCharType="end"/>
      </w:r>
      <w:r>
        <w:t xml:space="preserve"> below is a summary of costs</w:t>
      </w:r>
      <w:r w:rsidR="0018270C">
        <w:t>,</w:t>
      </w:r>
      <w:r>
        <w:t xml:space="preserve"> beginning with total expenses from the GL through to the total costs submitted to IHPA with the various adjustments made during the process. We note a $52</w:t>
      </w:r>
      <w:r w:rsidRPr="00AB4287">
        <w:t xml:space="preserve">,000 variance </w:t>
      </w:r>
      <w:r w:rsidR="00422464">
        <w:t>between</w:t>
      </w:r>
      <w:r w:rsidRPr="00AB4287">
        <w:t xml:space="preserve"> the total hospital expenses</w:t>
      </w:r>
      <w:r>
        <w:t xml:space="preserve"> in the GL</w:t>
      </w:r>
      <w:r w:rsidR="00422464">
        <w:t>,</w:t>
      </w:r>
      <w:r>
        <w:t xml:space="preserve"> and </w:t>
      </w:r>
      <w:r w:rsidR="00422464">
        <w:t>allocated costs in</w:t>
      </w:r>
      <w:r>
        <w:t xml:space="preserve"> patient care areas and overhead areas. This </w:t>
      </w:r>
      <w:r w:rsidR="00FC12C1">
        <w:t>variance is due to timing differences between when the costing was performed and when the financial statements were released</w:t>
      </w:r>
      <w:r w:rsidR="0018270C">
        <w:t>, and</w:t>
      </w:r>
      <w:r w:rsidR="00FC12C1">
        <w:t xml:space="preserve"> </w:t>
      </w:r>
      <w:r>
        <w:t>represents 0.1</w:t>
      </w:r>
      <w:r w:rsidRPr="00AB4287">
        <w:t>% of total costs.</w:t>
      </w:r>
    </w:p>
    <w:p w:rsidR="00F12946" w:rsidRDefault="00F12946" w:rsidP="00BD07CD">
      <w:pPr>
        <w:pStyle w:val="PwCNormal"/>
        <w:numPr>
          <w:ilvl w:val="0"/>
          <w:numId w:val="0"/>
        </w:numPr>
      </w:pPr>
    </w:p>
    <w:p w:rsidR="000868A0" w:rsidRDefault="000868A0" w:rsidP="000868A0">
      <w:pPr>
        <w:pStyle w:val="Caption"/>
      </w:pPr>
      <w:bookmarkStart w:id="121" w:name="_Ref402957065"/>
      <w:r>
        <w:lastRenderedPageBreak/>
        <w:t xml:space="preserve">Table </w:t>
      </w:r>
      <w:r w:rsidR="008379DC">
        <w:fldChar w:fldCharType="begin"/>
      </w:r>
      <w:r w:rsidR="009E64DF">
        <w:instrText xml:space="preserve"> SEQ Table \* ARABIC </w:instrText>
      </w:r>
      <w:r w:rsidR="008379DC">
        <w:fldChar w:fldCharType="separate"/>
      </w:r>
      <w:r w:rsidR="00575DFC">
        <w:rPr>
          <w:noProof/>
        </w:rPr>
        <w:t>78</w:t>
      </w:r>
      <w:r w:rsidR="008379DC">
        <w:rPr>
          <w:noProof/>
        </w:rPr>
        <w:fldChar w:fldCharType="end"/>
      </w:r>
      <w:bookmarkEnd w:id="121"/>
      <w:r>
        <w:t xml:space="preserve">: </w:t>
      </w:r>
      <w:r w:rsidRPr="001D4D2B">
        <w:t xml:space="preserve">Financial </w:t>
      </w:r>
      <w:r w:rsidR="00957F28">
        <w:t>o</w:t>
      </w:r>
      <w:r w:rsidRPr="001D4D2B">
        <w:t xml:space="preserve">verview of </w:t>
      </w:r>
      <w:r>
        <w:t>Western Health</w:t>
      </w:r>
      <w:r w:rsidR="00957F28">
        <w:t>,</w:t>
      </w:r>
      <w:r w:rsidRPr="001D4D2B">
        <w:t xml:space="preserve"> FY 2012/13</w:t>
      </w:r>
    </w:p>
    <w:p w:rsidR="005F7CE2" w:rsidRPr="00C50181" w:rsidRDefault="005F7CE2" w:rsidP="005F7CE2">
      <w:pPr>
        <w:pStyle w:val="PwCNormal"/>
        <w:rPr>
          <w:highlight w:val="yellow"/>
        </w:rPr>
      </w:pPr>
      <w:r w:rsidRPr="005F7CE2">
        <w:rPr>
          <w:noProof/>
          <w:lang w:eastAsia="en-AU"/>
        </w:rPr>
        <w:drawing>
          <wp:inline distT="0" distB="0" distL="0" distR="0" wp14:anchorId="4459C63C" wp14:editId="4316D333">
            <wp:extent cx="5173200" cy="3855600"/>
            <wp:effectExtent l="0" t="0" r="8890" b="0"/>
            <wp:docPr id="12" name="Picture 12" descr="This table displays how costs are treated in the general leager through to final cost submission to IHPA." title="Financial overview of Wester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173200" cy="3855600"/>
                    </a:xfrm>
                    <a:prstGeom prst="rect">
                      <a:avLst/>
                    </a:prstGeom>
                    <a:noFill/>
                    <a:ln>
                      <a:noFill/>
                    </a:ln>
                  </pic:spPr>
                </pic:pic>
              </a:graphicData>
            </a:graphic>
          </wp:inline>
        </w:drawing>
      </w:r>
    </w:p>
    <w:p w:rsidR="00BD07CD" w:rsidRPr="00DE22CA" w:rsidRDefault="00BD07CD" w:rsidP="00CE5EF2">
      <w:pPr>
        <w:pStyle w:val="Heading3"/>
      </w:pPr>
      <w:r w:rsidRPr="00DE22CA">
        <w:t xml:space="preserve">Financial </w:t>
      </w:r>
      <w:r w:rsidR="00CB38E7">
        <w:t>d</w:t>
      </w:r>
      <w:r w:rsidRPr="00DE22CA">
        <w:t>ata</w:t>
      </w:r>
    </w:p>
    <w:p w:rsidR="00BD07CD" w:rsidRPr="00DE22CA" w:rsidRDefault="00CA6711" w:rsidP="00BD07CD">
      <w:pPr>
        <w:pStyle w:val="PwCNormal"/>
        <w:numPr>
          <w:ilvl w:val="0"/>
          <w:numId w:val="0"/>
        </w:numPr>
        <w:rPr>
          <w:b/>
        </w:rPr>
      </w:pPr>
      <w:r>
        <w:rPr>
          <w:b/>
        </w:rPr>
        <w:t xml:space="preserve">General </w:t>
      </w:r>
      <w:r w:rsidR="009D552E">
        <w:rPr>
          <w:b/>
        </w:rPr>
        <w:t>L</w:t>
      </w:r>
      <w:r w:rsidR="00BD07CD" w:rsidRPr="00DE22CA">
        <w:rPr>
          <w:b/>
        </w:rPr>
        <w:t>edger (Item A)</w:t>
      </w:r>
    </w:p>
    <w:p w:rsidR="00BD07CD" w:rsidRDefault="00BD07CD" w:rsidP="00917461">
      <w:pPr>
        <w:pStyle w:val="PwCNormal"/>
        <w:numPr>
          <w:ilvl w:val="0"/>
          <w:numId w:val="0"/>
        </w:numPr>
      </w:pPr>
      <w:r w:rsidRPr="00DE22CA">
        <w:t>The total expenses per the financia</w:t>
      </w:r>
      <w:r w:rsidR="003C2F35">
        <w:t>l statements for FY 2012/13 w</w:t>
      </w:r>
      <w:r w:rsidR="00146F8A">
        <w:t>ere</w:t>
      </w:r>
      <w:r w:rsidRPr="00DE22CA">
        <w:t xml:space="preserve"> </w:t>
      </w:r>
      <w:r>
        <w:t>$543.4</w:t>
      </w:r>
      <w:r w:rsidR="007D0F17">
        <w:t xml:space="preserve"> </w:t>
      </w:r>
      <w:r>
        <w:t>m</w:t>
      </w:r>
      <w:r w:rsidR="007D0F17">
        <w:t>illion</w:t>
      </w:r>
      <w:r>
        <w:t xml:space="preserve"> </w:t>
      </w:r>
      <w:r w:rsidR="00F12946">
        <w:t>for the whole of Western Health</w:t>
      </w:r>
      <w:r w:rsidR="0018270C">
        <w:t>. This</w:t>
      </w:r>
      <w:r w:rsidR="00146F8A">
        <w:t xml:space="preserve"> did not include</w:t>
      </w:r>
      <w:r w:rsidR="0018270C">
        <w:t xml:space="preserve"> capital</w:t>
      </w:r>
      <w:r w:rsidR="00146F8A">
        <w:t xml:space="preserve"> items, such as depreciation,</w:t>
      </w:r>
      <w:r w:rsidR="00FC12C1">
        <w:t xml:space="preserve"> which are included in the </w:t>
      </w:r>
      <w:r w:rsidR="00CA6711">
        <w:t>GL</w:t>
      </w:r>
      <w:r w:rsidR="00FC12C1">
        <w:t xml:space="preserve"> but presented </w:t>
      </w:r>
      <w:r w:rsidR="0018270C">
        <w:t>separately</w:t>
      </w:r>
      <w:r w:rsidR="00FC12C1">
        <w:t xml:space="preserve"> in the financial statements. The GL extracted totalled $592.2</w:t>
      </w:r>
      <w:r w:rsidR="007D0F17">
        <w:t xml:space="preserve"> </w:t>
      </w:r>
      <w:r w:rsidR="00FC12C1">
        <w:t>m</w:t>
      </w:r>
      <w:r w:rsidR="007D0F17">
        <w:t>illion</w:t>
      </w:r>
      <w:r w:rsidR="00FC12C1">
        <w:t xml:space="preserve"> in expenses, which was then adjusted to meet the requirements of the VCDC. </w:t>
      </w:r>
      <w:r w:rsidR="002E50EB">
        <w:t>The list of adjustments to the GL has been listed below.</w:t>
      </w:r>
    </w:p>
    <w:p w:rsidR="000868A0" w:rsidRDefault="000868A0" w:rsidP="000868A0">
      <w:pPr>
        <w:pStyle w:val="Caption"/>
      </w:pPr>
      <w:bookmarkStart w:id="122" w:name="_Ref402960632"/>
      <w:r>
        <w:t xml:space="preserve">Table </w:t>
      </w:r>
      <w:r w:rsidR="008379DC">
        <w:fldChar w:fldCharType="begin"/>
      </w:r>
      <w:r w:rsidR="009E64DF">
        <w:instrText xml:space="preserve"> SEQ Table \* ARABIC </w:instrText>
      </w:r>
      <w:r w:rsidR="008379DC">
        <w:fldChar w:fldCharType="separate"/>
      </w:r>
      <w:r w:rsidR="00575DFC">
        <w:rPr>
          <w:noProof/>
        </w:rPr>
        <w:t>79</w:t>
      </w:r>
      <w:r w:rsidR="008379DC">
        <w:rPr>
          <w:noProof/>
        </w:rPr>
        <w:fldChar w:fldCharType="end"/>
      </w:r>
      <w:bookmarkEnd w:id="122"/>
      <w:r>
        <w:t xml:space="preserve">: </w:t>
      </w:r>
      <w:r w:rsidRPr="00BB3F05">
        <w:t>Treatment of specific cost items</w:t>
      </w:r>
    </w:p>
    <w:p w:rsidR="00A8754A" w:rsidRDefault="002729CE" w:rsidP="00A8754A">
      <w:pPr>
        <w:pStyle w:val="PwCNormal"/>
        <w:numPr>
          <w:ilvl w:val="0"/>
          <w:numId w:val="0"/>
        </w:numPr>
      </w:pPr>
      <w:r w:rsidRPr="002729CE">
        <w:rPr>
          <w:noProof/>
          <w:lang w:eastAsia="en-AU"/>
        </w:rPr>
        <w:drawing>
          <wp:inline distT="0" distB="0" distL="0" distR="0" wp14:anchorId="5DB1187A" wp14:editId="6E04EF10">
            <wp:extent cx="4586400" cy="1915200"/>
            <wp:effectExtent l="0" t="0" r="5080" b="0"/>
            <wp:docPr id="138" name="Picture 138" descr="Superannuation, defined benefit scheme costs, professional idemnity issurance, annual leave and long service leave are all included in the general ledger and included in the costing. &#10;&#10;Worker's compensation costs are allocated down from the jurisdiction and included in the costing.&#10;&#10;PBS rebates and trade discounts on pharmaceuticals are not included in the costing" title="Treatment of specific cost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86400" cy="1915200"/>
                    </a:xfrm>
                    <a:prstGeom prst="rect">
                      <a:avLst/>
                    </a:prstGeom>
                    <a:noFill/>
                    <a:ln>
                      <a:noFill/>
                    </a:ln>
                  </pic:spPr>
                </pic:pic>
              </a:graphicData>
            </a:graphic>
          </wp:inline>
        </w:drawing>
      </w:r>
    </w:p>
    <w:p w:rsidR="00A8754A" w:rsidRDefault="00A8754A" w:rsidP="00A8754A">
      <w:pPr>
        <w:pStyle w:val="PwCNormal"/>
        <w:numPr>
          <w:ilvl w:val="0"/>
          <w:numId w:val="0"/>
        </w:numPr>
      </w:pPr>
      <w:r>
        <w:fldChar w:fldCharType="begin"/>
      </w:r>
      <w:r>
        <w:instrText xml:space="preserve"> REF _Ref402960632 \h </w:instrText>
      </w:r>
      <w:r>
        <w:fldChar w:fldCharType="separate"/>
      </w:r>
      <w:r w:rsidR="00575DFC">
        <w:t xml:space="preserve">Table </w:t>
      </w:r>
      <w:r w:rsidR="00575DFC">
        <w:rPr>
          <w:noProof/>
        </w:rPr>
        <w:t>79</w:t>
      </w:r>
      <w:r>
        <w:fldChar w:fldCharType="end"/>
      </w:r>
      <w:r>
        <w:t xml:space="preserve"> above identifies some of the specific costs examined to understand how the costs are treated in the GL until they get to direct cost centres. Once these costs are allocated to final cost centres they are distributed to patients using the allocation methodology of that cost centre. Key cost treatments to note include:</w:t>
      </w:r>
    </w:p>
    <w:p w:rsidR="00067D49" w:rsidRDefault="00067D49" w:rsidP="009C4A5D">
      <w:pPr>
        <w:pStyle w:val="PwCNormal"/>
        <w:numPr>
          <w:ilvl w:val="0"/>
          <w:numId w:val="81"/>
        </w:numPr>
      </w:pPr>
      <w:r w:rsidRPr="008D42E1">
        <w:lastRenderedPageBreak/>
        <w:t>Defined contribution funds and defined benefits funds are in scope for costing purposes and the relevant account codes are mapped as labour on costs (On-Costs line item) into direct or indirect cost areas.</w:t>
      </w:r>
    </w:p>
    <w:p w:rsidR="00067D49" w:rsidRPr="008D42E1" w:rsidRDefault="00067D49" w:rsidP="009C4A5D">
      <w:pPr>
        <w:pStyle w:val="PwCNormal"/>
        <w:numPr>
          <w:ilvl w:val="0"/>
          <w:numId w:val="81"/>
        </w:numPr>
      </w:pPr>
      <w:r w:rsidRPr="008D42E1">
        <w:t xml:space="preserve">The Health Services’ medical indemnity insurance is funded by the Victorian Department of Health. An actuarial allocation model is utilised to apportion the insurance premium paid by DH for each Heath Service and this cost is included in the Health Service’s GL. Each Health Service’s medical indemnity insurance is allocated on the basis of medical and clinical speciality cost areas. During the costing process, these costs are treated as an overhead and allocated to patients based on the cost drivers of the clinical speciality area. </w:t>
      </w:r>
    </w:p>
    <w:p w:rsidR="00BD07CD" w:rsidRPr="008D42E1" w:rsidRDefault="00BD07CD" w:rsidP="009C4A5D">
      <w:pPr>
        <w:pStyle w:val="PwCNormal"/>
        <w:numPr>
          <w:ilvl w:val="0"/>
          <w:numId w:val="81"/>
        </w:numPr>
        <w:spacing w:before="240"/>
      </w:pPr>
      <w:r w:rsidRPr="008D42E1">
        <w:t>Western Health uses an external i</w:t>
      </w:r>
      <w:r w:rsidR="00A8754A">
        <w:t xml:space="preserve">nsurer for workers compensation, whose costs are included in the </w:t>
      </w:r>
      <w:r w:rsidR="00067D49">
        <w:t xml:space="preserve">GL </w:t>
      </w:r>
      <w:r w:rsidR="00A8754A">
        <w:t>of the hospitals and included in the costing.</w:t>
      </w:r>
    </w:p>
    <w:p w:rsidR="00BD07CD" w:rsidRPr="008D42E1" w:rsidRDefault="00BD07CD" w:rsidP="009C4A5D">
      <w:pPr>
        <w:pStyle w:val="PwCNormal"/>
        <w:numPr>
          <w:ilvl w:val="0"/>
          <w:numId w:val="81"/>
        </w:numPr>
      </w:pPr>
      <w:r w:rsidRPr="008D42E1">
        <w:t xml:space="preserve">Annual and long service </w:t>
      </w:r>
      <w:r w:rsidR="00422464">
        <w:t xml:space="preserve">leave </w:t>
      </w:r>
      <w:r w:rsidRPr="008D42E1">
        <w:t xml:space="preserve">liabilities are dispersed to </w:t>
      </w:r>
      <w:r w:rsidR="00067D49">
        <w:t>multiple</w:t>
      </w:r>
      <w:r w:rsidRPr="008D42E1">
        <w:t xml:space="preserve"> cost centres, typically from the cost centres where the salaries and wages for the relevant staff are paid from.</w:t>
      </w:r>
      <w:r w:rsidR="00A8754A">
        <w:t xml:space="preserve"> These are included in the costing.</w:t>
      </w:r>
    </w:p>
    <w:p w:rsidR="00BD07CD" w:rsidRPr="00C060E3" w:rsidRDefault="00BD07CD" w:rsidP="009C4A5D">
      <w:pPr>
        <w:pStyle w:val="PwCNormal"/>
        <w:numPr>
          <w:ilvl w:val="0"/>
          <w:numId w:val="81"/>
        </w:numPr>
      </w:pPr>
      <w:r w:rsidRPr="008D42E1">
        <w:t xml:space="preserve">PBS rebates or other revenue items (including private patient revenue) are not offset against hospital </w:t>
      </w:r>
      <w:r w:rsidRPr="00C060E3">
        <w:t xml:space="preserve">expenditure. </w:t>
      </w:r>
      <w:r w:rsidR="00067D49">
        <w:t>These items are not included in the costing.</w:t>
      </w:r>
    </w:p>
    <w:p w:rsidR="00BD07CD" w:rsidRPr="00C060E3" w:rsidRDefault="00BD07CD" w:rsidP="009C4A5D">
      <w:pPr>
        <w:pStyle w:val="PwCNormal"/>
        <w:numPr>
          <w:ilvl w:val="0"/>
          <w:numId w:val="81"/>
        </w:numPr>
      </w:pPr>
      <w:r w:rsidRPr="00C060E3">
        <w:t>Trade discounts on pharmaceutical products are treated as revenue and are excluded from costing calculations.</w:t>
      </w:r>
    </w:p>
    <w:p w:rsidR="00BD07CD" w:rsidRPr="00DE22CA" w:rsidRDefault="00BD07CD" w:rsidP="009C4A5D">
      <w:pPr>
        <w:pStyle w:val="PwCNormal"/>
        <w:numPr>
          <w:ilvl w:val="0"/>
          <w:numId w:val="81"/>
        </w:numPr>
      </w:pPr>
      <w:r w:rsidRPr="008D42E1">
        <w:t>Asset revaluations occur every 5 years in alignment with Department of Treasury and Finance requirements.</w:t>
      </w:r>
      <w:r w:rsidR="00067D49">
        <w:t xml:space="preserve"> The revised depreciation co</w:t>
      </w:r>
      <w:r w:rsidR="00202BB1">
        <w:t>st then flows through to the GL, however the depreciation is not included in the costing process. The VCDC does not include depreciation costs and therefore no depreciation costs flow through to the NHCDC submission.</w:t>
      </w:r>
    </w:p>
    <w:p w:rsidR="00BD07CD" w:rsidRPr="00DE22CA" w:rsidRDefault="00BD07CD" w:rsidP="00BD07CD">
      <w:pPr>
        <w:pStyle w:val="PwCNormal"/>
        <w:numPr>
          <w:ilvl w:val="0"/>
          <w:numId w:val="0"/>
        </w:numPr>
        <w:rPr>
          <w:b/>
        </w:rPr>
      </w:pPr>
      <w:r w:rsidRPr="00DE22CA">
        <w:rPr>
          <w:b/>
        </w:rPr>
        <w:t>Inclusions and exclusions (Item B)</w:t>
      </w:r>
    </w:p>
    <w:p w:rsidR="00BD07CD" w:rsidRDefault="00BD07CD" w:rsidP="00BD07CD">
      <w:pPr>
        <w:pStyle w:val="PwCNormal"/>
        <w:numPr>
          <w:ilvl w:val="0"/>
          <w:numId w:val="0"/>
        </w:numPr>
        <w:spacing w:after="120"/>
      </w:pPr>
      <w:r>
        <w:t>A total of $48.7</w:t>
      </w:r>
      <w:r w:rsidR="007D0F17">
        <w:t xml:space="preserve"> </w:t>
      </w:r>
      <w:r>
        <w:t>m</w:t>
      </w:r>
      <w:r w:rsidR="007D0F17">
        <w:t>illion</w:t>
      </w:r>
      <w:r>
        <w:t xml:space="preserve"> was removed from the GL</w:t>
      </w:r>
      <w:r w:rsidR="00FC12C1">
        <w:t xml:space="preserve"> in order to comply with the VCDC</w:t>
      </w:r>
      <w:r>
        <w:t>, which includes the following items:</w:t>
      </w:r>
    </w:p>
    <w:p w:rsidR="00BD07CD" w:rsidRDefault="00BD07CD" w:rsidP="009C4A5D">
      <w:pPr>
        <w:pStyle w:val="PwCNormal"/>
        <w:numPr>
          <w:ilvl w:val="0"/>
          <w:numId w:val="72"/>
        </w:numPr>
        <w:spacing w:after="120"/>
      </w:pPr>
      <w:r>
        <w:t>$48.5</w:t>
      </w:r>
      <w:r w:rsidR="007D0F17">
        <w:t xml:space="preserve"> </w:t>
      </w:r>
      <w:r>
        <w:t>m</w:t>
      </w:r>
      <w:r w:rsidR="007D0F17">
        <w:t>illion</w:t>
      </w:r>
      <w:r>
        <w:t xml:space="preserve"> for capital cost centres </w:t>
      </w:r>
      <w:r w:rsidR="008D1BBA">
        <w:t xml:space="preserve">(including depreciation) </w:t>
      </w:r>
      <w:r>
        <w:t xml:space="preserve">which are </w:t>
      </w:r>
      <w:r w:rsidR="008D1BBA">
        <w:t>removed to comply with the VCDC</w:t>
      </w:r>
    </w:p>
    <w:p w:rsidR="00BD07CD" w:rsidRDefault="00BD07CD" w:rsidP="009C4A5D">
      <w:pPr>
        <w:pStyle w:val="PwCNormal"/>
        <w:numPr>
          <w:ilvl w:val="0"/>
          <w:numId w:val="72"/>
        </w:numPr>
      </w:pPr>
      <w:r>
        <w:t>$216</w:t>
      </w:r>
      <w:r w:rsidR="007D0F17">
        <w:t>,000</w:t>
      </w:r>
      <w:r>
        <w:t xml:space="preserve"> for Western Health foundation costs </w:t>
      </w:r>
      <w:proofErr w:type="gramStart"/>
      <w:r>
        <w:t>that are</w:t>
      </w:r>
      <w:proofErr w:type="gramEnd"/>
      <w:r>
        <w:t xml:space="preserve"> not included for costing</w:t>
      </w:r>
      <w:r w:rsidR="00422464">
        <w:t>.</w:t>
      </w:r>
    </w:p>
    <w:p w:rsidR="00BD07CD" w:rsidRDefault="00BD07CD" w:rsidP="00BD07CD">
      <w:pPr>
        <w:pStyle w:val="PwCNormal"/>
        <w:numPr>
          <w:ilvl w:val="0"/>
          <w:numId w:val="0"/>
        </w:numPr>
      </w:pPr>
      <w:r w:rsidRPr="008D42E1">
        <w:t xml:space="preserve">No other exclusions are applied to the GL before or during the costing process and all patient products/programs (including non- admitted and other out of scope activities) are allocated costs. </w:t>
      </w:r>
      <w:r w:rsidR="008D1BBA">
        <w:t>This resulted in a total cost of $543.4</w:t>
      </w:r>
      <w:r w:rsidR="007D0F17">
        <w:t xml:space="preserve"> </w:t>
      </w:r>
      <w:r w:rsidR="008D1BBA">
        <w:t>m</w:t>
      </w:r>
      <w:r w:rsidR="007D0F17">
        <w:t>illion</w:t>
      </w:r>
      <w:r w:rsidR="008D1BBA">
        <w:t>.</w:t>
      </w:r>
    </w:p>
    <w:p w:rsidR="00BD07CD" w:rsidRPr="00DE22CA" w:rsidRDefault="00BD07CD" w:rsidP="00BD07CD">
      <w:pPr>
        <w:pStyle w:val="PwCNormal"/>
        <w:numPr>
          <w:ilvl w:val="0"/>
          <w:numId w:val="0"/>
        </w:numPr>
        <w:rPr>
          <w:b/>
        </w:rPr>
      </w:pPr>
      <w:r w:rsidRPr="00DE22CA">
        <w:rPr>
          <w:b/>
        </w:rPr>
        <w:t>Allocation of overheads (Item C)</w:t>
      </w:r>
    </w:p>
    <w:p w:rsidR="00BD07CD" w:rsidRDefault="00BD07CD" w:rsidP="00BD07CD">
      <w:pPr>
        <w:pStyle w:val="PwCNormal"/>
        <w:numPr>
          <w:ilvl w:val="0"/>
          <w:numId w:val="0"/>
        </w:numPr>
      </w:pPr>
      <w:r w:rsidRPr="008D42E1">
        <w:t>Western Health reported overhead costs of approximately $129.2</w:t>
      </w:r>
      <w:r w:rsidR="007D0F17">
        <w:t xml:space="preserve"> </w:t>
      </w:r>
      <w:r w:rsidRPr="008D42E1">
        <w:t>m</w:t>
      </w:r>
      <w:r w:rsidR="007D0F17">
        <w:t>illion</w:t>
      </w:r>
      <w:r w:rsidRPr="008D42E1">
        <w:t xml:space="preserve"> in </w:t>
      </w:r>
      <w:r w:rsidR="006A194B">
        <w:t>Round 17</w:t>
      </w:r>
      <w:r w:rsidRPr="008D42E1">
        <w:t xml:space="preserve">, which represents almost 24% per cent of total costs. </w:t>
      </w:r>
      <w:r w:rsidR="002821F4" w:rsidRPr="008D42E1">
        <w:t>Costing methodolog</w:t>
      </w:r>
      <w:r w:rsidR="002821F4">
        <w:t>ies</w:t>
      </w:r>
      <w:r w:rsidR="002821F4" w:rsidRPr="008D42E1">
        <w:t xml:space="preserve"> for allocating overheads were determined based on the preferred hierarchy (</w:t>
      </w:r>
      <w:r w:rsidR="002821F4">
        <w:t>first, second or third</w:t>
      </w:r>
      <w:r w:rsidR="002821F4" w:rsidRPr="008D42E1">
        <w:t xml:space="preserve"> preferred statistics as per the AHPCS) if appropriate direct feeder data was not available.</w:t>
      </w:r>
      <w:r w:rsidR="002821F4">
        <w:t xml:space="preserve"> </w:t>
      </w:r>
    </w:p>
    <w:p w:rsidR="00BD07CD" w:rsidRPr="00DE22CA" w:rsidRDefault="00BD07CD" w:rsidP="00BD07CD">
      <w:pPr>
        <w:pStyle w:val="PwCNormal"/>
        <w:numPr>
          <w:ilvl w:val="0"/>
          <w:numId w:val="0"/>
        </w:numPr>
        <w:rPr>
          <w:b/>
        </w:rPr>
      </w:pPr>
      <w:r w:rsidRPr="00DE22CA">
        <w:rPr>
          <w:b/>
        </w:rPr>
        <w:t>Distribution of costs between hospital products</w:t>
      </w:r>
      <w:r>
        <w:rPr>
          <w:b/>
        </w:rPr>
        <w:t xml:space="preserve"> (Item D)</w:t>
      </w:r>
    </w:p>
    <w:p w:rsidR="008D1BBA" w:rsidRDefault="00BD07CD" w:rsidP="00BD07CD">
      <w:pPr>
        <w:pStyle w:val="PwCNormal"/>
        <w:numPr>
          <w:ilvl w:val="0"/>
          <w:numId w:val="0"/>
        </w:numPr>
      </w:pPr>
      <w:r w:rsidRPr="008D42E1">
        <w:t xml:space="preserve">In </w:t>
      </w:r>
      <w:r w:rsidR="006A194B">
        <w:t>Round 17</w:t>
      </w:r>
      <w:r w:rsidRPr="008D42E1">
        <w:t xml:space="preserve">, PFRACS were used to </w:t>
      </w:r>
      <w:r w:rsidR="008D1BBA">
        <w:t>split total</w:t>
      </w:r>
      <w:r w:rsidRPr="008D42E1">
        <w:t xml:space="preserve"> costs </w:t>
      </w:r>
      <w:r w:rsidR="008D1BBA">
        <w:t>amongst the</w:t>
      </w:r>
      <w:r w:rsidRPr="008D42E1">
        <w:t xml:space="preserve"> hospital products</w:t>
      </w:r>
      <w:r w:rsidR="008D1BBA">
        <w:t xml:space="preserve"> where direct cost centres provided services to multiple hospital products</w:t>
      </w:r>
      <w:r w:rsidRPr="008D42E1">
        <w:t xml:space="preserve">. The PFRACS were developed and/or reviewed as part of implementing the new costing system (PPM2) in January 2013. </w:t>
      </w:r>
    </w:p>
    <w:p w:rsidR="008D1BBA" w:rsidRDefault="008D1BBA">
      <w:pPr>
        <w:kinsoku/>
        <w:overflowPunct/>
        <w:autoSpaceDE/>
        <w:autoSpaceDN/>
        <w:adjustRightInd/>
        <w:snapToGrid/>
      </w:pPr>
      <w:r>
        <w:br w:type="page"/>
      </w:r>
    </w:p>
    <w:p w:rsidR="00BD07CD" w:rsidRPr="004E0B72" w:rsidRDefault="00BD07CD" w:rsidP="00CE5EF2">
      <w:pPr>
        <w:pStyle w:val="Heading3"/>
      </w:pPr>
      <w:r>
        <w:lastRenderedPageBreak/>
        <w:t>Activity information and costing methodology</w:t>
      </w:r>
    </w:p>
    <w:p w:rsidR="00BD07CD" w:rsidRPr="002449AB" w:rsidRDefault="00BD07CD" w:rsidP="00BD07CD">
      <w:pPr>
        <w:pStyle w:val="PwCNormal"/>
        <w:numPr>
          <w:ilvl w:val="0"/>
          <w:numId w:val="0"/>
        </w:numPr>
        <w:rPr>
          <w:b/>
        </w:rPr>
      </w:pPr>
      <w:r>
        <w:rPr>
          <w:b/>
        </w:rPr>
        <w:t>Overview</w:t>
      </w:r>
    </w:p>
    <w:p w:rsidR="008D1BBA" w:rsidRDefault="008D1BBA" w:rsidP="00BD07CD">
      <w:pPr>
        <w:pStyle w:val="PwCNormal"/>
        <w:numPr>
          <w:ilvl w:val="0"/>
          <w:numId w:val="0"/>
        </w:numPr>
      </w:pPr>
      <w:r w:rsidRPr="0090280F">
        <w:t xml:space="preserve">Once costs </w:t>
      </w:r>
      <w:r w:rsidR="0018270C">
        <w:t>were</w:t>
      </w:r>
      <w:r w:rsidRPr="0090280F">
        <w:t xml:space="preserve"> split into the various cost areas and </w:t>
      </w:r>
      <w:r w:rsidR="0018270C">
        <w:t>were</w:t>
      </w:r>
      <w:r w:rsidRPr="0090280F">
        <w:t xml:space="preserve"> ready to be allocated, a variety of feeder systems </w:t>
      </w:r>
      <w:r w:rsidR="0018270C">
        <w:t>were</w:t>
      </w:r>
      <w:r w:rsidRPr="0090280F">
        <w:t xml:space="preserve"> used to allocate costs to patients across all hospital pr</w:t>
      </w:r>
      <w:r>
        <w:t xml:space="preserve">oducts depending on the </w:t>
      </w:r>
      <w:r w:rsidRPr="0090280F">
        <w:t>patient</w:t>
      </w:r>
      <w:r>
        <w:t xml:space="preserve"> care type</w:t>
      </w:r>
      <w:r w:rsidRPr="0090280F">
        <w:t xml:space="preserve">. </w:t>
      </w:r>
      <w:r>
        <w:t>The table below outlines the costing methodology for the various hospital products.</w:t>
      </w:r>
    </w:p>
    <w:p w:rsidR="000868A0" w:rsidRPr="00BA7B9B" w:rsidRDefault="000868A0" w:rsidP="000868A0">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80</w:t>
      </w:r>
      <w:r w:rsidR="008379DC">
        <w:rPr>
          <w:noProof/>
        </w:rPr>
        <w:fldChar w:fldCharType="end"/>
      </w:r>
      <w:r>
        <w:t xml:space="preserve">: </w:t>
      </w:r>
      <w:r w:rsidRPr="00D169BA">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BD07CD" w:rsidTr="002E363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BD07CD" w:rsidRPr="00BA7B9B" w:rsidRDefault="00BD07CD" w:rsidP="002E3637">
            <w:pPr>
              <w:pStyle w:val="PwCNormal"/>
              <w:numPr>
                <w:ilvl w:val="0"/>
                <w:numId w:val="0"/>
              </w:numPr>
              <w:rPr>
                <w:b/>
              </w:rPr>
            </w:pPr>
            <w:r w:rsidRPr="00BA7B9B">
              <w:rPr>
                <w:b/>
              </w:rPr>
              <w:t>Hospital product</w:t>
            </w:r>
          </w:p>
        </w:tc>
        <w:tc>
          <w:tcPr>
            <w:tcW w:w="6237" w:type="dxa"/>
          </w:tcPr>
          <w:p w:rsidR="00BD07CD" w:rsidRPr="00BA7B9B" w:rsidRDefault="00BD07CD" w:rsidP="002E3637">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BA7B9B">
              <w:rPr>
                <w:b/>
              </w:rPr>
              <w:t>Allocation overview</w:t>
            </w:r>
          </w:p>
        </w:tc>
      </w:tr>
      <w:tr w:rsidR="00BD07CD" w:rsidTr="002E3637">
        <w:tc>
          <w:tcPr>
            <w:tcW w:w="2376" w:type="dxa"/>
          </w:tcPr>
          <w:p w:rsidR="00BD07CD" w:rsidRPr="00320763" w:rsidRDefault="00BD07CD" w:rsidP="002E3637">
            <w:pPr>
              <w:pStyle w:val="PwCNormal"/>
              <w:numPr>
                <w:ilvl w:val="0"/>
                <w:numId w:val="0"/>
              </w:numPr>
            </w:pPr>
            <w:r w:rsidRPr="00320763">
              <w:t xml:space="preserve">Inpatient </w:t>
            </w:r>
            <w:r w:rsidRPr="00320763">
              <w:br/>
              <w:t xml:space="preserve">(acute and </w:t>
            </w:r>
            <w:r w:rsidR="006A7030">
              <w:t>sub-acute</w:t>
            </w:r>
            <w:r w:rsidRPr="00320763">
              <w:t>)</w:t>
            </w:r>
          </w:p>
        </w:tc>
        <w:tc>
          <w:tcPr>
            <w:tcW w:w="6237" w:type="dxa"/>
          </w:tcPr>
          <w:p w:rsidR="00BD07CD" w:rsidRDefault="00BD07CD" w:rsidP="002E3637">
            <w:pPr>
              <w:pStyle w:val="PwCNormal"/>
              <w:numPr>
                <w:ilvl w:val="0"/>
                <w:numId w:val="0"/>
              </w:numPr>
            </w:pPr>
            <w:r>
              <w:t xml:space="preserve">Admitted </w:t>
            </w:r>
            <w:r w:rsidRPr="005A1647">
              <w:t xml:space="preserve">patients (acute and </w:t>
            </w:r>
            <w:r w:rsidR="006A7030">
              <w:t>sub-acute</w:t>
            </w:r>
            <w:r w:rsidRPr="005A1647">
              <w:t xml:space="preserve">) </w:t>
            </w:r>
            <w:r w:rsidR="0018270C">
              <w:t>were</w:t>
            </w:r>
            <w:r w:rsidRPr="005A1647">
              <w:t xml:space="preserve"> costed using various patient level activity data (feeder data) representing actual consumption of hospital resources and services where possible.</w:t>
            </w:r>
            <w:r w:rsidR="008D1BBA">
              <w:t xml:space="preserve"> </w:t>
            </w:r>
            <w:r>
              <w:t xml:space="preserve">MBS codes </w:t>
            </w:r>
            <w:r w:rsidR="0018270C">
              <w:t>were</w:t>
            </w:r>
            <w:r>
              <w:t xml:space="preserve"> utilised to determine weightings for different service level activities for allocating pathology and imaging costs. </w:t>
            </w:r>
          </w:p>
          <w:p w:rsidR="00BD07CD" w:rsidRDefault="00BD07CD" w:rsidP="002E3637">
            <w:pPr>
              <w:pStyle w:val="PwCNormal"/>
            </w:pPr>
            <w:r w:rsidRPr="005A1647">
              <w:t>Surgical nursing and medica</w:t>
            </w:r>
            <w:r w:rsidR="00742B27">
              <w:t xml:space="preserve">l costs </w:t>
            </w:r>
            <w:proofErr w:type="spellStart"/>
            <w:r w:rsidR="0018270C">
              <w:t>where</w:t>
            </w:r>
            <w:proofErr w:type="spellEnd"/>
            <w:r w:rsidR="00742B27">
              <w:t xml:space="preserve"> allocated based on operating t</w:t>
            </w:r>
            <w:r w:rsidRPr="005A1647">
              <w:t>heatre feeder data (anaesthetic, surgery duration, no of surgeons) from</w:t>
            </w:r>
            <w:r>
              <w:t xml:space="preserve"> the</w:t>
            </w:r>
            <w:r w:rsidRPr="005A1647">
              <w:t xml:space="preserve"> </w:t>
            </w:r>
            <w:proofErr w:type="spellStart"/>
            <w:r>
              <w:t>iPM</w:t>
            </w:r>
            <w:proofErr w:type="spellEnd"/>
            <w:r w:rsidRPr="005A1647">
              <w:t xml:space="preserve"> </w:t>
            </w:r>
            <w:r>
              <w:t xml:space="preserve">theatre management </w:t>
            </w:r>
            <w:r w:rsidR="00742B27">
              <w:t>system</w:t>
            </w:r>
            <w:r>
              <w:t>.</w:t>
            </w:r>
            <w:r w:rsidR="008D1BBA">
              <w:t xml:space="preserve"> </w:t>
            </w:r>
            <w:r w:rsidR="008D1BBA" w:rsidRPr="005A1647">
              <w:t>Non-surgical medical costs</w:t>
            </w:r>
            <w:r w:rsidR="008D1BBA">
              <w:t>, critical care</w:t>
            </w:r>
            <w:r w:rsidR="008D1BBA" w:rsidRPr="005A1647">
              <w:t xml:space="preserve"> and nursing costs were al</w:t>
            </w:r>
            <w:r w:rsidR="008D1BBA">
              <w:t xml:space="preserve">located </w:t>
            </w:r>
            <w:r w:rsidR="00422464">
              <w:t xml:space="preserve">to </w:t>
            </w:r>
            <w:r w:rsidR="008D1BBA">
              <w:t xml:space="preserve">patients using fractional </w:t>
            </w:r>
            <w:r w:rsidR="002821F4">
              <w:t>bed days</w:t>
            </w:r>
            <w:r w:rsidR="008D1BBA">
              <w:t xml:space="preserve"> (derived from ward transfer activities in </w:t>
            </w:r>
            <w:proofErr w:type="spellStart"/>
            <w:r w:rsidR="008D1BBA">
              <w:t>iPM</w:t>
            </w:r>
            <w:proofErr w:type="spellEnd"/>
            <w:r w:rsidR="008D1BBA">
              <w:t>)</w:t>
            </w:r>
            <w:r w:rsidR="00422464">
              <w:t>.</w:t>
            </w:r>
          </w:p>
          <w:p w:rsidR="00BD07CD" w:rsidRPr="00320763" w:rsidRDefault="008D1BBA" w:rsidP="00422464">
            <w:pPr>
              <w:pStyle w:val="PwCNormal"/>
            </w:pPr>
            <w:r>
              <w:t xml:space="preserve">Prosthetic costs were allocated using </w:t>
            </w:r>
            <w:r w:rsidR="00422464">
              <w:t>a</w:t>
            </w:r>
            <w:r w:rsidR="00BD07CD">
              <w:t xml:space="preserve"> model </w:t>
            </w:r>
            <w:r>
              <w:t>that was</w:t>
            </w:r>
            <w:r w:rsidR="00BD07CD">
              <w:t xml:space="preserve"> developed using the </w:t>
            </w:r>
            <w:r w:rsidR="00BD07CD" w:rsidRPr="00874F68">
              <w:t>Prostheses List</w:t>
            </w:r>
            <w:r w:rsidR="00BD07CD">
              <w:t>ing (Minimum benefit value</w:t>
            </w:r>
            <w:r w:rsidR="002821F4">
              <w:t>), which</w:t>
            </w:r>
            <w:r w:rsidR="00BD07CD">
              <w:t xml:space="preserve"> is published by the Department of Health (</w:t>
            </w:r>
            <w:proofErr w:type="spellStart"/>
            <w:r w:rsidR="00BD07CD">
              <w:t>Cth</w:t>
            </w:r>
            <w:proofErr w:type="spellEnd"/>
            <w:r w:rsidR="00BD07CD">
              <w:t>).</w:t>
            </w:r>
          </w:p>
        </w:tc>
      </w:tr>
      <w:tr w:rsidR="00BD07CD" w:rsidTr="002E3637">
        <w:tc>
          <w:tcPr>
            <w:tcW w:w="2376" w:type="dxa"/>
          </w:tcPr>
          <w:p w:rsidR="00BD07CD" w:rsidRPr="00320763" w:rsidRDefault="00BD07CD" w:rsidP="002E3637">
            <w:pPr>
              <w:pStyle w:val="PwCNormal"/>
              <w:numPr>
                <w:ilvl w:val="0"/>
                <w:numId w:val="0"/>
              </w:numPr>
            </w:pPr>
            <w:r w:rsidRPr="00320763">
              <w:t>Emergency Department</w:t>
            </w:r>
          </w:p>
        </w:tc>
        <w:tc>
          <w:tcPr>
            <w:tcW w:w="6237" w:type="dxa"/>
          </w:tcPr>
          <w:p w:rsidR="00BD07CD" w:rsidRPr="005A1647" w:rsidRDefault="00BD07CD" w:rsidP="002E3637">
            <w:pPr>
              <w:pStyle w:val="PwCNormal"/>
              <w:numPr>
                <w:ilvl w:val="0"/>
                <w:numId w:val="0"/>
              </w:numPr>
            </w:pPr>
            <w:r w:rsidRPr="005A1647">
              <w:t xml:space="preserve">Reportable admitted and non-admitted URG encounters (matched with Victorian Emergency Minimum datasets) </w:t>
            </w:r>
            <w:r w:rsidR="00422464">
              <w:t xml:space="preserve">were </w:t>
            </w:r>
            <w:r w:rsidRPr="005A1647">
              <w:t xml:space="preserve">costed based on the ED service event (presentation to departure time) for Emergency Department patients. </w:t>
            </w:r>
            <w:r>
              <w:t>Data extracts from the</w:t>
            </w:r>
            <w:r w:rsidRPr="005A1647">
              <w:t xml:space="preserve"> </w:t>
            </w:r>
            <w:r>
              <w:t>EDIS were</w:t>
            </w:r>
            <w:r w:rsidRPr="005A1647">
              <w:t xml:space="preserve"> used to allocate clinician and nursing costs to ED service events.</w:t>
            </w:r>
          </w:p>
          <w:p w:rsidR="00BD07CD" w:rsidRPr="00320763" w:rsidRDefault="00BD07CD" w:rsidP="00422464">
            <w:pPr>
              <w:pStyle w:val="PwCNormal"/>
              <w:numPr>
                <w:ilvl w:val="0"/>
                <w:numId w:val="0"/>
              </w:numPr>
            </w:pPr>
            <w:r w:rsidRPr="005A1647">
              <w:t>Other services such as diagnostics tests</w:t>
            </w:r>
            <w:r w:rsidR="00422464">
              <w:t xml:space="preserve"> and</w:t>
            </w:r>
            <w:r w:rsidRPr="005A1647">
              <w:t xml:space="preserve"> pharmaceuticals are allocated to patients based on con</w:t>
            </w:r>
            <w:r w:rsidR="0018270C">
              <w:t>sumption. The linking was</w:t>
            </w:r>
            <w:r w:rsidRPr="005A1647">
              <w:t xml:space="preserve"> done on the basis of date/time of the service.</w:t>
            </w:r>
          </w:p>
        </w:tc>
      </w:tr>
      <w:tr w:rsidR="00BD07CD" w:rsidTr="002E3637">
        <w:tc>
          <w:tcPr>
            <w:tcW w:w="2376" w:type="dxa"/>
          </w:tcPr>
          <w:p w:rsidR="00BD07CD" w:rsidRPr="008D42E1" w:rsidRDefault="00BD07CD" w:rsidP="002E3637">
            <w:pPr>
              <w:pStyle w:val="PwCNormal"/>
              <w:numPr>
                <w:ilvl w:val="0"/>
                <w:numId w:val="0"/>
              </w:numPr>
            </w:pPr>
            <w:r w:rsidRPr="008D42E1">
              <w:t>Outpatients</w:t>
            </w:r>
          </w:p>
        </w:tc>
        <w:tc>
          <w:tcPr>
            <w:tcW w:w="6237" w:type="dxa"/>
          </w:tcPr>
          <w:p w:rsidR="00BD07CD" w:rsidRPr="008D42E1" w:rsidRDefault="00BD07CD" w:rsidP="002E3637">
            <w:pPr>
              <w:pStyle w:val="PwCNormal"/>
              <w:numPr>
                <w:ilvl w:val="0"/>
                <w:numId w:val="0"/>
              </w:numPr>
            </w:pPr>
            <w:r w:rsidRPr="008D42E1">
              <w:t>Outpatient appointments such as allied health appointments are costed using scheduling and attendance information from staff diaries.</w:t>
            </w:r>
            <w:r w:rsidR="00742B27">
              <w:t xml:space="preserve"> </w:t>
            </w:r>
            <w:r w:rsidR="00742B27" w:rsidRPr="008D42E1">
              <w:t>Costing methodology for ancillary services such as diagnostics tests</w:t>
            </w:r>
            <w:r w:rsidR="00422464">
              <w:t xml:space="preserve"> and</w:t>
            </w:r>
            <w:r w:rsidR="00742B27" w:rsidRPr="008D42E1">
              <w:t xml:space="preserve"> pharmaceuticals </w:t>
            </w:r>
            <w:r w:rsidR="0018270C">
              <w:t>were</w:t>
            </w:r>
            <w:r w:rsidR="00742B27" w:rsidRPr="008D42E1">
              <w:t xml:space="preserve"> consistent with other hospital services</w:t>
            </w:r>
            <w:r w:rsidR="00742B27">
              <w:t xml:space="preserve"> and </w:t>
            </w:r>
            <w:r w:rsidR="0018270C">
              <w:t>were</w:t>
            </w:r>
            <w:r w:rsidR="00742B27">
              <w:t xml:space="preserve"> </w:t>
            </w:r>
            <w:r w:rsidR="00742B27" w:rsidRPr="008D42E1">
              <w:t>allocated to patients through various linking rules.</w:t>
            </w:r>
          </w:p>
          <w:p w:rsidR="00BD07CD" w:rsidRPr="008D42E1" w:rsidRDefault="00BD07CD" w:rsidP="0018270C">
            <w:pPr>
              <w:pStyle w:val="PwCNormal"/>
              <w:numPr>
                <w:ilvl w:val="0"/>
                <w:numId w:val="0"/>
              </w:numPr>
            </w:pPr>
            <w:r w:rsidRPr="008D42E1">
              <w:t xml:space="preserve">Other non-admitted activity such as radiotherapy services to non-admitted patients </w:t>
            </w:r>
            <w:r w:rsidR="0018270C">
              <w:t>were</w:t>
            </w:r>
            <w:r w:rsidRPr="008D42E1">
              <w:t xml:space="preserve"> costed but not included in the NHCDC submission (non ABF activity)</w:t>
            </w:r>
            <w:r w:rsidR="00422464">
              <w:t>.</w:t>
            </w:r>
          </w:p>
        </w:tc>
      </w:tr>
      <w:tr w:rsidR="00BD07CD" w:rsidTr="002E3637">
        <w:tc>
          <w:tcPr>
            <w:tcW w:w="2376" w:type="dxa"/>
          </w:tcPr>
          <w:p w:rsidR="00BD07CD" w:rsidRPr="008D42E1" w:rsidRDefault="00BD07CD" w:rsidP="002E3637">
            <w:pPr>
              <w:pStyle w:val="PwCNormal"/>
              <w:numPr>
                <w:ilvl w:val="0"/>
                <w:numId w:val="0"/>
              </w:numPr>
            </w:pPr>
            <w:r w:rsidRPr="008D42E1">
              <w:t>Mental Health</w:t>
            </w:r>
          </w:p>
        </w:tc>
        <w:tc>
          <w:tcPr>
            <w:tcW w:w="6237" w:type="dxa"/>
          </w:tcPr>
          <w:p w:rsidR="00BD07CD" w:rsidRPr="008D42E1" w:rsidRDefault="00BD07CD" w:rsidP="0018270C">
            <w:pPr>
              <w:pStyle w:val="PwCNormal"/>
              <w:numPr>
                <w:ilvl w:val="0"/>
                <w:numId w:val="0"/>
              </w:numPr>
            </w:pPr>
            <w:r w:rsidRPr="008D42E1">
              <w:t xml:space="preserve">Mental health services operating out of Western Health </w:t>
            </w:r>
            <w:r w:rsidR="0018270C">
              <w:t>were</w:t>
            </w:r>
            <w:r w:rsidRPr="008D42E1">
              <w:t xml:space="preserve"> funded and coordinated by North West Mental Health, a division of Melbourne Health. Overheads relating to these services </w:t>
            </w:r>
            <w:r w:rsidR="0018270C">
              <w:t>were</w:t>
            </w:r>
            <w:r w:rsidRPr="008D42E1">
              <w:t xml:space="preserve"> included in the cost allocation process.</w:t>
            </w:r>
          </w:p>
        </w:tc>
      </w:tr>
      <w:tr w:rsidR="00BD07CD" w:rsidTr="002E3637">
        <w:tc>
          <w:tcPr>
            <w:tcW w:w="2376" w:type="dxa"/>
          </w:tcPr>
          <w:p w:rsidR="00BD07CD" w:rsidRPr="00F362AD" w:rsidRDefault="00BD07CD" w:rsidP="002E3637">
            <w:pPr>
              <w:pStyle w:val="PwCNormal"/>
              <w:numPr>
                <w:ilvl w:val="0"/>
                <w:numId w:val="0"/>
              </w:numPr>
            </w:pPr>
            <w:r w:rsidRPr="00F362AD">
              <w:t>Teaching, training and research</w:t>
            </w:r>
          </w:p>
        </w:tc>
        <w:tc>
          <w:tcPr>
            <w:tcW w:w="6237" w:type="dxa"/>
          </w:tcPr>
          <w:p w:rsidR="00BD07CD" w:rsidRPr="00F362AD" w:rsidRDefault="00BD07CD" w:rsidP="0018270C">
            <w:pPr>
              <w:pStyle w:val="PwCNormal"/>
              <w:numPr>
                <w:ilvl w:val="0"/>
                <w:numId w:val="0"/>
              </w:numPr>
            </w:pPr>
            <w:r>
              <w:t xml:space="preserve">Teaching and training </w:t>
            </w:r>
            <w:r w:rsidR="0018270C">
              <w:t>have</w:t>
            </w:r>
            <w:r>
              <w:t xml:space="preserve"> a separate cost </w:t>
            </w:r>
            <w:r w:rsidR="002821F4">
              <w:t>centre, which</w:t>
            </w:r>
            <w:r>
              <w:t xml:space="preserve"> is linked to a dummy/derived encounter. Teaching, training and research costs </w:t>
            </w:r>
            <w:r w:rsidR="0018270C">
              <w:t>were</w:t>
            </w:r>
            <w:r>
              <w:t xml:space="preserve"> not submitted as part of NHCDC submission. </w:t>
            </w:r>
          </w:p>
        </w:tc>
      </w:tr>
      <w:tr w:rsidR="00BD07CD" w:rsidTr="002E3637">
        <w:tc>
          <w:tcPr>
            <w:tcW w:w="2376" w:type="dxa"/>
          </w:tcPr>
          <w:p w:rsidR="00BD07CD" w:rsidRPr="00F3524E" w:rsidRDefault="00BD07CD" w:rsidP="002E3637">
            <w:pPr>
              <w:pStyle w:val="PwCNormal"/>
              <w:numPr>
                <w:ilvl w:val="0"/>
                <w:numId w:val="0"/>
              </w:numPr>
              <w:rPr>
                <w:highlight w:val="yellow"/>
              </w:rPr>
            </w:pPr>
            <w:r w:rsidRPr="00B554D3">
              <w:lastRenderedPageBreak/>
              <w:t>Other</w:t>
            </w:r>
          </w:p>
        </w:tc>
        <w:tc>
          <w:tcPr>
            <w:tcW w:w="6237" w:type="dxa"/>
          </w:tcPr>
          <w:p w:rsidR="00BD07CD" w:rsidRPr="00F74A97" w:rsidRDefault="00BD07CD" w:rsidP="0018270C">
            <w:pPr>
              <w:pStyle w:val="PwCNormal"/>
              <w:numPr>
                <w:ilvl w:val="0"/>
                <w:numId w:val="0"/>
              </w:numPr>
            </w:pPr>
            <w:r w:rsidRPr="005A1647">
              <w:t xml:space="preserve">Hospital boarders </w:t>
            </w:r>
            <w:r w:rsidR="0018270C">
              <w:t>were</w:t>
            </w:r>
            <w:r w:rsidRPr="005A1647">
              <w:t xml:space="preserve"> not admitted in hospital PAS and not treated as unique episodes. Boarders are identified with a specific program code (episode program ‘B’)</w:t>
            </w:r>
            <w:r>
              <w:t xml:space="preserve"> in the costed dataset</w:t>
            </w:r>
            <w:r w:rsidRPr="005A1647">
              <w:t xml:space="preserve">. </w:t>
            </w:r>
          </w:p>
        </w:tc>
      </w:tr>
    </w:tbl>
    <w:p w:rsidR="00BD07CD" w:rsidRPr="004E0B72" w:rsidRDefault="00BD07CD" w:rsidP="00CE5EF2">
      <w:pPr>
        <w:pStyle w:val="Heading3"/>
      </w:pPr>
      <w:r>
        <w:t>Feeder data for sample areas</w:t>
      </w:r>
    </w:p>
    <w:p w:rsidR="00BD07CD" w:rsidRPr="002449AB" w:rsidRDefault="00BD07CD" w:rsidP="00BD07CD">
      <w:pPr>
        <w:pStyle w:val="PwCNormal"/>
        <w:numPr>
          <w:ilvl w:val="0"/>
          <w:numId w:val="0"/>
        </w:numPr>
        <w:rPr>
          <w:b/>
        </w:rPr>
      </w:pPr>
      <w:r>
        <w:rPr>
          <w:b/>
        </w:rPr>
        <w:t>Overview</w:t>
      </w:r>
    </w:p>
    <w:p w:rsidR="00BD07CD" w:rsidRDefault="002A1C17" w:rsidP="002A1C17">
      <w:pPr>
        <w:pStyle w:val="PwCNormal"/>
        <w:numPr>
          <w:ilvl w:val="0"/>
          <w:numId w:val="0"/>
        </w:numPr>
      </w:pPr>
      <w:r>
        <w:t xml:space="preserve">As part of the costing process different methodologies will be utilised to allocate costs to a patient level. The recommended methodology in the AHPCS is using a feeder </w:t>
      </w:r>
      <w:r w:rsidR="002821F4">
        <w:t>system, which</w:t>
      </w:r>
      <w:r>
        <w:t xml:space="preserve"> uses direct patient activity data to allocate costs</w:t>
      </w:r>
      <w:r w:rsidR="00422464">
        <w:t>. H</w:t>
      </w:r>
      <w:r>
        <w:t>owever</w:t>
      </w:r>
      <w:r w:rsidR="00422464">
        <w:t>,</w:t>
      </w:r>
      <w:r>
        <w:t xml:space="preserve"> if this is not available then service weights or RVUs could be used. For Round 17, WH used feeders for a range of hospital services such as </w:t>
      </w:r>
      <w:r w:rsidR="00BD07CD" w:rsidRPr="00C30D5C">
        <w:t>pharmacy, ward nursing, criti</w:t>
      </w:r>
      <w:r>
        <w:t>cal care areas, ED, and theatre. Some of these are explained in more detail below.</w:t>
      </w:r>
    </w:p>
    <w:p w:rsidR="00BD07CD" w:rsidRDefault="00BD07CD" w:rsidP="00BD07CD">
      <w:pPr>
        <w:pStyle w:val="PwCNormal"/>
        <w:numPr>
          <w:ilvl w:val="0"/>
          <w:numId w:val="0"/>
        </w:numPr>
        <w:rPr>
          <w:b/>
        </w:rPr>
      </w:pPr>
      <w:r>
        <w:rPr>
          <w:b/>
        </w:rPr>
        <w:t>Pharmacy</w:t>
      </w:r>
    </w:p>
    <w:p w:rsidR="00BD07CD" w:rsidRDefault="00BD07CD" w:rsidP="00BD07CD">
      <w:pPr>
        <w:pStyle w:val="PwCNormal"/>
        <w:numPr>
          <w:ilvl w:val="0"/>
          <w:numId w:val="0"/>
        </w:numPr>
      </w:pPr>
      <w:r w:rsidRPr="00B775AF">
        <w:t xml:space="preserve">Western Health uses the </w:t>
      </w:r>
      <w:r>
        <w:t>Merlin</w:t>
      </w:r>
      <w:r w:rsidRPr="00FB0ED8">
        <w:t xml:space="preserve"> pharmacy system</w:t>
      </w:r>
      <w:r w:rsidRPr="00B775AF">
        <w:t xml:space="preserve"> </w:t>
      </w:r>
      <w:r>
        <w:t xml:space="preserve">for inventory management and dispensing drugs. Dispensed drugs include </w:t>
      </w:r>
      <w:r w:rsidR="0018270C">
        <w:t xml:space="preserve">all </w:t>
      </w:r>
      <w:r>
        <w:t>discharge</w:t>
      </w:r>
      <w:r w:rsidR="00422464">
        <w:t>d</w:t>
      </w:r>
      <w:r>
        <w:t xml:space="preserve"> medications and specialised drugs that would not be routine</w:t>
      </w:r>
      <w:r w:rsidR="0018270C">
        <w:t xml:space="preserve">ly stocked in a ward’s pharmacy as </w:t>
      </w:r>
      <w:proofErr w:type="spellStart"/>
      <w:r>
        <w:t>imprest</w:t>
      </w:r>
      <w:proofErr w:type="spellEnd"/>
      <w:r>
        <w:t xml:space="preserve"> drugs</w:t>
      </w:r>
      <w:r w:rsidR="0018270C">
        <w:t xml:space="preserve"> (which are allocated along with ward costs</w:t>
      </w:r>
      <w:r>
        <w:t xml:space="preserve">). </w:t>
      </w:r>
      <w:r w:rsidRPr="00714357">
        <w:t>All relevant costs are allocated to patients through the linking process</w:t>
      </w:r>
      <w:r>
        <w:t xml:space="preserve"> of activities and services. </w:t>
      </w:r>
      <w:r w:rsidRPr="00DB5279">
        <w:t>As per</w:t>
      </w:r>
      <w:r>
        <w:t xml:space="preserve"> the VCDC business rules</w:t>
      </w:r>
      <w:r w:rsidRPr="00DB5279">
        <w:t xml:space="preserve">, </w:t>
      </w:r>
      <w:r>
        <w:t xml:space="preserve">new episodes are created for services that cannot be linked to an existing valid episode. These records are submitted to DH and reported under VCDC program ‘U – Unlinked Services’. </w:t>
      </w:r>
    </w:p>
    <w:p w:rsidR="00BD07CD" w:rsidRDefault="00BD07CD" w:rsidP="00BD07CD">
      <w:pPr>
        <w:pStyle w:val="PwCNormal"/>
        <w:numPr>
          <w:ilvl w:val="0"/>
          <w:numId w:val="0"/>
        </w:numPr>
      </w:pPr>
      <w:r>
        <w:t>The table below outlines the linking of records from the source system to patients within the hospital products.</w:t>
      </w:r>
      <w:r w:rsidR="002A1C17" w:rsidRPr="002A1C17">
        <w:t xml:space="preserve"> </w:t>
      </w:r>
      <w:r w:rsidR="002A1C17">
        <w:t>During the linking process, a total of 5,584 records could not be matched to valid patient episodes, which represents 3% of total activity. These records were allocated costs and linked to a virtual patient record, which was excluded in the submission to IHPA.</w:t>
      </w:r>
    </w:p>
    <w:p w:rsidR="000868A0" w:rsidRDefault="000868A0" w:rsidP="000868A0">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81</w:t>
      </w:r>
      <w:r w:rsidR="008379DC">
        <w:rPr>
          <w:noProof/>
        </w:rPr>
        <w:fldChar w:fldCharType="end"/>
      </w:r>
      <w:r>
        <w:t xml:space="preserve">: </w:t>
      </w:r>
      <w:r w:rsidRPr="00DF0104">
        <w:t>Outcome of pharmacy feeder linking</w:t>
      </w:r>
    </w:p>
    <w:p w:rsidR="00BD07CD" w:rsidRDefault="00BD07CD" w:rsidP="00BD07CD">
      <w:pPr>
        <w:pStyle w:val="PwCNormal"/>
        <w:numPr>
          <w:ilvl w:val="0"/>
          <w:numId w:val="0"/>
        </w:numPr>
      </w:pPr>
      <w:r w:rsidRPr="0069162B">
        <w:rPr>
          <w:noProof/>
          <w:lang w:eastAsia="en-AU"/>
        </w:rPr>
        <w:drawing>
          <wp:inline distT="0" distB="0" distL="0" distR="0" wp14:anchorId="17736A31" wp14:editId="41BD8E40">
            <wp:extent cx="2854800" cy="2376000"/>
            <wp:effectExtent l="0" t="0" r="3175" b="5715"/>
            <wp:docPr id="81" name="Picture 81"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854800" cy="2376000"/>
                    </a:xfrm>
                    <a:prstGeom prst="rect">
                      <a:avLst/>
                    </a:prstGeom>
                    <a:noFill/>
                    <a:ln>
                      <a:noFill/>
                    </a:ln>
                  </pic:spPr>
                </pic:pic>
              </a:graphicData>
            </a:graphic>
          </wp:inline>
        </w:drawing>
      </w:r>
    </w:p>
    <w:p w:rsidR="00BD07CD" w:rsidRPr="0069162B" w:rsidRDefault="00BD07CD" w:rsidP="00BD07CD">
      <w:pPr>
        <w:pStyle w:val="PwCNormal"/>
        <w:numPr>
          <w:ilvl w:val="0"/>
          <w:numId w:val="0"/>
        </w:numPr>
        <w:rPr>
          <w:b/>
        </w:rPr>
      </w:pPr>
      <w:r w:rsidRPr="0069162B">
        <w:rPr>
          <w:b/>
        </w:rPr>
        <w:t>Theatre</w:t>
      </w:r>
    </w:p>
    <w:p w:rsidR="00BD07CD" w:rsidRPr="0069162B" w:rsidRDefault="00BD07CD" w:rsidP="00BD07CD">
      <w:pPr>
        <w:pStyle w:val="PwCNormal"/>
        <w:numPr>
          <w:ilvl w:val="0"/>
          <w:numId w:val="0"/>
        </w:numPr>
      </w:pPr>
      <w:r w:rsidRPr="0069162B">
        <w:t xml:space="preserve">Western Health uses the </w:t>
      </w:r>
      <w:proofErr w:type="spellStart"/>
      <w:r w:rsidRPr="0069162B">
        <w:t>iPM</w:t>
      </w:r>
      <w:proofErr w:type="spellEnd"/>
      <w:r w:rsidRPr="0069162B">
        <w:t xml:space="preserve"> Operating Theatre module in conjunction with the </w:t>
      </w:r>
      <w:proofErr w:type="spellStart"/>
      <w:r w:rsidRPr="0069162B">
        <w:t>iPM</w:t>
      </w:r>
      <w:proofErr w:type="spellEnd"/>
      <w:r w:rsidRPr="0069162B">
        <w:t xml:space="preserve"> PAS to capture and extract various data points </w:t>
      </w:r>
      <w:r w:rsidR="002B7E88">
        <w:t xml:space="preserve">related to the </w:t>
      </w:r>
      <w:r w:rsidRPr="0069162B">
        <w:t>patient</w:t>
      </w:r>
      <w:r w:rsidR="002B7E88">
        <w:t>’s</w:t>
      </w:r>
      <w:r w:rsidRPr="0069162B">
        <w:t xml:space="preserve"> surgery. Theatres minutes such as anaesthesia duration, surgery duration</w:t>
      </w:r>
      <w:r w:rsidR="0018270C">
        <w:t xml:space="preserve"> and</w:t>
      </w:r>
      <w:r w:rsidRPr="0069162B">
        <w:t xml:space="preserve"> recovery time </w:t>
      </w:r>
      <w:r w:rsidR="0018270C">
        <w:t>were</w:t>
      </w:r>
      <w:r w:rsidRPr="0069162B">
        <w:t xml:space="preserve"> used to allocate medical, nursing</w:t>
      </w:r>
      <w:r w:rsidR="002B7E88">
        <w:t xml:space="preserve"> and</w:t>
      </w:r>
      <w:r w:rsidRPr="0069162B">
        <w:t xml:space="preserve"> medical supplies </w:t>
      </w:r>
      <w:r w:rsidR="00495288">
        <w:t>costs</w:t>
      </w:r>
      <w:r w:rsidR="0018270C">
        <w:t xml:space="preserve"> to directly to patients. This wa</w:t>
      </w:r>
      <w:r w:rsidR="00495288">
        <w:t xml:space="preserve">s weighted by the </w:t>
      </w:r>
      <w:r w:rsidR="00495288" w:rsidRPr="0069162B">
        <w:t>number</w:t>
      </w:r>
      <w:r w:rsidR="00495288">
        <w:t xml:space="preserve"> of surgeons and/or</w:t>
      </w:r>
      <w:r w:rsidR="00495288" w:rsidRPr="0069162B">
        <w:t xml:space="preserve"> anaesthetists</w:t>
      </w:r>
      <w:r w:rsidR="00495288">
        <w:t>.</w:t>
      </w:r>
      <w:r w:rsidRPr="0069162B">
        <w:t xml:space="preserve"> CSSD (T</w:t>
      </w:r>
      <w:r w:rsidR="0018270C">
        <w:t>heatre Sterile Supply) costs were</w:t>
      </w:r>
      <w:r w:rsidRPr="0069162B">
        <w:t xml:space="preserve"> in</w:t>
      </w:r>
      <w:r w:rsidR="002B7E88">
        <w:t>cluded as an overhead cost.</w:t>
      </w:r>
    </w:p>
    <w:p w:rsidR="003A7446" w:rsidRDefault="00495288" w:rsidP="003A7446">
      <w:pPr>
        <w:pStyle w:val="PwCNormal"/>
        <w:numPr>
          <w:ilvl w:val="0"/>
          <w:numId w:val="0"/>
        </w:numPr>
      </w:pPr>
      <w:r>
        <w:t xml:space="preserve">The theatre records </w:t>
      </w:r>
      <w:r w:rsidR="0018270C">
        <w:t>were</w:t>
      </w:r>
      <w:r>
        <w:t xml:space="preserve"> linked to patients based on their medical record number and date of s</w:t>
      </w:r>
      <w:r w:rsidR="0018270C">
        <w:t>ervice, the results of which were</w:t>
      </w:r>
      <w:r>
        <w:t xml:space="preserve"> listed in the table below.</w:t>
      </w:r>
      <w:r w:rsidR="003A7446" w:rsidRPr="003A7446">
        <w:t xml:space="preserve"> </w:t>
      </w:r>
      <w:r w:rsidR="003A7446">
        <w:t xml:space="preserve">A total of 108 theatre records were excluded from </w:t>
      </w:r>
      <w:r w:rsidR="002B7E88">
        <w:t xml:space="preserve">the </w:t>
      </w:r>
      <w:r w:rsidR="003A7446">
        <w:lastRenderedPageBreak/>
        <w:t>validation and linking process. During the linking process, three</w:t>
      </w:r>
      <w:r w:rsidR="003A7446" w:rsidRPr="0069162B">
        <w:t xml:space="preserve"> theatre records were excluded as they fell outside the </w:t>
      </w:r>
      <w:r w:rsidR="003A7446">
        <w:t>Round 17</w:t>
      </w:r>
      <w:r w:rsidR="003A7446" w:rsidRPr="0069162B">
        <w:t xml:space="preserve"> activity period.</w:t>
      </w:r>
    </w:p>
    <w:p w:rsidR="000868A0" w:rsidRDefault="000868A0" w:rsidP="000868A0">
      <w:pPr>
        <w:pStyle w:val="Caption"/>
      </w:pPr>
      <w:r>
        <w:t xml:space="preserve">Table </w:t>
      </w:r>
      <w:r w:rsidR="008379DC">
        <w:fldChar w:fldCharType="begin"/>
      </w:r>
      <w:r w:rsidR="009E64DF">
        <w:instrText xml:space="preserve"> SEQ Table \* ARABIC </w:instrText>
      </w:r>
      <w:r w:rsidR="008379DC">
        <w:fldChar w:fldCharType="separate"/>
      </w:r>
      <w:r w:rsidR="00575DFC">
        <w:rPr>
          <w:noProof/>
        </w:rPr>
        <w:t>82</w:t>
      </w:r>
      <w:r w:rsidR="008379DC">
        <w:rPr>
          <w:noProof/>
        </w:rPr>
        <w:fldChar w:fldCharType="end"/>
      </w:r>
      <w:r>
        <w:t xml:space="preserve">: </w:t>
      </w:r>
      <w:r w:rsidRPr="00D55349">
        <w:t>Outcome of theatre feeder linking</w:t>
      </w:r>
    </w:p>
    <w:p w:rsidR="00BD07CD" w:rsidRPr="0069162B" w:rsidRDefault="00BD07CD" w:rsidP="00BD07CD">
      <w:pPr>
        <w:pStyle w:val="PwCNormal"/>
        <w:numPr>
          <w:ilvl w:val="0"/>
          <w:numId w:val="0"/>
        </w:numPr>
      </w:pPr>
      <w:r w:rsidRPr="0069162B">
        <w:rPr>
          <w:noProof/>
          <w:lang w:eastAsia="en-AU"/>
        </w:rPr>
        <w:drawing>
          <wp:inline distT="0" distB="0" distL="0" distR="0" wp14:anchorId="20070CC9" wp14:editId="49824533">
            <wp:extent cx="2854800" cy="2376000"/>
            <wp:effectExtent l="0" t="0" r="3175" b="5715"/>
            <wp:docPr id="82" name="Picture 82"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54800" cy="2376000"/>
                    </a:xfrm>
                    <a:prstGeom prst="rect">
                      <a:avLst/>
                    </a:prstGeom>
                    <a:noFill/>
                    <a:ln>
                      <a:noFill/>
                    </a:ln>
                  </pic:spPr>
                </pic:pic>
              </a:graphicData>
            </a:graphic>
          </wp:inline>
        </w:drawing>
      </w:r>
    </w:p>
    <w:p w:rsidR="00BD07CD" w:rsidRPr="002449AB" w:rsidRDefault="00BD07CD" w:rsidP="00BD07CD">
      <w:pPr>
        <w:pStyle w:val="PwCNormal"/>
        <w:numPr>
          <w:ilvl w:val="0"/>
          <w:numId w:val="0"/>
        </w:numPr>
        <w:rPr>
          <w:b/>
        </w:rPr>
      </w:pPr>
      <w:r>
        <w:rPr>
          <w:b/>
        </w:rPr>
        <w:t>Ward Nursing</w:t>
      </w:r>
    </w:p>
    <w:p w:rsidR="00BD07CD" w:rsidRPr="004E49DE" w:rsidRDefault="00BD07CD" w:rsidP="003A7446">
      <w:pPr>
        <w:pStyle w:val="PwCNormal"/>
        <w:numPr>
          <w:ilvl w:val="0"/>
          <w:numId w:val="0"/>
        </w:numPr>
      </w:pPr>
      <w:r w:rsidRPr="004E49DE">
        <w:t>Western Health uses</w:t>
      </w:r>
      <w:r w:rsidR="003A7446">
        <w:t xml:space="preserve"> patient information from </w:t>
      </w:r>
      <w:proofErr w:type="spellStart"/>
      <w:r w:rsidR="003A7446">
        <w:t>iPM</w:t>
      </w:r>
      <w:proofErr w:type="spellEnd"/>
      <w:r w:rsidR="003A7446">
        <w:t xml:space="preserve"> PAS which includes data on</w:t>
      </w:r>
      <w:r w:rsidR="003A7446" w:rsidRPr="00502A63">
        <w:t xml:space="preserve"> the patient’s encounter in hospital, such as the admission and discharge date and time, tra</w:t>
      </w:r>
      <w:r w:rsidR="003A7446">
        <w:t>nsfers between wards and units</w:t>
      </w:r>
      <w:r w:rsidRPr="004E49DE">
        <w:t>. Transfer extracts are created</w:t>
      </w:r>
      <w:r w:rsidR="002B7E88">
        <w:t xml:space="preserve"> and</w:t>
      </w:r>
      <w:r w:rsidRPr="004E49DE">
        <w:t xml:space="preserve"> linked directly to the patient encounter in the costing system to derive patient</w:t>
      </w:r>
      <w:r>
        <w:t xml:space="preserve"> fractional</w:t>
      </w:r>
      <w:r w:rsidR="00495288">
        <w:t xml:space="preserve"> bed days.</w:t>
      </w:r>
      <w:r w:rsidR="003A7446">
        <w:t xml:space="preserve"> A total of 2,683 records were excluded from the extraction as they fell outside Round 17 with the remaining records being allocated to inpatients. This is displayed in </w:t>
      </w:r>
      <w:r w:rsidR="003A7446">
        <w:fldChar w:fldCharType="begin"/>
      </w:r>
      <w:r w:rsidR="003A7446">
        <w:instrText xml:space="preserve"> REF _Ref402966830 \h </w:instrText>
      </w:r>
      <w:r w:rsidR="003A7446">
        <w:fldChar w:fldCharType="separate"/>
      </w:r>
      <w:r w:rsidR="00575DFC">
        <w:t xml:space="preserve">Table </w:t>
      </w:r>
      <w:r w:rsidR="00575DFC">
        <w:rPr>
          <w:noProof/>
        </w:rPr>
        <w:t>83</w:t>
      </w:r>
      <w:r w:rsidR="003A7446">
        <w:fldChar w:fldCharType="end"/>
      </w:r>
      <w:r w:rsidR="003A7446">
        <w:t xml:space="preserve"> below.</w:t>
      </w:r>
    </w:p>
    <w:p w:rsidR="000868A0" w:rsidRDefault="000868A0" w:rsidP="000868A0">
      <w:pPr>
        <w:pStyle w:val="Caption"/>
      </w:pPr>
      <w:bookmarkStart w:id="123" w:name="_Ref402966830"/>
      <w:r>
        <w:t xml:space="preserve">Table </w:t>
      </w:r>
      <w:r w:rsidR="008379DC">
        <w:fldChar w:fldCharType="begin"/>
      </w:r>
      <w:r w:rsidR="009E64DF">
        <w:instrText xml:space="preserve"> SEQ Table \* ARABIC </w:instrText>
      </w:r>
      <w:r w:rsidR="008379DC">
        <w:fldChar w:fldCharType="separate"/>
      </w:r>
      <w:r w:rsidR="00575DFC">
        <w:rPr>
          <w:noProof/>
        </w:rPr>
        <w:t>83</w:t>
      </w:r>
      <w:r w:rsidR="008379DC">
        <w:rPr>
          <w:noProof/>
        </w:rPr>
        <w:fldChar w:fldCharType="end"/>
      </w:r>
      <w:bookmarkEnd w:id="123"/>
      <w:r>
        <w:t xml:space="preserve">: </w:t>
      </w:r>
      <w:r w:rsidRPr="00A82DAF">
        <w:t>Outcome of ward nursing feeder linking</w:t>
      </w:r>
    </w:p>
    <w:p w:rsidR="003A7446" w:rsidRDefault="00BD07CD" w:rsidP="003A7446">
      <w:pPr>
        <w:pStyle w:val="PwCNormal"/>
        <w:numPr>
          <w:ilvl w:val="0"/>
          <w:numId w:val="0"/>
        </w:numPr>
      </w:pPr>
      <w:r w:rsidRPr="00153908">
        <w:rPr>
          <w:noProof/>
          <w:lang w:eastAsia="en-AU"/>
        </w:rPr>
        <w:drawing>
          <wp:inline distT="0" distB="0" distL="0" distR="0" wp14:anchorId="25A588A0" wp14:editId="5A772675">
            <wp:extent cx="2854800" cy="2376000"/>
            <wp:effectExtent l="0" t="0" r="3175" b="5715"/>
            <wp:docPr id="83" name="Picture 83"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54800" cy="2376000"/>
                    </a:xfrm>
                    <a:prstGeom prst="rect">
                      <a:avLst/>
                    </a:prstGeom>
                    <a:noFill/>
                    <a:ln>
                      <a:noFill/>
                    </a:ln>
                  </pic:spPr>
                </pic:pic>
              </a:graphicData>
            </a:graphic>
          </wp:inline>
        </w:drawing>
      </w:r>
      <w:r w:rsidR="003A7446">
        <w:br w:type="page"/>
      </w:r>
    </w:p>
    <w:p w:rsidR="00BD07CD" w:rsidRPr="004E0B72" w:rsidRDefault="00BD07CD" w:rsidP="00CE5EF2">
      <w:pPr>
        <w:pStyle w:val="Heading3"/>
      </w:pPr>
      <w:bookmarkStart w:id="124" w:name="_Ref402979948"/>
      <w:r>
        <w:lastRenderedPageBreak/>
        <w:t>The costed dataset</w:t>
      </w:r>
      <w:bookmarkEnd w:id="124"/>
    </w:p>
    <w:p w:rsidR="00BD07CD" w:rsidRPr="002449AB" w:rsidRDefault="00BD07CD" w:rsidP="00BD07CD">
      <w:pPr>
        <w:pStyle w:val="PwCNormal"/>
        <w:numPr>
          <w:ilvl w:val="0"/>
          <w:numId w:val="0"/>
        </w:numPr>
        <w:rPr>
          <w:b/>
        </w:rPr>
      </w:pPr>
      <w:r>
        <w:rPr>
          <w:b/>
        </w:rPr>
        <w:t>QA process</w:t>
      </w:r>
    </w:p>
    <w:p w:rsidR="00B6224C" w:rsidRDefault="00BD07CD" w:rsidP="00BD07CD">
      <w:pPr>
        <w:pStyle w:val="PwCNormal"/>
        <w:numPr>
          <w:ilvl w:val="0"/>
          <w:numId w:val="0"/>
        </w:numPr>
      </w:pPr>
      <w:r>
        <w:t xml:space="preserve">In </w:t>
      </w:r>
      <w:r w:rsidR="006A194B">
        <w:t>Round 17</w:t>
      </w:r>
      <w:r w:rsidR="003A7446">
        <w:t>,</w:t>
      </w:r>
      <w:r>
        <w:t xml:space="preserve"> the costing team performed a number of checks and </w:t>
      </w:r>
      <w:r w:rsidR="00B6224C">
        <w:t>reconciliations on the dataset to compare costs and activity loaded into the system to what was in the costed dataset</w:t>
      </w:r>
      <w:r>
        <w:t xml:space="preserve">. </w:t>
      </w:r>
      <w:r w:rsidR="00B6224C">
        <w:t>D</w:t>
      </w:r>
      <w:r w:rsidR="00142B14">
        <w:t xml:space="preserve">ata </w:t>
      </w:r>
      <w:r w:rsidR="00B6224C">
        <w:t xml:space="preserve">was then </w:t>
      </w:r>
      <w:r w:rsidR="00142B14">
        <w:t xml:space="preserve">submitted to the DH </w:t>
      </w:r>
      <w:r w:rsidR="00B6224C">
        <w:t xml:space="preserve">and underwent a range of quality assurance checks as part of the VCDC submission process. Details of the checks can be found in </w:t>
      </w:r>
      <w:r w:rsidR="00F84A9F">
        <w:t>S</w:t>
      </w:r>
      <w:r w:rsidR="00B6224C">
        <w:t xml:space="preserve">ection </w:t>
      </w:r>
      <w:r w:rsidR="00B6224C">
        <w:fldChar w:fldCharType="begin"/>
      </w:r>
      <w:r w:rsidR="00B6224C">
        <w:instrText xml:space="preserve"> REF _Ref402968377 \r \h </w:instrText>
      </w:r>
      <w:r w:rsidR="00B6224C">
        <w:fldChar w:fldCharType="separate"/>
      </w:r>
      <w:r w:rsidR="00575DFC">
        <w:t>9.1</w:t>
      </w:r>
      <w:r w:rsidR="00B6224C">
        <w:fldChar w:fldCharType="end"/>
      </w:r>
      <w:r w:rsidR="00B6224C">
        <w:t xml:space="preserve">. WH submitted </w:t>
      </w:r>
      <w:r w:rsidR="002B7E88">
        <w:t xml:space="preserve">data </w:t>
      </w:r>
      <w:r w:rsidR="00B6224C">
        <w:t xml:space="preserve">to the DH four times to the VCDC, each time adjusting the data to rectify </w:t>
      </w:r>
      <w:r w:rsidR="00A459F3">
        <w:t>identified issues from the DH validation process.</w:t>
      </w:r>
    </w:p>
    <w:p w:rsidR="00BD07CD" w:rsidRPr="002449AB" w:rsidRDefault="00BD07CD" w:rsidP="00BD07CD">
      <w:pPr>
        <w:pStyle w:val="PwCNormal"/>
        <w:numPr>
          <w:ilvl w:val="0"/>
          <w:numId w:val="0"/>
        </w:numPr>
        <w:rPr>
          <w:b/>
        </w:rPr>
      </w:pPr>
      <w:r>
        <w:rPr>
          <w:b/>
        </w:rPr>
        <w:t>Adjustments</w:t>
      </w:r>
    </w:p>
    <w:p w:rsidR="00BD07CD" w:rsidRDefault="00BD07CD" w:rsidP="00BD07CD">
      <w:pPr>
        <w:pStyle w:val="PwCNormal"/>
        <w:numPr>
          <w:ilvl w:val="0"/>
          <w:numId w:val="0"/>
        </w:numPr>
      </w:pPr>
      <w:proofErr w:type="gramStart"/>
      <w:r>
        <w:t xml:space="preserve">Adjustments </w:t>
      </w:r>
      <w:r w:rsidR="00781CEF">
        <w:t>were</w:t>
      </w:r>
      <w:r>
        <w:t xml:space="preserve"> made for expenses incurred </w:t>
      </w:r>
      <w:r w:rsidR="002B7E88">
        <w:t>when</w:t>
      </w:r>
      <w:r>
        <w:t xml:space="preserve"> </w:t>
      </w:r>
      <w:r w:rsidR="002B7E88">
        <w:t>WH</w:t>
      </w:r>
      <w:r>
        <w:t xml:space="preserve"> provides services for another health service, lacks</w:t>
      </w:r>
      <w:proofErr w:type="gramEnd"/>
      <w:r>
        <w:t xml:space="preserve"> reliable patient activity data for a service and/or are funded outside the DH mechanisms. These include:</w:t>
      </w:r>
    </w:p>
    <w:p w:rsidR="00BD07CD" w:rsidRPr="00D41991" w:rsidRDefault="00BD07CD" w:rsidP="009C4A5D">
      <w:pPr>
        <w:pStyle w:val="BodyText"/>
        <w:numPr>
          <w:ilvl w:val="0"/>
          <w:numId w:val="71"/>
        </w:numPr>
        <w:kinsoku/>
        <w:overflowPunct/>
        <w:autoSpaceDE/>
        <w:autoSpaceDN/>
        <w:adjustRightInd/>
        <w:snapToGrid/>
        <w:spacing w:line="240" w:lineRule="atLeast"/>
      </w:pPr>
      <w:r w:rsidRPr="00D41991">
        <w:t>Melton dialysis</w:t>
      </w:r>
    </w:p>
    <w:p w:rsidR="00BD07CD" w:rsidRPr="00D41991" w:rsidRDefault="00BD07CD" w:rsidP="009C4A5D">
      <w:pPr>
        <w:pStyle w:val="BodyText"/>
        <w:numPr>
          <w:ilvl w:val="0"/>
          <w:numId w:val="71"/>
        </w:numPr>
        <w:kinsoku/>
        <w:overflowPunct/>
        <w:autoSpaceDE/>
        <w:autoSpaceDN/>
        <w:adjustRightInd/>
        <w:snapToGrid/>
        <w:spacing w:line="240" w:lineRule="atLeast"/>
      </w:pPr>
      <w:r w:rsidRPr="00D41991">
        <w:t>Children’s allied health (funded by DEECD)</w:t>
      </w:r>
    </w:p>
    <w:p w:rsidR="00BD07CD" w:rsidRPr="00D41991" w:rsidRDefault="00BD07CD" w:rsidP="009C4A5D">
      <w:pPr>
        <w:pStyle w:val="BodyText"/>
        <w:numPr>
          <w:ilvl w:val="0"/>
          <w:numId w:val="71"/>
        </w:numPr>
        <w:kinsoku/>
        <w:overflowPunct/>
        <w:autoSpaceDE/>
        <w:autoSpaceDN/>
        <w:adjustRightInd/>
        <w:snapToGrid/>
        <w:spacing w:line="240" w:lineRule="atLeast"/>
      </w:pPr>
      <w:r w:rsidRPr="00D41991">
        <w:t>Acute aged care assessment</w:t>
      </w:r>
    </w:p>
    <w:p w:rsidR="00BD07CD" w:rsidRPr="00D41991" w:rsidRDefault="00BD07CD" w:rsidP="009C4A5D">
      <w:pPr>
        <w:pStyle w:val="BodyText"/>
        <w:numPr>
          <w:ilvl w:val="0"/>
          <w:numId w:val="71"/>
        </w:numPr>
        <w:kinsoku/>
        <w:overflowPunct/>
        <w:autoSpaceDE/>
        <w:autoSpaceDN/>
        <w:adjustRightInd/>
        <w:snapToGrid/>
        <w:spacing w:line="240" w:lineRule="atLeast"/>
      </w:pPr>
      <w:r w:rsidRPr="00D41991">
        <w:t>Drug and alcohol</w:t>
      </w:r>
      <w:r w:rsidR="00781CEF">
        <w:t xml:space="preserve"> programs</w:t>
      </w:r>
    </w:p>
    <w:p w:rsidR="00BD07CD" w:rsidRPr="000677E6" w:rsidRDefault="00BD07CD" w:rsidP="009C4A5D">
      <w:pPr>
        <w:pStyle w:val="PwCNormal"/>
        <w:numPr>
          <w:ilvl w:val="0"/>
          <w:numId w:val="71"/>
        </w:numPr>
      </w:pPr>
      <w:r w:rsidRPr="00D41991">
        <w:t xml:space="preserve">Encounters that lacked a </w:t>
      </w:r>
      <w:r>
        <w:t xml:space="preserve">VCDC </w:t>
      </w:r>
      <w:r w:rsidRPr="00D41991">
        <w:t>program code and a campus code i.e</w:t>
      </w:r>
      <w:r>
        <w:t>.</w:t>
      </w:r>
      <w:r w:rsidRPr="00D41991">
        <w:t xml:space="preserve"> </w:t>
      </w:r>
      <w:r>
        <w:t xml:space="preserve">Health Independence </w:t>
      </w:r>
      <w:r w:rsidRPr="00D41991">
        <w:t xml:space="preserve">group </w:t>
      </w:r>
      <w:r w:rsidRPr="000677E6">
        <w:t>sessions</w:t>
      </w:r>
      <w:r w:rsidR="002B7E88">
        <w:t>.</w:t>
      </w:r>
    </w:p>
    <w:p w:rsidR="00BD07CD" w:rsidRPr="000677E6" w:rsidRDefault="00BD07CD" w:rsidP="00BD07CD">
      <w:pPr>
        <w:pStyle w:val="PwCNormal"/>
        <w:numPr>
          <w:ilvl w:val="0"/>
          <w:numId w:val="0"/>
        </w:numPr>
        <w:rPr>
          <w:b/>
        </w:rPr>
      </w:pPr>
      <w:r w:rsidRPr="000677E6">
        <w:rPr>
          <w:b/>
        </w:rPr>
        <w:t>Work in progress (Item E)</w:t>
      </w:r>
    </w:p>
    <w:p w:rsidR="00BD07CD" w:rsidRPr="000677E6" w:rsidRDefault="00BD07CD" w:rsidP="00BD07CD">
      <w:pPr>
        <w:pStyle w:val="PwCNormal"/>
        <w:numPr>
          <w:ilvl w:val="0"/>
          <w:numId w:val="0"/>
        </w:numPr>
      </w:pPr>
      <w:r w:rsidRPr="000677E6">
        <w:t xml:space="preserve">Adjustments </w:t>
      </w:r>
      <w:r w:rsidR="00781CEF">
        <w:t>were</w:t>
      </w:r>
      <w:r w:rsidRPr="000677E6">
        <w:t xml:space="preserve"> made for patients whose stay at the hosp</w:t>
      </w:r>
      <w:r w:rsidR="00A459F3">
        <w:t xml:space="preserve">ital crosses the financial year. The approach to making this adjustment is illustrated in </w:t>
      </w:r>
      <w:r w:rsidR="00A459F3">
        <w:fldChar w:fldCharType="begin"/>
      </w:r>
      <w:r w:rsidR="00A459F3">
        <w:instrText xml:space="preserve"> REF _Ref402968917 \h </w:instrText>
      </w:r>
      <w:r w:rsidR="00A459F3">
        <w:fldChar w:fldCharType="separate"/>
      </w:r>
      <w:r w:rsidR="00575DFC">
        <w:t xml:space="preserve">Figure </w:t>
      </w:r>
      <w:r w:rsidR="00575DFC">
        <w:rPr>
          <w:noProof/>
        </w:rPr>
        <w:t>9</w:t>
      </w:r>
      <w:r w:rsidR="00575DFC">
        <w:t xml:space="preserve">: </w:t>
      </w:r>
      <w:r w:rsidR="00575DFC" w:rsidRPr="00EE2454">
        <w:t xml:space="preserve">Treatment of </w:t>
      </w:r>
      <w:r w:rsidR="00575DFC">
        <w:t>WIP</w:t>
      </w:r>
      <w:r w:rsidR="00575DFC" w:rsidRPr="00EE2454">
        <w:t xml:space="preserve"> patients</w:t>
      </w:r>
      <w:r w:rsidR="00A459F3">
        <w:fldChar w:fldCharType="end"/>
      </w:r>
      <w:r w:rsidR="00A459F3">
        <w:t xml:space="preserve"> and discussed below.</w:t>
      </w:r>
    </w:p>
    <w:p w:rsidR="000868A0" w:rsidRDefault="000868A0" w:rsidP="000868A0">
      <w:pPr>
        <w:pStyle w:val="Caption"/>
      </w:pPr>
      <w:bookmarkStart w:id="125" w:name="_Ref402968917"/>
      <w:r>
        <w:t xml:space="preserve">Figure </w:t>
      </w:r>
      <w:r w:rsidR="008379DC">
        <w:fldChar w:fldCharType="begin"/>
      </w:r>
      <w:r w:rsidR="009E64DF">
        <w:instrText xml:space="preserve"> SEQ Figure \* ARABIC </w:instrText>
      </w:r>
      <w:r w:rsidR="008379DC">
        <w:fldChar w:fldCharType="separate"/>
      </w:r>
      <w:r w:rsidR="00575DFC">
        <w:rPr>
          <w:noProof/>
        </w:rPr>
        <w:t>9</w:t>
      </w:r>
      <w:r w:rsidR="008379DC">
        <w:rPr>
          <w:noProof/>
        </w:rPr>
        <w:fldChar w:fldCharType="end"/>
      </w:r>
      <w:r>
        <w:t xml:space="preserve">: </w:t>
      </w:r>
      <w:r w:rsidRPr="00EE2454">
        <w:t xml:space="preserve">Treatment of </w:t>
      </w:r>
      <w:r w:rsidR="00CE2045">
        <w:t>WIP</w:t>
      </w:r>
      <w:r w:rsidRPr="00EE2454">
        <w:t xml:space="preserve"> patients</w:t>
      </w:r>
      <w:bookmarkEnd w:id="125"/>
    </w:p>
    <w:p w:rsidR="00BD07CD" w:rsidRPr="000677E6" w:rsidRDefault="00A459F3" w:rsidP="00BD07CD">
      <w:r w:rsidRPr="000D62BB">
        <w:rPr>
          <w:noProof/>
          <w:lang w:eastAsia="en-AU"/>
        </w:rPr>
        <w:drawing>
          <wp:inline distT="0" distB="0" distL="0" distR="0" wp14:anchorId="280B4985" wp14:editId="54104630">
            <wp:extent cx="5850255" cy="1530350"/>
            <wp:effectExtent l="0" t="0" r="0" b="0"/>
            <wp:docPr id="14" name="Picture 14" descr="This table outlines the treatment of work in progress patients. All patients who were admitted during the financial year were allocated costs, but only those discharged were in the financial year were submitted." title="Treatment of work in progres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255" cy="1530350"/>
                    </a:xfrm>
                    <a:prstGeom prst="rect">
                      <a:avLst/>
                    </a:prstGeom>
                    <a:noFill/>
                    <a:ln>
                      <a:noFill/>
                    </a:ln>
                  </pic:spPr>
                </pic:pic>
              </a:graphicData>
            </a:graphic>
          </wp:inline>
        </w:drawing>
      </w:r>
    </w:p>
    <w:p w:rsidR="00BD07CD" w:rsidRPr="000677E6" w:rsidRDefault="00BD07CD" w:rsidP="00BD07CD">
      <w:pPr>
        <w:pStyle w:val="PwCNormal"/>
      </w:pPr>
    </w:p>
    <w:p w:rsidR="00BD07CD" w:rsidRPr="000677E6" w:rsidRDefault="00BD07CD" w:rsidP="00A459F3">
      <w:pPr>
        <w:pStyle w:val="PwCNormal"/>
        <w:numPr>
          <w:ilvl w:val="0"/>
          <w:numId w:val="0"/>
        </w:numPr>
        <w:spacing w:after="120"/>
      </w:pPr>
      <w:r w:rsidRPr="000677E6">
        <w:t xml:space="preserve">In </w:t>
      </w:r>
      <w:r w:rsidR="006A194B">
        <w:t>Round 17</w:t>
      </w:r>
      <w:r w:rsidRPr="000677E6">
        <w:t>, patients in each of these scenarios were treated the following ways:</w:t>
      </w:r>
    </w:p>
    <w:p w:rsidR="00BD07CD" w:rsidRPr="00870958" w:rsidRDefault="00BD07CD" w:rsidP="009C4A5D">
      <w:pPr>
        <w:pStyle w:val="ListParagraph"/>
        <w:numPr>
          <w:ilvl w:val="0"/>
          <w:numId w:val="44"/>
        </w:numPr>
        <w:spacing w:after="120"/>
      </w:pPr>
      <w:r w:rsidRPr="00870958">
        <w:t>Scenario 1 patients received an allocation of FY2012/13 costs and were submitted to IHPA</w:t>
      </w:r>
    </w:p>
    <w:p w:rsidR="00BD07CD" w:rsidRPr="000677E6" w:rsidRDefault="00BD07CD" w:rsidP="009C4A5D">
      <w:pPr>
        <w:pStyle w:val="PwCNormal"/>
        <w:numPr>
          <w:ilvl w:val="0"/>
          <w:numId w:val="44"/>
        </w:numPr>
        <w:spacing w:after="120"/>
      </w:pPr>
      <w:r w:rsidRPr="001C5437">
        <w:t xml:space="preserve">Scenario 2 patients </w:t>
      </w:r>
      <w:r>
        <w:t>received an allocation of FY2012/13 and were submitted to IHPA</w:t>
      </w:r>
      <w:r w:rsidRPr="000677E6">
        <w:t xml:space="preserve">, but only </w:t>
      </w:r>
      <w:r w:rsidR="006A194B">
        <w:t>Round 17</w:t>
      </w:r>
      <w:r w:rsidRPr="000677E6">
        <w:t xml:space="preserve"> costs were included. A new costing software (PPM2) was introduced in </w:t>
      </w:r>
      <w:r w:rsidR="006A194B">
        <w:t>Round 17</w:t>
      </w:r>
      <w:r w:rsidRPr="000677E6">
        <w:t xml:space="preserve"> and as a result previous years cost information was not available for submission.</w:t>
      </w:r>
    </w:p>
    <w:p w:rsidR="00BD07CD" w:rsidRPr="001C5437" w:rsidRDefault="00BD07CD" w:rsidP="009C4A5D">
      <w:pPr>
        <w:pStyle w:val="PwCNormal"/>
        <w:numPr>
          <w:ilvl w:val="0"/>
          <w:numId w:val="44"/>
        </w:numPr>
        <w:spacing w:after="120"/>
      </w:pPr>
      <w:r w:rsidRPr="001C5437">
        <w:t xml:space="preserve">Scenario 3 patients </w:t>
      </w:r>
      <w:r>
        <w:t>received an allocation of FY2012/13 costs</w:t>
      </w:r>
      <w:r w:rsidRPr="001C5437">
        <w:t xml:space="preserve"> but were not submitted to IHPA.</w:t>
      </w:r>
      <w:r>
        <w:t xml:space="preserve"> These patients will be included in future rounds of the NHCDC depending on when they are discharged.</w:t>
      </w:r>
      <w:r w:rsidRPr="001C5437">
        <w:t xml:space="preserve"> </w:t>
      </w:r>
    </w:p>
    <w:p w:rsidR="00BD07CD" w:rsidRPr="001C5437" w:rsidRDefault="00BD07CD" w:rsidP="009C4A5D">
      <w:pPr>
        <w:pStyle w:val="PwCNormal"/>
        <w:numPr>
          <w:ilvl w:val="0"/>
          <w:numId w:val="44"/>
        </w:numPr>
      </w:pPr>
      <w:r w:rsidRPr="001C5437">
        <w:t xml:space="preserve">Scenario 4 </w:t>
      </w:r>
      <w:r w:rsidR="002821F4" w:rsidRPr="001C5437">
        <w:t>patients</w:t>
      </w:r>
      <w:r w:rsidRPr="001C5437">
        <w:t xml:space="preserve"> </w:t>
      </w:r>
      <w:r>
        <w:t>received an allocation of FY2012/13 costs</w:t>
      </w:r>
      <w:r w:rsidRPr="001C5437">
        <w:t xml:space="preserve"> but were not submitted to IHPA. </w:t>
      </w:r>
      <w:r>
        <w:t>These patients will be included in future rounds of the NHCDC depending on when they are discharged.</w:t>
      </w:r>
    </w:p>
    <w:p w:rsidR="00BD07CD" w:rsidRPr="004E0B72" w:rsidRDefault="00BD07CD" w:rsidP="00CE5EF2">
      <w:pPr>
        <w:pStyle w:val="Heading3"/>
      </w:pPr>
      <w:r>
        <w:lastRenderedPageBreak/>
        <w:t>Sample patients</w:t>
      </w:r>
    </w:p>
    <w:p w:rsidR="00A459F3" w:rsidRDefault="002729CE" w:rsidP="00A459F3">
      <w:pPr>
        <w:pStyle w:val="PwCNormal"/>
        <w:numPr>
          <w:ilvl w:val="0"/>
          <w:numId w:val="0"/>
        </w:numPr>
        <w:rPr>
          <w:noProof/>
          <w:lang w:eastAsia="en-AU"/>
        </w:r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A459F3">
        <w:t xml:space="preserve">. The reconciliation found only one rounding variance of $0.03 in one of the sample patients, as displayed in </w:t>
      </w:r>
      <w:r w:rsidR="002B7E88">
        <w:fldChar w:fldCharType="begin"/>
      </w:r>
      <w:r w:rsidR="002B7E88">
        <w:instrText xml:space="preserve"> REF _Ref403572505 \h </w:instrText>
      </w:r>
      <w:r w:rsidR="002B7E88">
        <w:fldChar w:fldCharType="separate"/>
      </w:r>
      <w:r w:rsidR="00575DFC">
        <w:t xml:space="preserve">Table </w:t>
      </w:r>
      <w:r w:rsidR="00575DFC">
        <w:rPr>
          <w:noProof/>
        </w:rPr>
        <w:t>84</w:t>
      </w:r>
      <w:r w:rsidR="002B7E88">
        <w:fldChar w:fldCharType="end"/>
      </w:r>
      <w:r w:rsidR="002B7E88">
        <w:t xml:space="preserve"> </w:t>
      </w:r>
      <w:r w:rsidR="00A459F3">
        <w:t>below.</w:t>
      </w:r>
    </w:p>
    <w:p w:rsidR="000868A0" w:rsidRDefault="000868A0" w:rsidP="000868A0">
      <w:pPr>
        <w:pStyle w:val="Caption"/>
      </w:pPr>
      <w:bookmarkStart w:id="126" w:name="_Ref403572505"/>
      <w:r>
        <w:t xml:space="preserve">Table </w:t>
      </w:r>
      <w:r w:rsidR="008379DC">
        <w:fldChar w:fldCharType="begin"/>
      </w:r>
      <w:r w:rsidR="009E64DF">
        <w:instrText xml:space="preserve"> SEQ Table \* ARABIC </w:instrText>
      </w:r>
      <w:r w:rsidR="008379DC">
        <w:fldChar w:fldCharType="separate"/>
      </w:r>
      <w:r w:rsidR="00575DFC">
        <w:rPr>
          <w:noProof/>
        </w:rPr>
        <w:t>84</w:t>
      </w:r>
      <w:r w:rsidR="008379DC">
        <w:rPr>
          <w:noProof/>
        </w:rPr>
        <w:fldChar w:fldCharType="end"/>
      </w:r>
      <w:bookmarkEnd w:id="126"/>
      <w:r>
        <w:t xml:space="preserve">: </w:t>
      </w:r>
      <w:r w:rsidRPr="002227C4">
        <w:t>Sample patient reconciliation with IHPA</w:t>
      </w:r>
    </w:p>
    <w:p w:rsidR="002E3637" w:rsidRDefault="002C0A3C" w:rsidP="0076262B">
      <w:pPr>
        <w:pStyle w:val="PwCNormal"/>
        <w:numPr>
          <w:ilvl w:val="0"/>
          <w:numId w:val="0"/>
        </w:numPr>
      </w:pPr>
      <w:r w:rsidRPr="002C0A3C">
        <w:rPr>
          <w:noProof/>
          <w:lang w:eastAsia="en-AU"/>
        </w:rPr>
        <w:drawing>
          <wp:inline distT="0" distB="0" distL="0" distR="0" wp14:anchorId="0F61753C" wp14:editId="28DB3173">
            <wp:extent cx="3551274" cy="986383"/>
            <wp:effectExtent l="0" t="0" r="0" b="4445"/>
            <wp:docPr id="84" name="Picture 84"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551034" cy="986316"/>
                    </a:xfrm>
                    <a:prstGeom prst="rect">
                      <a:avLst/>
                    </a:prstGeom>
                    <a:noFill/>
                    <a:ln>
                      <a:noFill/>
                    </a:ln>
                  </pic:spPr>
                </pic:pic>
              </a:graphicData>
            </a:graphic>
          </wp:inline>
        </w:drawing>
      </w:r>
      <w:r w:rsidR="002E3637">
        <w:br w:type="page"/>
      </w:r>
    </w:p>
    <w:p w:rsidR="002E3637" w:rsidRDefault="002E3637" w:rsidP="002E3637">
      <w:pPr>
        <w:pStyle w:val="Heading2"/>
        <w:spacing w:before="0" w:after="40"/>
      </w:pPr>
      <w:r>
        <w:lastRenderedPageBreak/>
        <w:t xml:space="preserve">Barwon Health </w:t>
      </w:r>
    </w:p>
    <w:p w:rsidR="002E3637" w:rsidRDefault="002E3637" w:rsidP="00CE5EF2">
      <w:pPr>
        <w:pStyle w:val="Heading3"/>
      </w:pPr>
      <w:r>
        <w:t>Site overview</w:t>
      </w:r>
    </w:p>
    <w:p w:rsidR="002E3637" w:rsidRPr="009D53A7" w:rsidRDefault="002E3637" w:rsidP="002E3637">
      <w:pPr>
        <w:pStyle w:val="PwCNormal"/>
        <w:numPr>
          <w:ilvl w:val="0"/>
          <w:numId w:val="0"/>
        </w:numPr>
        <w:spacing w:before="240"/>
      </w:pPr>
      <w:r w:rsidRPr="009D53A7">
        <w:t xml:space="preserve">Barwon Health </w:t>
      </w:r>
      <w:r w:rsidR="002A1C17">
        <w:t xml:space="preserve">(BH) </w:t>
      </w:r>
      <w:r w:rsidRPr="009D53A7">
        <w:t xml:space="preserve">covers the </w:t>
      </w:r>
      <w:r w:rsidR="002821F4" w:rsidRPr="009D53A7">
        <w:t>southwest</w:t>
      </w:r>
      <w:r w:rsidRPr="009D53A7">
        <w:t xml:space="preserve"> region of </w:t>
      </w:r>
      <w:r w:rsidR="008E69AA">
        <w:t>VIC</w:t>
      </w:r>
      <w:r w:rsidRPr="009D53A7">
        <w:t xml:space="preserve">, with most health services based out of Geelong. </w:t>
      </w:r>
      <w:r>
        <w:t>Its</w:t>
      </w:r>
      <w:r w:rsidRPr="009D53A7">
        <w:t xml:space="preserve"> catchment area is significantly large</w:t>
      </w:r>
      <w:r w:rsidR="002A1C17">
        <w:t>,</w:t>
      </w:r>
      <w:r w:rsidRPr="009D53A7">
        <w:t xml:space="preserve"> covering a large portion of the </w:t>
      </w:r>
      <w:r w:rsidR="002821F4" w:rsidRPr="009D53A7">
        <w:t>southwest</w:t>
      </w:r>
      <w:r w:rsidRPr="009D53A7">
        <w:t xml:space="preserve"> region of </w:t>
      </w:r>
      <w:r w:rsidR="008E69AA">
        <w:t>VIC</w:t>
      </w:r>
      <w:r w:rsidRPr="009D53A7">
        <w:t xml:space="preserve">. </w:t>
      </w:r>
      <w:r w:rsidR="002A1C17">
        <w:t>BH’s</w:t>
      </w:r>
      <w:r>
        <w:t xml:space="preserve"> major facilities include Geelong Hospital, </w:t>
      </w:r>
      <w:r w:rsidRPr="00CB73BD">
        <w:t>McKellar Centre</w:t>
      </w:r>
      <w:r>
        <w:t xml:space="preserve"> and </w:t>
      </w:r>
      <w:r w:rsidRPr="00CB73BD">
        <w:t>outpatient services at North Geelong and Belmont</w:t>
      </w:r>
      <w:r w:rsidR="002A1C17">
        <w:t xml:space="preserve">, which together provide </w:t>
      </w:r>
      <w:r>
        <w:t xml:space="preserve">a range of primary care, community, </w:t>
      </w:r>
      <w:r w:rsidRPr="00A97011">
        <w:t xml:space="preserve">aged care, rehabilitation, mental health, emergency and acute care </w:t>
      </w:r>
      <w:r>
        <w:t xml:space="preserve">services. </w:t>
      </w:r>
      <w:r w:rsidR="002B7E88">
        <w:t>Geelong H</w:t>
      </w:r>
      <w:r w:rsidRPr="009D53A7">
        <w:t>ospital is also a major teaching hospital. It operates as a major education provider through its relationships with Deakin University, Melbourne University, Monash University, the Gordon and a number of other educational centres and universities.</w:t>
      </w:r>
    </w:p>
    <w:p w:rsidR="002E3637" w:rsidRDefault="002E3637" w:rsidP="002E3637">
      <w:pPr>
        <w:pStyle w:val="PwCNormal"/>
      </w:pPr>
      <w:r w:rsidRPr="009D53A7">
        <w:t xml:space="preserve">The costing process for </w:t>
      </w:r>
      <w:r>
        <w:t>the health service</w:t>
      </w:r>
      <w:r w:rsidRPr="009D53A7">
        <w:t xml:space="preserve"> is outsou</w:t>
      </w:r>
      <w:r w:rsidR="00781CEF">
        <w:t xml:space="preserve">rced to an external contractor, </w:t>
      </w:r>
      <w:proofErr w:type="spellStart"/>
      <w:r w:rsidRPr="009D53A7">
        <w:t>Visasys</w:t>
      </w:r>
      <w:proofErr w:type="spellEnd"/>
      <w:r>
        <w:t>. T</w:t>
      </w:r>
      <w:r w:rsidRPr="009D53A7">
        <w:t xml:space="preserve">he costing function </w:t>
      </w:r>
      <w:r>
        <w:t xml:space="preserve">and data quality assurance checks are undertaken in consultation with </w:t>
      </w:r>
      <w:r w:rsidRPr="009D53A7">
        <w:t xml:space="preserve">the Decision Support and Data Integrity Operations </w:t>
      </w:r>
      <w:r>
        <w:t>team at Barwon Health.</w:t>
      </w:r>
      <w:r w:rsidR="00D141F3">
        <w:t xml:space="preserve"> BH also submitted data to the DH, which undergo the </w:t>
      </w:r>
      <w:r w:rsidR="002821F4">
        <w:t>state</w:t>
      </w:r>
      <w:r w:rsidR="008E69AA">
        <w:t xml:space="preserve"> </w:t>
      </w:r>
      <w:r w:rsidR="002821F4">
        <w:t>wide</w:t>
      </w:r>
      <w:r w:rsidR="00D141F3">
        <w:t xml:space="preserve"> quality assurance checks as part of the VCDC.</w:t>
      </w:r>
    </w:p>
    <w:p w:rsidR="00D141F3" w:rsidRPr="00057680" w:rsidRDefault="00D141F3" w:rsidP="00D141F3">
      <w:pPr>
        <w:pStyle w:val="PwCNormal"/>
      </w:pPr>
      <w:r>
        <w:t>A</w:t>
      </w:r>
      <w:r w:rsidR="002E3637">
        <w:t xml:space="preserve"> summary of costs beginning with total expenses from the </w:t>
      </w:r>
      <w:r w:rsidR="00FA2945">
        <w:t xml:space="preserve">GL </w:t>
      </w:r>
      <w:r w:rsidR="002E3637">
        <w:t>through to the total costs submitted to IHPA</w:t>
      </w:r>
      <w:r>
        <w:t xml:space="preserve"> is provided in </w:t>
      </w:r>
      <w:r w:rsidR="00781CEF">
        <w:fldChar w:fldCharType="begin"/>
      </w:r>
      <w:r w:rsidR="00781CEF">
        <w:instrText xml:space="preserve"> REF _Ref403112961 \h </w:instrText>
      </w:r>
      <w:r w:rsidR="00781CEF">
        <w:fldChar w:fldCharType="separate"/>
      </w:r>
      <w:r w:rsidR="00575DFC">
        <w:t xml:space="preserve">Table </w:t>
      </w:r>
      <w:r w:rsidR="00575DFC">
        <w:rPr>
          <w:noProof/>
        </w:rPr>
        <w:t>85</w:t>
      </w:r>
      <w:r w:rsidR="00781CEF">
        <w:fldChar w:fldCharType="end"/>
      </w:r>
      <w:r w:rsidR="00781CEF">
        <w:t xml:space="preserve"> </w:t>
      </w:r>
      <w:r>
        <w:t>below. We note that the v</w:t>
      </w:r>
      <w:r w:rsidRPr="00057680">
        <w:t>ariance</w:t>
      </w:r>
      <w:r>
        <w:t xml:space="preserve"> of $88.8</w:t>
      </w:r>
      <w:r w:rsidR="007D0F17">
        <w:t xml:space="preserve"> </w:t>
      </w:r>
      <w:r>
        <w:t>m</w:t>
      </w:r>
      <w:r w:rsidR="007D0F17">
        <w:t>illion</w:t>
      </w:r>
      <w:r w:rsidRPr="00057680">
        <w:t xml:space="preserve"> identified in item D</w:t>
      </w:r>
      <w:r>
        <w:t xml:space="preserve"> below</w:t>
      </w:r>
      <w:r w:rsidRPr="00057680">
        <w:t xml:space="preserve"> is due to carried forward costs from W</w:t>
      </w:r>
      <w:r w:rsidR="007D0F17">
        <w:t>I</w:t>
      </w:r>
      <w:r w:rsidRPr="00057680">
        <w:t xml:space="preserve">P patients admitted in prior </w:t>
      </w:r>
      <w:r w:rsidR="002821F4" w:rsidRPr="00057680">
        <w:t>years</w:t>
      </w:r>
      <w:r w:rsidR="002821F4">
        <w:t>, which</w:t>
      </w:r>
      <w:r>
        <w:t xml:space="preserve"> are included in the breakdown by hospital product</w:t>
      </w:r>
      <w:r w:rsidRPr="00057680">
        <w:t>.</w:t>
      </w:r>
    </w:p>
    <w:p w:rsidR="000868A0" w:rsidRDefault="000868A0" w:rsidP="000868A0">
      <w:pPr>
        <w:pStyle w:val="Caption"/>
      </w:pPr>
      <w:bookmarkStart w:id="127" w:name="_Ref403112961"/>
      <w:r>
        <w:t xml:space="preserve">Table </w:t>
      </w:r>
      <w:r w:rsidR="008379DC">
        <w:fldChar w:fldCharType="begin"/>
      </w:r>
      <w:r w:rsidR="009E64DF">
        <w:instrText xml:space="preserve"> SEQ Table \* ARABIC </w:instrText>
      </w:r>
      <w:r w:rsidR="008379DC">
        <w:fldChar w:fldCharType="separate"/>
      </w:r>
      <w:r w:rsidR="00575DFC">
        <w:rPr>
          <w:noProof/>
        </w:rPr>
        <w:t>85</w:t>
      </w:r>
      <w:r w:rsidR="008379DC">
        <w:rPr>
          <w:noProof/>
        </w:rPr>
        <w:fldChar w:fldCharType="end"/>
      </w:r>
      <w:bookmarkEnd w:id="127"/>
      <w:r>
        <w:t xml:space="preserve">: </w:t>
      </w:r>
      <w:r w:rsidRPr="00D62824">
        <w:t xml:space="preserve">Financial </w:t>
      </w:r>
      <w:r w:rsidR="00957F28">
        <w:t>o</w:t>
      </w:r>
      <w:r w:rsidRPr="00D62824">
        <w:t xml:space="preserve">verview of </w:t>
      </w:r>
      <w:r>
        <w:t>Barwon Health</w:t>
      </w:r>
      <w:r w:rsidR="00957F28">
        <w:t>,</w:t>
      </w:r>
      <w:r w:rsidRPr="00D62824">
        <w:t xml:space="preserve"> FY 2012/13</w:t>
      </w:r>
    </w:p>
    <w:p w:rsidR="002E3637" w:rsidRDefault="002E3637" w:rsidP="002E3637">
      <w:pPr>
        <w:pStyle w:val="PwCNormal"/>
        <w:rPr>
          <w:highlight w:val="yellow"/>
        </w:rPr>
      </w:pPr>
      <w:r w:rsidRPr="00057680">
        <w:rPr>
          <w:noProof/>
          <w:lang w:eastAsia="en-AU"/>
        </w:rPr>
        <w:drawing>
          <wp:inline distT="0" distB="0" distL="0" distR="0" wp14:anchorId="7C04DA85" wp14:editId="61402709">
            <wp:extent cx="5220335" cy="3810308"/>
            <wp:effectExtent l="0" t="0" r="0" b="0"/>
            <wp:docPr id="86" name="Picture 86" descr="This table outlines the flow of cost movements from the $565m in the general ledger through to the $346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220335" cy="3810308"/>
                    </a:xfrm>
                    <a:prstGeom prst="rect">
                      <a:avLst/>
                    </a:prstGeom>
                    <a:noFill/>
                    <a:ln>
                      <a:noFill/>
                    </a:ln>
                  </pic:spPr>
                </pic:pic>
              </a:graphicData>
            </a:graphic>
          </wp:inline>
        </w:drawing>
      </w:r>
    </w:p>
    <w:p w:rsidR="002E3637" w:rsidRPr="00DE22CA" w:rsidRDefault="00CB38E7" w:rsidP="00CE5EF2">
      <w:pPr>
        <w:pStyle w:val="Heading3"/>
      </w:pPr>
      <w:r>
        <w:t>Financial d</w:t>
      </w:r>
      <w:r w:rsidR="002E3637" w:rsidRPr="00DE22CA">
        <w:t>ata</w:t>
      </w:r>
    </w:p>
    <w:p w:rsidR="002E3637" w:rsidRPr="00DE22CA" w:rsidRDefault="00CA6711" w:rsidP="002E3637">
      <w:pPr>
        <w:pStyle w:val="PwCNormal"/>
        <w:numPr>
          <w:ilvl w:val="0"/>
          <w:numId w:val="0"/>
        </w:numPr>
        <w:rPr>
          <w:b/>
        </w:rPr>
      </w:pPr>
      <w:r>
        <w:rPr>
          <w:b/>
        </w:rPr>
        <w:t xml:space="preserve">General </w:t>
      </w:r>
      <w:r w:rsidR="009D552E">
        <w:rPr>
          <w:b/>
        </w:rPr>
        <w:t>L</w:t>
      </w:r>
      <w:r w:rsidR="002E3637" w:rsidRPr="00DE22CA">
        <w:rPr>
          <w:b/>
        </w:rPr>
        <w:t>edger (Item A)</w:t>
      </w:r>
    </w:p>
    <w:p w:rsidR="002E3637" w:rsidRDefault="002E3637" w:rsidP="002E3637">
      <w:pPr>
        <w:pStyle w:val="PwCNormal"/>
        <w:numPr>
          <w:ilvl w:val="0"/>
          <w:numId w:val="0"/>
        </w:numPr>
      </w:pPr>
      <w:r>
        <w:t xml:space="preserve">Financial statements are released at the LHN level for </w:t>
      </w:r>
      <w:r w:rsidR="00FA2945">
        <w:t>BH</w:t>
      </w:r>
      <w:r>
        <w:t xml:space="preserve">. </w:t>
      </w:r>
      <w:r w:rsidRPr="00DE22CA">
        <w:t xml:space="preserve">The total expenses per the financial statements for FY 2012/13 were </w:t>
      </w:r>
      <w:r>
        <w:t>$564.54</w:t>
      </w:r>
      <w:r w:rsidR="007D0F17">
        <w:t xml:space="preserve"> </w:t>
      </w:r>
      <w:r>
        <w:t>m</w:t>
      </w:r>
      <w:r w:rsidR="007D0F17">
        <w:t>illion</w:t>
      </w:r>
      <w:r w:rsidR="00D32C53">
        <w:t xml:space="preserve">. This amount did not include capital items, such as depreciation, expenditure using capital purpose income, linen asset write offs and </w:t>
      </w:r>
      <w:r w:rsidR="00514B4A">
        <w:t xml:space="preserve">impairment of </w:t>
      </w:r>
      <w:r w:rsidR="00514B4A">
        <w:lastRenderedPageBreak/>
        <w:t>financial assets as they are out of scope for the VCDC submission. These costs were also not submitted to IHPA.</w:t>
      </w:r>
    </w:p>
    <w:p w:rsidR="000868A0" w:rsidRDefault="000868A0" w:rsidP="000868A0">
      <w:pPr>
        <w:pStyle w:val="Caption"/>
      </w:pPr>
      <w:bookmarkStart w:id="128" w:name="_Ref402973835"/>
      <w:r>
        <w:t xml:space="preserve">Table </w:t>
      </w:r>
      <w:r w:rsidR="008379DC">
        <w:fldChar w:fldCharType="begin"/>
      </w:r>
      <w:r w:rsidR="009E64DF">
        <w:instrText xml:space="preserve"> SEQ Table \* ARABIC </w:instrText>
      </w:r>
      <w:r w:rsidR="008379DC">
        <w:fldChar w:fldCharType="separate"/>
      </w:r>
      <w:r w:rsidR="00575DFC">
        <w:rPr>
          <w:noProof/>
        </w:rPr>
        <w:t>86</w:t>
      </w:r>
      <w:r w:rsidR="008379DC">
        <w:rPr>
          <w:noProof/>
        </w:rPr>
        <w:fldChar w:fldCharType="end"/>
      </w:r>
      <w:bookmarkEnd w:id="128"/>
      <w:r>
        <w:t xml:space="preserve">: </w:t>
      </w:r>
      <w:r w:rsidRPr="00F56A19">
        <w:t>Treatment of specific cost items</w:t>
      </w:r>
    </w:p>
    <w:p w:rsidR="002729CE" w:rsidRPr="002729CE" w:rsidRDefault="002729CE" w:rsidP="002729CE">
      <w:pPr>
        <w:pStyle w:val="PwCNormal"/>
      </w:pPr>
      <w:r w:rsidRPr="002729CE">
        <w:rPr>
          <w:noProof/>
          <w:lang w:eastAsia="en-AU"/>
        </w:rPr>
        <w:drawing>
          <wp:inline distT="0" distB="0" distL="0" distR="0" wp14:anchorId="752674E2" wp14:editId="5F5F0287">
            <wp:extent cx="4586400" cy="1746000"/>
            <wp:effectExtent l="0" t="0" r="5080" b="0"/>
            <wp:docPr id="139" name="Picture 139" descr="This table outlines the treatment of some of the cost items in the site's general ledger." title="Treatment of specific cost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86400" cy="1746000"/>
                    </a:xfrm>
                    <a:prstGeom prst="rect">
                      <a:avLst/>
                    </a:prstGeom>
                    <a:noFill/>
                    <a:ln>
                      <a:noFill/>
                    </a:ln>
                  </pic:spPr>
                </pic:pic>
              </a:graphicData>
            </a:graphic>
          </wp:inline>
        </w:drawing>
      </w:r>
    </w:p>
    <w:p w:rsidR="00D32C53" w:rsidRDefault="00EF45BC" w:rsidP="00D32C53">
      <w:pPr>
        <w:pStyle w:val="PwCNormal"/>
        <w:numPr>
          <w:ilvl w:val="0"/>
          <w:numId w:val="0"/>
        </w:numPr>
      </w:pPr>
      <w:r>
        <w:fldChar w:fldCharType="begin"/>
      </w:r>
      <w:r>
        <w:instrText xml:space="preserve"> REF _Ref402973835 \h </w:instrText>
      </w:r>
      <w:r>
        <w:fldChar w:fldCharType="separate"/>
      </w:r>
      <w:r w:rsidR="00575DFC">
        <w:t xml:space="preserve">Table </w:t>
      </w:r>
      <w:r w:rsidR="00575DFC">
        <w:rPr>
          <w:noProof/>
        </w:rPr>
        <w:t>86</w:t>
      </w:r>
      <w:r>
        <w:fldChar w:fldCharType="end"/>
      </w:r>
      <w:r>
        <w:t xml:space="preserve"> </w:t>
      </w:r>
      <w:r w:rsidR="00D32C53">
        <w:t>above identifies some of the specific costs examined to understand how the costs are treated in the GL and until they get to direct cost centres. Once these costs are allocated to final cost centres they are distributed to patients using the allocation methodology of that cost centre. Key cost treatments to note include:</w:t>
      </w:r>
    </w:p>
    <w:p w:rsidR="002E3637" w:rsidRDefault="002E3637" w:rsidP="009C4A5D">
      <w:pPr>
        <w:pStyle w:val="PwCNormal"/>
        <w:numPr>
          <w:ilvl w:val="0"/>
          <w:numId w:val="82"/>
        </w:numPr>
      </w:pPr>
      <w:r w:rsidRPr="00A97011">
        <w:t xml:space="preserve">Annual and long service </w:t>
      </w:r>
      <w:r w:rsidR="002B7E88">
        <w:t xml:space="preserve">leave </w:t>
      </w:r>
      <w:r w:rsidRPr="00A97011">
        <w:t>liabilities are dispersed to many cost centres, typically from the cost centres where the salaries and wages for the relevant staff are paid from.</w:t>
      </w:r>
    </w:p>
    <w:p w:rsidR="002E3637" w:rsidRPr="008D2C55" w:rsidRDefault="002E3637" w:rsidP="009C4A5D">
      <w:pPr>
        <w:pStyle w:val="PwCNormal"/>
        <w:numPr>
          <w:ilvl w:val="0"/>
          <w:numId w:val="82"/>
        </w:numPr>
      </w:pPr>
      <w:r>
        <w:t>Defined contribution funds and defined benefits fund contributions are in scope for costing purposes and the relevant account codes are mapped as labour on costs (On-Costs line item) into direct or indirect cost areas.</w:t>
      </w:r>
    </w:p>
    <w:p w:rsidR="002E3637" w:rsidRPr="009D53A7" w:rsidRDefault="002E3637" w:rsidP="009C4A5D">
      <w:pPr>
        <w:pStyle w:val="PwCNormal"/>
        <w:numPr>
          <w:ilvl w:val="0"/>
          <w:numId w:val="82"/>
        </w:numPr>
      </w:pPr>
      <w:r w:rsidRPr="009D53A7">
        <w:t xml:space="preserve">PBS rebates or other revenue items are not included in costing. </w:t>
      </w:r>
      <w:r>
        <w:t>Barwon generally does not receive trade discounts as most items have a contract with an agreed</w:t>
      </w:r>
      <w:r w:rsidR="002B7E88">
        <w:t xml:space="preserve"> price. One rebate is received</w:t>
      </w:r>
      <w:r>
        <w:t xml:space="preserve"> which is included as an offset to the expense.</w:t>
      </w:r>
      <w:r w:rsidRPr="009D53A7">
        <w:t xml:space="preserve"> </w:t>
      </w:r>
    </w:p>
    <w:p w:rsidR="002E3637" w:rsidRPr="009D53A7" w:rsidRDefault="002E3637" w:rsidP="009C4A5D">
      <w:pPr>
        <w:pStyle w:val="PwCNormal"/>
        <w:numPr>
          <w:ilvl w:val="0"/>
          <w:numId w:val="82"/>
        </w:numPr>
      </w:pPr>
      <w:r w:rsidRPr="009D53A7">
        <w:t xml:space="preserve">The Health Services’ medical indemnity insurance is funded by the Victorian Department of Health. An actuarial allocation model is utilised to apportion the insurance premium paid by DH for each Heath Service and this cost is included in the Health Service’s GL. </w:t>
      </w:r>
      <w:r>
        <w:t>Each Health Service’</w:t>
      </w:r>
      <w:r w:rsidRPr="009D53A7">
        <w:t xml:space="preserve">s medical indemnity insurance is allocated on the basis of medical and clinical speciality cost areas. During the costing process, these costs are treated as an overhead and allocated to patients based on the cost drivers of the clinical speciality area. </w:t>
      </w:r>
    </w:p>
    <w:p w:rsidR="002E3637" w:rsidRDefault="002E3637" w:rsidP="009C4A5D">
      <w:pPr>
        <w:pStyle w:val="PwCNormal"/>
        <w:numPr>
          <w:ilvl w:val="0"/>
          <w:numId w:val="82"/>
        </w:numPr>
      </w:pPr>
      <w:r w:rsidRPr="009D53A7">
        <w:t>Assets are typically revalued at least every five years, but may be revalued more frequently if fair value assessments indicate material changes in values. Non-current physical assets are measured at fair value and are revalued in accordance with the “Financial reporting directions and guidance” - 103d (applicable to all Victorian public sector agencies).</w:t>
      </w:r>
      <w:r>
        <w:t xml:space="preserve"> </w:t>
      </w:r>
    </w:p>
    <w:p w:rsidR="002E3637" w:rsidRDefault="002E3637" w:rsidP="002E3637">
      <w:pPr>
        <w:pStyle w:val="PwCNormal"/>
        <w:numPr>
          <w:ilvl w:val="0"/>
          <w:numId w:val="0"/>
        </w:numPr>
        <w:rPr>
          <w:b/>
        </w:rPr>
      </w:pPr>
      <w:r w:rsidRPr="009D53A7">
        <w:rPr>
          <w:b/>
        </w:rPr>
        <w:t>Inclusions and exclusions (Item B)</w:t>
      </w:r>
    </w:p>
    <w:p w:rsidR="002E3637" w:rsidRDefault="00EF45BC" w:rsidP="002E3637">
      <w:pPr>
        <w:pStyle w:val="PwCNormal"/>
        <w:numPr>
          <w:ilvl w:val="0"/>
          <w:numId w:val="0"/>
        </w:numPr>
      </w:pPr>
      <w:r>
        <w:t>Only one adjustment of</w:t>
      </w:r>
      <w:r w:rsidR="002E3637" w:rsidRPr="008D42E1">
        <w:t xml:space="preserve"> $</w:t>
      </w:r>
      <w:r w:rsidR="002E3637">
        <w:t>0.18</w:t>
      </w:r>
      <w:r w:rsidR="007D0F17">
        <w:t xml:space="preserve"> </w:t>
      </w:r>
      <w:r w:rsidR="002E3637" w:rsidRPr="008D42E1">
        <w:t>m</w:t>
      </w:r>
      <w:r w:rsidR="007D0F17">
        <w:t>illion</w:t>
      </w:r>
      <w:r w:rsidR="002E3637" w:rsidRPr="008D42E1">
        <w:t xml:space="preserve"> </w:t>
      </w:r>
      <w:r>
        <w:t xml:space="preserve">was made to the </w:t>
      </w:r>
      <w:r w:rsidR="002821F4">
        <w:t>GL, which</w:t>
      </w:r>
      <w:r>
        <w:t xml:space="preserve"> related to capital expenditure that is out of scope for the VCDC. </w:t>
      </w:r>
      <w:r w:rsidR="002E3637" w:rsidRPr="009D53A7">
        <w:t xml:space="preserve">No other </w:t>
      </w:r>
      <w:r w:rsidR="002E3637">
        <w:t>adjustments</w:t>
      </w:r>
      <w:r w:rsidR="002E3637" w:rsidRPr="009D53A7">
        <w:t xml:space="preserve"> are applied to the GL before or during the costing process and all patient products/programs (including non- admitted and other out of scope activities) are allocated costs. </w:t>
      </w:r>
    </w:p>
    <w:p w:rsidR="002E3637" w:rsidRDefault="002E3637" w:rsidP="002E3637">
      <w:pPr>
        <w:pStyle w:val="PwCNormal"/>
        <w:numPr>
          <w:ilvl w:val="0"/>
          <w:numId w:val="0"/>
        </w:numPr>
        <w:rPr>
          <w:b/>
        </w:rPr>
      </w:pPr>
      <w:r w:rsidRPr="00DE22CA">
        <w:rPr>
          <w:b/>
        </w:rPr>
        <w:t>Allocation of overheads (Item C)</w:t>
      </w:r>
    </w:p>
    <w:p w:rsidR="002E3637" w:rsidRDefault="002E3637" w:rsidP="002E3637">
      <w:pPr>
        <w:pStyle w:val="PwCNormal"/>
        <w:numPr>
          <w:ilvl w:val="0"/>
          <w:numId w:val="0"/>
        </w:numPr>
      </w:pPr>
      <w:r>
        <w:t>Barwon Health reported overhead costs of $108.8</w:t>
      </w:r>
      <w:r w:rsidR="007D0F17">
        <w:t xml:space="preserve"> </w:t>
      </w:r>
      <w:r>
        <w:t>m</w:t>
      </w:r>
      <w:r w:rsidR="007D0F17">
        <w:t>illion</w:t>
      </w:r>
      <w:r>
        <w:t xml:space="preserve"> in </w:t>
      </w:r>
      <w:r w:rsidR="006A194B">
        <w:t>Round 17</w:t>
      </w:r>
      <w:r>
        <w:t>, which represent approximately 20% of total costs reported.</w:t>
      </w:r>
      <w:r w:rsidR="009923A1">
        <w:t xml:space="preserve"> </w:t>
      </w:r>
      <w:r w:rsidR="0000632E">
        <w:t xml:space="preserve">For Round 17, the majority of overhead costs were allocated using ward days, subsets of FTEs (such as nursing FTEs for nursing education costs), and subsets of total expense (such as total expenses in a particular area). </w:t>
      </w:r>
      <w:r w:rsidR="0061244B">
        <w:t>The selection of allocation statistics was</w:t>
      </w:r>
      <w:r w:rsidR="0000632E">
        <w:t xml:space="preserve"> determined using </w:t>
      </w:r>
      <w:r w:rsidR="0000632E">
        <w:lastRenderedPageBreak/>
        <w:t xml:space="preserve">the AHPCS </w:t>
      </w:r>
      <w:r w:rsidR="00781CEF">
        <w:t xml:space="preserve">preferred </w:t>
      </w:r>
      <w:r w:rsidR="0000632E">
        <w:t>hierarchy</w:t>
      </w:r>
      <w:r w:rsidR="0061244B">
        <w:t>. A f</w:t>
      </w:r>
      <w:r>
        <w:t xml:space="preserve">eeder </w:t>
      </w:r>
      <w:r w:rsidR="002821F4">
        <w:t>system that captured patient transport activities</w:t>
      </w:r>
      <w:r>
        <w:t xml:space="preserve"> </w:t>
      </w:r>
      <w:r w:rsidR="0061244B">
        <w:t>was also</w:t>
      </w:r>
      <w:r>
        <w:t xml:space="preserve"> </w:t>
      </w:r>
      <w:r w:rsidR="0061244B">
        <w:t>utilised</w:t>
      </w:r>
      <w:r>
        <w:t xml:space="preserve"> </w:t>
      </w:r>
      <w:r w:rsidR="0061244B">
        <w:t>to allocate patient transport costs directly to patients</w:t>
      </w:r>
      <w:r>
        <w:t xml:space="preserve">. </w:t>
      </w:r>
    </w:p>
    <w:p w:rsidR="002E3637" w:rsidRDefault="002E3637" w:rsidP="002E3637">
      <w:pPr>
        <w:pStyle w:val="PwCNormal"/>
        <w:numPr>
          <w:ilvl w:val="0"/>
          <w:numId w:val="0"/>
        </w:numPr>
        <w:rPr>
          <w:b/>
        </w:rPr>
      </w:pPr>
      <w:r w:rsidRPr="00DE22CA">
        <w:rPr>
          <w:b/>
        </w:rPr>
        <w:t>Distribution of costs between hospital products</w:t>
      </w:r>
      <w:r>
        <w:rPr>
          <w:b/>
        </w:rPr>
        <w:t xml:space="preserve"> (Item D)</w:t>
      </w:r>
    </w:p>
    <w:p w:rsidR="002E3637" w:rsidRPr="005244D0" w:rsidRDefault="002E3637" w:rsidP="002E3637">
      <w:pPr>
        <w:pStyle w:val="PwCNormal"/>
        <w:numPr>
          <w:ilvl w:val="0"/>
          <w:numId w:val="0"/>
        </w:numPr>
      </w:pPr>
      <w:r w:rsidRPr="005244D0">
        <w:t xml:space="preserve">The costing team at Barwon Health is responsible for mapping the hospital cost centres and accounts to </w:t>
      </w:r>
      <w:r w:rsidR="003C5873">
        <w:t>VCDC</w:t>
      </w:r>
      <w:r w:rsidRPr="005244D0">
        <w:t xml:space="preserve"> cost area</w:t>
      </w:r>
      <w:r w:rsidR="003C5873">
        <w:t>s</w:t>
      </w:r>
      <w:r w:rsidRPr="005244D0">
        <w:t>. No direct fractioning (PFRAC</w:t>
      </w:r>
      <w:r w:rsidR="003C5873">
        <w:t>s</w:t>
      </w:r>
      <w:r w:rsidRPr="005244D0">
        <w:t xml:space="preserve">) is undertaken to determine </w:t>
      </w:r>
      <w:r>
        <w:t xml:space="preserve">the </w:t>
      </w:r>
      <w:r w:rsidRPr="005244D0">
        <w:t xml:space="preserve">product fraction at a </w:t>
      </w:r>
      <w:r w:rsidR="003C5873">
        <w:t>cost centre level. Feeder data wa</w:t>
      </w:r>
      <w:r w:rsidRPr="005244D0">
        <w:t>s used to allocate costs within direct and indirect (wher</w:t>
      </w:r>
      <w:r>
        <w:t>e available) patient care areas.</w:t>
      </w:r>
    </w:p>
    <w:p w:rsidR="002E3637" w:rsidRPr="004E0B72" w:rsidRDefault="002E3637" w:rsidP="00CE5EF2">
      <w:pPr>
        <w:pStyle w:val="Heading3"/>
      </w:pPr>
      <w:r>
        <w:t>Activity information and costing methodology</w:t>
      </w:r>
    </w:p>
    <w:p w:rsidR="002E3637" w:rsidRPr="002449AB" w:rsidRDefault="002E3637" w:rsidP="002E3637">
      <w:pPr>
        <w:pStyle w:val="PwCNormal"/>
        <w:numPr>
          <w:ilvl w:val="0"/>
          <w:numId w:val="0"/>
        </w:numPr>
        <w:rPr>
          <w:b/>
        </w:rPr>
      </w:pPr>
      <w:r>
        <w:rPr>
          <w:b/>
        </w:rPr>
        <w:t>Overview</w:t>
      </w:r>
    </w:p>
    <w:p w:rsidR="003C5873" w:rsidRDefault="003C5873" w:rsidP="002E3637">
      <w:pPr>
        <w:pStyle w:val="BodyText"/>
      </w:pPr>
      <w:r>
        <w:t xml:space="preserve">Patient level costing is performed for all hospitals in the health service by </w:t>
      </w:r>
      <w:proofErr w:type="spellStart"/>
      <w:r>
        <w:t>Visasys</w:t>
      </w:r>
      <w:proofErr w:type="spellEnd"/>
      <w:r>
        <w:t>, who are an external provider which use the User Cost system. The costing process utilises</w:t>
      </w:r>
      <w:r w:rsidR="002E3637" w:rsidRPr="0081527C">
        <w:t xml:space="preserve"> a number of different data sources.</w:t>
      </w:r>
      <w:r>
        <w:t xml:space="preserve"> The </w:t>
      </w:r>
      <w:r w:rsidR="002B7E88">
        <w:t>various</w:t>
      </w:r>
      <w:r>
        <w:t xml:space="preserve"> allocation methodologies used for the Round 17 submission are described in </w:t>
      </w:r>
      <w:r>
        <w:fldChar w:fldCharType="begin"/>
      </w:r>
      <w:r>
        <w:instrText xml:space="preserve"> REF _Ref402977619 \h </w:instrText>
      </w:r>
      <w:r>
        <w:fldChar w:fldCharType="separate"/>
      </w:r>
      <w:r w:rsidR="00575DFC">
        <w:t xml:space="preserve">Table </w:t>
      </w:r>
      <w:r w:rsidR="00575DFC">
        <w:rPr>
          <w:noProof/>
        </w:rPr>
        <w:t>87</w:t>
      </w:r>
      <w:r>
        <w:fldChar w:fldCharType="end"/>
      </w:r>
      <w:r>
        <w:t xml:space="preserve"> below.</w:t>
      </w:r>
    </w:p>
    <w:p w:rsidR="000868A0" w:rsidRDefault="000868A0" w:rsidP="000868A0">
      <w:pPr>
        <w:pStyle w:val="Caption"/>
      </w:pPr>
      <w:bookmarkStart w:id="129" w:name="_Ref402977619"/>
      <w:r>
        <w:t xml:space="preserve">Table </w:t>
      </w:r>
      <w:r w:rsidR="008379DC">
        <w:fldChar w:fldCharType="begin"/>
      </w:r>
      <w:r w:rsidR="009E64DF">
        <w:instrText xml:space="preserve"> SEQ Table \* ARABIC </w:instrText>
      </w:r>
      <w:r w:rsidR="008379DC">
        <w:fldChar w:fldCharType="separate"/>
      </w:r>
      <w:r w:rsidR="00575DFC">
        <w:rPr>
          <w:noProof/>
        </w:rPr>
        <w:t>87</w:t>
      </w:r>
      <w:r w:rsidR="008379DC">
        <w:rPr>
          <w:noProof/>
        </w:rPr>
        <w:fldChar w:fldCharType="end"/>
      </w:r>
      <w:bookmarkEnd w:id="129"/>
      <w:r>
        <w:t xml:space="preserve">: </w:t>
      </w:r>
      <w:r w:rsidRPr="008846F9">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2E3637" w:rsidTr="006E68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2E3637" w:rsidRPr="005A1647" w:rsidRDefault="002E3637" w:rsidP="002E3637">
            <w:pPr>
              <w:pStyle w:val="PwCNormal"/>
              <w:numPr>
                <w:ilvl w:val="0"/>
                <w:numId w:val="0"/>
              </w:numPr>
              <w:rPr>
                <w:b/>
              </w:rPr>
            </w:pPr>
            <w:r w:rsidRPr="005A1647">
              <w:rPr>
                <w:b/>
              </w:rPr>
              <w:t>Hospital product</w:t>
            </w:r>
          </w:p>
        </w:tc>
        <w:tc>
          <w:tcPr>
            <w:tcW w:w="6237" w:type="dxa"/>
          </w:tcPr>
          <w:p w:rsidR="002E3637" w:rsidRPr="005A1647" w:rsidRDefault="002E3637" w:rsidP="002E3637">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5A1647">
              <w:rPr>
                <w:b/>
              </w:rPr>
              <w:t>Allocation overview</w:t>
            </w:r>
          </w:p>
        </w:tc>
      </w:tr>
      <w:tr w:rsidR="002E3637" w:rsidTr="006E6862">
        <w:tc>
          <w:tcPr>
            <w:tcW w:w="2376" w:type="dxa"/>
          </w:tcPr>
          <w:p w:rsidR="002E3637" w:rsidRPr="005A1647" w:rsidRDefault="002E3637" w:rsidP="002E3637">
            <w:pPr>
              <w:pStyle w:val="PwCNormal"/>
              <w:numPr>
                <w:ilvl w:val="0"/>
                <w:numId w:val="0"/>
              </w:numPr>
            </w:pPr>
            <w:r w:rsidRPr="005A1647">
              <w:t xml:space="preserve">Inpatient </w:t>
            </w:r>
            <w:r w:rsidRPr="005A1647">
              <w:br/>
              <w:t>(acute and sub</w:t>
            </w:r>
            <w:r>
              <w:t>-</w:t>
            </w:r>
            <w:r w:rsidRPr="005A1647">
              <w:t>acute)</w:t>
            </w:r>
          </w:p>
        </w:tc>
        <w:tc>
          <w:tcPr>
            <w:tcW w:w="6237" w:type="dxa"/>
          </w:tcPr>
          <w:p w:rsidR="002E3637" w:rsidRDefault="002E3637" w:rsidP="002E3637">
            <w:pPr>
              <w:pStyle w:val="PwCNormal"/>
            </w:pPr>
            <w:r>
              <w:t xml:space="preserve">Admitted </w:t>
            </w:r>
            <w:r w:rsidRPr="005A1647">
              <w:t>patients (acute and sub</w:t>
            </w:r>
            <w:r>
              <w:t>-</w:t>
            </w:r>
            <w:r w:rsidRPr="005A1647">
              <w:t xml:space="preserve">acute) </w:t>
            </w:r>
            <w:r w:rsidR="00781CEF">
              <w:t>were</w:t>
            </w:r>
            <w:r w:rsidRPr="005A1647">
              <w:t xml:space="preserve"> costed using various patient level activity data (feeder data) representing consumption of hospital resources and services where possible.</w:t>
            </w:r>
          </w:p>
          <w:p w:rsidR="00AF6A8B" w:rsidRDefault="00AF6A8B" w:rsidP="00AF6A8B">
            <w:pPr>
              <w:pStyle w:val="PwCNormal"/>
            </w:pPr>
            <w:r w:rsidRPr="005A1647">
              <w:t>Surgical nursing and medica</w:t>
            </w:r>
            <w:r w:rsidR="00781CEF">
              <w:t>l costs were</w:t>
            </w:r>
            <w:r>
              <w:t xml:space="preserve"> allocated based on operating t</w:t>
            </w:r>
            <w:r w:rsidRPr="005A1647">
              <w:t>heatre feeder data (anaesthetic, surgery duration, n</w:t>
            </w:r>
            <w:r w:rsidR="002B7E88">
              <w:t>umber</w:t>
            </w:r>
            <w:r w:rsidRPr="005A1647">
              <w:t xml:space="preserve"> of surgeons) from</w:t>
            </w:r>
            <w:r>
              <w:t xml:space="preserve"> the</w:t>
            </w:r>
            <w:r w:rsidRPr="005A1647">
              <w:t xml:space="preserve"> </w:t>
            </w:r>
            <w:proofErr w:type="spellStart"/>
            <w:r>
              <w:t>hTrak</w:t>
            </w:r>
            <w:proofErr w:type="spellEnd"/>
            <w:r w:rsidRPr="005A1647">
              <w:t xml:space="preserve"> </w:t>
            </w:r>
            <w:r>
              <w:t xml:space="preserve">theatre management system. </w:t>
            </w:r>
            <w:r w:rsidR="003C5873" w:rsidRPr="005A1647">
              <w:t>Non-surgical medical costs and nursing costs were</w:t>
            </w:r>
            <w:r>
              <w:t xml:space="preserve"> allocated using the </w:t>
            </w:r>
            <w:r w:rsidR="002821F4">
              <w:t>patients’</w:t>
            </w:r>
            <w:r>
              <w:t xml:space="preserve"> ward minutes</w:t>
            </w:r>
            <w:r w:rsidR="003C5873">
              <w:t>/transfer activities in hospital wards.</w:t>
            </w:r>
            <w:r>
              <w:t xml:space="preserve"> These ward minutes </w:t>
            </w:r>
            <w:r w:rsidR="00781CEF">
              <w:t>were</w:t>
            </w:r>
            <w:r>
              <w:t xml:space="preserve"> weighted for several types of patients, such as restrained mental health or palliative care patients (based on phase of care).</w:t>
            </w:r>
          </w:p>
          <w:p w:rsidR="002E3637" w:rsidRPr="001A5EE3" w:rsidRDefault="002E3637" w:rsidP="002E3637">
            <w:pPr>
              <w:pStyle w:val="PwCNormal"/>
              <w:rPr>
                <w:highlight w:val="yellow"/>
              </w:rPr>
            </w:pPr>
            <w:r w:rsidRPr="005A1647">
              <w:t>Prosthetics consumption data was recorded in this system and used for patient level cost allocation.</w:t>
            </w:r>
            <w:r>
              <w:t xml:space="preserve"> RVUs (</w:t>
            </w:r>
            <w:r w:rsidR="00AF6A8B">
              <w:t xml:space="preserve">which were </w:t>
            </w:r>
            <w:r>
              <w:t xml:space="preserve">developed in </w:t>
            </w:r>
            <w:r w:rsidR="0033116C">
              <w:t>TAS</w:t>
            </w:r>
            <w:r>
              <w:t xml:space="preserve">) </w:t>
            </w:r>
            <w:r w:rsidR="00AF6A8B">
              <w:t>were</w:t>
            </w:r>
            <w:r>
              <w:t xml:space="preserve"> used where the patients h</w:t>
            </w:r>
            <w:r w:rsidR="00AF6A8B">
              <w:t>ad a prostheses procedure code</w:t>
            </w:r>
            <w:r>
              <w:t xml:space="preserve"> but no activit</w:t>
            </w:r>
            <w:r w:rsidR="00AF6A8B">
              <w:t>y</w:t>
            </w:r>
            <w:r>
              <w:t xml:space="preserve"> recorded in the </w:t>
            </w:r>
            <w:proofErr w:type="spellStart"/>
            <w:r>
              <w:t>hTrak</w:t>
            </w:r>
            <w:proofErr w:type="spellEnd"/>
            <w:r>
              <w:t>.</w:t>
            </w:r>
          </w:p>
          <w:p w:rsidR="002E3637" w:rsidRPr="005A1647" w:rsidRDefault="002E3637" w:rsidP="002E3637">
            <w:pPr>
              <w:pStyle w:val="PwCNormal"/>
            </w:pPr>
            <w:r w:rsidRPr="005A1647">
              <w:t xml:space="preserve">Other services such as diagnostics tests, imaging, and pharmaceuticals were allocated to patients based on consumption. </w:t>
            </w:r>
            <w:r w:rsidR="002821F4">
              <w:t>A</w:t>
            </w:r>
            <w:r w:rsidR="002821F4" w:rsidRPr="00D671BC">
              <w:t>pportionment of staff time</w:t>
            </w:r>
            <w:r w:rsidR="002821F4">
              <w:t xml:space="preserve"> in imaging, pathology or allied health areas also used the same method and cost drivers.</w:t>
            </w:r>
            <w:r w:rsidR="002821F4" w:rsidRPr="00D671BC">
              <w:t xml:space="preserve"> </w:t>
            </w:r>
            <w:r w:rsidRPr="005A1647">
              <w:t>In the absence of common identifiers between various feeder systems (‘Merlin’ pharmacy system, ‘</w:t>
            </w:r>
            <w:proofErr w:type="spellStart"/>
            <w:r w:rsidRPr="005A1647">
              <w:t>LabTrak</w:t>
            </w:r>
            <w:proofErr w:type="spellEnd"/>
            <w:r w:rsidRPr="005A1647">
              <w:t>’ pathology system, ‘A</w:t>
            </w:r>
            <w:r>
              <w:t>GFA</w:t>
            </w:r>
            <w:r w:rsidRPr="005A1647">
              <w:t xml:space="preserve">’ imaging system </w:t>
            </w:r>
            <w:proofErr w:type="spellStart"/>
            <w:r w:rsidRPr="005A1647">
              <w:t>etc</w:t>
            </w:r>
            <w:proofErr w:type="spellEnd"/>
            <w:r w:rsidRPr="005A1647">
              <w:t xml:space="preserve">) and the </w:t>
            </w:r>
            <w:proofErr w:type="spellStart"/>
            <w:r>
              <w:t>i</w:t>
            </w:r>
            <w:r w:rsidRPr="005A1647">
              <w:t>PM</w:t>
            </w:r>
            <w:proofErr w:type="spellEnd"/>
            <w:r w:rsidRPr="005A1647">
              <w:t xml:space="preserve"> PAS system,</w:t>
            </w:r>
            <w:r>
              <w:t xml:space="preserve"> </w:t>
            </w:r>
            <w:r w:rsidRPr="005A1647">
              <w:t>the cos</w:t>
            </w:r>
            <w:r w:rsidR="002B7E88">
              <w:t>ting team utilised a number of</w:t>
            </w:r>
            <w:r w:rsidRPr="005A1647">
              <w:t xml:space="preserve"> business linking rules to match these services to the relevant episodes. </w:t>
            </w:r>
          </w:p>
        </w:tc>
      </w:tr>
      <w:tr w:rsidR="002E3637" w:rsidTr="006E6862">
        <w:tc>
          <w:tcPr>
            <w:tcW w:w="2376" w:type="dxa"/>
          </w:tcPr>
          <w:p w:rsidR="002E3637" w:rsidRPr="005A1647" w:rsidRDefault="002E3637" w:rsidP="002E3637">
            <w:pPr>
              <w:pStyle w:val="PwCNormal"/>
              <w:numPr>
                <w:ilvl w:val="0"/>
                <w:numId w:val="0"/>
              </w:numPr>
            </w:pPr>
            <w:r w:rsidRPr="005A1647">
              <w:t>Emergency Department</w:t>
            </w:r>
          </w:p>
        </w:tc>
        <w:tc>
          <w:tcPr>
            <w:tcW w:w="6237" w:type="dxa"/>
          </w:tcPr>
          <w:p w:rsidR="002E3637" w:rsidRPr="005A1647" w:rsidRDefault="002E3637" w:rsidP="002E3637">
            <w:pPr>
              <w:pStyle w:val="PwCNormal"/>
              <w:numPr>
                <w:ilvl w:val="0"/>
                <w:numId w:val="0"/>
              </w:numPr>
            </w:pPr>
            <w:r w:rsidRPr="005A1647">
              <w:t xml:space="preserve">Reportable admitted and non-admitted URG encounters (matched with </w:t>
            </w:r>
            <w:r>
              <w:t xml:space="preserve">the </w:t>
            </w:r>
            <w:r w:rsidRPr="005A1647">
              <w:t xml:space="preserve">Victorian Emergency Minimum </w:t>
            </w:r>
            <w:r>
              <w:t>D</w:t>
            </w:r>
            <w:r w:rsidRPr="005A1647">
              <w:t xml:space="preserve">ataset) </w:t>
            </w:r>
            <w:r w:rsidR="00781CEF">
              <w:t>were</w:t>
            </w:r>
            <w:r w:rsidRPr="005A1647">
              <w:t xml:space="preserve"> costed based on the ED service event (presentation to departure time) for </w:t>
            </w:r>
            <w:r w:rsidR="00465174">
              <w:t>ED</w:t>
            </w:r>
            <w:r w:rsidRPr="005A1647">
              <w:t xml:space="preserve"> patients. </w:t>
            </w:r>
            <w:r>
              <w:t>Data extracts from the</w:t>
            </w:r>
            <w:r w:rsidRPr="005A1647">
              <w:t xml:space="preserve"> ‘Symphony Emergency Department system’ </w:t>
            </w:r>
            <w:r>
              <w:t>were</w:t>
            </w:r>
            <w:r w:rsidRPr="005A1647">
              <w:t xml:space="preserve"> used to allocate clinician and nurs</w:t>
            </w:r>
            <w:r w:rsidR="002B7E88">
              <w:t>ing costs to ED service events.</w:t>
            </w:r>
          </w:p>
          <w:p w:rsidR="002E3637" w:rsidRPr="005A1647" w:rsidRDefault="002E3637" w:rsidP="00781CEF">
            <w:pPr>
              <w:pStyle w:val="PwCNormal"/>
              <w:numPr>
                <w:ilvl w:val="0"/>
                <w:numId w:val="0"/>
              </w:numPr>
            </w:pPr>
            <w:r w:rsidRPr="005A1647">
              <w:t>Other services such as diagnostics tests</w:t>
            </w:r>
            <w:r>
              <w:t xml:space="preserve"> and</w:t>
            </w:r>
            <w:r w:rsidRPr="005A1647">
              <w:t xml:space="preserve"> pharmaceuticals </w:t>
            </w:r>
            <w:r w:rsidR="00781CEF">
              <w:t>were</w:t>
            </w:r>
            <w:r w:rsidRPr="005A1647">
              <w:t xml:space="preserve"> </w:t>
            </w:r>
            <w:r w:rsidRPr="005A1647">
              <w:lastRenderedPageBreak/>
              <w:t>allocated to patients based on consumption. The linking is done on the basis of date/time of the service.</w:t>
            </w:r>
          </w:p>
        </w:tc>
      </w:tr>
      <w:tr w:rsidR="002E3637" w:rsidTr="006E6862">
        <w:tc>
          <w:tcPr>
            <w:tcW w:w="2376" w:type="dxa"/>
          </w:tcPr>
          <w:p w:rsidR="002E3637" w:rsidRPr="005A1647" w:rsidRDefault="002E3637" w:rsidP="002E3637">
            <w:pPr>
              <w:pStyle w:val="PwCNormal"/>
              <w:numPr>
                <w:ilvl w:val="0"/>
                <w:numId w:val="0"/>
              </w:numPr>
            </w:pPr>
            <w:r w:rsidRPr="005A1647">
              <w:lastRenderedPageBreak/>
              <w:t>Outpatients</w:t>
            </w:r>
          </w:p>
        </w:tc>
        <w:tc>
          <w:tcPr>
            <w:tcW w:w="6237" w:type="dxa"/>
          </w:tcPr>
          <w:p w:rsidR="002E3637" w:rsidRPr="005A1647" w:rsidRDefault="002E3637" w:rsidP="00781CEF">
            <w:pPr>
              <w:pStyle w:val="PwCNormal"/>
              <w:numPr>
                <w:ilvl w:val="0"/>
                <w:numId w:val="0"/>
              </w:numPr>
            </w:pPr>
            <w:r w:rsidRPr="005A1647">
              <w:t xml:space="preserve">Ambulatory care appointment extracts </w:t>
            </w:r>
            <w:r w:rsidR="00781CEF">
              <w:t>were</w:t>
            </w:r>
            <w:r w:rsidRPr="005A1647">
              <w:t xml:space="preserve"> available from the </w:t>
            </w:r>
            <w:proofErr w:type="spellStart"/>
            <w:r w:rsidRPr="005A1647">
              <w:t>iPM</w:t>
            </w:r>
            <w:proofErr w:type="spellEnd"/>
            <w:r w:rsidRPr="005A1647">
              <w:t xml:space="preserve"> feeder data to determine </w:t>
            </w:r>
            <w:r>
              <w:t xml:space="preserve">the </w:t>
            </w:r>
            <w:r w:rsidRPr="005A1647">
              <w:t>outpatient appointment duration</w:t>
            </w:r>
            <w:r>
              <w:t>,</w:t>
            </w:r>
            <w:r w:rsidRPr="005A1647">
              <w:t xml:space="preserve"> which is used to allocate outpatients costs</w:t>
            </w:r>
            <w:r>
              <w:t xml:space="preserve"> in each clinic</w:t>
            </w:r>
            <w:r w:rsidRPr="005A1647">
              <w:t>.</w:t>
            </w:r>
          </w:p>
        </w:tc>
      </w:tr>
      <w:tr w:rsidR="002E3637" w:rsidTr="006E6862">
        <w:tc>
          <w:tcPr>
            <w:tcW w:w="2376" w:type="dxa"/>
          </w:tcPr>
          <w:p w:rsidR="002E3637" w:rsidRPr="005A1647" w:rsidRDefault="002E3637" w:rsidP="002E3637">
            <w:pPr>
              <w:pStyle w:val="PwCNormal"/>
              <w:numPr>
                <w:ilvl w:val="0"/>
                <w:numId w:val="0"/>
              </w:numPr>
            </w:pPr>
            <w:r w:rsidRPr="005A1647">
              <w:t>Mental Health</w:t>
            </w:r>
          </w:p>
        </w:tc>
        <w:tc>
          <w:tcPr>
            <w:tcW w:w="6237" w:type="dxa"/>
          </w:tcPr>
          <w:p w:rsidR="002E3637" w:rsidRPr="005A1647" w:rsidRDefault="002E3637" w:rsidP="00781CEF">
            <w:pPr>
              <w:pStyle w:val="PwCNormal"/>
              <w:numPr>
                <w:ilvl w:val="0"/>
                <w:numId w:val="0"/>
              </w:numPr>
            </w:pPr>
            <w:r w:rsidRPr="005A1647">
              <w:t xml:space="preserve">Acute and admitted mental health patients </w:t>
            </w:r>
            <w:r w:rsidR="00781CEF">
              <w:t>were</w:t>
            </w:r>
            <w:r w:rsidRPr="005A1647">
              <w:t xml:space="preserve"> costed using patient level consumption data where possible. However, if an admitted mental health episode is not reported as part of the Admitted or Emergency minimum datasets (VAED, VEMD) and if patient level data is not available from any other data source, the costs </w:t>
            </w:r>
            <w:r w:rsidR="00781CEF">
              <w:t>were</w:t>
            </w:r>
            <w:r w:rsidRPr="005A1647">
              <w:t xml:space="preserve"> allocated to a ‘derived’ or ‘virtual’ patient.</w:t>
            </w:r>
          </w:p>
        </w:tc>
      </w:tr>
      <w:tr w:rsidR="002E3637" w:rsidTr="006E6862">
        <w:tc>
          <w:tcPr>
            <w:tcW w:w="2376" w:type="dxa"/>
          </w:tcPr>
          <w:p w:rsidR="002E3637" w:rsidRPr="005A1647" w:rsidRDefault="002E3637" w:rsidP="002E3637">
            <w:pPr>
              <w:pStyle w:val="PwCNormal"/>
              <w:numPr>
                <w:ilvl w:val="0"/>
                <w:numId w:val="0"/>
              </w:numPr>
            </w:pPr>
            <w:r w:rsidRPr="005A1647">
              <w:t>Teaching, training and research</w:t>
            </w:r>
          </w:p>
        </w:tc>
        <w:tc>
          <w:tcPr>
            <w:tcW w:w="6237" w:type="dxa"/>
          </w:tcPr>
          <w:p w:rsidR="002E3637" w:rsidRPr="005A1647" w:rsidRDefault="002E3637" w:rsidP="00781CEF">
            <w:pPr>
              <w:pStyle w:val="PwCNormal"/>
              <w:numPr>
                <w:ilvl w:val="0"/>
                <w:numId w:val="0"/>
              </w:numPr>
            </w:pPr>
            <w:r w:rsidRPr="005A1647">
              <w:t xml:space="preserve">Dedicated teaching and training cost centres (if identifiable) </w:t>
            </w:r>
            <w:r w:rsidR="00781CEF">
              <w:t>were</w:t>
            </w:r>
            <w:r w:rsidRPr="005A1647">
              <w:t xml:space="preserve"> treated as an over</w:t>
            </w:r>
            <w:r w:rsidR="00AF6A8B">
              <w:t xml:space="preserve">head and allocated to patients. </w:t>
            </w:r>
            <w:r w:rsidRPr="005A1647">
              <w:t xml:space="preserve">Research, teaching and training costs were </w:t>
            </w:r>
            <w:r>
              <w:t xml:space="preserve">costed but </w:t>
            </w:r>
            <w:r w:rsidRPr="005A1647">
              <w:t xml:space="preserve">not submitted to IHPA in </w:t>
            </w:r>
            <w:r w:rsidR="006A194B">
              <w:t>Round 17</w:t>
            </w:r>
            <w:r w:rsidRPr="005A1647">
              <w:t xml:space="preserve">. </w:t>
            </w:r>
            <w:r w:rsidR="00AF6A8B">
              <w:t xml:space="preserve">Any direct teaching, training and research costs that were funded by </w:t>
            </w:r>
            <w:r w:rsidR="00AF6A8B" w:rsidRPr="00AF6A8B">
              <w:t>SPF (Special Purpose Fund)</w:t>
            </w:r>
            <w:r w:rsidR="00AF6A8B">
              <w:t xml:space="preserve"> </w:t>
            </w:r>
            <w:r w:rsidR="00AF6A8B" w:rsidRPr="00AF6A8B">
              <w:t>fund</w:t>
            </w:r>
            <w:r w:rsidR="00AF6A8B">
              <w:t>s</w:t>
            </w:r>
            <w:r w:rsidR="00AF6A8B" w:rsidRPr="00AF6A8B">
              <w:t xml:space="preserve"> </w:t>
            </w:r>
            <w:r w:rsidR="00AF6A8B">
              <w:t>were</w:t>
            </w:r>
            <w:r w:rsidR="00AF6A8B" w:rsidRPr="00AF6A8B">
              <w:t xml:space="preserve"> excluded from costing.</w:t>
            </w:r>
          </w:p>
        </w:tc>
      </w:tr>
      <w:tr w:rsidR="002E3637" w:rsidTr="006E6862">
        <w:tc>
          <w:tcPr>
            <w:tcW w:w="2376" w:type="dxa"/>
          </w:tcPr>
          <w:p w:rsidR="002E3637" w:rsidRPr="005A1647" w:rsidRDefault="002E3637" w:rsidP="002E3637">
            <w:pPr>
              <w:pStyle w:val="PwCNormal"/>
              <w:numPr>
                <w:ilvl w:val="0"/>
                <w:numId w:val="0"/>
              </w:numPr>
            </w:pPr>
            <w:r w:rsidRPr="005A1647">
              <w:t>Other</w:t>
            </w:r>
          </w:p>
        </w:tc>
        <w:tc>
          <w:tcPr>
            <w:tcW w:w="6237" w:type="dxa"/>
          </w:tcPr>
          <w:p w:rsidR="002E3637" w:rsidRDefault="002E3637" w:rsidP="002E3637">
            <w:pPr>
              <w:pStyle w:val="PwCNormal"/>
              <w:numPr>
                <w:ilvl w:val="0"/>
                <w:numId w:val="0"/>
              </w:numPr>
            </w:pPr>
            <w:r w:rsidRPr="005A1647">
              <w:t>Hospital boarders (</w:t>
            </w:r>
            <w:r w:rsidR="002F07C9">
              <w:t>that received</w:t>
            </w:r>
            <w:r w:rsidRPr="005A1647">
              <w:t xml:space="preserve"> food and/or accommodation) </w:t>
            </w:r>
            <w:r w:rsidR="00781CEF">
              <w:t>were</w:t>
            </w:r>
            <w:r w:rsidRPr="005A1647">
              <w:t xml:space="preserve"> not admitted in </w:t>
            </w:r>
            <w:r w:rsidR="002F07C9">
              <w:t xml:space="preserve">the </w:t>
            </w:r>
            <w:r w:rsidRPr="005A1647">
              <w:t xml:space="preserve">PAS and not treated as unique episodes. Boarders </w:t>
            </w:r>
            <w:r w:rsidR="00781CEF">
              <w:t>were</w:t>
            </w:r>
            <w:r w:rsidRPr="005A1647">
              <w:t xml:space="preserve"> identified with a specific program code (episode program ‘B’)</w:t>
            </w:r>
            <w:r>
              <w:t xml:space="preserve"> in the costed dataset</w:t>
            </w:r>
            <w:r w:rsidRPr="005A1647">
              <w:t xml:space="preserve">. Minimum costs </w:t>
            </w:r>
            <w:r w:rsidR="00781CEF">
              <w:t>were</w:t>
            </w:r>
            <w:r w:rsidRPr="005A1647">
              <w:t xml:space="preserve"> allocated to boarder</w:t>
            </w:r>
            <w:r>
              <w:t>s.</w:t>
            </w:r>
          </w:p>
          <w:p w:rsidR="002E3637" w:rsidRPr="005A1647" w:rsidRDefault="002E3637" w:rsidP="00781CEF">
            <w:pPr>
              <w:pStyle w:val="PwCNormal"/>
              <w:numPr>
                <w:ilvl w:val="0"/>
                <w:numId w:val="0"/>
              </w:numPr>
            </w:pPr>
            <w:r w:rsidRPr="005A1647">
              <w:t xml:space="preserve">All non-admitted </w:t>
            </w:r>
            <w:r w:rsidR="00781CEF" w:rsidRPr="005A1647">
              <w:t xml:space="preserve">activity </w:t>
            </w:r>
            <w:r w:rsidRPr="005A1647">
              <w:t xml:space="preserve">(including non-admitted radiotherapy, community health, unfunded/unregistered </w:t>
            </w:r>
            <w:r w:rsidR="00077E50">
              <w:t>T</w:t>
            </w:r>
            <w:r w:rsidRPr="005A1647">
              <w:t xml:space="preserve">ier 2 clinic), and out of scope activities such as Transition Care </w:t>
            </w:r>
            <w:r>
              <w:t>Program and Residential In-Reach</w:t>
            </w:r>
            <w:r w:rsidRPr="005A1647">
              <w:t xml:space="preserve"> patients</w:t>
            </w:r>
            <w:r>
              <w:t xml:space="preserve"> </w:t>
            </w:r>
            <w:r w:rsidR="00781CEF">
              <w:t>were</w:t>
            </w:r>
            <w:r w:rsidRPr="005A1647">
              <w:t xml:space="preserve"> excluded from NHCDC submissions</w:t>
            </w:r>
            <w:r w:rsidR="002B7E88">
              <w:t>.</w:t>
            </w:r>
          </w:p>
        </w:tc>
      </w:tr>
    </w:tbl>
    <w:p w:rsidR="002E3637" w:rsidRDefault="002E3637" w:rsidP="002E3637">
      <w:pPr>
        <w:pStyle w:val="PwCNormal"/>
        <w:numPr>
          <w:ilvl w:val="0"/>
          <w:numId w:val="0"/>
        </w:numPr>
        <w:rPr>
          <w:b/>
        </w:rPr>
      </w:pPr>
    </w:p>
    <w:p w:rsidR="002E3637" w:rsidRPr="004E0B72" w:rsidRDefault="002E3637" w:rsidP="00CE5EF2">
      <w:pPr>
        <w:pStyle w:val="Heading3"/>
      </w:pPr>
      <w:r>
        <w:t>Feeder data for sample areas</w:t>
      </w:r>
    </w:p>
    <w:p w:rsidR="002E3637" w:rsidRPr="002449AB" w:rsidRDefault="002E3637" w:rsidP="002E3637">
      <w:pPr>
        <w:pStyle w:val="PwCNormal"/>
        <w:numPr>
          <w:ilvl w:val="0"/>
          <w:numId w:val="0"/>
        </w:numPr>
        <w:rPr>
          <w:b/>
        </w:rPr>
      </w:pPr>
      <w:r>
        <w:rPr>
          <w:b/>
        </w:rPr>
        <w:t>Overview</w:t>
      </w:r>
    </w:p>
    <w:p w:rsidR="002F07C9" w:rsidRPr="002F07C9" w:rsidRDefault="002F07C9" w:rsidP="002F07C9">
      <w:pPr>
        <w:spacing w:after="240"/>
      </w:pPr>
      <w:r>
        <w:t>As part of the costing process different methodologies will be utilised to allocate costs to a patient level. The recommended methodology in the AHPCS is using a feeder system</w:t>
      </w:r>
      <w:r w:rsidR="00597FBD">
        <w:t>,</w:t>
      </w:r>
      <w:r>
        <w:t xml:space="preserve"> which uses direct patient activity data to allocate costs; however if this is not available then service weights or RVUs could be used. Described below is the allocation methodology for pharmacy, theatre and ward nursing costs.</w:t>
      </w:r>
    </w:p>
    <w:p w:rsidR="002E3637" w:rsidRDefault="002E3637" w:rsidP="002E3637">
      <w:pPr>
        <w:pStyle w:val="PwCNormal"/>
        <w:numPr>
          <w:ilvl w:val="0"/>
          <w:numId w:val="0"/>
        </w:numPr>
        <w:rPr>
          <w:b/>
        </w:rPr>
      </w:pPr>
      <w:r>
        <w:rPr>
          <w:b/>
        </w:rPr>
        <w:t>Pharmacy</w:t>
      </w:r>
    </w:p>
    <w:p w:rsidR="002E3637" w:rsidRDefault="00781CEF" w:rsidP="002E3637">
      <w:pPr>
        <w:pStyle w:val="PwCNormal"/>
        <w:numPr>
          <w:ilvl w:val="0"/>
          <w:numId w:val="0"/>
        </w:numPr>
      </w:pPr>
      <w:r>
        <w:t>BH</w:t>
      </w:r>
      <w:r w:rsidR="002E3637">
        <w:t xml:space="preserve"> </w:t>
      </w:r>
      <w:r w:rsidR="002E3637" w:rsidRPr="00B775AF">
        <w:t xml:space="preserve">uses the </w:t>
      </w:r>
      <w:r w:rsidR="002E3637">
        <w:t>Merlin</w:t>
      </w:r>
      <w:r w:rsidR="002E3637" w:rsidRPr="00FB0ED8">
        <w:t xml:space="preserve"> pharmacy system</w:t>
      </w:r>
      <w:r w:rsidR="002E3637" w:rsidRPr="00B775AF">
        <w:t xml:space="preserve"> </w:t>
      </w:r>
      <w:r w:rsidR="002E3637">
        <w:t xml:space="preserve">for inventory management and dispensing drugs. </w:t>
      </w:r>
      <w:r w:rsidR="002E3637" w:rsidRPr="00371E95">
        <w:t>All relevant</w:t>
      </w:r>
      <w:r w:rsidR="002E3637">
        <w:t xml:space="preserve"> pharmacy costs (including pharmacy staff costs)</w:t>
      </w:r>
      <w:r w:rsidR="002E3637" w:rsidRPr="00371E95">
        <w:t xml:space="preserve"> </w:t>
      </w:r>
      <w:r>
        <w:t>were</w:t>
      </w:r>
      <w:r w:rsidR="002E3637" w:rsidRPr="00371E95">
        <w:t xml:space="preserve"> allocated to patients through the linking process</w:t>
      </w:r>
      <w:r w:rsidR="002E3637">
        <w:t xml:space="preserve">. </w:t>
      </w:r>
      <w:r w:rsidR="002E3637" w:rsidRPr="00DB5279">
        <w:t>As per</w:t>
      </w:r>
      <w:r w:rsidR="002E3637">
        <w:t xml:space="preserve"> the VCDC business rules</w:t>
      </w:r>
      <w:r w:rsidR="002E3637" w:rsidRPr="00DB5279">
        <w:t xml:space="preserve">, </w:t>
      </w:r>
      <w:r w:rsidR="002E3637">
        <w:t xml:space="preserve">new episodes </w:t>
      </w:r>
      <w:r>
        <w:t>were</w:t>
      </w:r>
      <w:r w:rsidR="002E3637">
        <w:t xml:space="preserve"> created for services that cannot be linked to an existing valid episode. These records </w:t>
      </w:r>
      <w:r>
        <w:t>were</w:t>
      </w:r>
      <w:r w:rsidR="002E3637">
        <w:t xml:space="preserve"> submitted to DH and reported under VCDC p</w:t>
      </w:r>
      <w:r w:rsidR="002F07C9">
        <w:t xml:space="preserve">rogram ‘U – Unlinked Services’, and </w:t>
      </w:r>
      <w:r>
        <w:t>were</w:t>
      </w:r>
      <w:r w:rsidR="002F07C9">
        <w:t xml:space="preserve"> not submitted to IHPA. </w:t>
      </w:r>
    </w:p>
    <w:p w:rsidR="002F07C9" w:rsidRDefault="002F07C9" w:rsidP="002E3637">
      <w:pPr>
        <w:pStyle w:val="PwCNormal"/>
        <w:numPr>
          <w:ilvl w:val="0"/>
          <w:numId w:val="0"/>
        </w:numPr>
      </w:pPr>
      <w:r>
        <w:t xml:space="preserve">As shown in </w:t>
      </w:r>
      <w:r>
        <w:fldChar w:fldCharType="begin"/>
      </w:r>
      <w:r>
        <w:instrText xml:space="preserve"> REF _Ref402978832 \h </w:instrText>
      </w:r>
      <w:r>
        <w:fldChar w:fldCharType="separate"/>
      </w:r>
      <w:r w:rsidR="00575DFC">
        <w:t xml:space="preserve">Table </w:t>
      </w:r>
      <w:r w:rsidR="00575DFC">
        <w:rPr>
          <w:noProof/>
        </w:rPr>
        <w:t>88</w:t>
      </w:r>
      <w:r>
        <w:fldChar w:fldCharType="end"/>
      </w:r>
      <w:r w:rsidR="00781CEF">
        <w:t xml:space="preserve"> below</w:t>
      </w:r>
      <w:r w:rsidR="00BF1400">
        <w:t>,</w:t>
      </w:r>
      <w:r w:rsidR="00781CEF">
        <w:t xml:space="preserve"> o</w:t>
      </w:r>
      <w:r>
        <w:t>f the 172,139 records extracted from the pharmacy system, 10 were excluded as they fell outside the Round 17 period</w:t>
      </w:r>
      <w:r w:rsidR="00BF1400">
        <w:t>,</w:t>
      </w:r>
      <w:r>
        <w:t xml:space="preserve"> 139,718 records were linked to inpatients and 26,652 were unmatched (15.5% of the total). </w:t>
      </w:r>
    </w:p>
    <w:p w:rsidR="000868A0" w:rsidRDefault="000868A0" w:rsidP="000868A0">
      <w:pPr>
        <w:pStyle w:val="Caption"/>
      </w:pPr>
      <w:bookmarkStart w:id="130" w:name="_Ref402978832"/>
      <w:r>
        <w:lastRenderedPageBreak/>
        <w:t xml:space="preserve">Table </w:t>
      </w:r>
      <w:r w:rsidR="008379DC">
        <w:fldChar w:fldCharType="begin"/>
      </w:r>
      <w:r w:rsidR="009E64DF">
        <w:instrText xml:space="preserve"> SEQ Table \* ARABIC </w:instrText>
      </w:r>
      <w:r w:rsidR="008379DC">
        <w:fldChar w:fldCharType="separate"/>
      </w:r>
      <w:r w:rsidR="00575DFC">
        <w:rPr>
          <w:noProof/>
        </w:rPr>
        <w:t>88</w:t>
      </w:r>
      <w:r w:rsidR="008379DC">
        <w:rPr>
          <w:noProof/>
        </w:rPr>
        <w:fldChar w:fldCharType="end"/>
      </w:r>
      <w:bookmarkEnd w:id="130"/>
      <w:r>
        <w:t xml:space="preserve">: </w:t>
      </w:r>
      <w:r w:rsidRPr="008B3287">
        <w:t>Outcome of pharmacy feeder linking</w:t>
      </w:r>
    </w:p>
    <w:p w:rsidR="002E3637" w:rsidRDefault="002E3637" w:rsidP="002E3637">
      <w:pPr>
        <w:pStyle w:val="PwCNormal"/>
        <w:numPr>
          <w:ilvl w:val="0"/>
          <w:numId w:val="0"/>
        </w:numPr>
      </w:pPr>
      <w:r w:rsidRPr="00D322A1">
        <w:rPr>
          <w:noProof/>
          <w:lang w:eastAsia="en-AU"/>
        </w:rPr>
        <w:drawing>
          <wp:inline distT="0" distB="0" distL="0" distR="0" wp14:anchorId="6C4392D9" wp14:editId="77658C69">
            <wp:extent cx="2631600" cy="2433600"/>
            <wp:effectExtent l="0" t="0" r="0" b="5080"/>
            <wp:docPr id="87" name="Picture 87" descr="This table outlines the outcome of the pharmacy feeder linking rules to the different hospital produ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31600" cy="2433600"/>
                    </a:xfrm>
                    <a:prstGeom prst="rect">
                      <a:avLst/>
                    </a:prstGeom>
                    <a:noFill/>
                    <a:ln>
                      <a:noFill/>
                    </a:ln>
                  </pic:spPr>
                </pic:pic>
              </a:graphicData>
            </a:graphic>
          </wp:inline>
        </w:drawing>
      </w:r>
    </w:p>
    <w:p w:rsidR="002E3637" w:rsidRDefault="002E3637" w:rsidP="002E3637">
      <w:pPr>
        <w:pStyle w:val="PwCNormal"/>
        <w:numPr>
          <w:ilvl w:val="0"/>
          <w:numId w:val="0"/>
        </w:numPr>
        <w:rPr>
          <w:b/>
        </w:rPr>
      </w:pPr>
      <w:r>
        <w:rPr>
          <w:b/>
        </w:rPr>
        <w:t>Theatre</w:t>
      </w:r>
    </w:p>
    <w:p w:rsidR="002E3637" w:rsidRPr="001858A7" w:rsidRDefault="00781CEF" w:rsidP="002E3637">
      <w:pPr>
        <w:pStyle w:val="PwCNormal"/>
        <w:numPr>
          <w:ilvl w:val="0"/>
          <w:numId w:val="0"/>
        </w:numPr>
        <w:rPr>
          <w:highlight w:val="lightGray"/>
        </w:rPr>
      </w:pPr>
      <w:r>
        <w:t>BH</w:t>
      </w:r>
      <w:r w:rsidR="002E3637" w:rsidRPr="00371E95">
        <w:t xml:space="preserve"> uses the </w:t>
      </w:r>
      <w:proofErr w:type="spellStart"/>
      <w:r w:rsidR="002E3637">
        <w:t>iPM</w:t>
      </w:r>
      <w:proofErr w:type="spellEnd"/>
      <w:r w:rsidR="002E3637">
        <w:t xml:space="preserve"> PAS and </w:t>
      </w:r>
      <w:proofErr w:type="spellStart"/>
      <w:r w:rsidR="002E3637">
        <w:t>h</w:t>
      </w:r>
      <w:r w:rsidR="002E3637" w:rsidRPr="00371E95">
        <w:t>Trak</w:t>
      </w:r>
      <w:proofErr w:type="spellEnd"/>
      <w:r w:rsidR="002E3637" w:rsidRPr="00371E95">
        <w:t xml:space="preserve"> </w:t>
      </w:r>
      <w:r w:rsidR="002E3637">
        <w:t>prosthesis</w:t>
      </w:r>
      <w:r w:rsidR="002E3637" w:rsidRPr="00371E95">
        <w:t xml:space="preserve"> management system to capture and extract various data points </w:t>
      </w:r>
      <w:r w:rsidR="00BF1400">
        <w:t>relating to the</w:t>
      </w:r>
      <w:r w:rsidR="002E3637" w:rsidRPr="00371E95">
        <w:t xml:space="preserve"> patient</w:t>
      </w:r>
      <w:r w:rsidR="00BF1400">
        <w:t>’s</w:t>
      </w:r>
      <w:r w:rsidR="002E3637" w:rsidRPr="00371E95">
        <w:t xml:space="preserve"> surgery. </w:t>
      </w:r>
      <w:r w:rsidR="00523506">
        <w:t>S</w:t>
      </w:r>
      <w:r w:rsidR="002E3637" w:rsidRPr="00D322A1">
        <w:t xml:space="preserve">urgical nursing and medical costs </w:t>
      </w:r>
      <w:r>
        <w:t>were</w:t>
      </w:r>
      <w:r w:rsidR="00523506">
        <w:t xml:space="preserve"> allocated to </w:t>
      </w:r>
      <w:r w:rsidR="002E3637">
        <w:t>patient</w:t>
      </w:r>
      <w:r w:rsidR="00523506">
        <w:t>s</w:t>
      </w:r>
      <w:r w:rsidR="002E3637">
        <w:t xml:space="preserve"> </w:t>
      </w:r>
      <w:r w:rsidR="00523506">
        <w:t>using</w:t>
      </w:r>
      <w:r w:rsidR="002E3637">
        <w:t xml:space="preserve"> a number of theatre minutes and usage</w:t>
      </w:r>
      <w:r w:rsidR="002E3637" w:rsidRPr="00D322A1">
        <w:t xml:space="preserve"> data (anaesthetic </w:t>
      </w:r>
      <w:r w:rsidR="00523506">
        <w:t>time</w:t>
      </w:r>
      <w:r w:rsidR="002E3637" w:rsidRPr="00D322A1">
        <w:t xml:space="preserve">, surgery </w:t>
      </w:r>
      <w:r w:rsidR="00523506">
        <w:t>time</w:t>
      </w:r>
      <w:r w:rsidR="002E3637">
        <w:t>, number of nurses, number of surgeons etc.)</w:t>
      </w:r>
      <w:r w:rsidR="00523506">
        <w:t>. Time is weighted ba</w:t>
      </w:r>
      <w:r>
        <w:t>sed on the number of nurses and</w:t>
      </w:r>
      <w:r w:rsidR="00523506">
        <w:t xml:space="preserve"> surgeons</w:t>
      </w:r>
      <w:r>
        <w:t xml:space="preserve"> in theatre at the time of the procedure</w:t>
      </w:r>
      <w:r w:rsidR="00523506">
        <w:t xml:space="preserve">. Theatre data is linked to the </w:t>
      </w:r>
      <w:r w:rsidR="002821F4">
        <w:t>patients’</w:t>
      </w:r>
      <w:r w:rsidR="00523506">
        <w:t xml:space="preserve"> admission records and as such, all theatre activity was linked to inpatients. This is shown in </w:t>
      </w:r>
      <w:r w:rsidR="00523506">
        <w:fldChar w:fldCharType="begin"/>
      </w:r>
      <w:r w:rsidR="00523506">
        <w:instrText xml:space="preserve"> REF _Ref402979003 \h </w:instrText>
      </w:r>
      <w:r w:rsidR="00523506">
        <w:fldChar w:fldCharType="separate"/>
      </w:r>
      <w:r w:rsidR="00575DFC">
        <w:t xml:space="preserve">Table </w:t>
      </w:r>
      <w:r w:rsidR="00575DFC">
        <w:rPr>
          <w:noProof/>
        </w:rPr>
        <w:t>89</w:t>
      </w:r>
      <w:r w:rsidR="00523506">
        <w:fldChar w:fldCharType="end"/>
      </w:r>
      <w:r w:rsidR="00523506">
        <w:t xml:space="preserve"> below.</w:t>
      </w:r>
    </w:p>
    <w:p w:rsidR="000868A0" w:rsidRDefault="000868A0" w:rsidP="000868A0">
      <w:pPr>
        <w:pStyle w:val="Caption"/>
      </w:pPr>
      <w:bookmarkStart w:id="131" w:name="_Ref402979003"/>
      <w:r>
        <w:t xml:space="preserve">Table </w:t>
      </w:r>
      <w:r w:rsidR="008379DC">
        <w:fldChar w:fldCharType="begin"/>
      </w:r>
      <w:r w:rsidR="009E64DF">
        <w:instrText xml:space="preserve"> SEQ Table \* ARABIC </w:instrText>
      </w:r>
      <w:r w:rsidR="008379DC">
        <w:fldChar w:fldCharType="separate"/>
      </w:r>
      <w:r w:rsidR="00575DFC">
        <w:rPr>
          <w:noProof/>
        </w:rPr>
        <w:t>89</w:t>
      </w:r>
      <w:r w:rsidR="008379DC">
        <w:rPr>
          <w:noProof/>
        </w:rPr>
        <w:fldChar w:fldCharType="end"/>
      </w:r>
      <w:bookmarkEnd w:id="131"/>
      <w:r>
        <w:t xml:space="preserve">: </w:t>
      </w:r>
      <w:r w:rsidRPr="00807E93">
        <w:t>Outcome of theatre feeder linking</w:t>
      </w:r>
    </w:p>
    <w:p w:rsidR="00523506" w:rsidRDefault="002E3637" w:rsidP="002E3637">
      <w:pPr>
        <w:pStyle w:val="PwCNormal"/>
        <w:numPr>
          <w:ilvl w:val="0"/>
          <w:numId w:val="0"/>
        </w:numPr>
        <w:rPr>
          <w:b/>
        </w:rPr>
      </w:pPr>
      <w:r w:rsidRPr="00477369">
        <w:rPr>
          <w:noProof/>
          <w:lang w:eastAsia="en-AU"/>
        </w:rPr>
        <w:drawing>
          <wp:inline distT="0" distB="0" distL="0" distR="0" wp14:anchorId="0DC88279" wp14:editId="604205D7">
            <wp:extent cx="2631600" cy="2433600"/>
            <wp:effectExtent l="0" t="0" r="0" b="5080"/>
            <wp:docPr id="88" name="Picture 88"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31600" cy="2433600"/>
                    </a:xfrm>
                    <a:prstGeom prst="rect">
                      <a:avLst/>
                    </a:prstGeom>
                    <a:noFill/>
                    <a:ln>
                      <a:noFill/>
                    </a:ln>
                  </pic:spPr>
                </pic:pic>
              </a:graphicData>
            </a:graphic>
          </wp:inline>
        </w:drawing>
      </w:r>
    </w:p>
    <w:p w:rsidR="00523506" w:rsidRDefault="00523506">
      <w:pPr>
        <w:kinsoku/>
        <w:overflowPunct/>
        <w:autoSpaceDE/>
        <w:autoSpaceDN/>
        <w:adjustRightInd/>
        <w:snapToGrid/>
        <w:rPr>
          <w:b/>
        </w:rPr>
      </w:pPr>
      <w:r>
        <w:rPr>
          <w:b/>
        </w:rPr>
        <w:br w:type="page"/>
      </w:r>
    </w:p>
    <w:p w:rsidR="002E3637" w:rsidRPr="002449AB" w:rsidRDefault="002E3637" w:rsidP="002E3637">
      <w:pPr>
        <w:pStyle w:val="PwCNormal"/>
        <w:numPr>
          <w:ilvl w:val="0"/>
          <w:numId w:val="0"/>
        </w:numPr>
        <w:rPr>
          <w:b/>
        </w:rPr>
      </w:pPr>
      <w:r>
        <w:rPr>
          <w:b/>
        </w:rPr>
        <w:lastRenderedPageBreak/>
        <w:t>Ward Nursing</w:t>
      </w:r>
    </w:p>
    <w:p w:rsidR="002E3637" w:rsidRPr="00E77F2A" w:rsidRDefault="00781CEF" w:rsidP="002E3637">
      <w:pPr>
        <w:pStyle w:val="PwCNormal"/>
        <w:numPr>
          <w:ilvl w:val="0"/>
          <w:numId w:val="0"/>
        </w:numPr>
      </w:pPr>
      <w:r>
        <w:t>BH</w:t>
      </w:r>
      <w:r w:rsidR="002E3637" w:rsidRPr="00E77F2A">
        <w:t xml:space="preserve"> </w:t>
      </w:r>
      <w:r w:rsidR="00523506">
        <w:t>used</w:t>
      </w:r>
      <w:r w:rsidR="002E3637" w:rsidRPr="00E77F2A">
        <w:t xml:space="preserve"> </w:t>
      </w:r>
      <w:proofErr w:type="spellStart"/>
      <w:r w:rsidR="002E3637" w:rsidRPr="00E77F2A">
        <w:t>iPM</w:t>
      </w:r>
      <w:proofErr w:type="spellEnd"/>
      <w:r w:rsidR="002E3637" w:rsidRPr="00E77F2A">
        <w:t xml:space="preserve"> PAS activity data, such as the admission and discha</w:t>
      </w:r>
      <w:r w:rsidR="00BF1400">
        <w:t>rge date and time, and transfer</w:t>
      </w:r>
      <w:r w:rsidR="002E3637" w:rsidRPr="00E77F2A">
        <w:t xml:space="preserve"> activities between wards to allocate nursing cost</w:t>
      </w:r>
      <w:r w:rsidR="002E3637">
        <w:t xml:space="preserve"> for admitted patients</w:t>
      </w:r>
      <w:r w:rsidR="002E3637" w:rsidRPr="00E77F2A">
        <w:t xml:space="preserve">. Transfer extracts </w:t>
      </w:r>
      <w:r w:rsidR="00523506">
        <w:t>were</w:t>
      </w:r>
      <w:r w:rsidR="002E3637" w:rsidRPr="00E77F2A">
        <w:t xml:space="preserve"> created as source systems for the costing software and linked directly to the patient encounter in the costing system to derive patient</w:t>
      </w:r>
      <w:r w:rsidR="002E3637">
        <w:t xml:space="preserve"> fractional</w:t>
      </w:r>
      <w:r w:rsidR="002E3637" w:rsidRPr="00E77F2A">
        <w:t xml:space="preserve"> bed days. </w:t>
      </w:r>
      <w:r w:rsidR="00523506">
        <w:t xml:space="preserve">As </w:t>
      </w:r>
      <w:r w:rsidR="00523506">
        <w:fldChar w:fldCharType="begin"/>
      </w:r>
      <w:r w:rsidR="00523506">
        <w:instrText xml:space="preserve"> REF _Ref402979061 \h </w:instrText>
      </w:r>
      <w:r w:rsidR="00523506">
        <w:fldChar w:fldCharType="separate"/>
      </w:r>
      <w:r w:rsidR="00575DFC">
        <w:t xml:space="preserve">Table </w:t>
      </w:r>
      <w:r w:rsidR="00575DFC">
        <w:rPr>
          <w:noProof/>
        </w:rPr>
        <w:t>90</w:t>
      </w:r>
      <w:r w:rsidR="00523506">
        <w:fldChar w:fldCharType="end"/>
      </w:r>
      <w:r w:rsidR="00523506">
        <w:t xml:space="preserve"> shows, all ward nursing costs were linked to inpatients.</w:t>
      </w:r>
    </w:p>
    <w:p w:rsidR="000868A0" w:rsidRDefault="000868A0" w:rsidP="000868A0">
      <w:pPr>
        <w:pStyle w:val="Caption"/>
      </w:pPr>
      <w:bookmarkStart w:id="132" w:name="_Ref402979061"/>
      <w:r>
        <w:t xml:space="preserve">Table </w:t>
      </w:r>
      <w:r w:rsidR="008379DC">
        <w:fldChar w:fldCharType="begin"/>
      </w:r>
      <w:r w:rsidR="009E64DF">
        <w:instrText xml:space="preserve"> SEQ Table \* ARABIC </w:instrText>
      </w:r>
      <w:r w:rsidR="008379DC">
        <w:fldChar w:fldCharType="separate"/>
      </w:r>
      <w:r w:rsidR="00575DFC">
        <w:rPr>
          <w:noProof/>
        </w:rPr>
        <w:t>90</w:t>
      </w:r>
      <w:r w:rsidR="008379DC">
        <w:rPr>
          <w:noProof/>
        </w:rPr>
        <w:fldChar w:fldCharType="end"/>
      </w:r>
      <w:bookmarkEnd w:id="132"/>
      <w:r>
        <w:t xml:space="preserve">: </w:t>
      </w:r>
      <w:r w:rsidRPr="00CB3C63">
        <w:t>Outcome of ward nursing feeder linking</w:t>
      </w:r>
    </w:p>
    <w:p w:rsidR="002E3637" w:rsidRDefault="002E3637" w:rsidP="002E3637">
      <w:pPr>
        <w:pStyle w:val="PwCNormal"/>
        <w:numPr>
          <w:ilvl w:val="0"/>
          <w:numId w:val="0"/>
        </w:numPr>
        <w:rPr>
          <w:b/>
        </w:rPr>
      </w:pPr>
      <w:r w:rsidRPr="00077317">
        <w:rPr>
          <w:noProof/>
          <w:lang w:eastAsia="en-AU"/>
        </w:rPr>
        <w:drawing>
          <wp:inline distT="0" distB="0" distL="0" distR="0" wp14:anchorId="5FE6F78C" wp14:editId="3AB3AC06">
            <wp:extent cx="2631600" cy="2433600"/>
            <wp:effectExtent l="0" t="0" r="0" b="5080"/>
            <wp:docPr id="89" name="Picture 89"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631600" cy="2433600"/>
                    </a:xfrm>
                    <a:prstGeom prst="rect">
                      <a:avLst/>
                    </a:prstGeom>
                    <a:noFill/>
                    <a:ln>
                      <a:noFill/>
                    </a:ln>
                  </pic:spPr>
                </pic:pic>
              </a:graphicData>
            </a:graphic>
          </wp:inline>
        </w:drawing>
      </w:r>
    </w:p>
    <w:p w:rsidR="002E3637" w:rsidRPr="004E0B72" w:rsidRDefault="002E3637" w:rsidP="00CE5EF2">
      <w:pPr>
        <w:pStyle w:val="Heading3"/>
      </w:pPr>
      <w:r>
        <w:t>The costed dataset</w:t>
      </w:r>
    </w:p>
    <w:p w:rsidR="002E3637" w:rsidRDefault="002E3637" w:rsidP="002E3637">
      <w:pPr>
        <w:pStyle w:val="PwCNormal"/>
        <w:numPr>
          <w:ilvl w:val="0"/>
          <w:numId w:val="0"/>
        </w:numPr>
        <w:rPr>
          <w:b/>
        </w:rPr>
      </w:pPr>
      <w:r>
        <w:rPr>
          <w:b/>
        </w:rPr>
        <w:t>QA process</w:t>
      </w:r>
    </w:p>
    <w:p w:rsidR="002E3637" w:rsidRDefault="002E3637" w:rsidP="002E3637">
      <w:pPr>
        <w:pStyle w:val="PwCNormal"/>
        <w:numPr>
          <w:ilvl w:val="0"/>
          <w:numId w:val="0"/>
        </w:numPr>
      </w:pPr>
      <w:r w:rsidRPr="001C5437">
        <w:t xml:space="preserve">In </w:t>
      </w:r>
      <w:r w:rsidR="006A194B">
        <w:t>Round 17</w:t>
      </w:r>
      <w:r w:rsidRPr="001C5437">
        <w:t xml:space="preserve">, </w:t>
      </w:r>
      <w:r w:rsidR="00B1496C">
        <w:t>BH</w:t>
      </w:r>
      <w:r w:rsidRPr="001C5437">
        <w:t xml:space="preserve"> performed various levels of reconciliation, quality assurance and reasonableness checks on the costed dataset be</w:t>
      </w:r>
      <w:r w:rsidR="00523506">
        <w:t xml:space="preserve">fore submitting to the DH. This included expenditure reconciliations between the </w:t>
      </w:r>
      <w:proofErr w:type="spellStart"/>
      <w:r w:rsidR="00523506">
        <w:t>UserCost</w:t>
      </w:r>
      <w:proofErr w:type="spellEnd"/>
      <w:r w:rsidR="00523506">
        <w:t xml:space="preserve"> cost file and the GL, along with the total cost by product. Patient episode records were also reconciled to the activity data submitted to the other Victorian data submissions (such as the </w:t>
      </w:r>
      <w:r w:rsidR="00523506" w:rsidRPr="001C5437">
        <w:t>Victorian Admitted Episodes Dataset</w:t>
      </w:r>
      <w:r w:rsidR="00523506">
        <w:t>,</w:t>
      </w:r>
      <w:r w:rsidR="00523506" w:rsidRPr="001C5437">
        <w:t xml:space="preserve"> Victorian </w:t>
      </w:r>
      <w:r w:rsidR="00523506">
        <w:t>Emergency Minimum Dataset</w:t>
      </w:r>
      <w:r w:rsidR="00523506" w:rsidRPr="001C5437">
        <w:t xml:space="preserve">, </w:t>
      </w:r>
      <w:proofErr w:type="gramStart"/>
      <w:r w:rsidR="00523506" w:rsidRPr="001C5437">
        <w:t>Victorian</w:t>
      </w:r>
      <w:proofErr w:type="gramEnd"/>
      <w:r w:rsidR="00523506" w:rsidRPr="001C5437">
        <w:t xml:space="preserve"> public mental health client information management system</w:t>
      </w:r>
      <w:r w:rsidR="00523506">
        <w:t>). Costs were also compared to prior year’s data to check for irregularities and variability.</w:t>
      </w:r>
    </w:p>
    <w:p w:rsidR="00B1496C" w:rsidRDefault="00B1496C" w:rsidP="002E3637">
      <w:pPr>
        <w:pStyle w:val="PwCNormal"/>
        <w:numPr>
          <w:ilvl w:val="0"/>
          <w:numId w:val="0"/>
        </w:numPr>
      </w:pPr>
      <w:r>
        <w:t xml:space="preserve">Reviews were performed on the feeder data, particularly where actual charges were used as an RVU/cost driver, such as for prosthetics and pharmacy. The total RVU was compared and reconciled to the GL amount. Large variances were investigated by health service staff. Once all checks </w:t>
      </w:r>
      <w:r w:rsidR="00BF1400">
        <w:t xml:space="preserve">and </w:t>
      </w:r>
      <w:r>
        <w:t>reviews were completed at BH, the data was submitted and subject</w:t>
      </w:r>
      <w:r w:rsidR="00BF1400">
        <w:t>ed</w:t>
      </w:r>
      <w:r>
        <w:t xml:space="preserve"> to the DH’s VCDC validation checks. More detail about these checks can be found in </w:t>
      </w:r>
      <w:r w:rsidR="00F84A9F">
        <w:t xml:space="preserve">Section </w:t>
      </w:r>
      <w:r>
        <w:fldChar w:fldCharType="begin"/>
      </w:r>
      <w:r>
        <w:instrText xml:space="preserve"> REF _Ref402979808 \r \h </w:instrText>
      </w:r>
      <w:r>
        <w:fldChar w:fldCharType="separate"/>
      </w:r>
      <w:r w:rsidR="00575DFC">
        <w:t>9.4.1</w:t>
      </w:r>
      <w:r>
        <w:fldChar w:fldCharType="end"/>
      </w:r>
      <w:r>
        <w:t>.</w:t>
      </w:r>
    </w:p>
    <w:p w:rsidR="002E3637" w:rsidRPr="001C5437" w:rsidRDefault="002E3637" w:rsidP="002E3637">
      <w:pPr>
        <w:pStyle w:val="PwCNormal"/>
        <w:numPr>
          <w:ilvl w:val="0"/>
          <w:numId w:val="0"/>
        </w:numPr>
        <w:rPr>
          <w:b/>
        </w:rPr>
      </w:pPr>
      <w:r w:rsidRPr="001C5437">
        <w:rPr>
          <w:b/>
        </w:rPr>
        <w:t>Adjustments</w:t>
      </w:r>
    </w:p>
    <w:p w:rsidR="002E3637" w:rsidRPr="001C5437" w:rsidRDefault="002E3637" w:rsidP="002E3637">
      <w:pPr>
        <w:pStyle w:val="PwCNormal"/>
        <w:numPr>
          <w:ilvl w:val="0"/>
          <w:numId w:val="0"/>
        </w:numPr>
      </w:pPr>
      <w:r w:rsidRPr="001C5437">
        <w:t xml:space="preserve">The majority of adjustments that were made to the dataset before submission to the NHCDC by the </w:t>
      </w:r>
      <w:r>
        <w:t>j</w:t>
      </w:r>
      <w:r w:rsidRPr="001C5437">
        <w:t>urisdiction relate</w:t>
      </w:r>
      <w:r>
        <w:t>d</w:t>
      </w:r>
      <w:r w:rsidRPr="001C5437">
        <w:t xml:space="preserve"> to episodes and records failing the Departmental (VCDC) validation checks, non-admitted patients and out of scope/non ABF funded activity. These exclusions have been summarised in </w:t>
      </w:r>
      <w:r w:rsidR="00BF1400">
        <w:t xml:space="preserve">Section </w:t>
      </w:r>
      <w:r w:rsidR="00BF1400">
        <w:fldChar w:fldCharType="begin"/>
      </w:r>
      <w:r w:rsidR="00BF1400">
        <w:instrText xml:space="preserve"> REF _Ref403573167 \r \h </w:instrText>
      </w:r>
      <w:r w:rsidR="00BF1400">
        <w:fldChar w:fldCharType="separate"/>
      </w:r>
      <w:r w:rsidR="00575DFC">
        <w:t>9.4</w:t>
      </w:r>
      <w:r w:rsidR="00BF1400">
        <w:fldChar w:fldCharType="end"/>
      </w:r>
      <w:r w:rsidRPr="001C5437">
        <w:t>.</w:t>
      </w:r>
    </w:p>
    <w:p w:rsidR="002E3637" w:rsidRPr="001C5437" w:rsidRDefault="002E3637" w:rsidP="002E3637">
      <w:pPr>
        <w:pStyle w:val="PwCNormal"/>
        <w:numPr>
          <w:ilvl w:val="0"/>
          <w:numId w:val="0"/>
        </w:numPr>
        <w:rPr>
          <w:b/>
        </w:rPr>
      </w:pPr>
      <w:r w:rsidRPr="001C5437">
        <w:rPr>
          <w:b/>
        </w:rPr>
        <w:t>Work in progress (Item E)</w:t>
      </w:r>
    </w:p>
    <w:p w:rsidR="002E3637" w:rsidRPr="001C5437" w:rsidRDefault="00B1496C" w:rsidP="002E3637">
      <w:pPr>
        <w:pStyle w:val="PwCNormal"/>
        <w:numPr>
          <w:ilvl w:val="0"/>
          <w:numId w:val="0"/>
        </w:numPr>
      </w:pPr>
      <w:r>
        <w:t>The a</w:t>
      </w:r>
      <w:r w:rsidRPr="003A6D69">
        <w:t xml:space="preserve">djustments </w:t>
      </w:r>
      <w:r>
        <w:t>that were</w:t>
      </w:r>
      <w:r w:rsidRPr="003A6D69">
        <w:t xml:space="preserve"> made for patients whose stay at the hospital crosses the financial year</w:t>
      </w:r>
      <w:r>
        <w:t xml:space="preserve"> is consistent with approach taken at WH. Please see </w:t>
      </w:r>
      <w:r w:rsidR="00F84A9F">
        <w:t xml:space="preserve">Section </w:t>
      </w:r>
      <w:r>
        <w:fldChar w:fldCharType="begin"/>
      </w:r>
      <w:r>
        <w:instrText xml:space="preserve"> REF _Ref402979948 \r \h </w:instrText>
      </w:r>
      <w:r>
        <w:fldChar w:fldCharType="separate"/>
      </w:r>
      <w:r w:rsidR="00575DFC">
        <w:t>9.2.5</w:t>
      </w:r>
      <w:r>
        <w:fldChar w:fldCharType="end"/>
      </w:r>
      <w:r>
        <w:t xml:space="preserve"> for more details.</w:t>
      </w:r>
    </w:p>
    <w:p w:rsidR="002E3637" w:rsidRPr="001C5437" w:rsidRDefault="002E3637" w:rsidP="00CE5EF2">
      <w:pPr>
        <w:pStyle w:val="Heading3"/>
      </w:pPr>
      <w:r w:rsidRPr="001C5437">
        <w:lastRenderedPageBreak/>
        <w:t>Sample patients</w:t>
      </w:r>
    </w:p>
    <w:p w:rsidR="002E3637" w:rsidRPr="001C5437" w:rsidRDefault="002729CE" w:rsidP="002E3637">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2E3637" w:rsidRPr="001C5437">
        <w:t xml:space="preserve">. </w:t>
      </w:r>
      <w:r w:rsidR="00B1496C">
        <w:t xml:space="preserve">The reconciliation found no discrepancies between the two data sources, as can be seen in </w:t>
      </w:r>
      <w:r w:rsidR="00B1496C">
        <w:fldChar w:fldCharType="begin"/>
      </w:r>
      <w:r w:rsidR="00B1496C">
        <w:instrText xml:space="preserve"> REF _Ref402980019 \h </w:instrText>
      </w:r>
      <w:r w:rsidR="00B1496C">
        <w:fldChar w:fldCharType="separate"/>
      </w:r>
      <w:r w:rsidR="00575DFC">
        <w:t xml:space="preserve">Table </w:t>
      </w:r>
      <w:r w:rsidR="00575DFC">
        <w:rPr>
          <w:noProof/>
        </w:rPr>
        <w:t>91</w:t>
      </w:r>
      <w:r w:rsidR="00B1496C">
        <w:fldChar w:fldCharType="end"/>
      </w:r>
      <w:r w:rsidR="00B1496C">
        <w:t>.</w:t>
      </w:r>
    </w:p>
    <w:p w:rsidR="000868A0" w:rsidRDefault="000868A0" w:rsidP="000868A0">
      <w:pPr>
        <w:pStyle w:val="Caption"/>
      </w:pPr>
      <w:bookmarkStart w:id="133" w:name="_Ref402980019"/>
      <w:r>
        <w:t xml:space="preserve">Table </w:t>
      </w:r>
      <w:r w:rsidR="008379DC">
        <w:fldChar w:fldCharType="begin"/>
      </w:r>
      <w:r w:rsidR="009E64DF">
        <w:instrText xml:space="preserve"> SEQ Table \* ARABIC </w:instrText>
      </w:r>
      <w:r w:rsidR="008379DC">
        <w:fldChar w:fldCharType="separate"/>
      </w:r>
      <w:r w:rsidR="00575DFC">
        <w:rPr>
          <w:noProof/>
        </w:rPr>
        <w:t>91</w:t>
      </w:r>
      <w:r w:rsidR="008379DC">
        <w:rPr>
          <w:noProof/>
        </w:rPr>
        <w:fldChar w:fldCharType="end"/>
      </w:r>
      <w:bookmarkEnd w:id="133"/>
      <w:r>
        <w:t xml:space="preserve">: </w:t>
      </w:r>
      <w:r w:rsidRPr="002925D0">
        <w:t>Sample patient reconciliation with IHPA</w:t>
      </w:r>
    </w:p>
    <w:p w:rsidR="002C0A3C" w:rsidRDefault="0076262B" w:rsidP="00B1496C">
      <w:pPr>
        <w:pStyle w:val="PwCNormal"/>
        <w:numPr>
          <w:ilvl w:val="0"/>
          <w:numId w:val="0"/>
        </w:numPr>
      </w:pPr>
      <w:r w:rsidRPr="0076262B">
        <w:rPr>
          <w:noProof/>
          <w:lang w:eastAsia="en-AU"/>
        </w:rPr>
        <w:drawing>
          <wp:inline distT="0" distB="0" distL="0" distR="0" wp14:anchorId="19DB26D1" wp14:editId="076CE217">
            <wp:extent cx="3572539" cy="992290"/>
            <wp:effectExtent l="0" t="0" r="0" b="0"/>
            <wp:docPr id="79" name="Picture 79"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72298" cy="992223"/>
                    </a:xfrm>
                    <a:prstGeom prst="rect">
                      <a:avLst/>
                    </a:prstGeom>
                    <a:noFill/>
                    <a:ln>
                      <a:noFill/>
                    </a:ln>
                  </pic:spPr>
                </pic:pic>
              </a:graphicData>
            </a:graphic>
          </wp:inline>
        </w:drawing>
      </w:r>
    </w:p>
    <w:p w:rsidR="00B1496C" w:rsidRDefault="00B1496C" w:rsidP="00B1496C">
      <w:pPr>
        <w:pStyle w:val="PwCNormal"/>
        <w:numPr>
          <w:ilvl w:val="0"/>
          <w:numId w:val="0"/>
        </w:numPr>
      </w:pPr>
      <w:r>
        <w:br w:type="page"/>
      </w:r>
    </w:p>
    <w:p w:rsidR="002E3637" w:rsidRDefault="002E3637" w:rsidP="002E3637">
      <w:pPr>
        <w:pStyle w:val="Heading2"/>
        <w:spacing w:before="0" w:after="40"/>
      </w:pPr>
      <w:bookmarkStart w:id="134" w:name="_Ref403573167"/>
      <w:r>
        <w:lastRenderedPageBreak/>
        <w:t>Jurisdictional overview</w:t>
      </w:r>
      <w:bookmarkEnd w:id="134"/>
    </w:p>
    <w:p w:rsidR="002E3637" w:rsidRDefault="002E3637" w:rsidP="00CE5EF2">
      <w:pPr>
        <w:pStyle w:val="Heading3"/>
      </w:pPr>
      <w:bookmarkStart w:id="135" w:name="_Ref402979808"/>
      <w:r>
        <w:t>Overview of process</w:t>
      </w:r>
      <w:bookmarkEnd w:id="135"/>
    </w:p>
    <w:p w:rsidR="006167B7" w:rsidRPr="006167B7" w:rsidRDefault="002E3637" w:rsidP="006167B7">
      <w:pPr>
        <w:pStyle w:val="Default"/>
        <w:spacing w:after="240"/>
        <w:rPr>
          <w:sz w:val="20"/>
          <w:szCs w:val="20"/>
        </w:rPr>
      </w:pPr>
      <w:r>
        <w:rPr>
          <w:sz w:val="20"/>
          <w:szCs w:val="20"/>
        </w:rPr>
        <w:t xml:space="preserve">The health services within </w:t>
      </w:r>
      <w:r w:rsidR="0033116C">
        <w:rPr>
          <w:sz w:val="20"/>
          <w:szCs w:val="20"/>
        </w:rPr>
        <w:t xml:space="preserve">VIC </w:t>
      </w:r>
      <w:r>
        <w:rPr>
          <w:sz w:val="20"/>
          <w:szCs w:val="20"/>
        </w:rPr>
        <w:t xml:space="preserve">undertake the costing onsite and submit the cost data annually to the </w:t>
      </w:r>
      <w:r w:rsidR="006167B7">
        <w:rPr>
          <w:sz w:val="20"/>
          <w:szCs w:val="20"/>
        </w:rPr>
        <w:t>DH</w:t>
      </w:r>
      <w:r>
        <w:rPr>
          <w:sz w:val="20"/>
          <w:szCs w:val="20"/>
        </w:rPr>
        <w:t xml:space="preserve"> for the VCDC. </w:t>
      </w:r>
      <w:r w:rsidRPr="00A02701">
        <w:rPr>
          <w:sz w:val="20"/>
          <w:szCs w:val="20"/>
        </w:rPr>
        <w:t xml:space="preserve">All Victorian metropolitan and major rural health services are required to submit patient level cost data to </w:t>
      </w:r>
      <w:r w:rsidRPr="006167B7">
        <w:rPr>
          <w:rFonts w:cs="Arial"/>
          <w:snapToGrid w:val="0"/>
          <w:color w:val="auto"/>
          <w:sz w:val="20"/>
          <w:szCs w:val="20"/>
          <w:lang w:eastAsia="en-US"/>
        </w:rPr>
        <w:t>the VCDC.</w:t>
      </w:r>
      <w:r w:rsidR="006167B7" w:rsidRPr="006167B7">
        <w:rPr>
          <w:rFonts w:cs="Arial"/>
          <w:snapToGrid w:val="0"/>
          <w:color w:val="auto"/>
          <w:sz w:val="20"/>
          <w:szCs w:val="20"/>
          <w:lang w:eastAsia="en-US"/>
        </w:rPr>
        <w:t xml:space="preserve"> </w:t>
      </w:r>
      <w:r w:rsidRPr="006167B7">
        <w:rPr>
          <w:rFonts w:cs="Arial"/>
          <w:snapToGrid w:val="0"/>
          <w:color w:val="auto"/>
          <w:sz w:val="20"/>
          <w:szCs w:val="20"/>
          <w:lang w:eastAsia="en-US"/>
        </w:rPr>
        <w:t xml:space="preserve">Once the costed dataset is received by the </w:t>
      </w:r>
      <w:r w:rsidR="006167B7">
        <w:rPr>
          <w:rFonts w:cs="Arial"/>
          <w:snapToGrid w:val="0"/>
          <w:color w:val="auto"/>
          <w:sz w:val="20"/>
          <w:szCs w:val="20"/>
          <w:lang w:eastAsia="en-US"/>
        </w:rPr>
        <w:t>DH</w:t>
      </w:r>
      <w:r w:rsidRPr="006167B7">
        <w:rPr>
          <w:rFonts w:cs="Arial"/>
          <w:snapToGrid w:val="0"/>
          <w:color w:val="auto"/>
          <w:sz w:val="20"/>
          <w:szCs w:val="20"/>
          <w:lang w:eastAsia="en-US"/>
        </w:rPr>
        <w:t xml:space="preserve">, a number of validation checks and mapping activities are performed in </w:t>
      </w:r>
      <w:r w:rsidRPr="006167B7">
        <w:rPr>
          <w:sz w:val="20"/>
          <w:szCs w:val="20"/>
        </w:rPr>
        <w:t xml:space="preserve">accordance with the AHPCS and </w:t>
      </w:r>
      <w:r w:rsidR="00142B14" w:rsidRPr="006167B7">
        <w:rPr>
          <w:sz w:val="20"/>
          <w:szCs w:val="20"/>
        </w:rPr>
        <w:t>‘VCDC</w:t>
      </w:r>
      <w:r w:rsidRPr="006167B7">
        <w:rPr>
          <w:sz w:val="20"/>
          <w:szCs w:val="20"/>
        </w:rPr>
        <w:t xml:space="preserve"> Business Rules’ for reporting cost data. </w:t>
      </w:r>
      <w:r w:rsidR="006167B7" w:rsidRPr="006167B7">
        <w:rPr>
          <w:sz w:val="20"/>
          <w:szCs w:val="20"/>
        </w:rPr>
        <w:t>Examples of tests performed by DH include:</w:t>
      </w:r>
    </w:p>
    <w:p w:rsidR="006167B7" w:rsidRPr="006167B7" w:rsidRDefault="006167B7" w:rsidP="006167B7">
      <w:pPr>
        <w:pStyle w:val="PwCNormal"/>
        <w:numPr>
          <w:ilvl w:val="0"/>
          <w:numId w:val="84"/>
        </w:numPr>
        <w:rPr>
          <w:rFonts w:cs="Georgia"/>
          <w:snapToGrid/>
          <w:color w:val="000000"/>
          <w:lang w:eastAsia="en-AU"/>
        </w:rPr>
      </w:pPr>
      <w:r w:rsidRPr="006167B7">
        <w:rPr>
          <w:rFonts w:cs="Georgia"/>
          <w:snapToGrid/>
          <w:color w:val="000000"/>
          <w:lang w:eastAsia="en-AU"/>
        </w:rPr>
        <w:t>Initial validations on file format, data structure and value ranges. Submissions containing errors were required to be submitted.</w:t>
      </w:r>
    </w:p>
    <w:p w:rsidR="006167B7" w:rsidRPr="001C5437" w:rsidRDefault="006167B7" w:rsidP="006167B7">
      <w:pPr>
        <w:pStyle w:val="PwCNormal"/>
        <w:numPr>
          <w:ilvl w:val="0"/>
          <w:numId w:val="84"/>
        </w:numPr>
      </w:pPr>
      <w:r w:rsidRPr="001C5437">
        <w:t>Validation of imported columns and derived fields using rules. Errors are listed at the end of each processing cycle.</w:t>
      </w:r>
    </w:p>
    <w:p w:rsidR="006167B7" w:rsidRPr="001C5437" w:rsidRDefault="006167B7" w:rsidP="006167B7">
      <w:pPr>
        <w:pStyle w:val="PwCNormal"/>
        <w:numPr>
          <w:ilvl w:val="0"/>
          <w:numId w:val="84"/>
        </w:numPr>
      </w:pPr>
      <w:r w:rsidRPr="001C5437">
        <w:t>Review of high and low cost episodes.</w:t>
      </w:r>
    </w:p>
    <w:p w:rsidR="006167B7" w:rsidRPr="001C5437" w:rsidRDefault="006167B7" w:rsidP="006167B7">
      <w:pPr>
        <w:pStyle w:val="PwCNormal"/>
        <w:numPr>
          <w:ilvl w:val="0"/>
          <w:numId w:val="84"/>
        </w:numPr>
      </w:pPr>
      <w:r>
        <w:t xml:space="preserve">Review of low or </w:t>
      </w:r>
      <w:r w:rsidRPr="001C5437">
        <w:t xml:space="preserve">zero cost areas or episodes. </w:t>
      </w:r>
    </w:p>
    <w:p w:rsidR="006167B7" w:rsidRPr="001C5437" w:rsidRDefault="006167B7" w:rsidP="006167B7">
      <w:pPr>
        <w:pStyle w:val="PwCNormal"/>
        <w:numPr>
          <w:ilvl w:val="0"/>
          <w:numId w:val="84"/>
        </w:numPr>
      </w:pPr>
      <w:r w:rsidRPr="001C5437">
        <w:t>Activities linked to Episodes were required to have Episode records. All hospital episodes were to be reported to the VCDC episode types (based on the program/area of service for wh</w:t>
      </w:r>
      <w:r>
        <w:t>ich the episodes were created).</w:t>
      </w:r>
      <w:r w:rsidRPr="001C5437">
        <w:t xml:space="preserve"> For example – Program A for admitted episodes, Program E for admitted emergency episodes etc. Episodes that could not be linked to a valid VCDC program type were excluded from Round 17 NHCDC submission.</w:t>
      </w:r>
    </w:p>
    <w:p w:rsidR="002E3637" w:rsidRPr="008F035D" w:rsidRDefault="002E3637" w:rsidP="000868A0">
      <w:pPr>
        <w:pStyle w:val="PwCNormal"/>
        <w:numPr>
          <w:ilvl w:val="0"/>
          <w:numId w:val="0"/>
        </w:numPr>
      </w:pPr>
      <w:r w:rsidRPr="005547A9">
        <w:t xml:space="preserve">When critical or validation errors </w:t>
      </w:r>
      <w:r>
        <w:t>are</w:t>
      </w:r>
      <w:r w:rsidRPr="005547A9">
        <w:t xml:space="preserve"> identified on the submitted file, </w:t>
      </w:r>
      <w:r>
        <w:t>QA outputs are sent back to the Health Services</w:t>
      </w:r>
      <w:r w:rsidRPr="005547A9">
        <w:t xml:space="preserve">. Submissions containing errors </w:t>
      </w:r>
      <w:r>
        <w:t>are</w:t>
      </w:r>
      <w:r w:rsidRPr="005547A9">
        <w:t xml:space="preserve"> required to be re-submitted once the issues </w:t>
      </w:r>
      <w:r>
        <w:t xml:space="preserve">are </w:t>
      </w:r>
      <w:r w:rsidRPr="005547A9">
        <w:t>rectified and resolved. Any re-submission is required to have complete records for the financial years and goes through the complete QA process.</w:t>
      </w:r>
      <w:r>
        <w:t xml:space="preserve"> In some cases where data fails the validation tests due to poor quality or missing information, it is removed from the final submissions to IHPA.</w:t>
      </w:r>
    </w:p>
    <w:p w:rsidR="002E3637" w:rsidRDefault="002E3637" w:rsidP="00CE5EF2">
      <w:pPr>
        <w:pStyle w:val="Heading3"/>
      </w:pPr>
      <w:r>
        <w:t>Adjustments to costed dataset</w:t>
      </w:r>
    </w:p>
    <w:p w:rsidR="002E3637" w:rsidRDefault="002E3637" w:rsidP="002E3637">
      <w:pPr>
        <w:pStyle w:val="PwCNormal"/>
      </w:pPr>
      <w:r>
        <w:t>The following adjustments</w:t>
      </w:r>
      <w:r w:rsidR="000E4775">
        <w:t xml:space="preserve"> to the dataset</w:t>
      </w:r>
      <w:r>
        <w:t xml:space="preserve"> for each of the nomi</w:t>
      </w:r>
      <w:r w:rsidR="004646ED">
        <w:t>nated Health Services were made</w:t>
      </w:r>
      <w:r w:rsidR="00753068">
        <w:t xml:space="preserve"> by the jurisdiction before submission to IHPA.</w:t>
      </w:r>
    </w:p>
    <w:p w:rsidR="002E3637" w:rsidRPr="000E4775" w:rsidRDefault="002E3637" w:rsidP="000E4775">
      <w:pPr>
        <w:pStyle w:val="PwCNormal"/>
        <w:numPr>
          <w:ilvl w:val="0"/>
          <w:numId w:val="0"/>
        </w:numPr>
        <w:rPr>
          <w:i/>
          <w:color w:val="A32020" w:themeColor="text2"/>
          <w:sz w:val="24"/>
          <w:szCs w:val="24"/>
        </w:rPr>
      </w:pPr>
      <w:r w:rsidRPr="000E4775">
        <w:rPr>
          <w:i/>
          <w:color w:val="A32020" w:themeColor="text2"/>
          <w:sz w:val="24"/>
          <w:szCs w:val="24"/>
        </w:rPr>
        <w:t>Barwon Health</w:t>
      </w:r>
    </w:p>
    <w:p w:rsidR="002E3637" w:rsidRPr="000C6DDB" w:rsidRDefault="007D0F17" w:rsidP="009C4A5D">
      <w:pPr>
        <w:pStyle w:val="PwCNormal"/>
        <w:numPr>
          <w:ilvl w:val="0"/>
          <w:numId w:val="52"/>
        </w:numPr>
      </w:pPr>
      <w:r w:rsidRPr="00F20521">
        <w:t>WIP</w:t>
      </w:r>
      <w:r w:rsidR="002E3637" w:rsidRPr="00F20521">
        <w:t xml:space="preserve"> patients</w:t>
      </w:r>
      <w:r w:rsidR="002E3637" w:rsidRPr="000C6DDB">
        <w:t xml:space="preserve"> – $91.9</w:t>
      </w:r>
      <w:r w:rsidRPr="000C6DDB">
        <w:t xml:space="preserve"> </w:t>
      </w:r>
      <w:r w:rsidR="002E3637" w:rsidRPr="000C6DDB">
        <w:t>m</w:t>
      </w:r>
      <w:r w:rsidRPr="000C6DDB">
        <w:t>illion</w:t>
      </w:r>
      <w:r w:rsidR="002E3637" w:rsidRPr="000C6DDB">
        <w:t xml:space="preserve"> was allocated to patients that were not discharged by the end of the financial year. These patients and their attributed costs will be submitted in future rounds</w:t>
      </w:r>
      <w:r w:rsidR="00BF1400" w:rsidRPr="000C6DDB">
        <w:t>.</w:t>
      </w:r>
    </w:p>
    <w:p w:rsidR="002E3637" w:rsidRPr="000C6DDB" w:rsidRDefault="002E3637" w:rsidP="009C4A5D">
      <w:pPr>
        <w:pStyle w:val="PwCNormal"/>
        <w:numPr>
          <w:ilvl w:val="0"/>
          <w:numId w:val="52"/>
        </w:numPr>
      </w:pPr>
      <w:r w:rsidRPr="00F20521">
        <w:t xml:space="preserve">Out of scope costs </w:t>
      </w:r>
      <w:r w:rsidR="007D0F17" w:rsidRPr="000C6DDB">
        <w:t>–</w:t>
      </w:r>
      <w:r w:rsidR="004646ED" w:rsidRPr="000C6DDB">
        <w:t xml:space="preserve"> $71.8</w:t>
      </w:r>
      <w:r w:rsidR="007D0F17" w:rsidRPr="000C6DDB">
        <w:t xml:space="preserve"> </w:t>
      </w:r>
      <w:r w:rsidR="004646ED" w:rsidRPr="000C6DDB">
        <w:t>m</w:t>
      </w:r>
      <w:r w:rsidR="007D0F17" w:rsidRPr="000C6DDB">
        <w:t>illion</w:t>
      </w:r>
      <w:r w:rsidR="004646ED" w:rsidRPr="000C6DDB">
        <w:t xml:space="preserve"> was</w:t>
      </w:r>
      <w:r w:rsidRPr="000C6DDB">
        <w:t xml:space="preserve"> removed</w:t>
      </w:r>
      <w:r w:rsidR="004646ED" w:rsidRPr="000C6DDB">
        <w:t xml:space="preserve"> which</w:t>
      </w:r>
      <w:r w:rsidRPr="000C6DDB">
        <w:t xml:space="preserve"> related to out of scope costs</w:t>
      </w:r>
      <w:r w:rsidR="00BF1400" w:rsidRPr="000C6DDB">
        <w:t>.</w:t>
      </w:r>
    </w:p>
    <w:p w:rsidR="002E3637" w:rsidRPr="000C6DDB" w:rsidRDefault="002E3637" w:rsidP="009C4A5D">
      <w:pPr>
        <w:pStyle w:val="PwCNormal"/>
        <w:numPr>
          <w:ilvl w:val="0"/>
          <w:numId w:val="52"/>
        </w:numPr>
      </w:pPr>
      <w:r w:rsidRPr="00F20521">
        <w:t>Out of scope patients</w:t>
      </w:r>
      <w:r w:rsidRPr="000C6DDB">
        <w:t xml:space="preserve"> –</w:t>
      </w:r>
      <w:r w:rsidR="007D0F17" w:rsidRPr="000C6DDB">
        <w:t>P</w:t>
      </w:r>
      <w:r w:rsidRPr="000C6DDB">
        <w:t>atient activity that was out of scope of ABF was not submitted to IHPA. This included:</w:t>
      </w:r>
    </w:p>
    <w:p w:rsidR="002E3637" w:rsidRDefault="002E3637" w:rsidP="009C4A5D">
      <w:pPr>
        <w:pStyle w:val="PwCNormal"/>
        <w:numPr>
          <w:ilvl w:val="1"/>
          <w:numId w:val="52"/>
        </w:numPr>
      </w:pPr>
      <w:r>
        <w:t>$63.0</w:t>
      </w:r>
      <w:r w:rsidR="007D0F17">
        <w:t xml:space="preserve"> </w:t>
      </w:r>
      <w:r>
        <w:t>m</w:t>
      </w:r>
      <w:r w:rsidR="007D0F17">
        <w:t>illion</w:t>
      </w:r>
      <w:r>
        <w:t xml:space="preserve"> for non-admitted activity, which includes unlinked encounters and un-registered </w:t>
      </w:r>
      <w:r w:rsidR="00077E50">
        <w:t>T</w:t>
      </w:r>
      <w:r>
        <w:t>ier 2 or un-funded clinics. Also includes encounters without valid program type.</w:t>
      </w:r>
    </w:p>
    <w:p w:rsidR="002E3637" w:rsidRDefault="002E3637" w:rsidP="009C4A5D">
      <w:pPr>
        <w:pStyle w:val="PwCNormal"/>
        <w:numPr>
          <w:ilvl w:val="1"/>
          <w:numId w:val="52"/>
        </w:numPr>
      </w:pPr>
      <w:r>
        <w:t>$46.5</w:t>
      </w:r>
      <w:r w:rsidR="007D0F17">
        <w:t xml:space="preserve"> </w:t>
      </w:r>
      <w:r>
        <w:t>m</w:t>
      </w:r>
      <w:r w:rsidR="007D0F17">
        <w:t>illion</w:t>
      </w:r>
      <w:r>
        <w:t xml:space="preserve"> for admitted activity (such as Transition Care Residential patients)</w:t>
      </w:r>
      <w:r w:rsidR="00BF1400">
        <w:t>.</w:t>
      </w:r>
    </w:p>
    <w:p w:rsidR="002E3637" w:rsidRDefault="002E3637" w:rsidP="009C4A5D">
      <w:pPr>
        <w:pStyle w:val="PwCNormal"/>
        <w:numPr>
          <w:ilvl w:val="1"/>
          <w:numId w:val="52"/>
        </w:numPr>
      </w:pPr>
      <w:r>
        <w:t>$20.1</w:t>
      </w:r>
      <w:r w:rsidR="007D0F17">
        <w:t xml:space="preserve"> </w:t>
      </w:r>
      <w:r>
        <w:t>m</w:t>
      </w:r>
      <w:r w:rsidR="007D0F17">
        <w:t>illion</w:t>
      </w:r>
      <w:r>
        <w:t xml:space="preserve"> for non-admitted mental health activity</w:t>
      </w:r>
      <w:r w:rsidR="00BF1400">
        <w:t>.</w:t>
      </w:r>
    </w:p>
    <w:p w:rsidR="002E3637" w:rsidRDefault="002E3637" w:rsidP="009C4A5D">
      <w:pPr>
        <w:pStyle w:val="PwCNormal"/>
        <w:numPr>
          <w:ilvl w:val="1"/>
          <w:numId w:val="52"/>
        </w:numPr>
      </w:pPr>
      <w:r>
        <w:t>$6.2</w:t>
      </w:r>
      <w:r w:rsidR="007D0F17">
        <w:t xml:space="preserve"> </w:t>
      </w:r>
      <w:r>
        <w:t>m</w:t>
      </w:r>
      <w:r w:rsidR="007D0F17">
        <w:t>illion</w:t>
      </w:r>
      <w:r>
        <w:t xml:space="preserve"> for radiotherapy</w:t>
      </w:r>
      <w:r w:rsidR="00BF1400">
        <w:t>.</w:t>
      </w:r>
    </w:p>
    <w:p w:rsidR="002E3637" w:rsidRDefault="002E3637" w:rsidP="009C4A5D">
      <w:pPr>
        <w:pStyle w:val="PwCNormal"/>
        <w:numPr>
          <w:ilvl w:val="1"/>
          <w:numId w:val="52"/>
        </w:numPr>
      </w:pPr>
      <w:r>
        <w:t>$7.1</w:t>
      </w:r>
      <w:r w:rsidR="007D0F17">
        <w:t xml:space="preserve"> </w:t>
      </w:r>
      <w:r>
        <w:t>m</w:t>
      </w:r>
      <w:r w:rsidR="007D0F17">
        <w:t>illion</w:t>
      </w:r>
      <w:r>
        <w:t xml:space="preserve"> for community health activity</w:t>
      </w:r>
      <w:r w:rsidR="00BF1400">
        <w:t>.</w:t>
      </w:r>
    </w:p>
    <w:p w:rsidR="002E3637" w:rsidRPr="000C6DDB" w:rsidRDefault="002E3637" w:rsidP="009C4A5D">
      <w:pPr>
        <w:pStyle w:val="PwCNormal"/>
        <w:numPr>
          <w:ilvl w:val="0"/>
          <w:numId w:val="52"/>
        </w:numPr>
      </w:pPr>
      <w:r w:rsidRPr="00F20521">
        <w:lastRenderedPageBreak/>
        <w:t>Admitted patients</w:t>
      </w:r>
      <w:r w:rsidRPr="000C6DDB">
        <w:t xml:space="preserve"> – $0.68</w:t>
      </w:r>
      <w:r w:rsidR="007D0F17" w:rsidRPr="000C6DDB">
        <w:t xml:space="preserve"> </w:t>
      </w:r>
      <w:r w:rsidRPr="000C6DDB">
        <w:t>m</w:t>
      </w:r>
      <w:r w:rsidR="007D0F17" w:rsidRPr="000C6DDB">
        <w:t>illion</w:t>
      </w:r>
      <w:r w:rsidRPr="000C6DDB">
        <w:t xml:space="preserve"> excluded as these records failed VCDC validation checks (due to data quality or invalid program type) and activity data could not be linked to valid admitted episodes.</w:t>
      </w:r>
    </w:p>
    <w:p w:rsidR="002E3637" w:rsidRPr="000C6DDB" w:rsidRDefault="007D0F17" w:rsidP="009C4A5D">
      <w:pPr>
        <w:pStyle w:val="PwCNormal"/>
        <w:numPr>
          <w:ilvl w:val="0"/>
          <w:numId w:val="52"/>
        </w:numPr>
      </w:pPr>
      <w:r w:rsidRPr="00F20521">
        <w:t>ED</w:t>
      </w:r>
      <w:r w:rsidR="002E3637" w:rsidRPr="00F20521">
        <w:t xml:space="preserve"> patients</w:t>
      </w:r>
      <w:r w:rsidR="002E3637" w:rsidRPr="000C6DDB">
        <w:t xml:space="preserve"> </w:t>
      </w:r>
      <w:r w:rsidRPr="000C6DDB">
        <w:t>–</w:t>
      </w:r>
      <w:r w:rsidR="002E3637" w:rsidRPr="000C6DDB">
        <w:t xml:space="preserve"> $1,693 excluded as these records failed VCDC validation checks</w:t>
      </w:r>
      <w:r w:rsidR="00BF1400" w:rsidRPr="000C6DDB">
        <w:t>.</w:t>
      </w:r>
    </w:p>
    <w:p w:rsidR="002E3637" w:rsidRPr="000C6DDB" w:rsidRDefault="002E3637" w:rsidP="002E3637">
      <w:pPr>
        <w:pStyle w:val="PwCNormal"/>
        <w:numPr>
          <w:ilvl w:val="0"/>
          <w:numId w:val="0"/>
        </w:numPr>
        <w:ind w:left="405"/>
      </w:pPr>
      <w:r w:rsidRPr="000C6DDB">
        <w:t>The impact of these adjustments on activity submitted across the hospital products is listed below.</w:t>
      </w:r>
    </w:p>
    <w:p w:rsidR="002E3637" w:rsidRPr="000C6DDB" w:rsidRDefault="002E3637" w:rsidP="009C4A5D">
      <w:pPr>
        <w:pStyle w:val="PwCNormal"/>
        <w:numPr>
          <w:ilvl w:val="0"/>
          <w:numId w:val="52"/>
        </w:numPr>
      </w:pPr>
      <w:r w:rsidRPr="00F20521">
        <w:t>Admitted program</w:t>
      </w:r>
      <w:r w:rsidRPr="000C6DDB">
        <w:t xml:space="preserve"> – </w:t>
      </w:r>
      <w:r w:rsidR="007D0F17" w:rsidRPr="000C6DDB">
        <w:t xml:space="preserve">Excluded </w:t>
      </w:r>
      <w:r w:rsidRPr="000C6DDB">
        <w:t>26 admitted encounters.</w:t>
      </w:r>
    </w:p>
    <w:p w:rsidR="002E3637" w:rsidRPr="000C6DDB" w:rsidRDefault="007D0F17" w:rsidP="009C4A5D">
      <w:pPr>
        <w:pStyle w:val="PwCNormal"/>
        <w:numPr>
          <w:ilvl w:val="0"/>
          <w:numId w:val="52"/>
        </w:numPr>
      </w:pPr>
      <w:r w:rsidRPr="00F20521">
        <w:t>ED</w:t>
      </w:r>
      <w:r w:rsidR="002E3637" w:rsidRPr="00F20521">
        <w:t xml:space="preserve"> program</w:t>
      </w:r>
      <w:r w:rsidR="002E3637" w:rsidRPr="000C6DDB">
        <w:t xml:space="preserve"> – </w:t>
      </w:r>
      <w:r w:rsidRPr="000C6DDB">
        <w:t xml:space="preserve">Excluded </w:t>
      </w:r>
      <w:r w:rsidR="002E3637" w:rsidRPr="000C6DDB">
        <w:t>259 ED episodes.</w:t>
      </w:r>
    </w:p>
    <w:p w:rsidR="002E3637" w:rsidRPr="000C6DDB" w:rsidRDefault="002E3637" w:rsidP="009C4A5D">
      <w:pPr>
        <w:pStyle w:val="PwCNormal"/>
        <w:numPr>
          <w:ilvl w:val="0"/>
          <w:numId w:val="52"/>
        </w:numPr>
      </w:pPr>
      <w:r w:rsidRPr="00F20521">
        <w:t>Out of scope patients (other admitted)</w:t>
      </w:r>
      <w:r w:rsidRPr="000C6DDB">
        <w:t xml:space="preserve"> – </w:t>
      </w:r>
      <w:r w:rsidR="007D0F17" w:rsidRPr="000C6DDB">
        <w:t xml:space="preserve">Excluded </w:t>
      </w:r>
      <w:r w:rsidRPr="000C6DDB">
        <w:t>2,319 admitted episodes.</w:t>
      </w:r>
    </w:p>
    <w:p w:rsidR="002E3637" w:rsidRPr="000C6DDB" w:rsidRDefault="002E3637" w:rsidP="009C4A5D">
      <w:pPr>
        <w:pStyle w:val="PwCNormal"/>
        <w:numPr>
          <w:ilvl w:val="0"/>
          <w:numId w:val="52"/>
        </w:numPr>
      </w:pPr>
      <w:r w:rsidRPr="00F20521">
        <w:t>Non-admitted patients</w:t>
      </w:r>
      <w:r w:rsidRPr="000C6DDB">
        <w:t xml:space="preserve"> (Non-admitted and other non-admitted) – 168,828 non-admitted encounters were excluded from final submission. </w:t>
      </w:r>
    </w:p>
    <w:p w:rsidR="002E3637" w:rsidRPr="000C6DDB" w:rsidRDefault="002E3637" w:rsidP="009C4A5D">
      <w:pPr>
        <w:pStyle w:val="PwCNormal"/>
        <w:numPr>
          <w:ilvl w:val="0"/>
          <w:numId w:val="52"/>
        </w:numPr>
      </w:pPr>
      <w:r w:rsidRPr="00F20521">
        <w:t xml:space="preserve">Non-admitted mental health episodes </w:t>
      </w:r>
      <w:r w:rsidRPr="000C6DDB">
        <w:t>– 102,298 non-admitted mental health episodes were excluded.</w:t>
      </w:r>
    </w:p>
    <w:p w:rsidR="002E3637" w:rsidRPr="000C6DDB" w:rsidRDefault="002E3637" w:rsidP="009C4A5D">
      <w:pPr>
        <w:pStyle w:val="PwCNormal"/>
        <w:numPr>
          <w:ilvl w:val="0"/>
          <w:numId w:val="52"/>
        </w:numPr>
      </w:pPr>
      <w:r w:rsidRPr="00F20521">
        <w:t xml:space="preserve">Non-admitted radiotherapy patients </w:t>
      </w:r>
      <w:r w:rsidRPr="000C6DDB">
        <w:t>– 29,011 non-admitted encounters under radiotherapy program were excluded.</w:t>
      </w:r>
    </w:p>
    <w:p w:rsidR="002E3637" w:rsidRPr="000C6DDB" w:rsidRDefault="002E3637" w:rsidP="009C4A5D">
      <w:pPr>
        <w:pStyle w:val="PwCNormal"/>
        <w:numPr>
          <w:ilvl w:val="0"/>
          <w:numId w:val="52"/>
        </w:numPr>
      </w:pPr>
      <w:r w:rsidRPr="00F20521">
        <w:t xml:space="preserve"> Out of scope patients (Community Health) –</w:t>
      </w:r>
      <w:r w:rsidRPr="000C6DDB">
        <w:t xml:space="preserve"> 36,426 community health patient episodes were excluded.</w:t>
      </w:r>
    </w:p>
    <w:p w:rsidR="002E3637" w:rsidRPr="00753068" w:rsidRDefault="002E3637" w:rsidP="00753068">
      <w:pPr>
        <w:pStyle w:val="PwCNormal"/>
        <w:numPr>
          <w:ilvl w:val="0"/>
          <w:numId w:val="0"/>
        </w:numPr>
        <w:rPr>
          <w:i/>
          <w:color w:val="A32020" w:themeColor="text2"/>
          <w:sz w:val="24"/>
          <w:szCs w:val="24"/>
        </w:rPr>
      </w:pPr>
      <w:r w:rsidRPr="00753068">
        <w:rPr>
          <w:i/>
          <w:color w:val="A32020" w:themeColor="text2"/>
          <w:sz w:val="24"/>
          <w:szCs w:val="24"/>
        </w:rPr>
        <w:t>Western Health</w:t>
      </w:r>
    </w:p>
    <w:p w:rsidR="002E3637" w:rsidRPr="000C6DDB" w:rsidRDefault="007D0F17" w:rsidP="009C4A5D">
      <w:pPr>
        <w:pStyle w:val="PwCNormal"/>
        <w:numPr>
          <w:ilvl w:val="0"/>
          <w:numId w:val="52"/>
        </w:numPr>
      </w:pPr>
      <w:r w:rsidRPr="00F20521">
        <w:t xml:space="preserve">WIP </w:t>
      </w:r>
      <w:r w:rsidR="002E3637" w:rsidRPr="00F20521">
        <w:t>patients</w:t>
      </w:r>
      <w:r w:rsidR="002E3637" w:rsidRPr="000C6DDB">
        <w:t xml:space="preserve"> – $12.1</w:t>
      </w:r>
      <w:r w:rsidRPr="000C6DDB">
        <w:t xml:space="preserve"> </w:t>
      </w:r>
      <w:r w:rsidR="002E3637" w:rsidRPr="000C6DDB">
        <w:t>m</w:t>
      </w:r>
      <w:r w:rsidRPr="000C6DDB">
        <w:t>illion</w:t>
      </w:r>
      <w:r w:rsidR="002E3637" w:rsidRPr="000C6DDB">
        <w:t xml:space="preserve"> was allocated to patients that were not discharged by the end of the financial year. These patients and their attributed costs will be submitted in future rounds</w:t>
      </w:r>
      <w:r w:rsidR="00BF1400" w:rsidRPr="000C6DDB">
        <w:t>.</w:t>
      </w:r>
    </w:p>
    <w:p w:rsidR="002E3637" w:rsidRPr="000C6DDB" w:rsidRDefault="002E3637" w:rsidP="009C4A5D">
      <w:pPr>
        <w:pStyle w:val="PwCNormal"/>
        <w:numPr>
          <w:ilvl w:val="0"/>
          <w:numId w:val="52"/>
        </w:numPr>
      </w:pPr>
      <w:r w:rsidRPr="00F20521">
        <w:t xml:space="preserve">Excluded activity </w:t>
      </w:r>
      <w:r w:rsidR="007D0F17" w:rsidRPr="000C6DDB">
        <w:t>–</w:t>
      </w:r>
      <w:r w:rsidRPr="000C6DDB">
        <w:t xml:space="preserve"> $12.4</w:t>
      </w:r>
      <w:r w:rsidR="007D0F17" w:rsidRPr="000C6DDB">
        <w:t xml:space="preserve"> </w:t>
      </w:r>
      <w:r w:rsidRPr="000C6DDB">
        <w:t>m</w:t>
      </w:r>
      <w:r w:rsidR="007D0F17" w:rsidRPr="000C6DDB">
        <w:t>illion</w:t>
      </w:r>
      <w:r w:rsidRPr="000C6DDB">
        <w:t xml:space="preserve"> was removed relating to activity that did not have a valid program and/or campus code</w:t>
      </w:r>
      <w:r w:rsidR="00BF1400" w:rsidRPr="000C6DDB">
        <w:t>.</w:t>
      </w:r>
    </w:p>
    <w:p w:rsidR="002E3637" w:rsidRPr="000C6DDB" w:rsidRDefault="002E3637" w:rsidP="009C4A5D">
      <w:pPr>
        <w:pStyle w:val="PwCNormal"/>
        <w:numPr>
          <w:ilvl w:val="0"/>
          <w:numId w:val="52"/>
        </w:numPr>
      </w:pPr>
      <w:r w:rsidRPr="00F20521">
        <w:t>Out of scope patients</w:t>
      </w:r>
      <w:r w:rsidRPr="000C6DDB">
        <w:t xml:space="preserve"> –</w:t>
      </w:r>
      <w:r w:rsidR="007D0F17" w:rsidRPr="000C6DDB">
        <w:t xml:space="preserve"> Patient </w:t>
      </w:r>
      <w:r w:rsidRPr="000C6DDB">
        <w:t>activity that was out of scope of ABF was not submitted to IHPA. This included:</w:t>
      </w:r>
    </w:p>
    <w:p w:rsidR="002E3637" w:rsidRPr="000C6DDB" w:rsidRDefault="002E3637" w:rsidP="009C4A5D">
      <w:pPr>
        <w:pStyle w:val="PwCNormal"/>
        <w:numPr>
          <w:ilvl w:val="1"/>
          <w:numId w:val="52"/>
        </w:numPr>
      </w:pPr>
      <w:r w:rsidRPr="000C6DDB">
        <w:t>$63.0</w:t>
      </w:r>
      <w:r w:rsidR="007D0F17" w:rsidRPr="000C6DDB">
        <w:t xml:space="preserve"> </w:t>
      </w:r>
      <w:r w:rsidRPr="000C6DDB">
        <w:t>m</w:t>
      </w:r>
      <w:r w:rsidR="007D0F17" w:rsidRPr="000C6DDB">
        <w:t>illion</w:t>
      </w:r>
      <w:r w:rsidRPr="000C6DDB">
        <w:t xml:space="preserve"> for non-admitted activity, which includes unlinked encounters and un-registered </w:t>
      </w:r>
      <w:r w:rsidR="007D0F17" w:rsidRPr="000C6DDB">
        <w:t xml:space="preserve">Tier </w:t>
      </w:r>
      <w:r w:rsidR="00BF1400" w:rsidRPr="000C6DDB">
        <w:t>2 or un-funded clinics.</w:t>
      </w:r>
    </w:p>
    <w:p w:rsidR="002E3637" w:rsidRPr="000C6DDB" w:rsidRDefault="002E3637" w:rsidP="009C4A5D">
      <w:pPr>
        <w:pStyle w:val="PwCNormal"/>
        <w:numPr>
          <w:ilvl w:val="1"/>
          <w:numId w:val="52"/>
        </w:numPr>
      </w:pPr>
      <w:r w:rsidRPr="000C6DDB">
        <w:t>$7.2</w:t>
      </w:r>
      <w:r w:rsidR="007D0F17" w:rsidRPr="000C6DDB">
        <w:t xml:space="preserve"> </w:t>
      </w:r>
      <w:r w:rsidRPr="000C6DDB">
        <w:t>m</w:t>
      </w:r>
      <w:r w:rsidR="007D0F17" w:rsidRPr="000C6DDB">
        <w:t>illion</w:t>
      </w:r>
      <w:r w:rsidRPr="000C6DDB">
        <w:t xml:space="preserve"> excluded for other admitted patients (not part of Western Health, 4 wards operated by Melbourne Health)</w:t>
      </w:r>
      <w:r w:rsidR="00BF1400" w:rsidRPr="000C6DDB">
        <w:t>.</w:t>
      </w:r>
    </w:p>
    <w:p w:rsidR="002E3637" w:rsidRPr="000C6DDB" w:rsidRDefault="002E3637" w:rsidP="009C4A5D">
      <w:pPr>
        <w:pStyle w:val="PwCNormal"/>
        <w:numPr>
          <w:ilvl w:val="0"/>
          <w:numId w:val="52"/>
        </w:numPr>
      </w:pPr>
      <w:r w:rsidRPr="00F20521">
        <w:t>Admitted patients</w:t>
      </w:r>
      <w:r w:rsidRPr="000C6DDB">
        <w:t xml:space="preserve"> – $3.6</w:t>
      </w:r>
      <w:r w:rsidR="007D0F17" w:rsidRPr="000C6DDB">
        <w:t xml:space="preserve"> </w:t>
      </w:r>
      <w:r w:rsidRPr="000C6DDB">
        <w:t>m</w:t>
      </w:r>
      <w:r w:rsidR="007D0F17" w:rsidRPr="000C6DDB">
        <w:t>illion</w:t>
      </w:r>
      <w:r w:rsidRPr="000C6DDB">
        <w:t xml:space="preserve"> excluded as these records failed VCDC validation checks (due to data quality or invalid program type) and activity data could not be linked to valid admitted episodes.</w:t>
      </w:r>
    </w:p>
    <w:p w:rsidR="002E3637" w:rsidRPr="000C6DDB" w:rsidRDefault="007D0F17" w:rsidP="009C4A5D">
      <w:pPr>
        <w:pStyle w:val="PwCNormal"/>
        <w:numPr>
          <w:ilvl w:val="0"/>
          <w:numId w:val="52"/>
        </w:numPr>
      </w:pPr>
      <w:r w:rsidRPr="00F20521">
        <w:t>ED</w:t>
      </w:r>
      <w:r w:rsidR="002E3637" w:rsidRPr="00F20521">
        <w:t xml:space="preserve"> patients</w:t>
      </w:r>
      <w:r w:rsidR="002E3637" w:rsidRPr="000C6DDB">
        <w:t xml:space="preserve"> </w:t>
      </w:r>
      <w:r w:rsidRPr="000C6DDB">
        <w:t>–</w:t>
      </w:r>
      <w:r w:rsidR="002E3637" w:rsidRPr="000C6DDB">
        <w:t xml:space="preserve"> $4,824 excluded as these records failed VCDC validation checks or could not be linked to activity data.</w:t>
      </w:r>
    </w:p>
    <w:p w:rsidR="002E3637" w:rsidRPr="000C6DDB" w:rsidRDefault="002E3637" w:rsidP="002E3637">
      <w:pPr>
        <w:pStyle w:val="PwCNormal"/>
        <w:numPr>
          <w:ilvl w:val="0"/>
          <w:numId w:val="0"/>
        </w:numPr>
        <w:ind w:left="405"/>
      </w:pPr>
      <w:r w:rsidRPr="000C6DDB">
        <w:t>The impact of these adjustments on activity submitted across the hospital products is listed below.</w:t>
      </w:r>
    </w:p>
    <w:p w:rsidR="002E3637" w:rsidRPr="000C6DDB" w:rsidRDefault="002E3637" w:rsidP="009C4A5D">
      <w:pPr>
        <w:pStyle w:val="PwCNormal"/>
        <w:numPr>
          <w:ilvl w:val="0"/>
          <w:numId w:val="52"/>
        </w:numPr>
      </w:pPr>
      <w:r w:rsidRPr="00F20521">
        <w:t>Admitted program</w:t>
      </w:r>
      <w:r w:rsidRPr="000C6DDB">
        <w:t xml:space="preserve"> – </w:t>
      </w:r>
      <w:r w:rsidR="007D0F17" w:rsidRPr="000C6DDB">
        <w:t xml:space="preserve">Excluded </w:t>
      </w:r>
      <w:r w:rsidRPr="000C6DDB">
        <w:t>687 admitted encounters.</w:t>
      </w:r>
    </w:p>
    <w:p w:rsidR="002E3637" w:rsidRPr="000C6DDB" w:rsidRDefault="007D0F17" w:rsidP="009C4A5D">
      <w:pPr>
        <w:pStyle w:val="PwCNormal"/>
        <w:numPr>
          <w:ilvl w:val="0"/>
          <w:numId w:val="52"/>
        </w:numPr>
      </w:pPr>
      <w:r w:rsidRPr="00F20521">
        <w:t>ED</w:t>
      </w:r>
      <w:r w:rsidR="002E3637" w:rsidRPr="00F20521">
        <w:t xml:space="preserve"> program</w:t>
      </w:r>
      <w:r w:rsidR="002E3637" w:rsidRPr="000C6DDB">
        <w:t xml:space="preserve"> – </w:t>
      </w:r>
      <w:r w:rsidRPr="000C6DDB">
        <w:t xml:space="preserve">Excluded eight </w:t>
      </w:r>
      <w:r w:rsidR="002E3637" w:rsidRPr="000C6DDB">
        <w:t>ED encounters.</w:t>
      </w:r>
    </w:p>
    <w:p w:rsidR="002E3637" w:rsidRPr="000C6DDB" w:rsidRDefault="002E3637" w:rsidP="009C4A5D">
      <w:pPr>
        <w:pStyle w:val="PwCNormal"/>
        <w:numPr>
          <w:ilvl w:val="0"/>
          <w:numId w:val="52"/>
        </w:numPr>
      </w:pPr>
      <w:r w:rsidRPr="00F20521">
        <w:t>Out of scope patients (other admitted)</w:t>
      </w:r>
      <w:r w:rsidRPr="000C6DDB">
        <w:t xml:space="preserve"> – </w:t>
      </w:r>
      <w:r w:rsidR="007D0F17" w:rsidRPr="000C6DDB">
        <w:t xml:space="preserve">Excluded </w:t>
      </w:r>
      <w:r w:rsidRPr="000C6DDB">
        <w:t>424 admitted episodes.</w:t>
      </w:r>
    </w:p>
    <w:p w:rsidR="002E3637" w:rsidRPr="000C6DDB" w:rsidRDefault="002E3637" w:rsidP="009C4A5D">
      <w:pPr>
        <w:pStyle w:val="PwCNormal"/>
        <w:numPr>
          <w:ilvl w:val="0"/>
          <w:numId w:val="52"/>
        </w:numPr>
      </w:pPr>
      <w:r w:rsidRPr="00F20521">
        <w:lastRenderedPageBreak/>
        <w:t>Non-admitted patients</w:t>
      </w:r>
      <w:r w:rsidRPr="000C6DDB">
        <w:t xml:space="preserve"> (Non-admitted and other non-admitted) – 196,441 non-admitted encounters were excluded from final submission. </w:t>
      </w:r>
    </w:p>
    <w:p w:rsidR="002E3637" w:rsidRDefault="002E3637" w:rsidP="00CE5EF2">
      <w:pPr>
        <w:pStyle w:val="Heading3"/>
      </w:pPr>
      <w:r>
        <w:t>Reconciliation with IHPA</w:t>
      </w:r>
    </w:p>
    <w:p w:rsidR="002E3637" w:rsidRPr="00A04D83" w:rsidRDefault="0008008B" w:rsidP="002E3637">
      <w:pPr>
        <w:pStyle w:val="PwCNormal"/>
        <w:numPr>
          <w:ilvl w:val="0"/>
          <w:numId w:val="0"/>
        </w:numPr>
      </w:pPr>
      <w:r>
        <w:fldChar w:fldCharType="begin"/>
      </w:r>
      <w:r>
        <w:instrText xml:space="preserve"> REF _Ref402980346 \h </w:instrText>
      </w:r>
      <w:r>
        <w:fldChar w:fldCharType="separate"/>
      </w:r>
      <w:r w:rsidR="00575DFC">
        <w:t xml:space="preserve">Table </w:t>
      </w:r>
      <w:r w:rsidR="00575DFC">
        <w:rPr>
          <w:noProof/>
        </w:rPr>
        <w:t>92</w:t>
      </w:r>
      <w:r>
        <w:fldChar w:fldCharType="end"/>
      </w:r>
      <w:r w:rsidR="00CB38E7">
        <w:t xml:space="preserve"> </w:t>
      </w:r>
      <w:r w:rsidRPr="005B6050">
        <w:t>below compares the total costs and activity</w:t>
      </w:r>
      <w:r>
        <w:t xml:space="preserve"> records</w:t>
      </w:r>
      <w:r w:rsidRPr="005B6050">
        <w:t xml:space="preserve"> subm</w:t>
      </w:r>
      <w:r>
        <w:t>itted by the jurisdiction with</w:t>
      </w:r>
      <w:r w:rsidRPr="005B6050">
        <w:t xml:space="preserve"> the total costs and activity </w:t>
      </w:r>
      <w:r>
        <w:t>records that were received by IHPA. The reconciliation identified no variances.</w:t>
      </w:r>
    </w:p>
    <w:p w:rsidR="000868A0" w:rsidRDefault="000868A0" w:rsidP="00753068">
      <w:pPr>
        <w:pStyle w:val="Caption"/>
        <w:ind w:left="0" w:firstLine="0"/>
      </w:pPr>
      <w:bookmarkStart w:id="136" w:name="_Ref402980346"/>
      <w:r>
        <w:t xml:space="preserve">Table </w:t>
      </w:r>
      <w:r w:rsidR="008379DC">
        <w:fldChar w:fldCharType="begin"/>
      </w:r>
      <w:r w:rsidR="009E64DF">
        <w:instrText xml:space="preserve"> SEQ Table \* ARABIC </w:instrText>
      </w:r>
      <w:r w:rsidR="008379DC">
        <w:fldChar w:fldCharType="separate"/>
      </w:r>
      <w:r w:rsidR="00575DFC">
        <w:rPr>
          <w:noProof/>
        </w:rPr>
        <w:t>92</w:t>
      </w:r>
      <w:r w:rsidR="008379DC">
        <w:rPr>
          <w:noProof/>
        </w:rPr>
        <w:fldChar w:fldCharType="end"/>
      </w:r>
      <w:bookmarkEnd w:id="136"/>
      <w:r>
        <w:t xml:space="preserve">: </w:t>
      </w:r>
      <w:r w:rsidRPr="001C416D">
        <w:t>Reconciliation of total costs and activity submitted</w:t>
      </w:r>
    </w:p>
    <w:p w:rsidR="002E3637" w:rsidRDefault="00753068" w:rsidP="00753068">
      <w:pPr>
        <w:pStyle w:val="PwCNormal"/>
        <w:numPr>
          <w:ilvl w:val="0"/>
          <w:numId w:val="0"/>
        </w:numPr>
      </w:pPr>
      <w:r w:rsidRPr="00753068">
        <w:rPr>
          <w:noProof/>
          <w:lang w:eastAsia="en-AU"/>
        </w:rPr>
        <w:drawing>
          <wp:inline distT="0" distB="0" distL="0" distR="0" wp14:anchorId="772A4EBD" wp14:editId="2D1BA651">
            <wp:extent cx="3754800" cy="1785600"/>
            <wp:effectExtent l="0" t="0" r="0" b="0"/>
            <wp:docPr id="25" name="Picture 25" descr="This table details the costs and activity submitted by the jurisdiction and what was received by IHPA." title="Reconciliation of total costs and activity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754800" cy="1785600"/>
                    </a:xfrm>
                    <a:prstGeom prst="rect">
                      <a:avLst/>
                    </a:prstGeom>
                    <a:noFill/>
                    <a:ln>
                      <a:noFill/>
                    </a:ln>
                  </pic:spPr>
                </pic:pic>
              </a:graphicData>
            </a:graphic>
          </wp:inline>
        </w:drawing>
      </w:r>
      <w:r w:rsidR="002E3637">
        <w:br w:type="page"/>
      </w:r>
    </w:p>
    <w:p w:rsidR="00F14328" w:rsidRDefault="00F14328" w:rsidP="00F14328">
      <w:pPr>
        <w:pStyle w:val="Heading1"/>
      </w:pPr>
      <w:bookmarkStart w:id="137" w:name="_Toc402895110"/>
      <w:bookmarkStart w:id="138" w:name="_Toc404355510"/>
      <w:r>
        <w:lastRenderedPageBreak/>
        <w:t>Western Australia</w:t>
      </w:r>
      <w:bookmarkEnd w:id="137"/>
      <w:bookmarkEnd w:id="138"/>
    </w:p>
    <w:p w:rsidR="00F14328" w:rsidRPr="00D60579" w:rsidRDefault="00F14328" w:rsidP="00F14328">
      <w:pPr>
        <w:pStyle w:val="Heading2"/>
        <w:spacing w:before="0" w:after="40"/>
      </w:pPr>
      <w:r w:rsidRPr="00D60579">
        <w:t>Western Australia overall</w:t>
      </w:r>
    </w:p>
    <w:p w:rsidR="00F14328" w:rsidRPr="00D60579" w:rsidRDefault="00263213" w:rsidP="00F14328">
      <w:pPr>
        <w:pStyle w:val="PwCNormal"/>
      </w:pPr>
      <w:r w:rsidRPr="002C0A3C">
        <w:t xml:space="preserve">Health Service (HS) costing teams conducted the costing review for </w:t>
      </w:r>
      <w:r w:rsidR="00F14328" w:rsidRPr="00D60579">
        <w:t xml:space="preserve">Western Australian hospitals in Round 17. </w:t>
      </w:r>
      <w:r w:rsidRPr="002C0A3C">
        <w:t xml:space="preserve">HSs </w:t>
      </w:r>
      <w:r w:rsidR="00F14328" w:rsidRPr="00D60579">
        <w:t>work</w:t>
      </w:r>
      <w:r w:rsidRPr="002C0A3C">
        <w:t>ed</w:t>
      </w:r>
      <w:r w:rsidR="00F14328" w:rsidRPr="00D60579">
        <w:t xml:space="preserve"> closely with clinicians and cost centre managers to understand the drivers of cost and review the costing output. HSs </w:t>
      </w:r>
      <w:r w:rsidRPr="002C0A3C">
        <w:t>are quite autonomous</w:t>
      </w:r>
      <w:r w:rsidR="00F14328" w:rsidRPr="00D60579">
        <w:t xml:space="preserve"> in their costing methodolog</w:t>
      </w:r>
      <w:r w:rsidRPr="002C0A3C">
        <w:t>ies, although</w:t>
      </w:r>
      <w:r w:rsidR="00F14328" w:rsidRPr="00D60579">
        <w:t xml:space="preserve"> the Department of Health (WA Health) provides support in the form of guidance and QA procedures </w:t>
      </w:r>
      <w:r w:rsidRPr="002C0A3C">
        <w:t xml:space="preserve">for reviewing </w:t>
      </w:r>
      <w:r w:rsidR="00F14328" w:rsidRPr="00D60579">
        <w:t>the costed results.</w:t>
      </w:r>
    </w:p>
    <w:p w:rsidR="00F14328" w:rsidRPr="00D60579" w:rsidRDefault="00F14328" w:rsidP="00F14328">
      <w:pPr>
        <w:pStyle w:val="PwCNormal"/>
      </w:pPr>
      <w:r w:rsidRPr="00D60579">
        <w:t xml:space="preserve">WA Health is continuing to develop and implement </w:t>
      </w:r>
      <w:r w:rsidR="00263213" w:rsidRPr="002C0A3C">
        <w:t>ABF</w:t>
      </w:r>
      <w:r w:rsidRPr="00D60579">
        <w:t xml:space="preserve"> and </w:t>
      </w:r>
      <w:r w:rsidR="00263213" w:rsidRPr="002C0A3C">
        <w:t xml:space="preserve">ABM </w:t>
      </w:r>
      <w:r w:rsidRPr="00D60579">
        <w:t xml:space="preserve">in hospitals around the state. </w:t>
      </w:r>
      <w:r w:rsidR="00263213" w:rsidRPr="002C0A3C">
        <w:t>It</w:t>
      </w:r>
      <w:r w:rsidRPr="00D60579">
        <w:t xml:space="preserve"> is </w:t>
      </w:r>
      <w:r w:rsidR="00263213" w:rsidRPr="002C0A3C">
        <w:t xml:space="preserve">also </w:t>
      </w:r>
      <w:r w:rsidRPr="00D60579">
        <w:t xml:space="preserve">developing clinical costing standards </w:t>
      </w:r>
      <w:r w:rsidR="00D60579" w:rsidRPr="002C0A3C">
        <w:t xml:space="preserve">to help </w:t>
      </w:r>
      <w:r w:rsidR="00263213" w:rsidRPr="002C0A3C">
        <w:t>the</w:t>
      </w:r>
      <w:r w:rsidR="00D60579" w:rsidRPr="002C0A3C">
        <w:t xml:space="preserve"> HS</w:t>
      </w:r>
      <w:r w:rsidRPr="00D60579">
        <w:t xml:space="preserve"> costing teams increase data quality. This will increase the consistency </w:t>
      </w:r>
      <w:r w:rsidR="00D60579" w:rsidRPr="002C0A3C">
        <w:t>of</w:t>
      </w:r>
      <w:r w:rsidRPr="00D60579">
        <w:t xml:space="preserve"> costing methodologies </w:t>
      </w:r>
      <w:r w:rsidR="00D60579" w:rsidRPr="002C0A3C">
        <w:t xml:space="preserve">used </w:t>
      </w:r>
      <w:r w:rsidRPr="00D60579">
        <w:t>across the state and improve the ability to benchmark</w:t>
      </w:r>
      <w:r w:rsidR="00D60579" w:rsidRPr="002C0A3C">
        <w:t xml:space="preserve"> the collected data</w:t>
      </w:r>
      <w:r w:rsidRPr="00D60579">
        <w:t xml:space="preserve">. Further, a more comprehensive set of QA </w:t>
      </w:r>
      <w:r w:rsidR="002C0A3C">
        <w:t>procedures is being developed by</w:t>
      </w:r>
      <w:r w:rsidRPr="00D60579">
        <w:t xml:space="preserve"> WA Health to perform once </w:t>
      </w:r>
      <w:r w:rsidR="00D60579" w:rsidRPr="002C0A3C">
        <w:t xml:space="preserve">it receives </w:t>
      </w:r>
      <w:r w:rsidRPr="00D60579">
        <w:t>the costed results from the HSs.</w:t>
      </w:r>
    </w:p>
    <w:p w:rsidR="00F14328" w:rsidRPr="00D60579" w:rsidRDefault="00F14328" w:rsidP="00F14328">
      <w:pPr>
        <w:pStyle w:val="PwCNormal"/>
      </w:pPr>
      <w:r w:rsidRPr="00D60579">
        <w:t xml:space="preserve">Royal Perth Hospital (RPH) and Swan District Hospital (Swan) </w:t>
      </w:r>
      <w:r w:rsidR="00D60579" w:rsidRPr="002C0A3C">
        <w:t>represented WA in</w:t>
      </w:r>
      <w:r w:rsidRPr="00D60579">
        <w:t xml:space="preserve"> the Round 17 review. These hospitals belong to South Metro HS and North Metro HS respectively.</w:t>
      </w:r>
    </w:p>
    <w:p w:rsidR="00F14328" w:rsidRPr="00D60579" w:rsidRDefault="00F14328" w:rsidP="00F14328">
      <w:pPr>
        <w:pStyle w:val="Heading3"/>
      </w:pPr>
      <w:r w:rsidRPr="00D60579">
        <w:t>Changes since Round 16</w:t>
      </w:r>
    </w:p>
    <w:p w:rsidR="00F14328" w:rsidRPr="00D60579" w:rsidRDefault="00D60579" w:rsidP="00F14328">
      <w:pPr>
        <w:pStyle w:val="PwCNormal"/>
      </w:pPr>
      <w:r w:rsidRPr="002C0A3C">
        <w:t>WIP</w:t>
      </w:r>
      <w:r w:rsidR="00F14328" w:rsidRPr="00D60579">
        <w:t xml:space="preserve"> patient adjustments in </w:t>
      </w:r>
      <w:r w:rsidR="0033116C">
        <w:t>WA</w:t>
      </w:r>
      <w:r w:rsidR="00F14328" w:rsidRPr="00D60579">
        <w:t xml:space="preserve"> </w:t>
      </w:r>
      <w:r w:rsidRPr="002C0A3C">
        <w:t xml:space="preserve">were introduced to the </w:t>
      </w:r>
      <w:r w:rsidR="00F14328" w:rsidRPr="00D60579">
        <w:t xml:space="preserve">costing methodology </w:t>
      </w:r>
      <w:r w:rsidRPr="002C0A3C">
        <w:t xml:space="preserve">for the first time </w:t>
      </w:r>
      <w:r w:rsidR="00F14328" w:rsidRPr="00D60579">
        <w:t xml:space="preserve">in Round 17. Costs are now allocated to all patients admitted during the financial year, and patients who were not discharged by the end of the year </w:t>
      </w:r>
      <w:r w:rsidRPr="002C0A3C">
        <w:t xml:space="preserve">are </w:t>
      </w:r>
      <w:r w:rsidR="00F14328" w:rsidRPr="00D60579">
        <w:t>removed from the</w:t>
      </w:r>
      <w:r w:rsidRPr="002C0A3C">
        <w:t xml:space="preserve"> IHPA</w:t>
      </w:r>
      <w:r w:rsidR="00F14328" w:rsidRPr="00D60579">
        <w:t xml:space="preserve"> submission. Those patients will be submitted in future years, </w:t>
      </w:r>
      <w:r w:rsidRPr="002C0A3C">
        <w:t xml:space="preserve">together with </w:t>
      </w:r>
      <w:r w:rsidR="00F14328" w:rsidRPr="00D60579">
        <w:t>the allocated costs from the current year. In previous rounds, the costs for the financial year were only allocated to patients who were discharged in that financial year.</w:t>
      </w:r>
    </w:p>
    <w:p w:rsidR="00F14328" w:rsidRPr="00D60579" w:rsidRDefault="00D60579" w:rsidP="00F14328">
      <w:pPr>
        <w:pStyle w:val="PwCNormal"/>
      </w:pPr>
      <w:r w:rsidRPr="002C0A3C">
        <w:t xml:space="preserve">During Round 17, hospitals throughout WA – including the two sample sites – implemented the </w:t>
      </w:r>
      <w:proofErr w:type="spellStart"/>
      <w:r w:rsidR="00F14328" w:rsidRPr="00D60579">
        <w:t>iPharmacy</w:t>
      </w:r>
      <w:proofErr w:type="spellEnd"/>
      <w:r w:rsidR="00F14328" w:rsidRPr="00D60579">
        <w:t xml:space="preserve"> </w:t>
      </w:r>
      <w:r w:rsidRPr="002C0A3C">
        <w:t>system to allocate pharmacy costs to patients</w:t>
      </w:r>
      <w:r w:rsidR="00F14328" w:rsidRPr="00D60579">
        <w:t>.</w:t>
      </w:r>
    </w:p>
    <w:p w:rsidR="00F14328" w:rsidRDefault="00F14328" w:rsidP="00F14328">
      <w:pPr>
        <w:pStyle w:val="Heading2"/>
        <w:spacing w:before="0" w:after="40"/>
      </w:pPr>
      <w:r>
        <w:t>Royal Perth Hospital</w:t>
      </w:r>
    </w:p>
    <w:p w:rsidR="00F14328" w:rsidRPr="004E0B72" w:rsidRDefault="00F14328" w:rsidP="00F14328">
      <w:pPr>
        <w:pStyle w:val="Heading3"/>
      </w:pPr>
      <w:r>
        <w:t>Site overview</w:t>
      </w:r>
    </w:p>
    <w:p w:rsidR="00F14328" w:rsidRDefault="00F14328" w:rsidP="00F14328">
      <w:pPr>
        <w:pStyle w:val="PwCNormal"/>
      </w:pPr>
      <w:r>
        <w:t xml:space="preserve">RPH is a major metro tertiary hospital in Perth, performing most major surgeries and is the state’s centre for trauma, burns and rehabilitation patients. RPH is the largest teaching hospital in </w:t>
      </w:r>
      <w:r w:rsidR="0033116C">
        <w:t>WA</w:t>
      </w:r>
      <w:r>
        <w:t xml:space="preserve"> and also contains heart and lung transplant units. </w:t>
      </w:r>
    </w:p>
    <w:p w:rsidR="00F14328" w:rsidRDefault="00CB38E7" w:rsidP="00F14328">
      <w:pPr>
        <w:pStyle w:val="PwCNormal"/>
      </w:pPr>
      <w:r>
        <w:t xml:space="preserve">The </w:t>
      </w:r>
      <w:r w:rsidR="00F14328">
        <w:t>South Metro HS</w:t>
      </w:r>
      <w:r>
        <w:t xml:space="preserve"> team</w:t>
      </w:r>
      <w:r w:rsidR="00F14328">
        <w:t xml:space="preserve"> costed RPH, which benefited from several improvements in Round 16. PPM2 was implemented in Round 17, which enabled a large increase in the number of cost items used in the costing process. Education programs for staff also improved the quality of the data from the theatre management system which is now able to allocate prosthesis costs.</w:t>
      </w:r>
    </w:p>
    <w:p w:rsidR="00F14328" w:rsidRPr="00DE22CA" w:rsidRDefault="00367B9F" w:rsidP="00F14328">
      <w:pPr>
        <w:pStyle w:val="PwCNormal"/>
      </w:pPr>
      <w:r>
        <w:fldChar w:fldCharType="begin"/>
      </w:r>
      <w:r>
        <w:instrText xml:space="preserve"> REF _Ref403229938 \h </w:instrText>
      </w:r>
      <w:r>
        <w:fldChar w:fldCharType="separate"/>
      </w:r>
      <w:r w:rsidR="00575DFC">
        <w:t xml:space="preserve">Table </w:t>
      </w:r>
      <w:r w:rsidR="00575DFC">
        <w:rPr>
          <w:noProof/>
        </w:rPr>
        <w:t>93</w:t>
      </w:r>
      <w:r>
        <w:fldChar w:fldCharType="end"/>
      </w:r>
      <w:r>
        <w:t xml:space="preserve"> </w:t>
      </w:r>
      <w:r w:rsidR="00F14328">
        <w:t xml:space="preserve">below provides a summary of costs beginning with total expenses from the GL through to the total costs submitted to IHPA with the various adjustments made during the process. </w:t>
      </w:r>
      <w:r w:rsidR="00F14328" w:rsidRPr="00526AEC">
        <w:t xml:space="preserve">A variance of </w:t>
      </w:r>
      <w:r w:rsidR="00F14328">
        <w:t>$33</w:t>
      </w:r>
      <w:r w:rsidR="00CB38E7">
        <w:t>,000</w:t>
      </w:r>
      <w:r w:rsidR="00F14328">
        <w:t xml:space="preserve"> was noted between the total costs in the GL and the total costs allocated to the patients. This is less than 0.01% of total costs allocated to patients. A further $289,000 (0.04% of total costs) was identified between what was adjusted by the jurisdiction and what was submitted to IHPA.</w:t>
      </w:r>
    </w:p>
    <w:p w:rsidR="00F14328" w:rsidRDefault="00F14328" w:rsidP="00F14328">
      <w:pPr>
        <w:pStyle w:val="Caption"/>
      </w:pPr>
      <w:bookmarkStart w:id="139" w:name="_Ref403229938"/>
      <w:r>
        <w:lastRenderedPageBreak/>
        <w:t xml:space="preserve">Table </w:t>
      </w:r>
      <w:fldSimple w:instr=" SEQ Table \* ARABIC ">
        <w:r w:rsidR="00575DFC">
          <w:rPr>
            <w:noProof/>
          </w:rPr>
          <w:t>93</w:t>
        </w:r>
      </w:fldSimple>
      <w:bookmarkEnd w:id="139"/>
      <w:r>
        <w:t xml:space="preserve">: </w:t>
      </w:r>
      <w:r w:rsidRPr="00EC5C36">
        <w:t xml:space="preserve">Financial </w:t>
      </w:r>
      <w:r w:rsidR="00957F28">
        <w:t>o</w:t>
      </w:r>
      <w:r w:rsidRPr="00EC5C36">
        <w:t xml:space="preserve">verview of </w:t>
      </w:r>
      <w:r>
        <w:t>Royal Perth Hospital</w:t>
      </w:r>
      <w:r w:rsidR="00957F28">
        <w:t>,</w:t>
      </w:r>
      <w:r w:rsidRPr="00EC5C36">
        <w:t xml:space="preserve"> FY 2012/13</w:t>
      </w:r>
    </w:p>
    <w:p w:rsidR="002C0A3C" w:rsidRDefault="002C0A3C" w:rsidP="002C0A3C">
      <w:pPr>
        <w:pStyle w:val="PwCNormal"/>
        <w:numPr>
          <w:ilvl w:val="0"/>
          <w:numId w:val="0"/>
        </w:numPr>
        <w:rPr>
          <w:highlight w:val="yellow"/>
        </w:rPr>
      </w:pPr>
      <w:r w:rsidRPr="002C0A3C">
        <w:rPr>
          <w:noProof/>
          <w:lang w:eastAsia="en-AU"/>
        </w:rPr>
        <w:drawing>
          <wp:inline distT="0" distB="0" distL="0" distR="0" wp14:anchorId="18C83C6F" wp14:editId="54C31AFB">
            <wp:extent cx="5032800" cy="4093200"/>
            <wp:effectExtent l="0" t="0" r="0" b="3175"/>
            <wp:docPr id="91" name="Picture 91" descr="This table outlines the flow of cost movements from the $901m in the general ledger through to the $793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032800" cy="4093200"/>
                    </a:xfrm>
                    <a:prstGeom prst="rect">
                      <a:avLst/>
                    </a:prstGeom>
                    <a:noFill/>
                    <a:ln>
                      <a:noFill/>
                    </a:ln>
                  </pic:spPr>
                </pic:pic>
              </a:graphicData>
            </a:graphic>
          </wp:inline>
        </w:drawing>
      </w:r>
    </w:p>
    <w:p w:rsidR="00F14328" w:rsidRPr="00DE22CA" w:rsidRDefault="00F14328" w:rsidP="00F14328">
      <w:pPr>
        <w:pStyle w:val="Heading3"/>
      </w:pPr>
      <w:r w:rsidRPr="00DE22CA">
        <w:t xml:space="preserve">Financial </w:t>
      </w:r>
      <w:r>
        <w:t>d</w:t>
      </w:r>
      <w:r w:rsidRPr="00DE22CA">
        <w:t>ata</w:t>
      </w:r>
    </w:p>
    <w:p w:rsidR="00F14328" w:rsidRPr="00DE22CA" w:rsidRDefault="00CA6711" w:rsidP="00F14328">
      <w:pPr>
        <w:pStyle w:val="PwCNormal"/>
        <w:numPr>
          <w:ilvl w:val="0"/>
          <w:numId w:val="0"/>
        </w:numPr>
        <w:rPr>
          <w:b/>
        </w:rPr>
      </w:pPr>
      <w:r>
        <w:rPr>
          <w:b/>
        </w:rPr>
        <w:t xml:space="preserve">General </w:t>
      </w:r>
      <w:r w:rsidR="009D552E">
        <w:rPr>
          <w:b/>
        </w:rPr>
        <w:t>L</w:t>
      </w:r>
      <w:r w:rsidR="00F14328" w:rsidRPr="00DE22CA">
        <w:rPr>
          <w:b/>
        </w:rPr>
        <w:t>edger (Item A)</w:t>
      </w:r>
    </w:p>
    <w:p w:rsidR="00F14328" w:rsidRDefault="00F14328" w:rsidP="00F14328">
      <w:pPr>
        <w:pStyle w:val="PwCNormal"/>
        <w:numPr>
          <w:ilvl w:val="0"/>
          <w:numId w:val="0"/>
        </w:numPr>
      </w:pPr>
      <w:r>
        <w:t xml:space="preserve">Financial statements are prepared in aggregate for the Metropolitan Health Service (Metro HS), </w:t>
      </w:r>
      <w:r w:rsidRPr="00CE0A8F">
        <w:t xml:space="preserve">which </w:t>
      </w:r>
      <w:r>
        <w:t xml:space="preserve">includes </w:t>
      </w:r>
      <w:r w:rsidRPr="00CE0A8F">
        <w:t xml:space="preserve">South Metro HS. </w:t>
      </w:r>
      <w:r w:rsidR="002821F4" w:rsidRPr="00CE0A8F">
        <w:t xml:space="preserve">The total expenses for the Metro HS </w:t>
      </w:r>
      <w:r w:rsidR="002821F4">
        <w:t>were</w:t>
      </w:r>
      <w:r w:rsidR="002821F4" w:rsidRPr="00CE0A8F">
        <w:t xml:space="preserve"> $4.49</w:t>
      </w:r>
      <w:r w:rsidR="002821F4">
        <w:t xml:space="preserve"> </w:t>
      </w:r>
      <w:r w:rsidR="002821F4" w:rsidRPr="00CE0A8F">
        <w:t>b</w:t>
      </w:r>
      <w:r w:rsidR="002821F4">
        <w:t>illio</w:t>
      </w:r>
      <w:r w:rsidR="002821F4" w:rsidRPr="00CE0A8F">
        <w:t>n, of which South Metro was $1.96</w:t>
      </w:r>
      <w:r w:rsidR="002821F4">
        <w:t xml:space="preserve"> </w:t>
      </w:r>
      <w:r w:rsidR="002821F4" w:rsidRPr="00CE0A8F">
        <w:t>b</w:t>
      </w:r>
      <w:r w:rsidR="002821F4">
        <w:t>illio</w:t>
      </w:r>
      <w:r w:rsidR="002821F4" w:rsidRPr="00CE0A8F">
        <w:t xml:space="preserve">n. </w:t>
      </w:r>
      <w:r w:rsidRPr="00CE0A8F">
        <w:t xml:space="preserve">This has been agreed to </w:t>
      </w:r>
      <w:r>
        <w:t xml:space="preserve">in </w:t>
      </w:r>
      <w:r w:rsidRPr="00CE0A8F">
        <w:t>WA Health</w:t>
      </w:r>
      <w:r>
        <w:t>’s</w:t>
      </w:r>
      <w:r w:rsidRPr="00CE0A8F">
        <w:t xml:space="preserve"> reconciliation.</w:t>
      </w:r>
      <w:r>
        <w:t xml:space="preserve"> Costs from the South Metro HS were included in the hospital GLs.</w:t>
      </w:r>
    </w:p>
    <w:p w:rsidR="00F14328" w:rsidRDefault="00F14328" w:rsidP="00F14328">
      <w:pPr>
        <w:pStyle w:val="Caption"/>
      </w:pPr>
      <w:bookmarkStart w:id="140" w:name="_Ref403229967"/>
      <w:r>
        <w:t xml:space="preserve">Table </w:t>
      </w:r>
      <w:fldSimple w:instr=" SEQ Table \* ARABIC ">
        <w:r w:rsidR="00575DFC">
          <w:rPr>
            <w:noProof/>
          </w:rPr>
          <w:t>94</w:t>
        </w:r>
      </w:fldSimple>
      <w:bookmarkEnd w:id="140"/>
      <w:r>
        <w:t xml:space="preserve">: </w:t>
      </w:r>
      <w:r w:rsidRPr="00C566C9">
        <w:t>Treatment of specific cost items</w:t>
      </w:r>
    </w:p>
    <w:p w:rsidR="000C6DDB" w:rsidRDefault="00F14328" w:rsidP="00F20521">
      <w:pPr>
        <w:pStyle w:val="PwCNormal"/>
        <w:numPr>
          <w:ilvl w:val="0"/>
          <w:numId w:val="0"/>
        </w:numPr>
      </w:pPr>
      <w:r w:rsidRPr="002A78D7">
        <w:rPr>
          <w:noProof/>
          <w:lang w:eastAsia="en-AU"/>
        </w:rPr>
        <w:drawing>
          <wp:inline distT="0" distB="0" distL="0" distR="0" wp14:anchorId="5BEEF2E9" wp14:editId="78E9CBC7">
            <wp:extent cx="4039200" cy="1688400"/>
            <wp:effectExtent l="0" t="0" r="0" b="0"/>
            <wp:docPr id="121" name="Picture 121" descr="This table outlines the treatment of some of the cost items in the site's general ledger." title="Treatment of specific cost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039200" cy="1688400"/>
                    </a:xfrm>
                    <a:prstGeom prst="rect">
                      <a:avLst/>
                    </a:prstGeom>
                    <a:noFill/>
                    <a:ln>
                      <a:noFill/>
                    </a:ln>
                  </pic:spPr>
                </pic:pic>
              </a:graphicData>
            </a:graphic>
          </wp:inline>
        </w:drawing>
      </w:r>
      <w:r w:rsidR="000C6DDB">
        <w:br w:type="page"/>
      </w:r>
    </w:p>
    <w:p w:rsidR="00F14328" w:rsidRDefault="00367B9F" w:rsidP="00F14328">
      <w:pPr>
        <w:pStyle w:val="PwCNormal"/>
        <w:numPr>
          <w:ilvl w:val="0"/>
          <w:numId w:val="0"/>
        </w:numPr>
      </w:pPr>
      <w:r>
        <w:lastRenderedPageBreak/>
        <w:fldChar w:fldCharType="begin"/>
      </w:r>
      <w:r>
        <w:instrText xml:space="preserve"> REF _Ref403229967 \h </w:instrText>
      </w:r>
      <w:r>
        <w:fldChar w:fldCharType="separate"/>
      </w:r>
      <w:r w:rsidR="00575DFC">
        <w:t xml:space="preserve">Table </w:t>
      </w:r>
      <w:r w:rsidR="00575DFC">
        <w:rPr>
          <w:noProof/>
        </w:rPr>
        <w:t>94</w:t>
      </w:r>
      <w:r>
        <w:fldChar w:fldCharType="end"/>
      </w:r>
      <w:r w:rsidR="00F14328">
        <w:t xml:space="preserve"> above lists specific costs that were reviewed to understand their treatment in the GL and the costing process. Once these costs are allocated to final cost centres they are distributed to patients using that cost centre’s allocation methodology. Key cost treatments to note include:</w:t>
      </w:r>
    </w:p>
    <w:p w:rsidR="00F14328" w:rsidRDefault="00F14328" w:rsidP="00F14328">
      <w:pPr>
        <w:pStyle w:val="PwCNormal"/>
        <w:numPr>
          <w:ilvl w:val="0"/>
          <w:numId w:val="87"/>
        </w:numPr>
      </w:pPr>
      <w:r>
        <w:t>Superannuation is charged to the cost centre where the staff member’s salary is paid. The HS pays contributions for employees on a defined benefit scheme to WA Treasury, which is responsible for paying the final benefit and assumes all the risk related to the payment of benefits. The superannuation charged sits in the hospital cost centres where the FTE is paid from and is included in the costing.</w:t>
      </w:r>
    </w:p>
    <w:p w:rsidR="00F14328" w:rsidRDefault="00F14328" w:rsidP="00F14328">
      <w:pPr>
        <w:pStyle w:val="PwCNormal"/>
        <w:numPr>
          <w:ilvl w:val="0"/>
          <w:numId w:val="87"/>
        </w:numPr>
      </w:pPr>
      <w:r>
        <w:t>Professional indem</w:t>
      </w:r>
      <w:r w:rsidRPr="00F32C89">
        <w:t xml:space="preserve">nity </w:t>
      </w:r>
      <w:r>
        <w:t>sits in the South Metro HS GL and is allocated to hospitals based on FTEs. Building and equipment insurance is included in the hospital’s GL. These costs are included in the costed results.</w:t>
      </w:r>
    </w:p>
    <w:p w:rsidR="00F14328" w:rsidRDefault="00F14328" w:rsidP="00F14328">
      <w:pPr>
        <w:pStyle w:val="PwCNormal"/>
        <w:numPr>
          <w:ilvl w:val="0"/>
          <w:numId w:val="87"/>
        </w:numPr>
      </w:pPr>
      <w:proofErr w:type="spellStart"/>
      <w:r>
        <w:t>Riskcover</w:t>
      </w:r>
      <w:proofErr w:type="spellEnd"/>
      <w:r>
        <w:t xml:space="preserve"> </w:t>
      </w:r>
      <w:r w:rsidRPr="00023539">
        <w:t>charge</w:t>
      </w:r>
      <w:r>
        <w:t>s workers</w:t>
      </w:r>
      <w:r w:rsidRPr="00023539">
        <w:t xml:space="preserve"> compensation </w:t>
      </w:r>
      <w:r>
        <w:t xml:space="preserve">to each HS, which is the </w:t>
      </w:r>
      <w:r w:rsidR="000C6DDB">
        <w:t>WA</w:t>
      </w:r>
      <w:r>
        <w:t xml:space="preserve"> state government fund. Premiums are charged to hospital cost centres where the staff member is paid.</w:t>
      </w:r>
    </w:p>
    <w:p w:rsidR="00F14328" w:rsidRDefault="00F14328" w:rsidP="00F14328">
      <w:pPr>
        <w:pStyle w:val="PwCNormal"/>
        <w:numPr>
          <w:ilvl w:val="0"/>
          <w:numId w:val="87"/>
        </w:numPr>
      </w:pPr>
      <w:r>
        <w:t>All leave expenses sit in the cost centre where the staff member is paid and no additional allocation is required.</w:t>
      </w:r>
    </w:p>
    <w:p w:rsidR="00F14328" w:rsidRDefault="00F14328" w:rsidP="00F14328">
      <w:pPr>
        <w:pStyle w:val="PwCNormal"/>
        <w:numPr>
          <w:ilvl w:val="0"/>
          <w:numId w:val="87"/>
        </w:numPr>
      </w:pPr>
      <w:r>
        <w:t>PBS rebates and trade discounts sit within revenue accounts and are not brought in for costing purposes.</w:t>
      </w:r>
    </w:p>
    <w:p w:rsidR="00F14328" w:rsidRDefault="00F14328" w:rsidP="00F14328">
      <w:pPr>
        <w:pStyle w:val="PwCNormal"/>
        <w:numPr>
          <w:ilvl w:val="0"/>
          <w:numId w:val="87"/>
        </w:numPr>
      </w:pPr>
      <w:r>
        <w:t>Payroll tax is not imputed for staff; however, contractors hired by hospitals do attract payroll tax. Assets are revaluated every two years and depreciation is included in the costing.</w:t>
      </w:r>
    </w:p>
    <w:p w:rsidR="00F14328" w:rsidRPr="00DE22CA" w:rsidRDefault="00F14328" w:rsidP="00F14328">
      <w:pPr>
        <w:pStyle w:val="PwCNormal"/>
        <w:numPr>
          <w:ilvl w:val="0"/>
          <w:numId w:val="0"/>
        </w:numPr>
        <w:rPr>
          <w:b/>
        </w:rPr>
      </w:pPr>
      <w:r w:rsidRPr="00DE22CA">
        <w:rPr>
          <w:b/>
        </w:rPr>
        <w:t>Inclusions and exclusions (Item B)</w:t>
      </w:r>
    </w:p>
    <w:p w:rsidR="00F14328" w:rsidRPr="00A5184B" w:rsidRDefault="00F14328" w:rsidP="00F14328">
      <w:pPr>
        <w:pStyle w:val="PwCNormal"/>
        <w:numPr>
          <w:ilvl w:val="0"/>
          <w:numId w:val="0"/>
        </w:numPr>
      </w:pPr>
      <w:r w:rsidRPr="002B523F">
        <w:t>A total of $</w:t>
      </w:r>
      <w:r>
        <w:t>30.1</w:t>
      </w:r>
      <w:r w:rsidR="007D0F17">
        <w:t xml:space="preserve"> </w:t>
      </w:r>
      <w:r>
        <w:t>m</w:t>
      </w:r>
      <w:r w:rsidR="007D0F17">
        <w:t>illion</w:t>
      </w:r>
      <w:r w:rsidRPr="002B523F">
        <w:t xml:space="preserve"> </w:t>
      </w:r>
      <w:r>
        <w:t>was</w:t>
      </w:r>
      <w:r w:rsidRPr="002B523F">
        <w:t xml:space="preserve"> </w:t>
      </w:r>
      <w:r>
        <w:t>removed</w:t>
      </w:r>
      <w:r w:rsidRPr="002B523F">
        <w:t xml:space="preserve"> </w:t>
      </w:r>
      <w:r>
        <w:t>from the GL</w:t>
      </w:r>
      <w:r w:rsidRPr="002B523F">
        <w:t xml:space="preserve"> before uploading into the costing syste</w:t>
      </w:r>
      <w:r w:rsidRPr="00A5184B">
        <w:t>m. This was made up of:</w:t>
      </w:r>
    </w:p>
    <w:p w:rsidR="00F14328" w:rsidRDefault="00F14328" w:rsidP="00F14328">
      <w:pPr>
        <w:pStyle w:val="PwCNormal"/>
        <w:numPr>
          <w:ilvl w:val="0"/>
          <w:numId w:val="60"/>
        </w:numPr>
      </w:pPr>
      <w:r w:rsidRPr="00A5184B">
        <w:t>$19.2</w:t>
      </w:r>
      <w:r w:rsidR="007D0F17">
        <w:t xml:space="preserve"> </w:t>
      </w:r>
      <w:r w:rsidRPr="00A5184B">
        <w:t>m</w:t>
      </w:r>
      <w:r w:rsidR="007D0F17">
        <w:t>illion</w:t>
      </w:r>
      <w:r w:rsidRPr="00A5184B">
        <w:t xml:space="preserve"> for Community Health programs</w:t>
      </w:r>
    </w:p>
    <w:p w:rsidR="00F14328" w:rsidRDefault="00F14328" w:rsidP="00F14328">
      <w:pPr>
        <w:pStyle w:val="PwCNormal"/>
        <w:numPr>
          <w:ilvl w:val="0"/>
          <w:numId w:val="60"/>
        </w:numPr>
      </w:pPr>
      <w:r w:rsidRPr="00A5184B">
        <w:t>$4.6</w:t>
      </w:r>
      <w:r w:rsidR="007D0F17">
        <w:t xml:space="preserve"> </w:t>
      </w:r>
      <w:r w:rsidRPr="00A5184B">
        <w:t>m</w:t>
      </w:r>
      <w:r w:rsidR="007D0F17">
        <w:t>illion</w:t>
      </w:r>
      <w:r w:rsidRPr="00A5184B">
        <w:t xml:space="preserve"> for </w:t>
      </w:r>
      <w:r>
        <w:t>h</w:t>
      </w:r>
      <w:r w:rsidRPr="00A5184B">
        <w:t>ospital activity with no</w:t>
      </w:r>
      <w:r>
        <w:t xml:space="preserve"> or insufficient</w:t>
      </w:r>
      <w:r w:rsidRPr="00A5184B">
        <w:t xml:space="preserve"> patient data, which includes $4.4m for radiotherapy costs</w:t>
      </w:r>
    </w:p>
    <w:p w:rsidR="00F14328" w:rsidRPr="00A5184B" w:rsidRDefault="00F14328" w:rsidP="00F14328">
      <w:pPr>
        <w:pStyle w:val="PwCNormal"/>
        <w:numPr>
          <w:ilvl w:val="0"/>
          <w:numId w:val="60"/>
        </w:numPr>
      </w:pPr>
      <w:r>
        <w:t>$4.2</w:t>
      </w:r>
      <w:r w:rsidR="007D0F17">
        <w:t xml:space="preserve"> </w:t>
      </w:r>
      <w:r>
        <w:t>m</w:t>
      </w:r>
      <w:r w:rsidR="007D0F17">
        <w:t>illion</w:t>
      </w:r>
      <w:r>
        <w:t xml:space="preserve"> for Community Mental Health programs</w:t>
      </w:r>
    </w:p>
    <w:p w:rsidR="00F14328" w:rsidRPr="00A5184B" w:rsidRDefault="00F14328" w:rsidP="00F14328">
      <w:pPr>
        <w:pStyle w:val="PwCNormal"/>
        <w:numPr>
          <w:ilvl w:val="0"/>
          <w:numId w:val="60"/>
        </w:numPr>
      </w:pPr>
      <w:r w:rsidRPr="00A5184B">
        <w:t>$</w:t>
      </w:r>
      <w:r>
        <w:t>1.4</w:t>
      </w:r>
      <w:r w:rsidR="007D0F17">
        <w:t xml:space="preserve"> </w:t>
      </w:r>
      <w:r w:rsidRPr="00A5184B">
        <w:t>m</w:t>
      </w:r>
      <w:r w:rsidR="007D0F17">
        <w:t>illion</w:t>
      </w:r>
      <w:r w:rsidRPr="00A5184B">
        <w:t xml:space="preserve"> for </w:t>
      </w:r>
      <w:r>
        <w:t>n</w:t>
      </w:r>
      <w:r w:rsidRPr="00A5184B">
        <w:t>on-ABF related hospital activity</w:t>
      </w:r>
    </w:p>
    <w:p w:rsidR="00F14328" w:rsidRDefault="00F14328" w:rsidP="00F14328">
      <w:pPr>
        <w:pStyle w:val="PwCNormal"/>
        <w:numPr>
          <w:ilvl w:val="0"/>
          <w:numId w:val="60"/>
        </w:numPr>
      </w:pPr>
      <w:r>
        <w:t>$588,004 for non-recurrent programs.</w:t>
      </w:r>
    </w:p>
    <w:p w:rsidR="00F14328" w:rsidRPr="00DE22CA" w:rsidRDefault="00F14328" w:rsidP="00F14328">
      <w:pPr>
        <w:pStyle w:val="PwCNormal"/>
        <w:numPr>
          <w:ilvl w:val="0"/>
          <w:numId w:val="0"/>
        </w:numPr>
      </w:pPr>
      <w:r>
        <w:t xml:space="preserve">After these exclusions, total expenses for RPH </w:t>
      </w:r>
      <w:r w:rsidR="008E7280">
        <w:t xml:space="preserve">were </w:t>
      </w:r>
      <w:r>
        <w:t>$870.8</w:t>
      </w:r>
      <w:r w:rsidR="007D0F17">
        <w:t xml:space="preserve"> </w:t>
      </w:r>
      <w:r>
        <w:t>m</w:t>
      </w:r>
      <w:r w:rsidR="007D0F17">
        <w:t>illion</w:t>
      </w:r>
      <w:r>
        <w:t>.</w:t>
      </w:r>
    </w:p>
    <w:p w:rsidR="00F14328" w:rsidRPr="00DE22CA" w:rsidRDefault="00F14328" w:rsidP="00F14328">
      <w:pPr>
        <w:pStyle w:val="PwCNormal"/>
        <w:numPr>
          <w:ilvl w:val="0"/>
          <w:numId w:val="0"/>
        </w:numPr>
        <w:rPr>
          <w:b/>
        </w:rPr>
      </w:pPr>
      <w:r w:rsidRPr="00DE22CA">
        <w:rPr>
          <w:b/>
        </w:rPr>
        <w:t>Allocation of overheads (Item C)</w:t>
      </w:r>
    </w:p>
    <w:p w:rsidR="00F14328" w:rsidRPr="00DE22CA" w:rsidRDefault="00CA6711" w:rsidP="00F14328">
      <w:pPr>
        <w:pStyle w:val="PwCNormal"/>
        <w:numPr>
          <w:ilvl w:val="0"/>
          <w:numId w:val="0"/>
        </w:numPr>
      </w:pPr>
      <w:r>
        <w:t>For</w:t>
      </w:r>
      <w:r w:rsidR="00F14328">
        <w:t xml:space="preserve"> FY 2012/13, overhead costs totalled $252.1</w:t>
      </w:r>
      <w:r w:rsidR="008E7280">
        <w:t xml:space="preserve"> </w:t>
      </w:r>
      <w:r w:rsidR="002821F4">
        <w:t>million, which</w:t>
      </w:r>
      <w:r w:rsidR="00F14328">
        <w:t xml:space="preserve"> represents 29.0% of total costs for RPH. These costs were allocated to the patient care areas based on a variety of allocation statistics, but the major statistics utilised for Round 17 were share of total expenses, number of occupied bed hours and number of FTEs. The allocation statistics were determined based on the preferred hierarchy of allocation statistics in the AHPCS along with any reliable information that was available.</w:t>
      </w:r>
    </w:p>
    <w:p w:rsidR="00F14328" w:rsidRPr="00DE22CA" w:rsidRDefault="00F14328" w:rsidP="00F14328">
      <w:pPr>
        <w:pStyle w:val="PwCNormal"/>
        <w:numPr>
          <w:ilvl w:val="0"/>
          <w:numId w:val="0"/>
        </w:numPr>
        <w:rPr>
          <w:b/>
        </w:rPr>
      </w:pPr>
      <w:r w:rsidRPr="00DE22CA">
        <w:rPr>
          <w:b/>
        </w:rPr>
        <w:t>Distribution of costs between hospital products</w:t>
      </w:r>
      <w:r>
        <w:rPr>
          <w:b/>
        </w:rPr>
        <w:t xml:space="preserve"> (Item D)</w:t>
      </w:r>
    </w:p>
    <w:p w:rsidR="00F14328" w:rsidRDefault="00F14328" w:rsidP="00F14328">
      <w:pPr>
        <w:pStyle w:val="PwCNormal"/>
        <w:numPr>
          <w:ilvl w:val="0"/>
          <w:numId w:val="0"/>
        </w:numPr>
      </w:pPr>
      <w:r>
        <w:t>Where some cost centres delivered services to multiple hospital products (such as medical cost centres servicing inpatients and outpatients along with some teaching), IFRACs were developed. The costing team reviewed the IFRACs used in Round 16 with business managers to ensure the splits had not changed. This was done in conjunction with activity data.</w:t>
      </w:r>
    </w:p>
    <w:p w:rsidR="00F14328" w:rsidRPr="004E0B72" w:rsidRDefault="00F14328" w:rsidP="00F14328">
      <w:pPr>
        <w:pStyle w:val="Heading3"/>
      </w:pPr>
      <w:r>
        <w:lastRenderedPageBreak/>
        <w:t>Activity information and costing methodology</w:t>
      </w:r>
    </w:p>
    <w:p w:rsidR="00F14328" w:rsidRPr="002449AB" w:rsidRDefault="00F14328" w:rsidP="00F14328">
      <w:pPr>
        <w:pStyle w:val="PwCNormal"/>
        <w:numPr>
          <w:ilvl w:val="0"/>
          <w:numId w:val="0"/>
        </w:numPr>
        <w:rPr>
          <w:b/>
        </w:rPr>
      </w:pPr>
      <w:r>
        <w:rPr>
          <w:b/>
        </w:rPr>
        <w:t>Overview</w:t>
      </w:r>
    </w:p>
    <w:p w:rsidR="00F14328" w:rsidRPr="00CE0A8F" w:rsidRDefault="00F14328" w:rsidP="00F14328">
      <w:pPr>
        <w:pStyle w:val="PwCNormal"/>
        <w:numPr>
          <w:ilvl w:val="0"/>
          <w:numId w:val="0"/>
        </w:numPr>
      </w:pPr>
      <w:r>
        <w:t xml:space="preserve">Once costs are split into the various cost areas and are ready to be allocated, a variety of feeder systems are used to allocate costs to patients across all hospital products. Extracts from </w:t>
      </w:r>
      <w:r w:rsidRPr="00CE0A8F">
        <w:t>the patient administration system (TOPAS/</w:t>
      </w:r>
      <w:proofErr w:type="spellStart"/>
      <w:r w:rsidRPr="00CE0A8F">
        <w:t>webPAS</w:t>
      </w:r>
      <w:proofErr w:type="spellEnd"/>
      <w:r w:rsidRPr="00CE0A8F">
        <w:t>), EDIS, TMS (Theatre Management System) and various other feeders were used in the allocation process.</w:t>
      </w:r>
    </w:p>
    <w:p w:rsidR="00F14328" w:rsidRDefault="00367B9F" w:rsidP="00F14328">
      <w:pPr>
        <w:pStyle w:val="PwCNormal"/>
        <w:numPr>
          <w:ilvl w:val="0"/>
          <w:numId w:val="0"/>
        </w:numPr>
      </w:pPr>
      <w:r>
        <w:fldChar w:fldCharType="begin"/>
      </w:r>
      <w:r>
        <w:instrText xml:space="preserve"> REF _Ref403229983 \h </w:instrText>
      </w:r>
      <w:r>
        <w:fldChar w:fldCharType="separate"/>
      </w:r>
      <w:r w:rsidR="00575DFC">
        <w:t xml:space="preserve">Table </w:t>
      </w:r>
      <w:r w:rsidR="00575DFC">
        <w:rPr>
          <w:noProof/>
        </w:rPr>
        <w:t>95</w:t>
      </w:r>
      <w:r>
        <w:fldChar w:fldCharType="end"/>
      </w:r>
      <w:r w:rsidR="00F14328">
        <w:t xml:space="preserve"> below outlines the costing methodology for the hospital products.</w:t>
      </w:r>
    </w:p>
    <w:p w:rsidR="00F14328" w:rsidRDefault="00F14328" w:rsidP="00F14328">
      <w:pPr>
        <w:pStyle w:val="Caption"/>
      </w:pPr>
      <w:bookmarkStart w:id="141" w:name="_Ref403229983"/>
      <w:r>
        <w:t xml:space="preserve">Table </w:t>
      </w:r>
      <w:fldSimple w:instr=" SEQ Table \* ARABIC ">
        <w:r w:rsidR="00575DFC">
          <w:rPr>
            <w:noProof/>
          </w:rPr>
          <w:t>95</w:t>
        </w:r>
      </w:fldSimple>
      <w:bookmarkEnd w:id="141"/>
      <w:r>
        <w:t xml:space="preserve">: </w:t>
      </w:r>
      <w:r w:rsidRPr="003C5620">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F14328" w:rsidTr="006E68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F14328" w:rsidRPr="00C53A14" w:rsidRDefault="00F14328" w:rsidP="00CA6711">
            <w:pPr>
              <w:pStyle w:val="PwCNormal"/>
              <w:numPr>
                <w:ilvl w:val="0"/>
                <w:numId w:val="0"/>
              </w:numPr>
              <w:rPr>
                <w:b/>
              </w:rPr>
            </w:pPr>
            <w:r w:rsidRPr="00C53A14">
              <w:rPr>
                <w:b/>
              </w:rPr>
              <w:t>Hospital product</w:t>
            </w:r>
          </w:p>
        </w:tc>
        <w:tc>
          <w:tcPr>
            <w:tcW w:w="6237" w:type="dxa"/>
          </w:tcPr>
          <w:p w:rsidR="00F14328" w:rsidRPr="00C53A14" w:rsidRDefault="00F14328" w:rsidP="00CA6711">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C53A14">
              <w:rPr>
                <w:b/>
              </w:rPr>
              <w:t>Allocation overview</w:t>
            </w:r>
          </w:p>
        </w:tc>
      </w:tr>
      <w:tr w:rsidR="00F14328" w:rsidTr="006E6862">
        <w:tc>
          <w:tcPr>
            <w:tcW w:w="2376" w:type="dxa"/>
          </w:tcPr>
          <w:p w:rsidR="00F14328" w:rsidRDefault="00F14328" w:rsidP="00CA6711">
            <w:pPr>
              <w:pStyle w:val="PwCNormal"/>
              <w:numPr>
                <w:ilvl w:val="0"/>
                <w:numId w:val="0"/>
              </w:numPr>
            </w:pPr>
            <w:r>
              <w:t xml:space="preserve">Inpatient </w:t>
            </w:r>
            <w:r>
              <w:br/>
              <w:t>(acute and sub-acute)</w:t>
            </w:r>
          </w:p>
        </w:tc>
        <w:tc>
          <w:tcPr>
            <w:tcW w:w="6237" w:type="dxa"/>
          </w:tcPr>
          <w:p w:rsidR="00F14328" w:rsidRDefault="00F14328" w:rsidP="00CA6711">
            <w:pPr>
              <w:pStyle w:val="PwCNormal"/>
              <w:numPr>
                <w:ilvl w:val="0"/>
                <w:numId w:val="0"/>
              </w:numPr>
            </w:pPr>
            <w:r>
              <w:t>Acute inpatients are costed at the episode level and are classified using AR-DRGs. Sub-acute patients are costed as the care-type level and are not classified under AN-SNAP.</w:t>
            </w:r>
          </w:p>
          <w:p w:rsidR="00F14328" w:rsidRDefault="00F14328" w:rsidP="00CA6711">
            <w:pPr>
              <w:pStyle w:val="PwCNormal"/>
              <w:numPr>
                <w:ilvl w:val="0"/>
                <w:numId w:val="0"/>
              </w:numPr>
            </w:pPr>
            <w:r>
              <w:t xml:space="preserve">Inpatients are allocated costs using various feeder </w:t>
            </w:r>
            <w:r w:rsidR="002821F4">
              <w:t>systems, which</w:t>
            </w:r>
            <w:r>
              <w:t xml:space="preserve"> identify consumption of </w:t>
            </w:r>
            <w:r w:rsidRPr="00CE0A8F">
              <w:t>hospital resources or services. Nursing and medical costs are allocated based on AHPC</w:t>
            </w:r>
            <w:r>
              <w:t>S</w:t>
            </w:r>
            <w:r w:rsidRPr="00CE0A8F">
              <w:t xml:space="preserve"> line items and LOS of patients. Diagnostics tests (such as imaging and pathology), pharmacy </w:t>
            </w:r>
            <w:r>
              <w:t>and allied health costs use feeder data to allocate costs with RVUs derived from either standard/actual costs (that is, the cost of the drug), or minutes.</w:t>
            </w:r>
          </w:p>
          <w:p w:rsidR="00F14328" w:rsidRDefault="00F14328" w:rsidP="00CA6711">
            <w:pPr>
              <w:pStyle w:val="PwCNormal"/>
              <w:numPr>
                <w:ilvl w:val="0"/>
                <w:numId w:val="0"/>
              </w:numPr>
            </w:pPr>
            <w:r>
              <w:t>Prosthetic costs are allocated directly to patients who consumed the products identified by the TMS. An internally developed RVU is applied, which was developed using the actual costs of the prosthetic.</w:t>
            </w:r>
          </w:p>
        </w:tc>
      </w:tr>
      <w:tr w:rsidR="00F14328" w:rsidTr="006E6862">
        <w:tc>
          <w:tcPr>
            <w:tcW w:w="2376" w:type="dxa"/>
          </w:tcPr>
          <w:p w:rsidR="00F14328" w:rsidRDefault="00F14328" w:rsidP="00CA6711">
            <w:pPr>
              <w:pStyle w:val="PwCNormal"/>
              <w:numPr>
                <w:ilvl w:val="0"/>
                <w:numId w:val="0"/>
              </w:numPr>
            </w:pPr>
            <w:r>
              <w:t>Emergency Department</w:t>
            </w:r>
          </w:p>
        </w:tc>
        <w:tc>
          <w:tcPr>
            <w:tcW w:w="6237" w:type="dxa"/>
          </w:tcPr>
          <w:p w:rsidR="00F14328" w:rsidRDefault="00F14328" w:rsidP="00CA6711">
            <w:pPr>
              <w:pStyle w:val="PwCNormal"/>
              <w:numPr>
                <w:ilvl w:val="0"/>
                <w:numId w:val="0"/>
              </w:numPr>
            </w:pPr>
            <w:r>
              <w:t>Patients are allocated costs using the IHPA URG NWAU price weights. Patients who were admitted to the observation ward were then treated as an inpatient and were given a smaller proportion of costs for their stay.</w:t>
            </w:r>
          </w:p>
          <w:p w:rsidR="00F14328" w:rsidRDefault="00F14328" w:rsidP="00CA6711">
            <w:pPr>
              <w:pStyle w:val="PwCNormal"/>
              <w:numPr>
                <w:ilvl w:val="0"/>
                <w:numId w:val="0"/>
              </w:numPr>
            </w:pPr>
            <w:r>
              <w:t>Diagnostic tests and dispensed pharmaceuticals are allocated to patients directly based on consumption.</w:t>
            </w:r>
          </w:p>
        </w:tc>
      </w:tr>
      <w:tr w:rsidR="00F14328" w:rsidTr="006E6862">
        <w:tc>
          <w:tcPr>
            <w:tcW w:w="2376" w:type="dxa"/>
          </w:tcPr>
          <w:p w:rsidR="00F14328" w:rsidRDefault="00F14328" w:rsidP="00CA6711">
            <w:pPr>
              <w:pStyle w:val="PwCNormal"/>
              <w:numPr>
                <w:ilvl w:val="0"/>
                <w:numId w:val="0"/>
              </w:numPr>
            </w:pPr>
            <w:r>
              <w:t>Outpatients</w:t>
            </w:r>
          </w:p>
        </w:tc>
        <w:tc>
          <w:tcPr>
            <w:tcW w:w="6237" w:type="dxa"/>
          </w:tcPr>
          <w:p w:rsidR="00F14328" w:rsidRDefault="00F14328" w:rsidP="00CA6711">
            <w:pPr>
              <w:pStyle w:val="PwCNormal"/>
              <w:numPr>
                <w:ilvl w:val="0"/>
                <w:numId w:val="0"/>
              </w:numPr>
            </w:pPr>
            <w:r>
              <w:t>All outpatient activity is classified under Tier 2. Each specialty has its own cost centre from which costs are allocated to patients based on the IHPA Tier 2 NWAU price weights.</w:t>
            </w:r>
          </w:p>
          <w:p w:rsidR="00F14328" w:rsidRDefault="00F14328" w:rsidP="00CA6711">
            <w:pPr>
              <w:pStyle w:val="PwCNormal"/>
              <w:numPr>
                <w:ilvl w:val="0"/>
                <w:numId w:val="0"/>
              </w:numPr>
            </w:pPr>
            <w:r>
              <w:t>Multidisciplinary clinics are mapped to a single clinic.</w:t>
            </w:r>
          </w:p>
          <w:p w:rsidR="00F14328" w:rsidRDefault="00F14328" w:rsidP="00CA6711">
            <w:pPr>
              <w:pStyle w:val="PwCNormal"/>
              <w:numPr>
                <w:ilvl w:val="0"/>
                <w:numId w:val="0"/>
              </w:numPr>
            </w:pPr>
            <w:r>
              <w:t>Diagnostic tests and dispensed pharmaceuticals are allocated to patients directly based on consumption.</w:t>
            </w:r>
          </w:p>
        </w:tc>
      </w:tr>
      <w:tr w:rsidR="00F14328" w:rsidTr="006E6862">
        <w:tc>
          <w:tcPr>
            <w:tcW w:w="2376" w:type="dxa"/>
          </w:tcPr>
          <w:p w:rsidR="00F14328" w:rsidRDefault="00F14328" w:rsidP="00CA6711">
            <w:pPr>
              <w:pStyle w:val="PwCNormal"/>
              <w:numPr>
                <w:ilvl w:val="0"/>
                <w:numId w:val="0"/>
              </w:numPr>
            </w:pPr>
            <w:r>
              <w:t>Mental Health</w:t>
            </w:r>
          </w:p>
        </w:tc>
        <w:tc>
          <w:tcPr>
            <w:tcW w:w="6237" w:type="dxa"/>
          </w:tcPr>
          <w:p w:rsidR="00F14328" w:rsidRDefault="00F14328" w:rsidP="00CA6711">
            <w:pPr>
              <w:pStyle w:val="PwCNormal"/>
              <w:numPr>
                <w:ilvl w:val="0"/>
                <w:numId w:val="0"/>
              </w:numPr>
            </w:pPr>
            <w:r>
              <w:t>Mental health patients are treated as inpatients and costed according to the same acute and sub-acute methodologies.</w:t>
            </w:r>
          </w:p>
        </w:tc>
      </w:tr>
      <w:tr w:rsidR="00F14328" w:rsidTr="006E6862">
        <w:tc>
          <w:tcPr>
            <w:tcW w:w="2376" w:type="dxa"/>
          </w:tcPr>
          <w:p w:rsidR="00F14328" w:rsidRDefault="00F14328" w:rsidP="00CA6711">
            <w:pPr>
              <w:pStyle w:val="PwCNormal"/>
              <w:numPr>
                <w:ilvl w:val="0"/>
                <w:numId w:val="0"/>
              </w:numPr>
            </w:pPr>
            <w:r>
              <w:t>Teaching, training and research</w:t>
            </w:r>
          </w:p>
        </w:tc>
        <w:tc>
          <w:tcPr>
            <w:tcW w:w="6237" w:type="dxa"/>
          </w:tcPr>
          <w:p w:rsidR="00F14328" w:rsidRPr="00AE18F0" w:rsidRDefault="00F14328" w:rsidP="00CA6711">
            <w:pPr>
              <w:pStyle w:val="PwCNormal"/>
              <w:numPr>
                <w:ilvl w:val="0"/>
                <w:numId w:val="0"/>
              </w:numPr>
              <w:spacing w:after="120"/>
            </w:pPr>
            <w:r>
              <w:t xml:space="preserve">Direct teaching costs are counted where recorded in separate cost centres. WA Health has performed modelling on the effort spent by medical, nursing and allied health staff at each hospital, which resulted in unique </w:t>
            </w:r>
            <w:r w:rsidRPr="00AE18F0">
              <w:t>percentages of those expenses being fractioned out into direct teaching and resea</w:t>
            </w:r>
            <w:r>
              <w:t>r</w:t>
            </w:r>
            <w:r w:rsidRPr="00AE18F0">
              <w:t xml:space="preserve">ch. For RPH, the percentages used for teaching were: </w:t>
            </w:r>
          </w:p>
          <w:p w:rsidR="00F14328" w:rsidRPr="00AE18F0" w:rsidRDefault="00F14328" w:rsidP="00F14328">
            <w:pPr>
              <w:pStyle w:val="PwCNormal"/>
              <w:numPr>
                <w:ilvl w:val="0"/>
                <w:numId w:val="74"/>
              </w:numPr>
              <w:spacing w:after="0"/>
            </w:pPr>
            <w:r w:rsidRPr="00AE18F0">
              <w:t>9.2% for medical costs</w:t>
            </w:r>
          </w:p>
          <w:p w:rsidR="00F14328" w:rsidRPr="00AE18F0" w:rsidRDefault="00F14328" w:rsidP="00F14328">
            <w:pPr>
              <w:pStyle w:val="PwCNormal"/>
              <w:numPr>
                <w:ilvl w:val="0"/>
                <w:numId w:val="74"/>
              </w:numPr>
              <w:spacing w:after="0"/>
            </w:pPr>
            <w:r w:rsidRPr="00AE18F0">
              <w:lastRenderedPageBreak/>
              <w:t>10.4% of nursing costs</w:t>
            </w:r>
          </w:p>
          <w:p w:rsidR="00F14328" w:rsidRDefault="00F14328" w:rsidP="00F14328">
            <w:pPr>
              <w:pStyle w:val="PwCNormal"/>
              <w:numPr>
                <w:ilvl w:val="0"/>
                <w:numId w:val="74"/>
              </w:numPr>
              <w:spacing w:after="120"/>
            </w:pPr>
            <w:r w:rsidRPr="00CE0A8F">
              <w:t>3.4% of allied health costs</w:t>
            </w:r>
            <w:r>
              <w:t>.</w:t>
            </w:r>
          </w:p>
          <w:p w:rsidR="00F14328" w:rsidRDefault="00F14328" w:rsidP="00CA6711">
            <w:pPr>
              <w:pStyle w:val="PwCNormal"/>
              <w:numPr>
                <w:ilvl w:val="0"/>
                <w:numId w:val="0"/>
              </w:numPr>
              <w:spacing w:after="120"/>
            </w:pPr>
            <w:r>
              <w:t>For research, the percentages used were:</w:t>
            </w:r>
          </w:p>
          <w:p w:rsidR="00F14328" w:rsidRDefault="00F14328" w:rsidP="00F14328">
            <w:pPr>
              <w:pStyle w:val="PwCNormal"/>
              <w:numPr>
                <w:ilvl w:val="0"/>
                <w:numId w:val="74"/>
              </w:numPr>
              <w:spacing w:after="0"/>
            </w:pPr>
            <w:r>
              <w:t>3.6% for medical costs</w:t>
            </w:r>
          </w:p>
          <w:p w:rsidR="00F14328" w:rsidRDefault="00F14328" w:rsidP="00F14328">
            <w:pPr>
              <w:pStyle w:val="PwCNormal"/>
              <w:numPr>
                <w:ilvl w:val="0"/>
                <w:numId w:val="74"/>
              </w:numPr>
              <w:spacing w:after="0"/>
            </w:pPr>
            <w:r>
              <w:t>1.1% of nursing costs</w:t>
            </w:r>
          </w:p>
          <w:p w:rsidR="00F14328" w:rsidRDefault="00F14328" w:rsidP="00F14328">
            <w:pPr>
              <w:pStyle w:val="PwCNormal"/>
              <w:numPr>
                <w:ilvl w:val="0"/>
                <w:numId w:val="74"/>
              </w:numPr>
              <w:spacing w:after="120"/>
            </w:pPr>
            <w:r>
              <w:t>0.9% of allied health costs.</w:t>
            </w:r>
          </w:p>
          <w:p w:rsidR="00F14328" w:rsidRDefault="00F14328" w:rsidP="00CA6711">
            <w:pPr>
              <w:pStyle w:val="PwCNormal"/>
              <w:numPr>
                <w:ilvl w:val="0"/>
                <w:numId w:val="0"/>
              </w:numPr>
            </w:pPr>
            <w:r>
              <w:t>Research costs are held in special purpose funds and are not brought in for costing.</w:t>
            </w:r>
          </w:p>
        </w:tc>
      </w:tr>
      <w:tr w:rsidR="00F14328" w:rsidTr="006E6862">
        <w:tc>
          <w:tcPr>
            <w:tcW w:w="2376" w:type="dxa"/>
          </w:tcPr>
          <w:p w:rsidR="00F14328" w:rsidRDefault="00F14328" w:rsidP="00CA6711">
            <w:pPr>
              <w:pStyle w:val="PwCNormal"/>
              <w:numPr>
                <w:ilvl w:val="0"/>
                <w:numId w:val="0"/>
              </w:numPr>
            </w:pPr>
            <w:r>
              <w:lastRenderedPageBreak/>
              <w:t>Other</w:t>
            </w:r>
          </w:p>
        </w:tc>
        <w:tc>
          <w:tcPr>
            <w:tcW w:w="6237" w:type="dxa"/>
          </w:tcPr>
          <w:p w:rsidR="00F14328" w:rsidRDefault="00F14328" w:rsidP="00CA6711">
            <w:pPr>
              <w:pStyle w:val="PwCNormal"/>
              <w:numPr>
                <w:ilvl w:val="0"/>
                <w:numId w:val="0"/>
              </w:numPr>
            </w:pPr>
            <w:r>
              <w:t xml:space="preserve">Boarders are not allocated any ward costs; however, they do receive costs for services such as pathology, pharmacy and imaging. </w:t>
            </w:r>
          </w:p>
          <w:p w:rsidR="00F14328" w:rsidRDefault="00F14328" w:rsidP="00CA6711">
            <w:pPr>
              <w:pStyle w:val="PwCNormal"/>
              <w:numPr>
                <w:ilvl w:val="0"/>
                <w:numId w:val="0"/>
              </w:numPr>
            </w:pPr>
            <w:r>
              <w:t>Organ procurement is costed at the care-type level.</w:t>
            </w:r>
          </w:p>
        </w:tc>
      </w:tr>
    </w:tbl>
    <w:p w:rsidR="00F14328" w:rsidRDefault="00F14328" w:rsidP="00F14328">
      <w:pPr>
        <w:pStyle w:val="PwCNormal"/>
        <w:numPr>
          <w:ilvl w:val="0"/>
          <w:numId w:val="0"/>
        </w:numPr>
      </w:pPr>
    </w:p>
    <w:p w:rsidR="00F14328" w:rsidRPr="004E0B72" w:rsidRDefault="00F14328" w:rsidP="00F14328">
      <w:pPr>
        <w:pStyle w:val="Heading3"/>
      </w:pPr>
      <w:r>
        <w:t>Feeder data for sample areas</w:t>
      </w:r>
    </w:p>
    <w:p w:rsidR="00F14328" w:rsidRPr="002449AB" w:rsidRDefault="00F14328" w:rsidP="00F14328">
      <w:pPr>
        <w:pStyle w:val="PwCNormal"/>
        <w:numPr>
          <w:ilvl w:val="0"/>
          <w:numId w:val="0"/>
        </w:numPr>
        <w:rPr>
          <w:b/>
        </w:rPr>
      </w:pPr>
      <w:r>
        <w:rPr>
          <w:b/>
        </w:rPr>
        <w:t>Overview</w:t>
      </w:r>
    </w:p>
    <w:p w:rsidR="00F14328" w:rsidRDefault="00F14328" w:rsidP="00F14328">
      <w:pPr>
        <w:pStyle w:val="PwCNormal"/>
        <w:numPr>
          <w:ilvl w:val="0"/>
          <w:numId w:val="0"/>
        </w:numPr>
      </w:pPr>
      <w:r>
        <w:t>A variety of methods are used to allocate costs at RPH, such as feeder data, for the following areas: imaging, pharmacy, pathology, theatre, critical care units and allied health. Some allocation methodologies of note include:</w:t>
      </w:r>
    </w:p>
    <w:p w:rsidR="00F14328" w:rsidRPr="00AE18F0" w:rsidRDefault="00F14328" w:rsidP="00F14328">
      <w:pPr>
        <w:pStyle w:val="PwCNormal"/>
        <w:numPr>
          <w:ilvl w:val="0"/>
          <w:numId w:val="51"/>
        </w:numPr>
      </w:pPr>
      <w:r>
        <w:t xml:space="preserve">Patients are allocated ward medical costs </w:t>
      </w:r>
      <w:r w:rsidRPr="00AE18F0">
        <w:t>based on AHPC</w:t>
      </w:r>
      <w:r>
        <w:t>S</w:t>
      </w:r>
      <w:r w:rsidRPr="00AE18F0">
        <w:t xml:space="preserve"> line items and their LOS.</w:t>
      </w:r>
    </w:p>
    <w:p w:rsidR="00F14328" w:rsidRDefault="00F14328" w:rsidP="00F14328">
      <w:pPr>
        <w:pStyle w:val="PwCNormal"/>
        <w:numPr>
          <w:ilvl w:val="0"/>
          <w:numId w:val="51"/>
        </w:numPr>
      </w:pPr>
      <w:r>
        <w:t>Prosthetics costs are allocated directly to patients using the theatre management system feeder data. RVUs used for the feeder are developed using the actual costs of the prosthetics.</w:t>
      </w:r>
    </w:p>
    <w:p w:rsidR="00F14328" w:rsidRDefault="00F14328" w:rsidP="00F14328">
      <w:pPr>
        <w:pStyle w:val="PwCNormal"/>
        <w:numPr>
          <w:ilvl w:val="0"/>
          <w:numId w:val="0"/>
        </w:numPr>
        <w:rPr>
          <w:b/>
        </w:rPr>
      </w:pPr>
      <w:r>
        <w:rPr>
          <w:b/>
        </w:rPr>
        <w:t>Pharmacy</w:t>
      </w:r>
    </w:p>
    <w:p w:rsidR="00F14328" w:rsidRDefault="00F14328" w:rsidP="00F14328">
      <w:pPr>
        <w:pStyle w:val="PwCNormal"/>
        <w:numPr>
          <w:ilvl w:val="0"/>
          <w:numId w:val="0"/>
        </w:numPr>
      </w:pPr>
      <w:r>
        <w:t xml:space="preserve">RPH uses </w:t>
      </w:r>
      <w:proofErr w:type="spellStart"/>
      <w:r>
        <w:t>iPharmacy</w:t>
      </w:r>
      <w:proofErr w:type="spellEnd"/>
      <w:r>
        <w:t xml:space="preserve">, which records consumption of pharmacy products by patients. Dispensed drugs that are administered directly to patients are recorded in </w:t>
      </w:r>
      <w:proofErr w:type="spellStart"/>
      <w:r w:rsidR="002821F4">
        <w:t>iPharmacy</w:t>
      </w:r>
      <w:proofErr w:type="spellEnd"/>
      <w:r w:rsidR="002821F4">
        <w:t>, which</w:t>
      </w:r>
      <w:r>
        <w:t xml:space="preserve"> is used to allocate costs directly to the patient during costing. The unit cost allocated to patients is taken from the vendors’ price list. </w:t>
      </w:r>
    </w:p>
    <w:p w:rsidR="00F14328" w:rsidRDefault="00F14328" w:rsidP="00F14328">
      <w:pPr>
        <w:pStyle w:val="PwCNormal"/>
        <w:numPr>
          <w:ilvl w:val="0"/>
          <w:numId w:val="0"/>
        </w:numPr>
      </w:pPr>
      <w:r>
        <w:t xml:space="preserve">Dispensed drugs are linked to patients based on their medical record number and date of service. It is linked using the following hierarchy: first to emergency department patients, then inpatients, outpatients and then other patient types. The linking is done in waves through the hierarchy, increasing the number of days deviated from the date of service. This starts with zero days then increases to 30 days before and </w:t>
      </w:r>
      <w:r w:rsidR="000A17F0">
        <w:t xml:space="preserve">five </w:t>
      </w:r>
      <w:r>
        <w:t>days after the date of service. Records that are unable to be linked are linked to a virtual patient, which holds the costs for those drugs.</w:t>
      </w:r>
    </w:p>
    <w:p w:rsidR="00F14328" w:rsidRDefault="00F14328" w:rsidP="00F14328">
      <w:pPr>
        <w:pStyle w:val="PwCNormal"/>
        <w:numPr>
          <w:ilvl w:val="0"/>
          <w:numId w:val="0"/>
        </w:numPr>
      </w:pPr>
      <w:proofErr w:type="spellStart"/>
      <w:r>
        <w:t>Imprest</w:t>
      </w:r>
      <w:proofErr w:type="spellEnd"/>
      <w:r>
        <w:t xml:space="preserve"> drug costs are allocated to wards, and are the distributed to patients along with the ward costs.</w:t>
      </w:r>
    </w:p>
    <w:p w:rsidR="00F14328" w:rsidRDefault="00367B9F" w:rsidP="00F14328">
      <w:pPr>
        <w:pStyle w:val="PwCNormal"/>
        <w:numPr>
          <w:ilvl w:val="0"/>
          <w:numId w:val="0"/>
        </w:numPr>
      </w:pPr>
      <w:r>
        <w:fldChar w:fldCharType="begin"/>
      </w:r>
      <w:r>
        <w:instrText xml:space="preserve"> REF _Ref403229999 \h </w:instrText>
      </w:r>
      <w:r>
        <w:fldChar w:fldCharType="separate"/>
      </w:r>
      <w:r w:rsidR="00575DFC">
        <w:t xml:space="preserve">Table </w:t>
      </w:r>
      <w:r w:rsidR="00575DFC">
        <w:rPr>
          <w:noProof/>
        </w:rPr>
        <w:t>96</w:t>
      </w:r>
      <w:r>
        <w:fldChar w:fldCharType="end"/>
      </w:r>
      <w:r w:rsidR="00F14328">
        <w:t xml:space="preserve"> below outlines the linking of records from the source system to patients within the hospital products.</w:t>
      </w:r>
    </w:p>
    <w:p w:rsidR="00F14328" w:rsidRDefault="00F14328" w:rsidP="00F14328">
      <w:pPr>
        <w:pStyle w:val="Caption"/>
      </w:pPr>
      <w:bookmarkStart w:id="142" w:name="_Ref403229999"/>
      <w:r>
        <w:lastRenderedPageBreak/>
        <w:t xml:space="preserve">Table </w:t>
      </w:r>
      <w:fldSimple w:instr=" SEQ Table \* ARABIC ">
        <w:r w:rsidR="00575DFC">
          <w:rPr>
            <w:noProof/>
          </w:rPr>
          <w:t>96</w:t>
        </w:r>
      </w:fldSimple>
      <w:bookmarkEnd w:id="142"/>
      <w:r>
        <w:t xml:space="preserve">: </w:t>
      </w:r>
      <w:r w:rsidRPr="00EC19EE">
        <w:t>Outcome of pharmacy feeder linking</w:t>
      </w:r>
    </w:p>
    <w:p w:rsidR="00F14328" w:rsidRDefault="00F14328" w:rsidP="00F14328">
      <w:pPr>
        <w:pStyle w:val="PwCNormal"/>
        <w:numPr>
          <w:ilvl w:val="0"/>
          <w:numId w:val="0"/>
        </w:numPr>
        <w:rPr>
          <w:highlight w:val="yellow"/>
        </w:rPr>
      </w:pPr>
      <w:r w:rsidRPr="002A78D7">
        <w:rPr>
          <w:noProof/>
          <w:lang w:eastAsia="en-AU"/>
        </w:rPr>
        <w:drawing>
          <wp:inline distT="0" distB="0" distL="0" distR="0" wp14:anchorId="4343A5AC" wp14:editId="15378F01">
            <wp:extent cx="2858400" cy="2638800"/>
            <wp:effectExtent l="0" t="0" r="0" b="9525"/>
            <wp:docPr id="124" name="Picture 124"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8400" cy="2638800"/>
                    </a:xfrm>
                    <a:prstGeom prst="rect">
                      <a:avLst/>
                    </a:prstGeom>
                    <a:noFill/>
                    <a:ln>
                      <a:noFill/>
                    </a:ln>
                  </pic:spPr>
                </pic:pic>
              </a:graphicData>
            </a:graphic>
          </wp:inline>
        </w:drawing>
      </w:r>
    </w:p>
    <w:p w:rsidR="00F14328" w:rsidRDefault="00F14328" w:rsidP="00F14328">
      <w:pPr>
        <w:pStyle w:val="PwCNormal"/>
        <w:numPr>
          <w:ilvl w:val="0"/>
          <w:numId w:val="0"/>
        </w:numPr>
        <w:rPr>
          <w:b/>
        </w:rPr>
      </w:pPr>
      <w:r>
        <w:rPr>
          <w:b/>
        </w:rPr>
        <w:t>Theatre</w:t>
      </w:r>
    </w:p>
    <w:p w:rsidR="00F14328" w:rsidRDefault="00F14328" w:rsidP="00F14328">
      <w:pPr>
        <w:pStyle w:val="PwCNormal"/>
        <w:numPr>
          <w:ilvl w:val="0"/>
          <w:numId w:val="0"/>
        </w:numPr>
      </w:pPr>
      <w:r>
        <w:t>RPH uses TMS as their theatre management system, which records information on patient operations, such as start and end time of anaesthetics, and date and time of first-cut time spent in recovery. Data is extracted from the system and links directly to the patient encounter.</w:t>
      </w:r>
    </w:p>
    <w:p w:rsidR="00F14328" w:rsidRDefault="00F14328" w:rsidP="00F14328">
      <w:pPr>
        <w:pStyle w:val="PwCNormal"/>
        <w:numPr>
          <w:ilvl w:val="0"/>
          <w:numId w:val="0"/>
        </w:numPr>
      </w:pPr>
      <w:r>
        <w:t>Theatre costs are added together into one bucket and allocated to patients using their ‘total time’, which is the sum of their preparation time, surgery time and recovery.</w:t>
      </w:r>
    </w:p>
    <w:p w:rsidR="00F14328" w:rsidRDefault="00367B9F" w:rsidP="00F14328">
      <w:pPr>
        <w:pStyle w:val="PwCNormal"/>
        <w:numPr>
          <w:ilvl w:val="0"/>
          <w:numId w:val="0"/>
        </w:numPr>
      </w:pPr>
      <w:r>
        <w:fldChar w:fldCharType="begin"/>
      </w:r>
      <w:r>
        <w:instrText xml:space="preserve"> REF _Ref403230012 \h </w:instrText>
      </w:r>
      <w:r>
        <w:fldChar w:fldCharType="separate"/>
      </w:r>
      <w:r w:rsidR="00575DFC">
        <w:t xml:space="preserve">Table </w:t>
      </w:r>
      <w:r w:rsidR="00575DFC">
        <w:rPr>
          <w:noProof/>
        </w:rPr>
        <w:t>97</w:t>
      </w:r>
      <w:r>
        <w:fldChar w:fldCharType="end"/>
      </w:r>
      <w:r>
        <w:t xml:space="preserve"> </w:t>
      </w:r>
      <w:r w:rsidR="00F14328">
        <w:t>below outlines the linking of records from TMS to patients within the hospital products.</w:t>
      </w:r>
    </w:p>
    <w:p w:rsidR="00F14328" w:rsidRDefault="00F14328" w:rsidP="00F14328">
      <w:pPr>
        <w:pStyle w:val="Caption"/>
      </w:pPr>
      <w:bookmarkStart w:id="143" w:name="_Ref403230012"/>
      <w:r>
        <w:t xml:space="preserve">Table </w:t>
      </w:r>
      <w:fldSimple w:instr=" SEQ Table \* ARABIC ">
        <w:r w:rsidR="00575DFC">
          <w:rPr>
            <w:noProof/>
          </w:rPr>
          <w:t>97</w:t>
        </w:r>
      </w:fldSimple>
      <w:bookmarkEnd w:id="143"/>
      <w:r>
        <w:t xml:space="preserve">: </w:t>
      </w:r>
      <w:r w:rsidRPr="002A733C">
        <w:t>Outcome of theatre feeder linking</w:t>
      </w:r>
    </w:p>
    <w:p w:rsidR="000A17F0" w:rsidRDefault="00F14328" w:rsidP="00F20521">
      <w:pPr>
        <w:rPr>
          <w:b/>
        </w:rPr>
      </w:pPr>
      <w:r w:rsidRPr="002A78D7">
        <w:rPr>
          <w:noProof/>
          <w:lang w:eastAsia="en-AU"/>
        </w:rPr>
        <w:drawing>
          <wp:inline distT="0" distB="0" distL="0" distR="0" wp14:anchorId="0F75D2D6" wp14:editId="36261B6F">
            <wp:extent cx="3038400" cy="2808000"/>
            <wp:effectExtent l="0" t="0" r="0" b="0"/>
            <wp:docPr id="125" name="Picture 125"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038400" cy="2808000"/>
                    </a:xfrm>
                    <a:prstGeom prst="rect">
                      <a:avLst/>
                    </a:prstGeom>
                    <a:noFill/>
                    <a:ln>
                      <a:noFill/>
                    </a:ln>
                  </pic:spPr>
                </pic:pic>
              </a:graphicData>
            </a:graphic>
          </wp:inline>
        </w:drawing>
      </w:r>
      <w:r w:rsidR="000A17F0">
        <w:rPr>
          <w:b/>
        </w:rPr>
        <w:br w:type="page"/>
      </w:r>
    </w:p>
    <w:p w:rsidR="00F14328" w:rsidRPr="002449AB" w:rsidRDefault="00F14328" w:rsidP="00F14328">
      <w:pPr>
        <w:pStyle w:val="PwCNormal"/>
        <w:numPr>
          <w:ilvl w:val="0"/>
          <w:numId w:val="0"/>
        </w:numPr>
        <w:rPr>
          <w:b/>
        </w:rPr>
      </w:pPr>
      <w:r>
        <w:rPr>
          <w:b/>
        </w:rPr>
        <w:lastRenderedPageBreak/>
        <w:t>Ward nursing</w:t>
      </w:r>
    </w:p>
    <w:p w:rsidR="00F14328" w:rsidRDefault="00F14328" w:rsidP="00F14328">
      <w:pPr>
        <w:pStyle w:val="PwCNormal"/>
        <w:numPr>
          <w:ilvl w:val="0"/>
          <w:numId w:val="0"/>
        </w:numPr>
      </w:pPr>
      <w:proofErr w:type="gramStart"/>
      <w:r>
        <w:t>TOPAS records all encounter information at RPH and includes</w:t>
      </w:r>
      <w:proofErr w:type="gramEnd"/>
      <w:r>
        <w:t xml:space="preserve"> data such as the admission and discharge date, and time and transfers between wards and units. Data is extracted from the system and links directly to the patient encounter.</w:t>
      </w:r>
      <w:r w:rsidR="00367B9F">
        <w:t xml:space="preserve"> As </w:t>
      </w:r>
      <w:r w:rsidR="00367B9F">
        <w:fldChar w:fldCharType="begin"/>
      </w:r>
      <w:r w:rsidR="00367B9F">
        <w:instrText xml:space="preserve"> REF _Ref403230039 \h </w:instrText>
      </w:r>
      <w:r w:rsidR="00367B9F">
        <w:fldChar w:fldCharType="separate"/>
      </w:r>
      <w:r w:rsidR="00575DFC">
        <w:t xml:space="preserve">Table </w:t>
      </w:r>
      <w:r w:rsidR="00575DFC">
        <w:rPr>
          <w:noProof/>
        </w:rPr>
        <w:t>98</w:t>
      </w:r>
      <w:r w:rsidR="00367B9F">
        <w:fldChar w:fldCharType="end"/>
      </w:r>
      <w:r w:rsidR="00367B9F">
        <w:t xml:space="preserve"> below identifies, all records were linked to inpatients.</w:t>
      </w:r>
    </w:p>
    <w:p w:rsidR="00F14328" w:rsidRDefault="00F14328" w:rsidP="00F14328">
      <w:pPr>
        <w:pStyle w:val="PwCNormal"/>
        <w:numPr>
          <w:ilvl w:val="0"/>
          <w:numId w:val="0"/>
        </w:numPr>
      </w:pPr>
      <w:r>
        <w:t>Patient stay was identified down to the ward and unit level (such as a maternity ward or critical care unit) and a LOS was generated from the start and end date and time.</w:t>
      </w:r>
    </w:p>
    <w:p w:rsidR="00F14328" w:rsidRDefault="00F14328" w:rsidP="00F14328">
      <w:pPr>
        <w:pStyle w:val="Caption"/>
      </w:pPr>
      <w:bookmarkStart w:id="144" w:name="_Ref403230039"/>
      <w:r>
        <w:t xml:space="preserve">Table </w:t>
      </w:r>
      <w:fldSimple w:instr=" SEQ Table \* ARABIC ">
        <w:r w:rsidR="00575DFC">
          <w:rPr>
            <w:noProof/>
          </w:rPr>
          <w:t>98</w:t>
        </w:r>
      </w:fldSimple>
      <w:bookmarkEnd w:id="144"/>
      <w:r>
        <w:t xml:space="preserve">: </w:t>
      </w:r>
      <w:r w:rsidRPr="008857FB">
        <w:t>Outcome of ward nursing feeder linking</w:t>
      </w:r>
    </w:p>
    <w:p w:rsidR="00F14328" w:rsidRDefault="00F14328" w:rsidP="00F14328">
      <w:pPr>
        <w:pStyle w:val="PwCNormal"/>
        <w:numPr>
          <w:ilvl w:val="0"/>
          <w:numId w:val="0"/>
        </w:numPr>
        <w:rPr>
          <w:rStyle w:val="CommentReference"/>
        </w:rPr>
      </w:pPr>
      <w:r w:rsidRPr="00AE18F0">
        <w:rPr>
          <w:noProof/>
          <w:lang w:eastAsia="en-AU"/>
        </w:rPr>
        <w:drawing>
          <wp:inline distT="0" distB="0" distL="0" distR="0" wp14:anchorId="6EF733EF" wp14:editId="1C904406">
            <wp:extent cx="2871430" cy="2655417"/>
            <wp:effectExtent l="0" t="0" r="5715" b="0"/>
            <wp:docPr id="97" name="Picture 97"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78815" cy="2662246"/>
                    </a:xfrm>
                    <a:prstGeom prst="rect">
                      <a:avLst/>
                    </a:prstGeom>
                    <a:noFill/>
                    <a:ln>
                      <a:noFill/>
                    </a:ln>
                  </pic:spPr>
                </pic:pic>
              </a:graphicData>
            </a:graphic>
          </wp:inline>
        </w:drawing>
      </w:r>
    </w:p>
    <w:p w:rsidR="00F14328" w:rsidRPr="004E0B72" w:rsidRDefault="00F14328" w:rsidP="00F14328">
      <w:pPr>
        <w:pStyle w:val="Heading3"/>
      </w:pPr>
      <w:bookmarkStart w:id="145" w:name="_Ref403229467"/>
      <w:r>
        <w:t>The costed dataset</w:t>
      </w:r>
      <w:bookmarkEnd w:id="145"/>
    </w:p>
    <w:p w:rsidR="00F14328" w:rsidRPr="002449AB" w:rsidRDefault="00F14328" w:rsidP="00F14328">
      <w:pPr>
        <w:pStyle w:val="PwCNormal"/>
        <w:numPr>
          <w:ilvl w:val="0"/>
          <w:numId w:val="0"/>
        </w:numPr>
        <w:rPr>
          <w:b/>
        </w:rPr>
      </w:pPr>
      <w:r>
        <w:rPr>
          <w:b/>
        </w:rPr>
        <w:t>QA process</w:t>
      </w:r>
    </w:p>
    <w:p w:rsidR="00F14328" w:rsidRDefault="00F14328" w:rsidP="00F14328">
      <w:pPr>
        <w:pStyle w:val="PwCNormal"/>
        <w:numPr>
          <w:ilvl w:val="0"/>
          <w:numId w:val="0"/>
        </w:numPr>
      </w:pPr>
      <w:r>
        <w:t>Once costing was completed, the South Metro costing staff performed a range of quality assurance checks and reconciliations. These included high-level reconciliations using the costing software, such as GL to costing reconciliations, allocation of overheads to direct cost centres and allocations to non-hospital products. RPH also reviewed very high or low-cost patients, along with any negative cost patients. Issues identified during the process were rectified and the new costing results went through the QA processes.</w:t>
      </w:r>
    </w:p>
    <w:p w:rsidR="00F14328" w:rsidRPr="002449AB" w:rsidRDefault="00F14328" w:rsidP="00F14328">
      <w:pPr>
        <w:pStyle w:val="PwCNormal"/>
        <w:numPr>
          <w:ilvl w:val="0"/>
          <w:numId w:val="0"/>
        </w:numPr>
        <w:rPr>
          <w:b/>
        </w:rPr>
      </w:pPr>
      <w:r>
        <w:rPr>
          <w:b/>
        </w:rPr>
        <w:t>Adjustments</w:t>
      </w:r>
    </w:p>
    <w:p w:rsidR="00F14328" w:rsidRDefault="00F14328" w:rsidP="00F14328">
      <w:pPr>
        <w:pStyle w:val="PwCNormal"/>
        <w:numPr>
          <w:ilvl w:val="0"/>
          <w:numId w:val="0"/>
        </w:numPr>
      </w:pPr>
      <w:r>
        <w:t>No adjustments were made by RPH at this point in the costing process.</w:t>
      </w:r>
    </w:p>
    <w:p w:rsidR="00F14328" w:rsidRPr="002449AB" w:rsidRDefault="00F14328" w:rsidP="00F14328">
      <w:pPr>
        <w:pStyle w:val="PwCNormal"/>
        <w:numPr>
          <w:ilvl w:val="0"/>
          <w:numId w:val="0"/>
        </w:numPr>
        <w:rPr>
          <w:b/>
        </w:rPr>
      </w:pPr>
      <w:r>
        <w:rPr>
          <w:b/>
        </w:rPr>
        <w:t>Work in progress (Item E)</w:t>
      </w:r>
    </w:p>
    <w:p w:rsidR="00F14328" w:rsidRDefault="00F14328" w:rsidP="00F14328">
      <w:pPr>
        <w:pStyle w:val="PwCNormal"/>
        <w:numPr>
          <w:ilvl w:val="0"/>
          <w:numId w:val="0"/>
        </w:numPr>
      </w:pPr>
      <w:r>
        <w:t xml:space="preserve">Adjustments were made for patients whose stay at the hospital crosses the financial year. </w:t>
      </w:r>
      <w:r w:rsidR="00367B9F">
        <w:fldChar w:fldCharType="begin"/>
      </w:r>
      <w:r w:rsidR="00367B9F">
        <w:instrText xml:space="preserve"> REF _Ref403230073 \h </w:instrText>
      </w:r>
      <w:r w:rsidR="00367B9F">
        <w:fldChar w:fldCharType="separate"/>
      </w:r>
      <w:r w:rsidR="00575DFC">
        <w:t xml:space="preserve">Figure </w:t>
      </w:r>
      <w:r w:rsidR="00575DFC">
        <w:rPr>
          <w:noProof/>
        </w:rPr>
        <w:t>10</w:t>
      </w:r>
      <w:r w:rsidR="00367B9F">
        <w:fldChar w:fldCharType="end"/>
      </w:r>
      <w:r>
        <w:t xml:space="preserve"> below illustrates the four combinations of admission and discharge dates that can occur and the treatment of cost and submission through to IHPA.</w:t>
      </w:r>
    </w:p>
    <w:p w:rsidR="00F14328" w:rsidRDefault="00F14328" w:rsidP="00F14328">
      <w:pPr>
        <w:pStyle w:val="Caption"/>
      </w:pPr>
      <w:bookmarkStart w:id="146" w:name="_Ref403230073"/>
      <w:r>
        <w:lastRenderedPageBreak/>
        <w:t xml:space="preserve">Figure </w:t>
      </w:r>
      <w:fldSimple w:instr=" SEQ Figure \* ARABIC ">
        <w:r w:rsidR="00575DFC">
          <w:rPr>
            <w:noProof/>
          </w:rPr>
          <w:t>10</w:t>
        </w:r>
      </w:fldSimple>
      <w:bookmarkEnd w:id="146"/>
      <w:r>
        <w:t xml:space="preserve">: </w:t>
      </w:r>
      <w:r w:rsidRPr="009623B5">
        <w:t xml:space="preserve">Treatment of </w:t>
      </w:r>
      <w:r w:rsidR="00CE2045">
        <w:t>WIP</w:t>
      </w:r>
      <w:r w:rsidRPr="009623B5">
        <w:t xml:space="preserve"> patients</w:t>
      </w:r>
    </w:p>
    <w:p w:rsidR="00F14328" w:rsidRDefault="00283DEC" w:rsidP="00F14328">
      <w:r w:rsidRPr="000D62BB">
        <w:rPr>
          <w:noProof/>
          <w:lang w:eastAsia="en-AU"/>
        </w:rPr>
        <w:drawing>
          <wp:inline distT="0" distB="0" distL="0" distR="0" wp14:anchorId="658E58BE" wp14:editId="20EF6491">
            <wp:extent cx="5850255" cy="1530350"/>
            <wp:effectExtent l="0" t="0" r="0" b="0"/>
            <wp:docPr id="132" name="Picture 132" descr="This table outlines the treatment of work in progress patients. All patients who were admitted during the financial year were allocated costs, but only those discharged were in the financial year were submitted." title="Treatment of work in progress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255" cy="1530350"/>
                    </a:xfrm>
                    <a:prstGeom prst="rect">
                      <a:avLst/>
                    </a:prstGeom>
                    <a:noFill/>
                    <a:ln>
                      <a:noFill/>
                    </a:ln>
                  </pic:spPr>
                </pic:pic>
              </a:graphicData>
            </a:graphic>
          </wp:inline>
        </w:drawing>
      </w:r>
    </w:p>
    <w:p w:rsidR="00F14328" w:rsidRPr="002B7575" w:rsidRDefault="00F14328" w:rsidP="00F14328">
      <w:pPr>
        <w:pStyle w:val="PwCNormal"/>
      </w:pPr>
    </w:p>
    <w:p w:rsidR="00F14328" w:rsidRDefault="00F14328" w:rsidP="00F14328">
      <w:pPr>
        <w:pStyle w:val="PwCNormal"/>
        <w:numPr>
          <w:ilvl w:val="0"/>
          <w:numId w:val="0"/>
        </w:numPr>
      </w:pPr>
      <w:r>
        <w:t>In Round 17, RPH patients in each of these scenarios were treated in the following ways:</w:t>
      </w:r>
    </w:p>
    <w:p w:rsidR="00F14328" w:rsidRDefault="00F14328" w:rsidP="00F14328">
      <w:pPr>
        <w:pStyle w:val="PwCNormal"/>
        <w:numPr>
          <w:ilvl w:val="0"/>
          <w:numId w:val="44"/>
        </w:numPr>
      </w:pPr>
      <w:r>
        <w:t>Scenario 1 patients were allocated FY 2012/13 costs for the full length of their stay. These patients were submitted to IHPA.</w:t>
      </w:r>
    </w:p>
    <w:p w:rsidR="00F14328" w:rsidRDefault="00F14328" w:rsidP="00F14328">
      <w:pPr>
        <w:pStyle w:val="PwCNormal"/>
        <w:numPr>
          <w:ilvl w:val="0"/>
          <w:numId w:val="44"/>
        </w:numPr>
      </w:pPr>
      <w:r>
        <w:t xml:space="preserve">Scenario 2 patients were allocated FY 2012/13 costs for the portion of their stay that fell within the year. No </w:t>
      </w:r>
      <w:r w:rsidRPr="00CA002D">
        <w:t>costs were brought forward from prior years</w:t>
      </w:r>
      <w:r>
        <w:t xml:space="preserve"> as this is the first year RPH is using this methodology</w:t>
      </w:r>
      <w:r w:rsidRPr="00CA002D">
        <w:t>.</w:t>
      </w:r>
    </w:p>
    <w:p w:rsidR="00F14328" w:rsidRDefault="00F14328" w:rsidP="00F14328">
      <w:pPr>
        <w:pStyle w:val="PwCNormal"/>
        <w:numPr>
          <w:ilvl w:val="0"/>
          <w:numId w:val="44"/>
        </w:numPr>
      </w:pPr>
      <w:r>
        <w:t>Scenario 3 patients were allocated FY 2012/13 costs for the portion of their stay that fell within the year. These patients were then set aside and will be submitted to IHPA in future rounds.</w:t>
      </w:r>
    </w:p>
    <w:p w:rsidR="00F14328" w:rsidRDefault="00F14328" w:rsidP="00F14328">
      <w:pPr>
        <w:pStyle w:val="PwCNormal"/>
        <w:numPr>
          <w:ilvl w:val="0"/>
          <w:numId w:val="44"/>
        </w:numPr>
      </w:pPr>
      <w:r>
        <w:t xml:space="preserve">Scenario 4 patients were allocated FY 2012/13 costs for the portion of their stay that fell within the year. These patients were then set aside and will be submitted to IHPA in future rounds. No </w:t>
      </w:r>
      <w:r w:rsidRPr="00CA002D">
        <w:t>costs were brought forward from prior years</w:t>
      </w:r>
      <w:r>
        <w:t xml:space="preserve"> as this is the first year RPH is using this methodology</w:t>
      </w:r>
      <w:r w:rsidRPr="00CA002D">
        <w:t>.</w:t>
      </w:r>
    </w:p>
    <w:p w:rsidR="00F14328" w:rsidRDefault="00F14328" w:rsidP="00F14328">
      <w:pPr>
        <w:pStyle w:val="PwCNormal"/>
        <w:numPr>
          <w:ilvl w:val="0"/>
          <w:numId w:val="0"/>
        </w:numPr>
      </w:pPr>
      <w:r>
        <w:t>This is the first year that WIP adjustments were made to costing data at RPH, so in future rounds there will be costs brought forward for scenario 2 and scenario 4 patients.</w:t>
      </w:r>
    </w:p>
    <w:p w:rsidR="00F14328" w:rsidRPr="004E0B72" w:rsidRDefault="00F14328" w:rsidP="00F14328">
      <w:pPr>
        <w:pStyle w:val="Heading3"/>
      </w:pPr>
      <w:r>
        <w:t>Sample patients</w:t>
      </w:r>
    </w:p>
    <w:p w:rsidR="00F14328" w:rsidRDefault="002729CE" w:rsidP="00F14328">
      <w:pPr>
        <w:pStyle w:val="PwCNormal"/>
        <w:numPr>
          <w:ilvl w:val="0"/>
          <w:numId w:val="0"/>
        </w:numPr>
      </w:pPr>
      <w:r>
        <w:t>A sample of five</w:t>
      </w:r>
      <w:r w:rsidRPr="00E22F8A">
        <w:t xml:space="preserve"> patients was requested to </w:t>
      </w:r>
      <w:r>
        <w:t>verify</w:t>
      </w:r>
      <w:r w:rsidRPr="00E22F8A">
        <w:t xml:space="preserve"> </w:t>
      </w:r>
      <w:r>
        <w:t xml:space="preserve">that the total cost attributed to the jurisdiction’s submitted patient records </w:t>
      </w:r>
      <w:r w:rsidRPr="00E22F8A">
        <w:t xml:space="preserve">reconciles with what IHPA </w:t>
      </w:r>
      <w:r>
        <w:t>has recorded as being received</w:t>
      </w:r>
      <w:r w:rsidR="00F14328" w:rsidRPr="00E22F8A">
        <w:t>.</w:t>
      </w:r>
      <w:r w:rsidR="00F14328">
        <w:t xml:space="preserve"> No variances were identified from the reconciliation, as illustrated in </w:t>
      </w:r>
      <w:r w:rsidR="00367B9F">
        <w:fldChar w:fldCharType="begin"/>
      </w:r>
      <w:r w:rsidR="00367B9F">
        <w:instrText xml:space="preserve"> REF _Ref403230100 \h </w:instrText>
      </w:r>
      <w:r w:rsidR="00367B9F">
        <w:fldChar w:fldCharType="separate"/>
      </w:r>
      <w:r w:rsidR="00575DFC">
        <w:t xml:space="preserve">Table </w:t>
      </w:r>
      <w:r w:rsidR="00575DFC">
        <w:rPr>
          <w:noProof/>
        </w:rPr>
        <w:t>99</w:t>
      </w:r>
      <w:r w:rsidR="00367B9F">
        <w:fldChar w:fldCharType="end"/>
      </w:r>
      <w:r w:rsidR="00F14328">
        <w:t xml:space="preserve"> below. </w:t>
      </w:r>
    </w:p>
    <w:p w:rsidR="00F14328" w:rsidRDefault="00F14328" w:rsidP="00F14328">
      <w:pPr>
        <w:pStyle w:val="Caption"/>
      </w:pPr>
      <w:bookmarkStart w:id="147" w:name="_Ref403230100"/>
      <w:r>
        <w:t xml:space="preserve">Table </w:t>
      </w:r>
      <w:fldSimple w:instr=" SEQ Table \* ARABIC ">
        <w:r w:rsidR="00575DFC">
          <w:rPr>
            <w:noProof/>
          </w:rPr>
          <w:t>99</w:t>
        </w:r>
      </w:fldSimple>
      <w:bookmarkEnd w:id="147"/>
      <w:r>
        <w:t xml:space="preserve">: </w:t>
      </w:r>
      <w:r w:rsidRPr="001225A4">
        <w:t>Sample patient reconciliation with IHPA</w:t>
      </w:r>
    </w:p>
    <w:p w:rsidR="00F14328" w:rsidRDefault="00F14328" w:rsidP="00F14328">
      <w:pPr>
        <w:pStyle w:val="PwCNormal"/>
        <w:numPr>
          <w:ilvl w:val="0"/>
          <w:numId w:val="0"/>
        </w:numPr>
      </w:pPr>
      <w:r w:rsidRPr="00536A78">
        <w:rPr>
          <w:noProof/>
          <w:lang w:eastAsia="en-AU"/>
        </w:rPr>
        <w:drawing>
          <wp:inline distT="0" distB="0" distL="0" distR="0" wp14:anchorId="1AF1C59A" wp14:editId="48365DE4">
            <wp:extent cx="4150800" cy="1224000"/>
            <wp:effectExtent l="0" t="0" r="2540" b="0"/>
            <wp:docPr id="127" name="Picture 127"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150800" cy="1224000"/>
                    </a:xfrm>
                    <a:prstGeom prst="rect">
                      <a:avLst/>
                    </a:prstGeom>
                    <a:noFill/>
                    <a:ln>
                      <a:noFill/>
                    </a:ln>
                  </pic:spPr>
                </pic:pic>
              </a:graphicData>
            </a:graphic>
          </wp:inline>
        </w:drawing>
      </w:r>
    </w:p>
    <w:p w:rsidR="00F14328" w:rsidRDefault="00F14328" w:rsidP="00F14328">
      <w:pPr>
        <w:kinsoku/>
        <w:overflowPunct/>
        <w:autoSpaceDE/>
        <w:autoSpaceDN/>
        <w:adjustRightInd/>
        <w:snapToGrid/>
      </w:pPr>
      <w:r>
        <w:br w:type="page"/>
      </w:r>
    </w:p>
    <w:p w:rsidR="00F14328" w:rsidRDefault="00F14328" w:rsidP="00F14328">
      <w:pPr>
        <w:pStyle w:val="Heading2"/>
        <w:spacing w:before="0" w:after="40"/>
      </w:pPr>
      <w:r>
        <w:lastRenderedPageBreak/>
        <w:t>Swan District Hospital</w:t>
      </w:r>
    </w:p>
    <w:p w:rsidR="00F14328" w:rsidRPr="004E0B72" w:rsidRDefault="00F14328" w:rsidP="00F14328">
      <w:pPr>
        <w:pStyle w:val="Heading3"/>
      </w:pPr>
      <w:r>
        <w:t>Site overview</w:t>
      </w:r>
    </w:p>
    <w:p w:rsidR="00F14328" w:rsidRDefault="00F14328">
      <w:pPr>
        <w:pStyle w:val="PwCNormal"/>
      </w:pPr>
      <w:r>
        <w:t xml:space="preserve">Swan District Hospital (Swan), which is part of North Metro HS, is a large metro hospital in the east of Perth whose local population has grown significantly in recent years. A new hospital is currently under </w:t>
      </w:r>
      <w:r w:rsidR="002821F4">
        <w:t>development, which</w:t>
      </w:r>
      <w:r>
        <w:t xml:space="preserve"> will replace existing infrastructure. Round 19 (FY 2014/15) will be the last year of activity for the current buildings. </w:t>
      </w:r>
    </w:p>
    <w:p w:rsidR="00F14328" w:rsidRDefault="00F14328" w:rsidP="00F14328">
      <w:pPr>
        <w:pStyle w:val="PwCNormal"/>
      </w:pPr>
      <w:r>
        <w:t>Swan currently offers most major specialities and surgeries, including an emergency department and maternity ward. Swan’s sister hospital, Kalamunda Hospital, provides rehabilitation services for patients in the local area.</w:t>
      </w:r>
    </w:p>
    <w:p w:rsidR="00F14328" w:rsidRPr="004218EA" w:rsidRDefault="00F14328" w:rsidP="00F14328">
      <w:pPr>
        <w:pStyle w:val="PwCNormal"/>
      </w:pPr>
      <w:r>
        <w:t>Swan was costed by the North Metro HS team using PPM2. A new patient administration system (</w:t>
      </w:r>
      <w:proofErr w:type="spellStart"/>
      <w:r>
        <w:t>webPAS</w:t>
      </w:r>
      <w:proofErr w:type="spellEnd"/>
      <w:r>
        <w:t>) was introduced in Round 17, on 4 July 2012. This new system enables the hospital to split patient records when they are admitted from the emergency department, removing the need for manual adjustments to activity data for costing purposes.</w:t>
      </w:r>
    </w:p>
    <w:p w:rsidR="00F14328" w:rsidRDefault="00F14328" w:rsidP="00F14328">
      <w:pPr>
        <w:pStyle w:val="Caption"/>
      </w:pPr>
      <w:r>
        <w:t xml:space="preserve">Table </w:t>
      </w:r>
      <w:fldSimple w:instr=" SEQ Table \* ARABIC ">
        <w:r w:rsidR="00575DFC">
          <w:rPr>
            <w:noProof/>
          </w:rPr>
          <w:t>100</w:t>
        </w:r>
      </w:fldSimple>
      <w:r>
        <w:t xml:space="preserve">: </w:t>
      </w:r>
      <w:r w:rsidRPr="00CD154D">
        <w:t xml:space="preserve">Financial </w:t>
      </w:r>
      <w:r>
        <w:t>o</w:t>
      </w:r>
      <w:r w:rsidRPr="00CD154D">
        <w:t xml:space="preserve">verview of </w:t>
      </w:r>
      <w:r>
        <w:t>Swan District</w:t>
      </w:r>
      <w:r w:rsidRPr="00CD154D">
        <w:t xml:space="preserve"> Hospital</w:t>
      </w:r>
      <w:r w:rsidR="00957F28">
        <w:t>,</w:t>
      </w:r>
      <w:r w:rsidRPr="00CD154D">
        <w:t xml:space="preserve"> FY 2012/13</w:t>
      </w:r>
    </w:p>
    <w:p w:rsidR="00F14328" w:rsidRDefault="00960BFB" w:rsidP="00960BFB">
      <w:pPr>
        <w:spacing w:after="240"/>
      </w:pPr>
      <w:r w:rsidRPr="00960BFB">
        <w:rPr>
          <w:noProof/>
          <w:lang w:eastAsia="en-AU"/>
        </w:rPr>
        <w:drawing>
          <wp:inline distT="0" distB="0" distL="0" distR="0" wp14:anchorId="68BCCF77" wp14:editId="2E6FE7B1">
            <wp:extent cx="5137200" cy="4183200"/>
            <wp:effectExtent l="0" t="0" r="6350" b="8255"/>
            <wp:docPr id="92" name="Picture 92" descr="This table outlines the flow of cost movements from the $165m in the general ledger through to the $141m submitted to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137200" cy="4183200"/>
                    </a:xfrm>
                    <a:prstGeom prst="rect">
                      <a:avLst/>
                    </a:prstGeom>
                    <a:noFill/>
                    <a:ln>
                      <a:noFill/>
                    </a:ln>
                  </pic:spPr>
                </pic:pic>
              </a:graphicData>
            </a:graphic>
          </wp:inline>
        </w:drawing>
      </w:r>
    </w:p>
    <w:p w:rsidR="00F14328" w:rsidRPr="00B066AE" w:rsidRDefault="00F14328" w:rsidP="00F14328">
      <w:pPr>
        <w:pStyle w:val="Heading3"/>
      </w:pPr>
      <w:r w:rsidRPr="00B066AE">
        <w:t xml:space="preserve">Financial </w:t>
      </w:r>
      <w:r>
        <w:t>d</w:t>
      </w:r>
      <w:r w:rsidRPr="00B066AE">
        <w:t>ata</w:t>
      </w:r>
    </w:p>
    <w:p w:rsidR="00F14328" w:rsidRPr="00B066AE" w:rsidRDefault="00CA6711" w:rsidP="00F14328">
      <w:pPr>
        <w:pStyle w:val="PwCNormal"/>
        <w:numPr>
          <w:ilvl w:val="0"/>
          <w:numId w:val="0"/>
        </w:numPr>
        <w:rPr>
          <w:b/>
        </w:rPr>
      </w:pPr>
      <w:r>
        <w:rPr>
          <w:b/>
        </w:rPr>
        <w:t xml:space="preserve">General </w:t>
      </w:r>
      <w:r w:rsidR="00CD308F">
        <w:rPr>
          <w:b/>
        </w:rPr>
        <w:t>L</w:t>
      </w:r>
      <w:r w:rsidR="00F14328" w:rsidRPr="00B066AE">
        <w:rPr>
          <w:b/>
        </w:rPr>
        <w:t>edger (Item A)</w:t>
      </w:r>
    </w:p>
    <w:p w:rsidR="00F14328" w:rsidRDefault="00F14328" w:rsidP="00F14328">
      <w:pPr>
        <w:pStyle w:val="PwCNormal"/>
        <w:numPr>
          <w:ilvl w:val="0"/>
          <w:numId w:val="0"/>
        </w:numPr>
      </w:pPr>
      <w:r w:rsidRPr="00902717">
        <w:t xml:space="preserve">Financial </w:t>
      </w:r>
      <w:r>
        <w:t>s</w:t>
      </w:r>
      <w:r w:rsidRPr="00902717">
        <w:t>tatements are prepared in aggregate for the Metropolitan Health Service, in</w:t>
      </w:r>
      <w:r>
        <w:t>cluding</w:t>
      </w:r>
      <w:r w:rsidRPr="00902717">
        <w:t xml:space="preserve"> North Metro HS. </w:t>
      </w:r>
      <w:r w:rsidR="002821F4" w:rsidRPr="00902717">
        <w:t>The total expenses for the Metro HS w</w:t>
      </w:r>
      <w:r w:rsidR="002821F4">
        <w:t>ere</w:t>
      </w:r>
      <w:r w:rsidR="002821F4" w:rsidRPr="00902717">
        <w:t xml:space="preserve"> $4.49</w:t>
      </w:r>
      <w:r w:rsidR="002821F4">
        <w:t xml:space="preserve"> </w:t>
      </w:r>
      <w:r w:rsidR="002821F4" w:rsidRPr="00902717">
        <w:t>b</w:t>
      </w:r>
      <w:r w:rsidR="002821F4">
        <w:t>illio</w:t>
      </w:r>
      <w:r w:rsidR="002821F4" w:rsidRPr="00902717">
        <w:t>n, of which North Metro was $1.54</w:t>
      </w:r>
      <w:r w:rsidR="002821F4">
        <w:t xml:space="preserve"> </w:t>
      </w:r>
      <w:r w:rsidR="002821F4" w:rsidRPr="00902717">
        <w:t>b</w:t>
      </w:r>
      <w:r w:rsidR="002821F4">
        <w:t>illio</w:t>
      </w:r>
      <w:r w:rsidR="002821F4" w:rsidRPr="00902717">
        <w:t xml:space="preserve">n. </w:t>
      </w:r>
      <w:r w:rsidRPr="00902717">
        <w:t xml:space="preserve">This </w:t>
      </w:r>
      <w:r>
        <w:t>was</w:t>
      </w:r>
      <w:r w:rsidRPr="00902717">
        <w:t xml:space="preserve"> agreed to </w:t>
      </w:r>
      <w:r>
        <w:t xml:space="preserve">in </w:t>
      </w:r>
      <w:r w:rsidRPr="00902717">
        <w:t>WA Health</w:t>
      </w:r>
      <w:r>
        <w:t xml:space="preserve">’s </w:t>
      </w:r>
      <w:r w:rsidRPr="00902717">
        <w:t>reconciliation.</w:t>
      </w:r>
      <w:r>
        <w:t xml:space="preserve"> </w:t>
      </w:r>
    </w:p>
    <w:p w:rsidR="00F14328" w:rsidRDefault="00F14328" w:rsidP="00F14328">
      <w:pPr>
        <w:pStyle w:val="PwCNormal"/>
        <w:numPr>
          <w:ilvl w:val="0"/>
          <w:numId w:val="0"/>
        </w:numPr>
      </w:pPr>
      <w:r>
        <w:lastRenderedPageBreak/>
        <w:t xml:space="preserve">The GL structure and treatment of costs are consistent throughout WA. As part of this review, specific cost items were examined to understand how they were treated in the GL and in costing. Please see </w:t>
      </w:r>
      <w:r w:rsidR="00F84A9F">
        <w:t xml:space="preserve">Section </w:t>
      </w:r>
      <w:r w:rsidR="00367B9F">
        <w:fldChar w:fldCharType="begin"/>
      </w:r>
      <w:r w:rsidR="00367B9F">
        <w:instrText xml:space="preserve"> REF _Ref403229467 \r \h </w:instrText>
      </w:r>
      <w:r w:rsidR="00367B9F">
        <w:fldChar w:fldCharType="separate"/>
      </w:r>
      <w:r w:rsidR="00575DFC">
        <w:t>10.2.5</w:t>
      </w:r>
      <w:r w:rsidR="00367B9F">
        <w:fldChar w:fldCharType="end"/>
      </w:r>
      <w:r>
        <w:t xml:space="preserve"> for more information on what costs were examined and their treatment. </w:t>
      </w:r>
    </w:p>
    <w:p w:rsidR="00F14328" w:rsidRPr="00151182" w:rsidRDefault="00F14328" w:rsidP="00F14328">
      <w:pPr>
        <w:pStyle w:val="PwCNormal"/>
        <w:numPr>
          <w:ilvl w:val="0"/>
          <w:numId w:val="0"/>
        </w:numPr>
        <w:rPr>
          <w:b/>
        </w:rPr>
      </w:pPr>
      <w:r w:rsidRPr="00151182">
        <w:rPr>
          <w:b/>
        </w:rPr>
        <w:t>Inclusions and exclusions (Item B)</w:t>
      </w:r>
    </w:p>
    <w:p w:rsidR="00F14328" w:rsidRPr="00151182" w:rsidRDefault="00F14328" w:rsidP="00F14328">
      <w:pPr>
        <w:pStyle w:val="PwCNormal"/>
        <w:numPr>
          <w:ilvl w:val="0"/>
          <w:numId w:val="0"/>
        </w:numPr>
      </w:pPr>
      <w:r w:rsidRPr="00151182">
        <w:t>A total of $6.7</w:t>
      </w:r>
      <w:r w:rsidR="008E7280">
        <w:t xml:space="preserve"> </w:t>
      </w:r>
      <w:r w:rsidRPr="00151182">
        <w:t>m</w:t>
      </w:r>
      <w:r w:rsidR="008E7280">
        <w:t>illion</w:t>
      </w:r>
      <w:r w:rsidRPr="00151182">
        <w:t xml:space="preserve"> was added to the </w:t>
      </w:r>
      <w:r>
        <w:t>Swan GL</w:t>
      </w:r>
      <w:r w:rsidRPr="00151182">
        <w:t xml:space="preserve"> </w:t>
      </w:r>
      <w:r>
        <w:t xml:space="preserve">in the costing system </w:t>
      </w:r>
      <w:r w:rsidRPr="00151182">
        <w:t xml:space="preserve">before </w:t>
      </w:r>
      <w:r>
        <w:t>allocating costs to services</w:t>
      </w:r>
      <w:r w:rsidRPr="00151182">
        <w:t>. This was made up of:</w:t>
      </w:r>
    </w:p>
    <w:p w:rsidR="00F14328" w:rsidRPr="00151182" w:rsidRDefault="00F14328" w:rsidP="00F14328">
      <w:pPr>
        <w:pStyle w:val="PwCNormal"/>
        <w:numPr>
          <w:ilvl w:val="0"/>
          <w:numId w:val="73"/>
        </w:numPr>
      </w:pPr>
      <w:r w:rsidRPr="00151182">
        <w:t>North Metro AH overheads of $3.9</w:t>
      </w:r>
      <w:r w:rsidR="008E7280">
        <w:t xml:space="preserve"> </w:t>
      </w:r>
      <w:r w:rsidRPr="00151182">
        <w:t>m</w:t>
      </w:r>
      <w:r w:rsidR="008E7280">
        <w:t>illion</w:t>
      </w:r>
      <w:r w:rsidRPr="00151182">
        <w:t>, which includes finance, IT and HR</w:t>
      </w:r>
    </w:p>
    <w:p w:rsidR="00F14328" w:rsidRPr="00151182" w:rsidRDefault="002821F4" w:rsidP="00F14328">
      <w:pPr>
        <w:pStyle w:val="PwCNormal"/>
        <w:numPr>
          <w:ilvl w:val="0"/>
          <w:numId w:val="73"/>
        </w:numPr>
      </w:pPr>
      <w:proofErr w:type="spellStart"/>
      <w:proofErr w:type="gramStart"/>
      <w:r>
        <w:t>s</w:t>
      </w:r>
      <w:r w:rsidRPr="00151182">
        <w:t>tatewide</w:t>
      </w:r>
      <w:proofErr w:type="spellEnd"/>
      <w:proofErr w:type="gramEnd"/>
      <w:r w:rsidRPr="00151182">
        <w:t xml:space="preserve"> overheads of $2.8</w:t>
      </w:r>
      <w:r>
        <w:t xml:space="preserve"> </w:t>
      </w:r>
      <w:r w:rsidRPr="00151182">
        <w:t>m</w:t>
      </w:r>
      <w:r>
        <w:t>illion</w:t>
      </w:r>
      <w:r w:rsidRPr="00151182">
        <w:t>, which includes software licences of EDIS, Microsoft Office and other feeder system licences</w:t>
      </w:r>
      <w:r>
        <w:t>.</w:t>
      </w:r>
    </w:p>
    <w:p w:rsidR="00F14328" w:rsidRPr="00151182" w:rsidRDefault="00F14328" w:rsidP="00F14328">
      <w:pPr>
        <w:pStyle w:val="PwCNormal"/>
        <w:numPr>
          <w:ilvl w:val="0"/>
          <w:numId w:val="0"/>
        </w:numPr>
      </w:pPr>
      <w:r w:rsidRPr="00151182">
        <w:t xml:space="preserve">A total of $690,663 was removed from the </w:t>
      </w:r>
      <w:r>
        <w:t xml:space="preserve">GL in the costing system </w:t>
      </w:r>
      <w:r w:rsidRPr="00151182">
        <w:t xml:space="preserve">before </w:t>
      </w:r>
      <w:r>
        <w:t>allocating costs to services</w:t>
      </w:r>
      <w:r w:rsidRPr="00151182">
        <w:t>. This was made up of:</w:t>
      </w:r>
    </w:p>
    <w:p w:rsidR="00F14328" w:rsidRPr="00151182" w:rsidRDefault="00F14328" w:rsidP="00F14328">
      <w:pPr>
        <w:pStyle w:val="PwCNormal"/>
        <w:numPr>
          <w:ilvl w:val="0"/>
          <w:numId w:val="60"/>
        </w:numPr>
      </w:pPr>
      <w:r w:rsidRPr="00151182">
        <w:t>$629,677 for recoups from other hospitals for services provided at Swan but recorded in another hospital</w:t>
      </w:r>
    </w:p>
    <w:p w:rsidR="00F14328" w:rsidRPr="00151182" w:rsidRDefault="00F14328" w:rsidP="00F14328">
      <w:pPr>
        <w:pStyle w:val="PwCNormal"/>
        <w:numPr>
          <w:ilvl w:val="0"/>
          <w:numId w:val="60"/>
        </w:numPr>
      </w:pPr>
      <w:r w:rsidRPr="00151182">
        <w:t>$60,986 for the hospital’s patient</w:t>
      </w:r>
      <w:r>
        <w:t>-</w:t>
      </w:r>
      <w:r w:rsidRPr="00151182">
        <w:t>assisted travel scheme and interest expenses</w:t>
      </w:r>
    </w:p>
    <w:p w:rsidR="00F14328" w:rsidRPr="00151182" w:rsidRDefault="00F14328" w:rsidP="00F14328">
      <w:pPr>
        <w:pStyle w:val="PwCNormal"/>
        <w:numPr>
          <w:ilvl w:val="0"/>
          <w:numId w:val="0"/>
        </w:numPr>
      </w:pPr>
      <w:r w:rsidRPr="00151182">
        <w:t xml:space="preserve">After these </w:t>
      </w:r>
      <w:r>
        <w:t xml:space="preserve">inclusions and </w:t>
      </w:r>
      <w:r w:rsidRPr="00151182">
        <w:t xml:space="preserve">exclusions, </w:t>
      </w:r>
      <w:r w:rsidR="000A17F0">
        <w:t xml:space="preserve">the </w:t>
      </w:r>
      <w:r w:rsidRPr="00151182">
        <w:t xml:space="preserve">total expense for </w:t>
      </w:r>
      <w:r>
        <w:t>Swan</w:t>
      </w:r>
      <w:r w:rsidRPr="00151182">
        <w:t xml:space="preserve"> w</w:t>
      </w:r>
      <w:r>
        <w:t>as</w:t>
      </w:r>
      <w:r w:rsidRPr="00151182">
        <w:t xml:space="preserve"> $</w:t>
      </w:r>
      <w:r>
        <w:t>170.9</w:t>
      </w:r>
      <w:r w:rsidR="008E7280">
        <w:t xml:space="preserve"> </w:t>
      </w:r>
      <w:r w:rsidRPr="00151182">
        <w:t>m</w:t>
      </w:r>
      <w:r w:rsidR="008E7280">
        <w:t>illion</w:t>
      </w:r>
      <w:r w:rsidRPr="00151182">
        <w:t>.</w:t>
      </w:r>
    </w:p>
    <w:p w:rsidR="00F14328" w:rsidRPr="00151182" w:rsidRDefault="00F14328" w:rsidP="00F14328">
      <w:pPr>
        <w:pStyle w:val="PwCNormal"/>
        <w:numPr>
          <w:ilvl w:val="0"/>
          <w:numId w:val="0"/>
        </w:numPr>
        <w:rPr>
          <w:b/>
        </w:rPr>
      </w:pPr>
      <w:r w:rsidRPr="00151182">
        <w:rPr>
          <w:b/>
        </w:rPr>
        <w:t>Allocation of overheads (Item C)</w:t>
      </w:r>
    </w:p>
    <w:p w:rsidR="00F14328" w:rsidRPr="00151182" w:rsidRDefault="00CA6711" w:rsidP="00F14328">
      <w:pPr>
        <w:pStyle w:val="PwCNormal"/>
        <w:numPr>
          <w:ilvl w:val="0"/>
          <w:numId w:val="0"/>
        </w:numPr>
      </w:pPr>
      <w:r>
        <w:t>For</w:t>
      </w:r>
      <w:r w:rsidR="00F14328" w:rsidRPr="00151182">
        <w:t xml:space="preserve"> </w:t>
      </w:r>
      <w:r w:rsidR="00F14328">
        <w:t>FY</w:t>
      </w:r>
      <w:r w:rsidR="00F14328" w:rsidRPr="00151182">
        <w:t xml:space="preserve"> 2012/13, overhead costs totalled $</w:t>
      </w:r>
      <w:r w:rsidR="00F14328">
        <w:t>42.5</w:t>
      </w:r>
      <w:r w:rsidR="008E7280">
        <w:t xml:space="preserve"> </w:t>
      </w:r>
      <w:r w:rsidR="00F14328" w:rsidRPr="00151182">
        <w:t>m</w:t>
      </w:r>
      <w:r w:rsidR="008E7280">
        <w:t>illion</w:t>
      </w:r>
      <w:r w:rsidR="00F14328">
        <w:t>,</w:t>
      </w:r>
      <w:r w:rsidR="00F14328" w:rsidRPr="00151182">
        <w:t xml:space="preserve"> which represents </w:t>
      </w:r>
      <w:r w:rsidR="00F14328">
        <w:t>24.9</w:t>
      </w:r>
      <w:r w:rsidR="00F14328" w:rsidRPr="00151182">
        <w:t xml:space="preserve">% of total costs for </w:t>
      </w:r>
      <w:r w:rsidR="00F14328">
        <w:t>Swan</w:t>
      </w:r>
      <w:r w:rsidR="00F14328" w:rsidRPr="00151182">
        <w:t xml:space="preserve">. These costs were allocated to the patient care areas based on a variety of allocation statistics, but the major statistic utilised for </w:t>
      </w:r>
      <w:r w:rsidR="00F14328">
        <w:t>Round 17 was</w:t>
      </w:r>
      <w:r w:rsidR="00F14328" w:rsidRPr="00151182">
        <w:t xml:space="preserve"> </w:t>
      </w:r>
      <w:r w:rsidR="00F14328">
        <w:t xml:space="preserve">the </w:t>
      </w:r>
      <w:r w:rsidR="00F14328" w:rsidRPr="00151182">
        <w:t xml:space="preserve">number of FTEs. The allocation statistics were determined based on the preferred hierarchy of allocation statistics in the AHPCS </w:t>
      </w:r>
      <w:r w:rsidR="00F14328">
        <w:t>and</w:t>
      </w:r>
      <w:r w:rsidR="00F14328" w:rsidRPr="00151182">
        <w:t xml:space="preserve"> </w:t>
      </w:r>
      <w:r w:rsidR="00F14328">
        <w:t>any</w:t>
      </w:r>
      <w:r w:rsidR="00F14328" w:rsidRPr="00151182">
        <w:t xml:space="preserve"> reliable information was available.</w:t>
      </w:r>
    </w:p>
    <w:p w:rsidR="00F14328" w:rsidRPr="00151182" w:rsidRDefault="00F14328" w:rsidP="00F14328">
      <w:pPr>
        <w:pStyle w:val="PwCNormal"/>
        <w:numPr>
          <w:ilvl w:val="0"/>
          <w:numId w:val="0"/>
        </w:numPr>
        <w:rPr>
          <w:b/>
        </w:rPr>
      </w:pPr>
      <w:r w:rsidRPr="00151182">
        <w:rPr>
          <w:b/>
        </w:rPr>
        <w:t>Distribution of costs between hospital products (Item D)</w:t>
      </w:r>
    </w:p>
    <w:p w:rsidR="00F14328" w:rsidRPr="00151182" w:rsidRDefault="00F14328" w:rsidP="00F14328">
      <w:pPr>
        <w:pStyle w:val="PwCNormal"/>
        <w:numPr>
          <w:ilvl w:val="0"/>
          <w:numId w:val="0"/>
        </w:numPr>
      </w:pPr>
      <w:r w:rsidRPr="00151182">
        <w:t>Where some cost centres delivered services to multiple hospital products (such as medical cost centres servicing inpatients and outpatients along with some teaching), PFRACs were developed.</w:t>
      </w:r>
      <w:r>
        <w:t xml:space="preserve"> </w:t>
      </w:r>
      <w:r w:rsidRPr="00151182">
        <w:t xml:space="preserve">The costing team reviewed the PFRACs used from </w:t>
      </w:r>
      <w:r>
        <w:t xml:space="preserve">Round 16 </w:t>
      </w:r>
      <w:r w:rsidRPr="00151182">
        <w:t xml:space="preserve">and consulted with clinicians and business managers to </w:t>
      </w:r>
      <w:r>
        <w:t>determine if</w:t>
      </w:r>
      <w:r w:rsidRPr="00151182">
        <w:t xml:space="preserve"> the splits had changed. This </w:t>
      </w:r>
      <w:r>
        <w:t xml:space="preserve">review </w:t>
      </w:r>
      <w:r w:rsidRPr="00151182">
        <w:t>was done in conjunction with activity data.</w:t>
      </w:r>
    </w:p>
    <w:p w:rsidR="00F14328" w:rsidRPr="00151182" w:rsidRDefault="00F14328" w:rsidP="00F14328">
      <w:pPr>
        <w:pStyle w:val="Heading3"/>
      </w:pPr>
      <w:r w:rsidRPr="00151182">
        <w:t>Activity information and costing methodology</w:t>
      </w:r>
    </w:p>
    <w:p w:rsidR="00F14328" w:rsidRPr="00151182" w:rsidRDefault="00F14328" w:rsidP="00F14328">
      <w:pPr>
        <w:pStyle w:val="PwCNormal"/>
        <w:numPr>
          <w:ilvl w:val="0"/>
          <w:numId w:val="0"/>
        </w:numPr>
        <w:rPr>
          <w:b/>
        </w:rPr>
      </w:pPr>
      <w:r w:rsidRPr="00151182">
        <w:rPr>
          <w:b/>
        </w:rPr>
        <w:t>Overview</w:t>
      </w:r>
    </w:p>
    <w:p w:rsidR="000A17F0" w:rsidRDefault="00F14328" w:rsidP="00F20521">
      <w:pPr>
        <w:pStyle w:val="PwCNormal"/>
        <w:numPr>
          <w:ilvl w:val="0"/>
          <w:numId w:val="0"/>
        </w:numPr>
        <w:rPr>
          <w:rFonts w:asciiTheme="majorHAnsi" w:hAnsiTheme="majorHAnsi"/>
          <w:b/>
          <w:bCs/>
          <w:color w:val="A32020" w:themeColor="text2"/>
          <w:szCs w:val="18"/>
        </w:rPr>
      </w:pPr>
      <w:r w:rsidRPr="00151182">
        <w:t>Once costs are split into the various cost areas and are ready to be allocated, a variety of feeder systems are used to allocate costs to patients across all hospital products depending on the type of patient. Extracts from the patient administration system</w:t>
      </w:r>
      <w:r>
        <w:t>s</w:t>
      </w:r>
      <w:r w:rsidRPr="00151182">
        <w:t xml:space="preserve"> (</w:t>
      </w:r>
      <w:r>
        <w:t xml:space="preserve">TOPAS and </w:t>
      </w:r>
      <w:proofErr w:type="spellStart"/>
      <w:r>
        <w:t>w</w:t>
      </w:r>
      <w:r w:rsidRPr="00151182">
        <w:t>ebPAS</w:t>
      </w:r>
      <w:proofErr w:type="spellEnd"/>
      <w:r w:rsidRPr="00151182">
        <w:t>), EDIS and various feeders were used in the allocation process.</w:t>
      </w:r>
      <w:r>
        <w:t xml:space="preserve"> T</w:t>
      </w:r>
      <w:r w:rsidRPr="00151182">
        <w:t xml:space="preserve">able </w:t>
      </w:r>
      <w:r>
        <w:t xml:space="preserve">106 </w:t>
      </w:r>
      <w:r w:rsidRPr="00151182">
        <w:t>below outlines the costing methodology fo</w:t>
      </w:r>
      <w:r>
        <w:t>r the various hospital products.</w:t>
      </w:r>
      <w:r w:rsidR="000A17F0">
        <w:br w:type="page"/>
      </w:r>
    </w:p>
    <w:p w:rsidR="00F14328" w:rsidRPr="00151182" w:rsidRDefault="00F14328" w:rsidP="00F14328">
      <w:pPr>
        <w:pStyle w:val="Caption"/>
      </w:pPr>
      <w:r>
        <w:lastRenderedPageBreak/>
        <w:t xml:space="preserve">Table </w:t>
      </w:r>
      <w:fldSimple w:instr=" SEQ Table \* ARABIC ">
        <w:r w:rsidR="00575DFC">
          <w:rPr>
            <w:noProof/>
          </w:rPr>
          <w:t>101</w:t>
        </w:r>
      </w:fldSimple>
      <w:r>
        <w:t xml:space="preserve">: </w:t>
      </w:r>
      <w:r w:rsidRPr="00BC4264">
        <w:t>Allocation methodologies for hospital products</w:t>
      </w:r>
    </w:p>
    <w:tbl>
      <w:tblPr>
        <w:tblStyle w:val="Tables-APBase"/>
        <w:tblW w:w="8613" w:type="dxa"/>
        <w:tblLook w:val="04A0" w:firstRow="1" w:lastRow="0" w:firstColumn="1" w:lastColumn="0" w:noHBand="0" w:noVBand="1"/>
        <w:tblCaption w:val="Allocation methodologies for hospital products"/>
        <w:tblDescription w:val="This table outlines how the various hospital products were costed."/>
      </w:tblPr>
      <w:tblGrid>
        <w:gridCol w:w="2376"/>
        <w:gridCol w:w="6237"/>
      </w:tblGrid>
      <w:tr w:rsidR="00F14328" w:rsidRPr="004218EA" w:rsidTr="006E68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Pr>
          <w:p w:rsidR="00F14328" w:rsidRPr="00151182" w:rsidRDefault="00F14328" w:rsidP="00CA6711">
            <w:pPr>
              <w:pStyle w:val="PwCNormal"/>
              <w:numPr>
                <w:ilvl w:val="0"/>
                <w:numId w:val="0"/>
              </w:numPr>
              <w:rPr>
                <w:b/>
              </w:rPr>
            </w:pPr>
            <w:r w:rsidRPr="00151182">
              <w:rPr>
                <w:b/>
              </w:rPr>
              <w:t>Hospital product</w:t>
            </w:r>
          </w:p>
        </w:tc>
        <w:tc>
          <w:tcPr>
            <w:tcW w:w="6237" w:type="dxa"/>
          </w:tcPr>
          <w:p w:rsidR="00F14328" w:rsidRPr="00151182" w:rsidRDefault="00F14328" w:rsidP="00CA6711">
            <w:pPr>
              <w:pStyle w:val="PwCNormal"/>
              <w:numPr>
                <w:ilvl w:val="0"/>
                <w:numId w:val="0"/>
              </w:numPr>
              <w:cnfStyle w:val="100000000000" w:firstRow="1" w:lastRow="0" w:firstColumn="0" w:lastColumn="0" w:oddVBand="0" w:evenVBand="0" w:oddHBand="0" w:evenHBand="0" w:firstRowFirstColumn="0" w:firstRowLastColumn="0" w:lastRowFirstColumn="0" w:lastRowLastColumn="0"/>
              <w:rPr>
                <w:b/>
              </w:rPr>
            </w:pPr>
            <w:r w:rsidRPr="00151182">
              <w:rPr>
                <w:b/>
              </w:rPr>
              <w:t>Allocation overview</w:t>
            </w:r>
          </w:p>
        </w:tc>
      </w:tr>
      <w:tr w:rsidR="00F14328" w:rsidRPr="004218EA" w:rsidTr="006E6862">
        <w:tc>
          <w:tcPr>
            <w:tcW w:w="2376" w:type="dxa"/>
          </w:tcPr>
          <w:p w:rsidR="00F14328" w:rsidRPr="00151182" w:rsidRDefault="00F14328" w:rsidP="00CA6711">
            <w:pPr>
              <w:pStyle w:val="PwCNormal"/>
              <w:numPr>
                <w:ilvl w:val="0"/>
                <w:numId w:val="0"/>
              </w:numPr>
            </w:pPr>
            <w:r w:rsidRPr="00151182">
              <w:t xml:space="preserve">Inpatient </w:t>
            </w:r>
            <w:r w:rsidRPr="00151182">
              <w:br/>
              <w:t xml:space="preserve">(acute and </w:t>
            </w:r>
            <w:r>
              <w:t>sub-acute</w:t>
            </w:r>
            <w:r w:rsidRPr="00151182">
              <w:t>)</w:t>
            </w:r>
          </w:p>
        </w:tc>
        <w:tc>
          <w:tcPr>
            <w:tcW w:w="6237" w:type="dxa"/>
          </w:tcPr>
          <w:p w:rsidR="00F14328" w:rsidRPr="00151182" w:rsidRDefault="00F14328" w:rsidP="00CA6711">
            <w:pPr>
              <w:pStyle w:val="PwCNormal"/>
              <w:numPr>
                <w:ilvl w:val="0"/>
                <w:numId w:val="0"/>
              </w:numPr>
            </w:pPr>
            <w:r w:rsidRPr="00151182">
              <w:t xml:space="preserve">Acute inpatients are costed at the episode level, utilising data from </w:t>
            </w:r>
            <w:proofErr w:type="spellStart"/>
            <w:r w:rsidRPr="00151182">
              <w:t>iPAS</w:t>
            </w:r>
            <w:proofErr w:type="spellEnd"/>
            <w:r>
              <w:t xml:space="preserve"> and are classified using AR-DRGs</w:t>
            </w:r>
            <w:r w:rsidRPr="00151182">
              <w:t>. Sub-acute patients are costed as the care</w:t>
            </w:r>
            <w:r>
              <w:t>-</w:t>
            </w:r>
            <w:r w:rsidRPr="00151182">
              <w:t>type level and are not classified under AN-SNAP.</w:t>
            </w:r>
          </w:p>
          <w:p w:rsidR="00F14328" w:rsidRPr="00151182" w:rsidRDefault="00F14328" w:rsidP="00CA6711">
            <w:pPr>
              <w:pStyle w:val="PwCNormal"/>
              <w:numPr>
                <w:ilvl w:val="0"/>
                <w:numId w:val="0"/>
              </w:numPr>
            </w:pPr>
            <w:r>
              <w:t>C</w:t>
            </w:r>
            <w:r w:rsidRPr="00151182">
              <w:t xml:space="preserve">osts are allocated </w:t>
            </w:r>
            <w:r>
              <w:t>to i</w:t>
            </w:r>
            <w:r w:rsidRPr="00151182">
              <w:t xml:space="preserve">npatients using various feeder </w:t>
            </w:r>
            <w:r w:rsidR="002821F4" w:rsidRPr="00151182">
              <w:t>systems, which</w:t>
            </w:r>
            <w:r w:rsidRPr="00151182">
              <w:t xml:space="preserve"> indicate consumption of hospital resources or services. Nursing and medical costs are allocated using </w:t>
            </w:r>
            <w:r>
              <w:t>ward bed hours</w:t>
            </w:r>
            <w:r w:rsidRPr="00151182">
              <w:t xml:space="preserve">. Diagnostics tests (such as imaging and pathology), pharmacy and allied health costs use feeder data to allocate costs with RVUs </w:t>
            </w:r>
            <w:r>
              <w:t xml:space="preserve">derived </w:t>
            </w:r>
            <w:r w:rsidRPr="00151182">
              <w:t>from either standard/actual costs (</w:t>
            </w:r>
            <w:r>
              <w:t>that is</w:t>
            </w:r>
            <w:r w:rsidRPr="00151182">
              <w:t>, the cost of the drug), or minutes.</w:t>
            </w:r>
          </w:p>
          <w:p w:rsidR="00F14328" w:rsidRPr="00151182" w:rsidRDefault="00F14328" w:rsidP="00CA6711">
            <w:pPr>
              <w:pStyle w:val="PwCNormal"/>
              <w:numPr>
                <w:ilvl w:val="0"/>
                <w:numId w:val="0"/>
              </w:numPr>
            </w:pPr>
            <w:r w:rsidRPr="00151182">
              <w:t xml:space="preserve">Prosthetic costs </w:t>
            </w:r>
            <w:r>
              <w:t>a</w:t>
            </w:r>
            <w:r w:rsidRPr="00151182">
              <w:t xml:space="preserve">re allocated directly </w:t>
            </w:r>
            <w:r>
              <w:t xml:space="preserve">to </w:t>
            </w:r>
            <w:r w:rsidRPr="00151182">
              <w:t>patients who consumed the products identified by the theatre management system. An internally developed RVU is applied, which was developed using the actual costs of the prosthetic.</w:t>
            </w:r>
          </w:p>
        </w:tc>
      </w:tr>
      <w:tr w:rsidR="00F14328" w:rsidRPr="004218EA" w:rsidTr="006E6862">
        <w:tc>
          <w:tcPr>
            <w:tcW w:w="2376" w:type="dxa"/>
          </w:tcPr>
          <w:p w:rsidR="00F14328" w:rsidRPr="00E94312" w:rsidRDefault="00F14328" w:rsidP="00CA6711">
            <w:pPr>
              <w:pStyle w:val="PwCNormal"/>
              <w:numPr>
                <w:ilvl w:val="0"/>
                <w:numId w:val="0"/>
              </w:numPr>
            </w:pPr>
            <w:r w:rsidRPr="00E94312">
              <w:t>Emergency Department</w:t>
            </w:r>
          </w:p>
        </w:tc>
        <w:tc>
          <w:tcPr>
            <w:tcW w:w="6237" w:type="dxa"/>
          </w:tcPr>
          <w:p w:rsidR="00F14328" w:rsidRDefault="00F14328" w:rsidP="00CA6711">
            <w:pPr>
              <w:pStyle w:val="PwCNormal"/>
              <w:numPr>
                <w:ilvl w:val="0"/>
                <w:numId w:val="0"/>
              </w:numPr>
            </w:pPr>
            <w:r w:rsidRPr="00E94312">
              <w:t>Patients are allocated costs using the IHPA URG NWAU price weights</w:t>
            </w:r>
            <w:r>
              <w:t xml:space="preserve"> for their ED presentation</w:t>
            </w:r>
            <w:r w:rsidRPr="00E94312">
              <w:t xml:space="preserve">. Patients who were admitted to the observation ward </w:t>
            </w:r>
            <w:r>
              <w:t>are also given an ED presentation cost, plus a WBH cost based on their time spent in the observation ward.</w:t>
            </w:r>
          </w:p>
          <w:p w:rsidR="00F14328" w:rsidRPr="00E94312" w:rsidRDefault="00F14328" w:rsidP="00CA6711">
            <w:pPr>
              <w:pStyle w:val="PwCNormal"/>
              <w:numPr>
                <w:ilvl w:val="0"/>
                <w:numId w:val="0"/>
              </w:numPr>
            </w:pPr>
            <w:r w:rsidRPr="00E94312">
              <w:t>Diagnostic tests and dispensed pharmaceuticals are allocated to patients directly based on consumption.</w:t>
            </w:r>
          </w:p>
        </w:tc>
      </w:tr>
      <w:tr w:rsidR="00F14328" w:rsidRPr="004218EA" w:rsidTr="006E6862">
        <w:tc>
          <w:tcPr>
            <w:tcW w:w="2376" w:type="dxa"/>
          </w:tcPr>
          <w:p w:rsidR="00F14328" w:rsidRPr="00E94312" w:rsidRDefault="00F14328" w:rsidP="00CA6711">
            <w:pPr>
              <w:pStyle w:val="PwCNormal"/>
              <w:numPr>
                <w:ilvl w:val="0"/>
                <w:numId w:val="0"/>
              </w:numPr>
            </w:pPr>
            <w:r w:rsidRPr="00E94312">
              <w:t>Outpatients</w:t>
            </w:r>
          </w:p>
        </w:tc>
        <w:tc>
          <w:tcPr>
            <w:tcW w:w="6237" w:type="dxa"/>
          </w:tcPr>
          <w:p w:rsidR="00F14328" w:rsidRPr="00E94312" w:rsidRDefault="00F14328" w:rsidP="00CA6711">
            <w:pPr>
              <w:pStyle w:val="PwCNormal"/>
              <w:numPr>
                <w:ilvl w:val="0"/>
                <w:numId w:val="0"/>
              </w:numPr>
            </w:pPr>
            <w:r>
              <w:t>Outpatient</w:t>
            </w:r>
            <w:r w:rsidRPr="00E94312">
              <w:t xml:space="preserve"> activity is classified under Tier 2, except for </w:t>
            </w:r>
            <w:r>
              <w:t>m</w:t>
            </w:r>
            <w:r w:rsidRPr="00E94312">
              <w:t xml:space="preserve">ental </w:t>
            </w:r>
            <w:r>
              <w:t>h</w:t>
            </w:r>
            <w:r w:rsidRPr="00E94312">
              <w:t>ealth outpatients</w:t>
            </w:r>
            <w:r>
              <w:t xml:space="preserve"> (reported at the aggregate level)</w:t>
            </w:r>
            <w:r w:rsidRPr="00E94312">
              <w:t>. Each specialty has its own cost centre from which costs are allocated to patients based on the IHPA Tier 2 NWAU price weights.</w:t>
            </w:r>
            <w:r>
              <w:t xml:space="preserve"> </w:t>
            </w:r>
            <w:r w:rsidRPr="00E94312">
              <w:t>Multidisciplinary clinics are mapped to a single clinic.</w:t>
            </w:r>
          </w:p>
          <w:p w:rsidR="00F14328" w:rsidRDefault="00F14328" w:rsidP="00CA6711">
            <w:pPr>
              <w:pStyle w:val="PwCNormal"/>
              <w:numPr>
                <w:ilvl w:val="0"/>
                <w:numId w:val="0"/>
              </w:numPr>
            </w:pPr>
            <w:r w:rsidRPr="00E94312">
              <w:t>Diagnostic tests and dispensed pharmaceuticals are allocated to patients directly based on consumption.</w:t>
            </w:r>
          </w:p>
          <w:p w:rsidR="00F14328" w:rsidRPr="00E94312" w:rsidRDefault="00F14328" w:rsidP="00CA6711">
            <w:pPr>
              <w:pStyle w:val="PwCNormal"/>
              <w:numPr>
                <w:ilvl w:val="0"/>
                <w:numId w:val="0"/>
              </w:numPr>
            </w:pPr>
            <w:r>
              <w:t>Clinics or other outpatient services that were not able to have activity recorded at the patient level were separated out during costing and those costs were not allocated to individual patients.</w:t>
            </w:r>
          </w:p>
        </w:tc>
      </w:tr>
      <w:tr w:rsidR="00F14328" w:rsidRPr="004218EA" w:rsidTr="006E6862">
        <w:tc>
          <w:tcPr>
            <w:tcW w:w="2376" w:type="dxa"/>
          </w:tcPr>
          <w:p w:rsidR="00F14328" w:rsidRPr="00E94312" w:rsidRDefault="00F14328" w:rsidP="00CA6711">
            <w:pPr>
              <w:pStyle w:val="PwCNormal"/>
              <w:numPr>
                <w:ilvl w:val="0"/>
                <w:numId w:val="0"/>
              </w:numPr>
            </w:pPr>
            <w:r w:rsidRPr="00E94312">
              <w:t>Mental Health</w:t>
            </w:r>
          </w:p>
        </w:tc>
        <w:tc>
          <w:tcPr>
            <w:tcW w:w="6237" w:type="dxa"/>
          </w:tcPr>
          <w:p w:rsidR="00F14328" w:rsidRPr="00E94312" w:rsidRDefault="00F14328" w:rsidP="00CA6711">
            <w:pPr>
              <w:pStyle w:val="PwCNormal"/>
              <w:numPr>
                <w:ilvl w:val="0"/>
                <w:numId w:val="0"/>
              </w:numPr>
            </w:pPr>
            <w:r>
              <w:t>Admitted m</w:t>
            </w:r>
            <w:r w:rsidRPr="00E94312">
              <w:t>ental health patients are treated as inpatients and costed according to the same acute and sub-acute methodologies.</w:t>
            </w:r>
          </w:p>
        </w:tc>
      </w:tr>
      <w:tr w:rsidR="00F14328" w:rsidRPr="004218EA" w:rsidTr="006E6862">
        <w:tc>
          <w:tcPr>
            <w:tcW w:w="2376" w:type="dxa"/>
          </w:tcPr>
          <w:p w:rsidR="00F14328" w:rsidRPr="00E94312" w:rsidRDefault="00F14328" w:rsidP="00CA6711">
            <w:pPr>
              <w:pStyle w:val="PwCNormal"/>
              <w:numPr>
                <w:ilvl w:val="0"/>
                <w:numId w:val="0"/>
              </w:numPr>
            </w:pPr>
            <w:r w:rsidRPr="00E94312">
              <w:t>Teaching, training and research</w:t>
            </w:r>
          </w:p>
        </w:tc>
        <w:tc>
          <w:tcPr>
            <w:tcW w:w="6237" w:type="dxa"/>
          </w:tcPr>
          <w:p w:rsidR="00F14328" w:rsidRDefault="00F14328" w:rsidP="00CA6711">
            <w:pPr>
              <w:pStyle w:val="PwCNormal"/>
              <w:numPr>
                <w:ilvl w:val="0"/>
                <w:numId w:val="0"/>
              </w:numPr>
            </w:pPr>
            <w:r w:rsidRPr="00E94312">
              <w:t xml:space="preserve">Direct teaching costs are counted where identifiable in separate cost centres. </w:t>
            </w:r>
            <w:r>
              <w:t>Direct r</w:t>
            </w:r>
            <w:r w:rsidRPr="00E94312">
              <w:t>esearch costs are held in special purpose funds and are not brought in for costing.</w:t>
            </w:r>
          </w:p>
          <w:p w:rsidR="00F14328" w:rsidRPr="00AE18F0" w:rsidRDefault="00F14328" w:rsidP="00CA6711">
            <w:pPr>
              <w:pStyle w:val="PwCNormal"/>
              <w:numPr>
                <w:ilvl w:val="0"/>
                <w:numId w:val="0"/>
              </w:numPr>
              <w:spacing w:after="120"/>
            </w:pPr>
            <w:r w:rsidRPr="00E94312">
              <w:t>WA Health has performed modelling on the effort spent by medical, nursing and allied health staff at each hospital, which resulted in unique percentages of those expenses being fractioned out into direct teaching</w:t>
            </w:r>
            <w:r>
              <w:t xml:space="preserve"> and research. </w:t>
            </w:r>
            <w:r w:rsidRPr="00AE18F0">
              <w:t xml:space="preserve">For </w:t>
            </w:r>
            <w:r>
              <w:t>Swan</w:t>
            </w:r>
            <w:r w:rsidRPr="00AE18F0">
              <w:t xml:space="preserve">, the percentages used for teaching were: </w:t>
            </w:r>
          </w:p>
          <w:p w:rsidR="00F14328" w:rsidRPr="00AE18F0" w:rsidRDefault="00F14328" w:rsidP="00F14328">
            <w:pPr>
              <w:pStyle w:val="PwCNormal"/>
              <w:numPr>
                <w:ilvl w:val="0"/>
                <w:numId w:val="74"/>
              </w:numPr>
              <w:spacing w:after="0"/>
            </w:pPr>
            <w:r>
              <w:t>8</w:t>
            </w:r>
            <w:r w:rsidRPr="00AE18F0">
              <w:t>.</w:t>
            </w:r>
            <w:r>
              <w:t>77</w:t>
            </w:r>
            <w:r w:rsidRPr="00AE18F0">
              <w:t>% for medical costs</w:t>
            </w:r>
          </w:p>
          <w:p w:rsidR="00F14328" w:rsidRPr="00AE18F0" w:rsidRDefault="00F14328" w:rsidP="00F14328">
            <w:pPr>
              <w:pStyle w:val="PwCNormal"/>
              <w:numPr>
                <w:ilvl w:val="0"/>
                <w:numId w:val="74"/>
              </w:numPr>
              <w:spacing w:after="0"/>
            </w:pPr>
            <w:r>
              <w:t>8</w:t>
            </w:r>
            <w:r w:rsidRPr="00AE18F0">
              <w:t>.</w:t>
            </w:r>
            <w:r>
              <w:t>72</w:t>
            </w:r>
            <w:r w:rsidRPr="00AE18F0">
              <w:t>% of nursing costs</w:t>
            </w:r>
          </w:p>
          <w:p w:rsidR="00F14328" w:rsidRDefault="00F14328" w:rsidP="00F14328">
            <w:pPr>
              <w:pStyle w:val="PwCNormal"/>
              <w:numPr>
                <w:ilvl w:val="0"/>
                <w:numId w:val="74"/>
              </w:numPr>
              <w:spacing w:after="120"/>
            </w:pPr>
            <w:r>
              <w:t>2</w:t>
            </w:r>
            <w:r w:rsidRPr="00CE0A8F">
              <w:t>.</w:t>
            </w:r>
            <w:r>
              <w:t>06</w:t>
            </w:r>
            <w:r w:rsidRPr="00CE0A8F">
              <w:t>% of allied health costs</w:t>
            </w:r>
            <w:r>
              <w:t>.</w:t>
            </w:r>
          </w:p>
          <w:p w:rsidR="00F14328" w:rsidRDefault="00F14328" w:rsidP="00CA6711">
            <w:pPr>
              <w:pStyle w:val="PwCNormal"/>
              <w:numPr>
                <w:ilvl w:val="0"/>
                <w:numId w:val="0"/>
              </w:numPr>
              <w:spacing w:after="120"/>
            </w:pPr>
            <w:r>
              <w:t>For research, the percentages used were:</w:t>
            </w:r>
          </w:p>
          <w:p w:rsidR="00F14328" w:rsidRDefault="00F14328" w:rsidP="00F14328">
            <w:pPr>
              <w:pStyle w:val="PwCNormal"/>
              <w:numPr>
                <w:ilvl w:val="0"/>
                <w:numId w:val="74"/>
              </w:numPr>
              <w:spacing w:after="0"/>
            </w:pPr>
            <w:r>
              <w:t>4.02% for medical costs</w:t>
            </w:r>
          </w:p>
          <w:p w:rsidR="00F14328" w:rsidRDefault="00F14328" w:rsidP="00F14328">
            <w:pPr>
              <w:pStyle w:val="PwCNormal"/>
              <w:numPr>
                <w:ilvl w:val="0"/>
                <w:numId w:val="74"/>
              </w:numPr>
              <w:spacing w:after="0"/>
            </w:pPr>
            <w:r>
              <w:lastRenderedPageBreak/>
              <w:t>0.14% of nursing costs</w:t>
            </w:r>
          </w:p>
          <w:p w:rsidR="00F14328" w:rsidRDefault="00F14328" w:rsidP="00F14328">
            <w:pPr>
              <w:pStyle w:val="PwCNormal"/>
              <w:numPr>
                <w:ilvl w:val="0"/>
                <w:numId w:val="74"/>
              </w:numPr>
              <w:spacing w:after="120"/>
            </w:pPr>
            <w:r>
              <w:t>0.51% of allied health costs.</w:t>
            </w:r>
          </w:p>
          <w:p w:rsidR="00F14328" w:rsidRPr="00E94312" w:rsidRDefault="00F14328" w:rsidP="00CA6711">
            <w:pPr>
              <w:pStyle w:val="PwCNormal"/>
              <w:numPr>
                <w:ilvl w:val="0"/>
                <w:numId w:val="0"/>
              </w:numPr>
            </w:pPr>
            <w:r w:rsidRPr="00E94312">
              <w:t>Research costs are held in special purpose funds and are not brought in for costing.</w:t>
            </w:r>
          </w:p>
        </w:tc>
      </w:tr>
      <w:tr w:rsidR="00F14328" w:rsidRPr="004218EA" w:rsidTr="006E6862">
        <w:tc>
          <w:tcPr>
            <w:tcW w:w="2376" w:type="dxa"/>
          </w:tcPr>
          <w:p w:rsidR="00F14328" w:rsidRPr="00E94312" w:rsidRDefault="00F14328" w:rsidP="00CA6711">
            <w:pPr>
              <w:pStyle w:val="PwCNormal"/>
              <w:numPr>
                <w:ilvl w:val="0"/>
                <w:numId w:val="0"/>
              </w:numPr>
            </w:pPr>
            <w:r w:rsidRPr="00E94312">
              <w:lastRenderedPageBreak/>
              <w:t>Other</w:t>
            </w:r>
          </w:p>
        </w:tc>
        <w:tc>
          <w:tcPr>
            <w:tcW w:w="6237" w:type="dxa"/>
          </w:tcPr>
          <w:p w:rsidR="00F14328" w:rsidRPr="00E94312" w:rsidRDefault="00F14328" w:rsidP="00CA6711">
            <w:pPr>
              <w:pStyle w:val="PwCNormal"/>
              <w:numPr>
                <w:ilvl w:val="0"/>
                <w:numId w:val="0"/>
              </w:numPr>
            </w:pPr>
            <w:r w:rsidRPr="00E94312">
              <w:t xml:space="preserve">Boarders were not costed in </w:t>
            </w:r>
            <w:r>
              <w:t>Round 17</w:t>
            </w:r>
            <w:r w:rsidRPr="00E94312">
              <w:t xml:space="preserve">. </w:t>
            </w:r>
          </w:p>
          <w:p w:rsidR="00F14328" w:rsidRPr="00E94312" w:rsidRDefault="00F14328" w:rsidP="00CA6711">
            <w:pPr>
              <w:pStyle w:val="PwCNormal"/>
              <w:numPr>
                <w:ilvl w:val="0"/>
                <w:numId w:val="0"/>
              </w:numPr>
            </w:pPr>
            <w:r w:rsidRPr="00E94312">
              <w:t>Organ procurement is costed at the care</w:t>
            </w:r>
            <w:r>
              <w:t>-</w:t>
            </w:r>
            <w:r w:rsidRPr="00E94312">
              <w:t>type level.</w:t>
            </w:r>
          </w:p>
        </w:tc>
      </w:tr>
    </w:tbl>
    <w:p w:rsidR="00F14328" w:rsidRPr="00E94312" w:rsidRDefault="00F14328" w:rsidP="00F14328">
      <w:pPr>
        <w:pStyle w:val="PwCNormal"/>
        <w:numPr>
          <w:ilvl w:val="0"/>
          <w:numId w:val="0"/>
        </w:numPr>
      </w:pPr>
    </w:p>
    <w:p w:rsidR="00F14328" w:rsidRPr="00E94312" w:rsidRDefault="00F14328" w:rsidP="00F14328">
      <w:pPr>
        <w:pStyle w:val="Heading3"/>
      </w:pPr>
      <w:r w:rsidRPr="00E94312">
        <w:t>Feeder data for sample areas</w:t>
      </w:r>
    </w:p>
    <w:p w:rsidR="00F14328" w:rsidRPr="00E94312" w:rsidRDefault="00F14328" w:rsidP="00F14328">
      <w:pPr>
        <w:pStyle w:val="PwCNormal"/>
        <w:numPr>
          <w:ilvl w:val="0"/>
          <w:numId w:val="0"/>
        </w:numPr>
        <w:rPr>
          <w:b/>
        </w:rPr>
      </w:pPr>
      <w:r w:rsidRPr="00E94312">
        <w:rPr>
          <w:b/>
        </w:rPr>
        <w:t>Overview</w:t>
      </w:r>
    </w:p>
    <w:p w:rsidR="00F14328" w:rsidRPr="00E94312" w:rsidRDefault="00F14328" w:rsidP="00F14328">
      <w:pPr>
        <w:pStyle w:val="PwCNormal"/>
        <w:numPr>
          <w:ilvl w:val="0"/>
          <w:numId w:val="0"/>
        </w:numPr>
      </w:pPr>
      <w:r w:rsidRPr="00E94312">
        <w:t xml:space="preserve">A variety of methods are used to allocate costs at </w:t>
      </w:r>
      <w:r>
        <w:t xml:space="preserve">Swan, </w:t>
      </w:r>
      <w:r w:rsidRPr="00E94312">
        <w:t>including the following areas: imaging, pharmacy, pathology, theatre and allied health. Some allocation methodologies of note include:</w:t>
      </w:r>
    </w:p>
    <w:p w:rsidR="00F14328" w:rsidRPr="00E94312" w:rsidRDefault="00F14328" w:rsidP="00F14328">
      <w:pPr>
        <w:pStyle w:val="PwCNormal"/>
        <w:numPr>
          <w:ilvl w:val="0"/>
          <w:numId w:val="51"/>
        </w:numPr>
      </w:pPr>
      <w:r w:rsidRPr="00E94312">
        <w:t xml:space="preserve">Patients are allocated ward medical costs based </w:t>
      </w:r>
      <w:r>
        <w:t>on their ward bed hours (WBH)</w:t>
      </w:r>
      <w:r w:rsidRPr="00E94312">
        <w:t>.</w:t>
      </w:r>
    </w:p>
    <w:p w:rsidR="00F14328" w:rsidRPr="00E94312" w:rsidRDefault="00F14328" w:rsidP="00F14328">
      <w:pPr>
        <w:pStyle w:val="PwCNormal"/>
        <w:numPr>
          <w:ilvl w:val="0"/>
          <w:numId w:val="51"/>
        </w:numPr>
      </w:pPr>
      <w:r w:rsidRPr="00E94312">
        <w:t xml:space="preserve">Prosthetics costs are allocated directly to patients using the </w:t>
      </w:r>
      <w:r>
        <w:t>TMS</w:t>
      </w:r>
      <w:r w:rsidRPr="00E94312">
        <w:t xml:space="preserve"> feeder data. RVUs used for the feeder are developed using the actual costs of the prosthetics.</w:t>
      </w:r>
    </w:p>
    <w:p w:rsidR="00F14328" w:rsidRPr="00E94312" w:rsidRDefault="00F14328" w:rsidP="00F14328">
      <w:pPr>
        <w:pStyle w:val="PwCNormal"/>
        <w:numPr>
          <w:ilvl w:val="0"/>
          <w:numId w:val="0"/>
        </w:numPr>
        <w:rPr>
          <w:b/>
        </w:rPr>
      </w:pPr>
      <w:r w:rsidRPr="00E94312">
        <w:rPr>
          <w:b/>
        </w:rPr>
        <w:t>Pharmacy</w:t>
      </w:r>
    </w:p>
    <w:p w:rsidR="00F14328" w:rsidRPr="00E94312" w:rsidRDefault="00F14328" w:rsidP="00F14328">
      <w:pPr>
        <w:pStyle w:val="PwCNormal"/>
        <w:numPr>
          <w:ilvl w:val="0"/>
          <w:numId w:val="0"/>
        </w:numPr>
      </w:pPr>
      <w:r>
        <w:t>Swan</w:t>
      </w:r>
      <w:r w:rsidRPr="00E94312">
        <w:t xml:space="preserve"> uses </w:t>
      </w:r>
      <w:proofErr w:type="spellStart"/>
      <w:r w:rsidRPr="00E94312">
        <w:t>iPharmacy</w:t>
      </w:r>
      <w:proofErr w:type="spellEnd"/>
      <w:r w:rsidRPr="00E94312">
        <w:t xml:space="preserve">, which records consumption of pharmacy products by patients. Dispensed drugs that are administered directly to patients are recorded in </w:t>
      </w:r>
      <w:proofErr w:type="spellStart"/>
      <w:r w:rsidR="002821F4" w:rsidRPr="00E94312">
        <w:t>iPharmacy</w:t>
      </w:r>
      <w:proofErr w:type="spellEnd"/>
      <w:r w:rsidR="002821F4" w:rsidRPr="00E94312">
        <w:t>, which</w:t>
      </w:r>
      <w:r w:rsidRPr="00E94312">
        <w:t xml:space="preserve"> is used to allocate costs directly to the patient during costing. The unit cost allocate</w:t>
      </w:r>
      <w:r>
        <w:t>d</w:t>
      </w:r>
      <w:r w:rsidRPr="00E94312">
        <w:t xml:space="preserve"> to patients is taken from vendors</w:t>
      </w:r>
      <w:r>
        <w:t>’</w:t>
      </w:r>
      <w:r w:rsidRPr="00E94312">
        <w:t xml:space="preserve"> price list</w:t>
      </w:r>
      <w:r>
        <w:t>.</w:t>
      </w:r>
      <w:r w:rsidRPr="00E94312">
        <w:t xml:space="preserve"> </w:t>
      </w:r>
    </w:p>
    <w:p w:rsidR="00F14328" w:rsidRPr="00E94312" w:rsidRDefault="00F14328" w:rsidP="00F14328">
      <w:pPr>
        <w:pStyle w:val="PwCNormal"/>
        <w:numPr>
          <w:ilvl w:val="0"/>
          <w:numId w:val="0"/>
        </w:numPr>
      </w:pPr>
      <w:r w:rsidRPr="00E94312">
        <w:t xml:space="preserve">Dispensed drugs </w:t>
      </w:r>
      <w:r>
        <w:t xml:space="preserve">that do not have a valid episode number </w:t>
      </w:r>
      <w:r w:rsidRPr="00E94312">
        <w:t xml:space="preserve">are linked to patients based on their medical record number and date of service. It is first linked to </w:t>
      </w:r>
      <w:r>
        <w:t>ED</w:t>
      </w:r>
      <w:r w:rsidRPr="00E94312">
        <w:t xml:space="preserve"> patients, then inpatients, </w:t>
      </w:r>
      <w:r>
        <w:t xml:space="preserve">and then </w:t>
      </w:r>
      <w:r w:rsidRPr="00E94312">
        <w:t>outpatients</w:t>
      </w:r>
      <w:r>
        <w:t>.</w:t>
      </w:r>
      <w:r w:rsidRPr="00E94312">
        <w:t xml:space="preserve"> The linking is done in waves around the date of service, starting with zero</w:t>
      </w:r>
      <w:r>
        <w:t xml:space="preserve"> days</w:t>
      </w:r>
      <w:r w:rsidRPr="00E94312">
        <w:t xml:space="preserve">, </w:t>
      </w:r>
      <w:proofErr w:type="gramStart"/>
      <w:r w:rsidRPr="00E94312">
        <w:t>then</w:t>
      </w:r>
      <w:proofErr w:type="gramEnd"/>
      <w:r w:rsidRPr="00E94312">
        <w:t xml:space="preserve"> increas</w:t>
      </w:r>
      <w:r>
        <w:t>es</w:t>
      </w:r>
      <w:r w:rsidRPr="00E94312">
        <w:t xml:space="preserve"> to 30 days before and </w:t>
      </w:r>
      <w:r w:rsidR="00986D7F">
        <w:t>five</w:t>
      </w:r>
      <w:r w:rsidR="00986D7F" w:rsidRPr="00E94312">
        <w:t xml:space="preserve"> </w:t>
      </w:r>
      <w:r w:rsidRPr="00E94312">
        <w:t>days after the date of service</w:t>
      </w:r>
      <w:r>
        <w:t xml:space="preserve"> for outpatients</w:t>
      </w:r>
      <w:r w:rsidRPr="00E94312">
        <w:t>. Records that are unable to be linked are linked to a virtual patient, who holds the costs for those drugs.</w:t>
      </w:r>
    </w:p>
    <w:p w:rsidR="00F14328" w:rsidRPr="00E94312" w:rsidRDefault="00F14328" w:rsidP="00F14328">
      <w:pPr>
        <w:pStyle w:val="PwCNormal"/>
        <w:numPr>
          <w:ilvl w:val="0"/>
          <w:numId w:val="0"/>
        </w:numPr>
      </w:pPr>
      <w:proofErr w:type="spellStart"/>
      <w:r>
        <w:t>Imprest</w:t>
      </w:r>
      <w:proofErr w:type="spellEnd"/>
      <w:r w:rsidRPr="00E94312">
        <w:t xml:space="preserve"> drug costs are allocated to wards, and are the distributed to patients </w:t>
      </w:r>
      <w:r>
        <w:t>based on the pharmacy weights of NHCDC Rd14 per DRG</w:t>
      </w:r>
      <w:r w:rsidRPr="00E94312">
        <w:t>.</w:t>
      </w:r>
    </w:p>
    <w:p w:rsidR="00F14328" w:rsidRPr="00E94312" w:rsidRDefault="00F14328" w:rsidP="00F14328">
      <w:pPr>
        <w:pStyle w:val="PwCNormal"/>
        <w:numPr>
          <w:ilvl w:val="0"/>
          <w:numId w:val="0"/>
        </w:numPr>
      </w:pPr>
      <w:r>
        <w:t>T</w:t>
      </w:r>
      <w:r w:rsidRPr="00E94312">
        <w:t xml:space="preserve">able </w:t>
      </w:r>
      <w:r w:rsidR="00986D7F">
        <w:t xml:space="preserve">101 </w:t>
      </w:r>
      <w:r w:rsidRPr="00E94312">
        <w:t>below outlines the linking of records from the source system to patients within the hospital products.</w:t>
      </w:r>
    </w:p>
    <w:p w:rsidR="00F14328" w:rsidRDefault="00F14328" w:rsidP="00F14328">
      <w:pPr>
        <w:pStyle w:val="Caption"/>
      </w:pPr>
      <w:r>
        <w:lastRenderedPageBreak/>
        <w:t xml:space="preserve">Table </w:t>
      </w:r>
      <w:fldSimple w:instr=" SEQ Table \* ARABIC ">
        <w:r w:rsidR="00575DFC">
          <w:rPr>
            <w:noProof/>
          </w:rPr>
          <w:t>102</w:t>
        </w:r>
      </w:fldSimple>
      <w:r>
        <w:t xml:space="preserve">: </w:t>
      </w:r>
      <w:r w:rsidRPr="00C87787">
        <w:t>Outcome of pharmacy feeder linking</w:t>
      </w:r>
    </w:p>
    <w:p w:rsidR="00F14328" w:rsidRDefault="00F14328" w:rsidP="00F14328">
      <w:pPr>
        <w:rPr>
          <w:highlight w:val="yellow"/>
        </w:rPr>
      </w:pPr>
      <w:r w:rsidRPr="00E94312">
        <w:rPr>
          <w:noProof/>
          <w:lang w:eastAsia="en-AU"/>
        </w:rPr>
        <w:drawing>
          <wp:inline distT="0" distB="0" distL="0" distR="0" wp14:anchorId="17194F27" wp14:editId="40FE5952">
            <wp:extent cx="2880000" cy="2663341"/>
            <wp:effectExtent l="0" t="0" r="0" b="3810"/>
            <wp:docPr id="101" name="Picture 101" descr="This table outlines the outcome of the pharmacy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880000" cy="2663341"/>
                    </a:xfrm>
                    <a:prstGeom prst="rect">
                      <a:avLst/>
                    </a:prstGeom>
                    <a:noFill/>
                    <a:ln>
                      <a:noFill/>
                    </a:ln>
                  </pic:spPr>
                </pic:pic>
              </a:graphicData>
            </a:graphic>
          </wp:inline>
        </w:drawing>
      </w:r>
    </w:p>
    <w:p w:rsidR="00F14328" w:rsidRPr="00E94312" w:rsidRDefault="00F14328" w:rsidP="00F14328">
      <w:pPr>
        <w:pStyle w:val="PwCNormal"/>
        <w:numPr>
          <w:ilvl w:val="0"/>
          <w:numId w:val="0"/>
        </w:numPr>
      </w:pPr>
    </w:p>
    <w:p w:rsidR="00F14328" w:rsidRPr="00E94312" w:rsidRDefault="00F14328" w:rsidP="00F14328">
      <w:pPr>
        <w:pStyle w:val="PwCNormal"/>
        <w:numPr>
          <w:ilvl w:val="0"/>
          <w:numId w:val="0"/>
        </w:numPr>
      </w:pPr>
      <w:r w:rsidRPr="00E94312">
        <w:t>Two records were removed from the feeder system and were not loaded into the costing system. This is 0.01% of the total records.</w:t>
      </w:r>
    </w:p>
    <w:p w:rsidR="00F14328" w:rsidRPr="00E94312" w:rsidRDefault="00F14328" w:rsidP="00F14328">
      <w:pPr>
        <w:pStyle w:val="PwCNormal"/>
        <w:numPr>
          <w:ilvl w:val="0"/>
          <w:numId w:val="0"/>
        </w:numPr>
        <w:rPr>
          <w:b/>
        </w:rPr>
      </w:pPr>
      <w:r w:rsidRPr="00E94312">
        <w:rPr>
          <w:b/>
        </w:rPr>
        <w:t>Theatre</w:t>
      </w:r>
    </w:p>
    <w:p w:rsidR="00F14328" w:rsidRPr="008C4C21" w:rsidRDefault="00F14328" w:rsidP="00F14328">
      <w:pPr>
        <w:pStyle w:val="PwCNormal"/>
        <w:numPr>
          <w:ilvl w:val="0"/>
          <w:numId w:val="0"/>
        </w:numPr>
      </w:pPr>
      <w:r w:rsidRPr="00E94312">
        <w:t xml:space="preserve">Swan uses TMS as their theatre management system, which records information on patient operations, such as start and end time of anaesthetics, </w:t>
      </w:r>
      <w:r>
        <w:t>surgery and recovery, as well as information on consumables</w:t>
      </w:r>
      <w:r w:rsidRPr="00E94312">
        <w:t>. Data is ext</w:t>
      </w:r>
      <w:r w:rsidRPr="008C4C21">
        <w:t>racted from the system and links directly to the patient encounter.</w:t>
      </w:r>
    </w:p>
    <w:p w:rsidR="00F14328" w:rsidRPr="004218EA" w:rsidRDefault="00F14328" w:rsidP="00F14328">
      <w:pPr>
        <w:pStyle w:val="PwCNormal"/>
        <w:numPr>
          <w:ilvl w:val="0"/>
          <w:numId w:val="0"/>
        </w:numPr>
        <w:rPr>
          <w:highlight w:val="yellow"/>
        </w:rPr>
      </w:pPr>
      <w:r w:rsidRPr="008C4C21">
        <w:t>Swans breaks down theatre costs into several intermediate products and uses a combination of an</w:t>
      </w:r>
      <w:r>
        <w:t>a</w:t>
      </w:r>
      <w:r w:rsidRPr="008C4C21">
        <w:t>esthetic time, surgery time (cut to close) and recovery time to allocate costs. It was noted that future rounds will include a weighting to account for the number of surgeons performing the surgery.</w:t>
      </w:r>
    </w:p>
    <w:p w:rsidR="00F14328" w:rsidRDefault="00F14328" w:rsidP="00F14328">
      <w:pPr>
        <w:pStyle w:val="PwCNormal"/>
        <w:numPr>
          <w:ilvl w:val="0"/>
          <w:numId w:val="0"/>
        </w:numPr>
      </w:pPr>
      <w:r>
        <w:t>T</w:t>
      </w:r>
      <w:r w:rsidRPr="00E94312">
        <w:t xml:space="preserve">able </w:t>
      </w:r>
      <w:r w:rsidR="00986D7F">
        <w:t xml:space="preserve">102 </w:t>
      </w:r>
      <w:r w:rsidRPr="00E94312">
        <w:t>below outlines the linking of records from the source system to patients within the hospital products.</w:t>
      </w:r>
    </w:p>
    <w:p w:rsidR="00F14328" w:rsidRDefault="00F14328" w:rsidP="00F14328">
      <w:pPr>
        <w:pStyle w:val="Caption"/>
      </w:pPr>
      <w:r>
        <w:t xml:space="preserve">Table </w:t>
      </w:r>
      <w:fldSimple w:instr=" SEQ Table \* ARABIC ">
        <w:r w:rsidR="00575DFC">
          <w:rPr>
            <w:noProof/>
          </w:rPr>
          <w:t>103</w:t>
        </w:r>
      </w:fldSimple>
      <w:r>
        <w:t xml:space="preserve">: </w:t>
      </w:r>
      <w:r w:rsidRPr="00443B77">
        <w:t>Outcome of theatre feeder linkin</w:t>
      </w:r>
      <w:r>
        <w:t>g</w:t>
      </w:r>
    </w:p>
    <w:p w:rsidR="00F14328" w:rsidRPr="00E94312" w:rsidRDefault="00F14328" w:rsidP="00F14328">
      <w:pPr>
        <w:pStyle w:val="PwCNormal"/>
        <w:numPr>
          <w:ilvl w:val="0"/>
          <w:numId w:val="0"/>
        </w:numPr>
      </w:pPr>
      <w:r w:rsidRPr="008C4C21">
        <w:rPr>
          <w:noProof/>
          <w:lang w:eastAsia="en-AU"/>
        </w:rPr>
        <w:drawing>
          <wp:inline distT="0" distB="0" distL="0" distR="0" wp14:anchorId="78B56392" wp14:editId="61B9CE80">
            <wp:extent cx="2887254" cy="2670048"/>
            <wp:effectExtent l="0" t="0" r="8890" b="0"/>
            <wp:docPr id="102" name="Picture 102" descr="This table outlines the outcome of the theatre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903711" cy="2685267"/>
                    </a:xfrm>
                    <a:prstGeom prst="rect">
                      <a:avLst/>
                    </a:prstGeom>
                    <a:noFill/>
                    <a:ln>
                      <a:noFill/>
                    </a:ln>
                  </pic:spPr>
                </pic:pic>
              </a:graphicData>
            </a:graphic>
          </wp:inline>
        </w:drawing>
      </w:r>
    </w:p>
    <w:p w:rsidR="00986D7F" w:rsidRDefault="00986D7F">
      <w:pPr>
        <w:kinsoku/>
        <w:overflowPunct/>
        <w:autoSpaceDE/>
        <w:autoSpaceDN/>
        <w:adjustRightInd/>
        <w:snapToGrid/>
        <w:rPr>
          <w:b/>
        </w:rPr>
      </w:pPr>
      <w:r>
        <w:rPr>
          <w:b/>
        </w:rPr>
        <w:br w:type="page"/>
      </w:r>
    </w:p>
    <w:p w:rsidR="00F14328" w:rsidRPr="008C4C21" w:rsidRDefault="00F14328" w:rsidP="00F14328">
      <w:pPr>
        <w:pStyle w:val="PwCNormal"/>
        <w:numPr>
          <w:ilvl w:val="0"/>
          <w:numId w:val="0"/>
        </w:numPr>
        <w:rPr>
          <w:b/>
        </w:rPr>
      </w:pPr>
      <w:r w:rsidRPr="008C4C21">
        <w:rPr>
          <w:b/>
        </w:rPr>
        <w:lastRenderedPageBreak/>
        <w:t xml:space="preserve">Ward </w:t>
      </w:r>
      <w:r>
        <w:rPr>
          <w:b/>
        </w:rPr>
        <w:t>n</w:t>
      </w:r>
      <w:r w:rsidRPr="008C4C21">
        <w:rPr>
          <w:b/>
        </w:rPr>
        <w:t>ursing</w:t>
      </w:r>
    </w:p>
    <w:p w:rsidR="00F14328" w:rsidRPr="008C4C21" w:rsidRDefault="00F14328" w:rsidP="00F14328">
      <w:pPr>
        <w:pStyle w:val="PwCNormal"/>
        <w:numPr>
          <w:ilvl w:val="0"/>
          <w:numId w:val="0"/>
        </w:numPr>
      </w:pPr>
      <w:r>
        <w:t xml:space="preserve">TOPAS and </w:t>
      </w:r>
      <w:proofErr w:type="spellStart"/>
      <w:r>
        <w:t>w</w:t>
      </w:r>
      <w:r w:rsidRPr="008C4C21">
        <w:t>ebPAS</w:t>
      </w:r>
      <w:proofErr w:type="spellEnd"/>
      <w:r w:rsidRPr="008C4C21">
        <w:t xml:space="preserve"> record all encounter information at Swan</w:t>
      </w:r>
      <w:r>
        <w:t>,</w:t>
      </w:r>
      <w:r w:rsidRPr="008C4C21">
        <w:t xml:space="preserve"> and include data such as the admission and discharge date and time and transfers between wards and units. Data is extracted from the system and links directly to the patient encounter.</w:t>
      </w:r>
    </w:p>
    <w:p w:rsidR="00F14328" w:rsidRPr="008C4C21" w:rsidRDefault="00F14328" w:rsidP="00F14328">
      <w:pPr>
        <w:pStyle w:val="PwCNormal"/>
        <w:numPr>
          <w:ilvl w:val="0"/>
          <w:numId w:val="0"/>
        </w:numPr>
      </w:pPr>
      <w:r w:rsidRPr="008C4C21">
        <w:t xml:space="preserve">Patient stay was identified down to the ward and unit level (such as a maternity ward) and a </w:t>
      </w:r>
      <w:r>
        <w:t>fractionalised WBH</w:t>
      </w:r>
      <w:r w:rsidRPr="008C4C21">
        <w:t xml:space="preserve"> was generated from the start and end date and time.</w:t>
      </w:r>
    </w:p>
    <w:p w:rsidR="00F14328" w:rsidRPr="008C4C21" w:rsidRDefault="00F14328" w:rsidP="00F14328">
      <w:pPr>
        <w:pStyle w:val="PwCNormal"/>
        <w:numPr>
          <w:ilvl w:val="0"/>
          <w:numId w:val="0"/>
        </w:numPr>
      </w:pPr>
      <w:r>
        <w:t>T</w:t>
      </w:r>
      <w:r w:rsidRPr="008C4C21">
        <w:t xml:space="preserve">able </w:t>
      </w:r>
      <w:r>
        <w:t>10</w:t>
      </w:r>
      <w:r w:rsidR="00986D7F">
        <w:t>3</w:t>
      </w:r>
      <w:r>
        <w:t xml:space="preserve"> </w:t>
      </w:r>
      <w:r w:rsidRPr="008C4C21">
        <w:t>below outlines the linking of records from the source system to patients within the hospital products.</w:t>
      </w:r>
    </w:p>
    <w:p w:rsidR="00F14328" w:rsidRDefault="00F14328" w:rsidP="00F14328">
      <w:pPr>
        <w:pStyle w:val="Caption"/>
      </w:pPr>
      <w:r>
        <w:t xml:space="preserve">Table </w:t>
      </w:r>
      <w:fldSimple w:instr=" SEQ Table \* ARABIC ">
        <w:r w:rsidR="00575DFC">
          <w:rPr>
            <w:noProof/>
          </w:rPr>
          <w:t>104</w:t>
        </w:r>
      </w:fldSimple>
      <w:r>
        <w:t xml:space="preserve">: </w:t>
      </w:r>
      <w:r w:rsidRPr="003E63C4">
        <w:t>Outcome of ward nursing feeder linking</w:t>
      </w:r>
    </w:p>
    <w:p w:rsidR="00F14328" w:rsidRPr="004218EA" w:rsidRDefault="00F14328" w:rsidP="00F14328">
      <w:pPr>
        <w:pStyle w:val="PwCNormal"/>
        <w:numPr>
          <w:ilvl w:val="0"/>
          <w:numId w:val="0"/>
        </w:numPr>
        <w:rPr>
          <w:highlight w:val="yellow"/>
        </w:rPr>
      </w:pPr>
      <w:r w:rsidRPr="008C4C21">
        <w:rPr>
          <w:noProof/>
          <w:lang w:eastAsia="en-AU"/>
        </w:rPr>
        <w:drawing>
          <wp:inline distT="0" distB="0" distL="0" distR="0" wp14:anchorId="3033E515" wp14:editId="51E835A3">
            <wp:extent cx="2880000" cy="2663341"/>
            <wp:effectExtent l="0" t="0" r="0" b="3810"/>
            <wp:docPr id="103" name="Picture 103" descr="This table outlines the outcome of the ward nursing feeder linking rules to the different hospit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80000" cy="2663341"/>
                    </a:xfrm>
                    <a:prstGeom prst="rect">
                      <a:avLst/>
                    </a:prstGeom>
                    <a:noFill/>
                    <a:ln>
                      <a:noFill/>
                    </a:ln>
                  </pic:spPr>
                </pic:pic>
              </a:graphicData>
            </a:graphic>
          </wp:inline>
        </w:drawing>
      </w:r>
    </w:p>
    <w:p w:rsidR="00F14328" w:rsidRPr="008C4C21" w:rsidRDefault="00F14328" w:rsidP="00F14328">
      <w:pPr>
        <w:pStyle w:val="PwCNormal"/>
        <w:numPr>
          <w:ilvl w:val="0"/>
          <w:numId w:val="0"/>
        </w:numPr>
      </w:pPr>
      <w:r w:rsidRPr="008C4C21">
        <w:t>All transfer records were linked directly to patients.</w:t>
      </w:r>
    </w:p>
    <w:p w:rsidR="00F14328" w:rsidRPr="008C4C21" w:rsidRDefault="00F14328" w:rsidP="00F14328">
      <w:pPr>
        <w:pStyle w:val="Heading3"/>
      </w:pPr>
      <w:r w:rsidRPr="008C4C21">
        <w:t>The costed dataset</w:t>
      </w:r>
    </w:p>
    <w:p w:rsidR="00F14328" w:rsidRPr="008C4C21" w:rsidRDefault="00F14328" w:rsidP="00F14328">
      <w:pPr>
        <w:pStyle w:val="PwCNormal"/>
        <w:numPr>
          <w:ilvl w:val="0"/>
          <w:numId w:val="0"/>
        </w:numPr>
        <w:rPr>
          <w:b/>
        </w:rPr>
      </w:pPr>
      <w:r w:rsidRPr="008C4C21">
        <w:rPr>
          <w:b/>
        </w:rPr>
        <w:t>QA process</w:t>
      </w:r>
    </w:p>
    <w:p w:rsidR="00F14328" w:rsidRPr="008C4C21" w:rsidRDefault="00F14328" w:rsidP="00F14328">
      <w:pPr>
        <w:pStyle w:val="PwCNormal"/>
        <w:numPr>
          <w:ilvl w:val="0"/>
          <w:numId w:val="0"/>
        </w:numPr>
      </w:pPr>
      <w:r w:rsidRPr="008C4C21">
        <w:t xml:space="preserve">Once costing </w:t>
      </w:r>
      <w:r>
        <w:t>w</w:t>
      </w:r>
      <w:r w:rsidRPr="008C4C21">
        <w:t>as completed</w:t>
      </w:r>
      <w:r>
        <w:t>,</w:t>
      </w:r>
      <w:r w:rsidRPr="008C4C21">
        <w:t xml:space="preserve"> the </w:t>
      </w:r>
      <w:r>
        <w:t>North</w:t>
      </w:r>
      <w:r w:rsidRPr="008C4C21">
        <w:t xml:space="preserve"> Metro costing staff performed a range of quality assurance checks and reconciliations. These include</w:t>
      </w:r>
      <w:r>
        <w:t>d</w:t>
      </w:r>
      <w:r w:rsidRPr="008C4C21">
        <w:t>:</w:t>
      </w:r>
    </w:p>
    <w:p w:rsidR="00F14328" w:rsidRPr="006F7F19" w:rsidRDefault="00F14328" w:rsidP="00F14328">
      <w:pPr>
        <w:pStyle w:val="PwCNormal"/>
        <w:numPr>
          <w:ilvl w:val="0"/>
          <w:numId w:val="61"/>
        </w:numPr>
      </w:pPr>
      <w:r>
        <w:t xml:space="preserve">high-level reconciliations, such as from the GL to North Metro HS, North Metro HS to hospital, and hospital to total hospital products. Reconciliations are performed throughout the cost process at various stages, such as after reclass rules, allocation of </w:t>
      </w:r>
      <w:r w:rsidRPr="006F7F19">
        <w:t>overheads and after final allocation to patients</w:t>
      </w:r>
    </w:p>
    <w:p w:rsidR="00F14328" w:rsidRPr="006F7F19" w:rsidRDefault="00F14328" w:rsidP="00F14328">
      <w:pPr>
        <w:pStyle w:val="PwCNormal"/>
        <w:numPr>
          <w:ilvl w:val="0"/>
          <w:numId w:val="61"/>
        </w:numPr>
      </w:pPr>
      <w:r>
        <w:t>r</w:t>
      </w:r>
      <w:r w:rsidRPr="006F7F19">
        <w:t>eview of high</w:t>
      </w:r>
      <w:r>
        <w:t>-</w:t>
      </w:r>
      <w:r w:rsidRPr="006F7F19">
        <w:t>cost or low</w:t>
      </w:r>
      <w:r>
        <w:t>-</w:t>
      </w:r>
      <w:r w:rsidRPr="006F7F19">
        <w:t>cost patients, extreme costs in various areas (such as by Ti</w:t>
      </w:r>
      <w:r>
        <w:t>e</w:t>
      </w:r>
      <w:r w:rsidRPr="006F7F19">
        <w:t>r 2/DRG/URG, or extreme doctor or nurse costs)</w:t>
      </w:r>
    </w:p>
    <w:p w:rsidR="00F14328" w:rsidRPr="006F7F19" w:rsidRDefault="00F14328" w:rsidP="00F14328">
      <w:pPr>
        <w:pStyle w:val="PwCNormal"/>
        <w:numPr>
          <w:ilvl w:val="0"/>
          <w:numId w:val="61"/>
        </w:numPr>
      </w:pPr>
      <w:r>
        <w:t>r</w:t>
      </w:r>
      <w:r w:rsidRPr="006F7F19">
        <w:t>eview of costs per output (</w:t>
      </w:r>
      <w:r>
        <w:t>that is</w:t>
      </w:r>
      <w:r w:rsidRPr="006F7F19">
        <w:t xml:space="preserve"> by DRG/URG/Tier 2) compared to last year, the national average or other LHN sites</w:t>
      </w:r>
    </w:p>
    <w:p w:rsidR="00F14328" w:rsidRPr="006F7F19" w:rsidRDefault="00F14328" w:rsidP="00F14328">
      <w:pPr>
        <w:pStyle w:val="PwCNormal"/>
        <w:numPr>
          <w:ilvl w:val="0"/>
          <w:numId w:val="61"/>
        </w:numPr>
      </w:pPr>
      <w:proofErr w:type="gramStart"/>
      <w:r>
        <w:t>r</w:t>
      </w:r>
      <w:r w:rsidRPr="006F7F19">
        <w:t>eview</w:t>
      </w:r>
      <w:proofErr w:type="gramEnd"/>
      <w:r w:rsidRPr="006F7F19">
        <w:t xml:space="preserve"> of negative cost items and patients</w:t>
      </w:r>
      <w:r>
        <w:t>.</w:t>
      </w:r>
    </w:p>
    <w:p w:rsidR="00F14328" w:rsidRPr="006F7F19" w:rsidRDefault="00F14328" w:rsidP="00F14328">
      <w:pPr>
        <w:pStyle w:val="PwCNormal"/>
        <w:numPr>
          <w:ilvl w:val="0"/>
          <w:numId w:val="0"/>
        </w:numPr>
      </w:pPr>
      <w:r>
        <w:t>I</w:t>
      </w:r>
      <w:r w:rsidRPr="006F7F19">
        <w:t xml:space="preserve">ssues </w:t>
      </w:r>
      <w:r>
        <w:t>i</w:t>
      </w:r>
      <w:r w:rsidRPr="006F7F19">
        <w:t>dentified during the process are rectified and the new costing results again go through the QA processes.</w:t>
      </w:r>
    </w:p>
    <w:p w:rsidR="00986D7F" w:rsidRDefault="00986D7F">
      <w:pPr>
        <w:kinsoku/>
        <w:overflowPunct/>
        <w:autoSpaceDE/>
        <w:autoSpaceDN/>
        <w:adjustRightInd/>
        <w:snapToGrid/>
        <w:rPr>
          <w:b/>
        </w:rPr>
      </w:pPr>
      <w:r>
        <w:rPr>
          <w:b/>
        </w:rPr>
        <w:br w:type="page"/>
      </w:r>
    </w:p>
    <w:p w:rsidR="00F14328" w:rsidRPr="006F7F19" w:rsidRDefault="00F14328" w:rsidP="00F14328">
      <w:pPr>
        <w:pStyle w:val="PwCNormal"/>
        <w:numPr>
          <w:ilvl w:val="0"/>
          <w:numId w:val="0"/>
        </w:numPr>
        <w:rPr>
          <w:b/>
        </w:rPr>
      </w:pPr>
      <w:r w:rsidRPr="006F7F19">
        <w:rPr>
          <w:b/>
        </w:rPr>
        <w:lastRenderedPageBreak/>
        <w:t>Adjustments</w:t>
      </w:r>
    </w:p>
    <w:p w:rsidR="00F14328" w:rsidRPr="006F7F19" w:rsidRDefault="00F14328" w:rsidP="00F14328">
      <w:pPr>
        <w:pStyle w:val="PwCNormal"/>
        <w:numPr>
          <w:ilvl w:val="0"/>
          <w:numId w:val="0"/>
        </w:numPr>
      </w:pPr>
      <w:r>
        <w:t>A total of $2.3</w:t>
      </w:r>
      <w:r w:rsidR="008E7280">
        <w:t xml:space="preserve"> </w:t>
      </w:r>
      <w:r>
        <w:t>m</w:t>
      </w:r>
      <w:r w:rsidR="008E7280">
        <w:t>illion</w:t>
      </w:r>
      <w:r>
        <w:t xml:space="preserve"> was removed from the dataset for work in progress patients that will be carried forward to future years.</w:t>
      </w:r>
      <w:r w:rsidR="00283DEC">
        <w:t xml:space="preserve"> No other adjustments were noted by the hospital. Adjustments were made by the jurisdiction, which can be found in </w:t>
      </w:r>
      <w:r w:rsidR="00F84A9F">
        <w:t xml:space="preserve">Section </w:t>
      </w:r>
      <w:r w:rsidR="00283DEC">
        <w:fldChar w:fldCharType="begin"/>
      </w:r>
      <w:r w:rsidR="00283DEC">
        <w:instrText xml:space="preserve"> REF _Ref403229671 \r \h </w:instrText>
      </w:r>
      <w:r w:rsidR="00283DEC">
        <w:fldChar w:fldCharType="separate"/>
      </w:r>
      <w:r w:rsidR="00575DFC">
        <w:t>10.4.2</w:t>
      </w:r>
      <w:r w:rsidR="00283DEC">
        <w:fldChar w:fldCharType="end"/>
      </w:r>
      <w:r w:rsidR="00283DEC">
        <w:t>.</w:t>
      </w:r>
    </w:p>
    <w:p w:rsidR="00F14328" w:rsidRPr="006F7F19" w:rsidRDefault="00F14328" w:rsidP="00F14328">
      <w:pPr>
        <w:pStyle w:val="PwCNormal"/>
        <w:numPr>
          <w:ilvl w:val="0"/>
          <w:numId w:val="0"/>
        </w:numPr>
        <w:rPr>
          <w:b/>
        </w:rPr>
      </w:pPr>
      <w:r w:rsidRPr="006F7F19">
        <w:rPr>
          <w:b/>
        </w:rPr>
        <w:t>Work in progress (Item E)</w:t>
      </w:r>
    </w:p>
    <w:p w:rsidR="00F14328" w:rsidRPr="006F7F19" w:rsidRDefault="00F14328" w:rsidP="00283DEC">
      <w:pPr>
        <w:pStyle w:val="PwCNormal"/>
        <w:numPr>
          <w:ilvl w:val="0"/>
          <w:numId w:val="0"/>
        </w:numPr>
      </w:pPr>
      <w:r w:rsidRPr="006F7F19">
        <w:t xml:space="preserve">Adjustments are made for patients whose stay at the hospital crosses the financial year. </w:t>
      </w:r>
      <w:r w:rsidR="00283DEC">
        <w:t xml:space="preserve">This approach was consistent with the approach taken at RPH, which is discussed in </w:t>
      </w:r>
      <w:r w:rsidR="00F84A9F">
        <w:t xml:space="preserve">Section </w:t>
      </w:r>
      <w:r w:rsidR="00283DEC">
        <w:fldChar w:fldCharType="begin"/>
      </w:r>
      <w:r w:rsidR="00283DEC">
        <w:instrText xml:space="preserve"> REF _Ref403229467 \r \h </w:instrText>
      </w:r>
      <w:r w:rsidR="00283DEC">
        <w:fldChar w:fldCharType="separate"/>
      </w:r>
      <w:r w:rsidR="00575DFC">
        <w:t>10.2.5</w:t>
      </w:r>
      <w:r w:rsidR="00283DEC">
        <w:fldChar w:fldCharType="end"/>
      </w:r>
      <w:r w:rsidR="00283DEC">
        <w:t>.</w:t>
      </w:r>
    </w:p>
    <w:p w:rsidR="00F14328" w:rsidRPr="006F7F19" w:rsidRDefault="00F14328" w:rsidP="00F14328">
      <w:pPr>
        <w:pStyle w:val="Heading3"/>
      </w:pPr>
      <w:r w:rsidRPr="006F7F19">
        <w:t>Sample patients</w:t>
      </w:r>
    </w:p>
    <w:p w:rsidR="00F14328" w:rsidRDefault="00F14328" w:rsidP="00F14328">
      <w:pPr>
        <w:pStyle w:val="PwCNormal"/>
        <w:numPr>
          <w:ilvl w:val="0"/>
          <w:numId w:val="0"/>
        </w:numPr>
      </w:pPr>
      <w:r>
        <w:t>A sample of five</w:t>
      </w:r>
      <w:r w:rsidRPr="00E22F8A">
        <w:t xml:space="preserve"> patients was requested to </w:t>
      </w:r>
      <w:r>
        <w:t>verify</w:t>
      </w:r>
      <w:r w:rsidRPr="00E22F8A">
        <w:t xml:space="preserve"> </w:t>
      </w:r>
      <w:r>
        <w:t>that the total cost</w:t>
      </w:r>
      <w:r w:rsidR="002729CE">
        <w:t xml:space="preserve"> attributed to the jurisdiction’s submitted patient records</w:t>
      </w:r>
      <w:r>
        <w:t xml:space="preserve"> </w:t>
      </w:r>
      <w:r w:rsidRPr="00E22F8A">
        <w:t xml:space="preserve">reconciles with what IHPA </w:t>
      </w:r>
      <w:r>
        <w:t>has recorded as being received</w:t>
      </w:r>
      <w:r w:rsidRPr="006F7F19">
        <w:t xml:space="preserve">. </w:t>
      </w:r>
      <w:r w:rsidR="00575574">
        <w:t xml:space="preserve">As </w:t>
      </w:r>
      <w:r w:rsidR="00575574">
        <w:fldChar w:fldCharType="begin"/>
      </w:r>
      <w:r w:rsidR="00575574">
        <w:instrText xml:space="preserve"> REF _Ref403229723 \h </w:instrText>
      </w:r>
      <w:r w:rsidR="00575574">
        <w:fldChar w:fldCharType="separate"/>
      </w:r>
      <w:r w:rsidR="00575DFC">
        <w:t xml:space="preserve">Table </w:t>
      </w:r>
      <w:r w:rsidR="00575DFC">
        <w:rPr>
          <w:noProof/>
        </w:rPr>
        <w:t>105</w:t>
      </w:r>
      <w:r w:rsidR="00575574">
        <w:fldChar w:fldCharType="end"/>
      </w:r>
      <w:r w:rsidR="00575574">
        <w:t xml:space="preserve"> demonstrates, no variance was noted.</w:t>
      </w:r>
    </w:p>
    <w:p w:rsidR="00F14328" w:rsidRDefault="00F14328" w:rsidP="00F14328">
      <w:pPr>
        <w:pStyle w:val="Caption"/>
      </w:pPr>
      <w:bookmarkStart w:id="148" w:name="_Ref403229723"/>
      <w:r>
        <w:t xml:space="preserve">Table </w:t>
      </w:r>
      <w:fldSimple w:instr=" SEQ Table \* ARABIC ">
        <w:r w:rsidR="00575DFC">
          <w:rPr>
            <w:noProof/>
          </w:rPr>
          <w:t>105</w:t>
        </w:r>
      </w:fldSimple>
      <w:bookmarkEnd w:id="148"/>
      <w:r>
        <w:t xml:space="preserve">: </w:t>
      </w:r>
      <w:r w:rsidRPr="00846811">
        <w:t>Sample patient reconciliation with IHPA</w:t>
      </w:r>
    </w:p>
    <w:p w:rsidR="00960BFB" w:rsidRDefault="00960BFB" w:rsidP="00F14328">
      <w:pPr>
        <w:pStyle w:val="PwCNormal"/>
        <w:numPr>
          <w:ilvl w:val="0"/>
          <w:numId w:val="0"/>
        </w:numPr>
      </w:pPr>
      <w:r w:rsidRPr="00960BFB">
        <w:rPr>
          <w:noProof/>
          <w:lang w:eastAsia="en-AU"/>
        </w:rPr>
        <w:drawing>
          <wp:inline distT="0" distB="0" distL="0" distR="0" wp14:anchorId="545E9457" wp14:editId="4B6DBD8C">
            <wp:extent cx="3604437" cy="987463"/>
            <wp:effectExtent l="0" t="0" r="0" b="3175"/>
            <wp:docPr id="93" name="Picture 93" descr="This table outlines the outcome of the five sample patient reconciliation. The total costs submitted by the jurisdiction for all five patients agreed with what IHPA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603349" cy="987165"/>
                    </a:xfrm>
                    <a:prstGeom prst="rect">
                      <a:avLst/>
                    </a:prstGeom>
                    <a:noFill/>
                    <a:ln>
                      <a:noFill/>
                    </a:ln>
                  </pic:spPr>
                </pic:pic>
              </a:graphicData>
            </a:graphic>
          </wp:inline>
        </w:drawing>
      </w:r>
    </w:p>
    <w:p w:rsidR="00F14328" w:rsidRDefault="00F14328" w:rsidP="00F14328">
      <w:pPr>
        <w:kinsoku/>
        <w:overflowPunct/>
        <w:autoSpaceDE/>
        <w:autoSpaceDN/>
        <w:adjustRightInd/>
        <w:snapToGrid/>
      </w:pPr>
      <w:r>
        <w:br w:type="page"/>
      </w:r>
    </w:p>
    <w:p w:rsidR="00F14328" w:rsidRDefault="00F14328" w:rsidP="00F14328">
      <w:pPr>
        <w:pStyle w:val="Heading2"/>
        <w:spacing w:before="0" w:after="40"/>
      </w:pPr>
      <w:r>
        <w:lastRenderedPageBreak/>
        <w:t>Jurisdictional overview</w:t>
      </w:r>
    </w:p>
    <w:p w:rsidR="00F14328" w:rsidRDefault="00F14328" w:rsidP="00F14328">
      <w:pPr>
        <w:pStyle w:val="Heading3"/>
        <w:spacing w:after="40"/>
      </w:pPr>
      <w:r>
        <w:t>Overview of process</w:t>
      </w:r>
    </w:p>
    <w:p w:rsidR="00F14328" w:rsidRDefault="00F14328" w:rsidP="00F14328">
      <w:pPr>
        <w:pStyle w:val="PwCNormal"/>
        <w:numPr>
          <w:ilvl w:val="0"/>
          <w:numId w:val="0"/>
        </w:numPr>
      </w:pPr>
      <w:r>
        <w:t xml:space="preserve">WA Health continues to provide guidance and support to the health services around the state in an evolving costing environment. PPM2 were used across all WA NHCDC sites for the first time in Round 17. </w:t>
      </w:r>
    </w:p>
    <w:p w:rsidR="00F14328" w:rsidRDefault="00F14328" w:rsidP="00F14328">
      <w:pPr>
        <w:pStyle w:val="PwCNormal"/>
        <w:numPr>
          <w:ilvl w:val="0"/>
          <w:numId w:val="0"/>
        </w:numPr>
      </w:pPr>
      <w:r>
        <w:t>With the move towards activity based funding in WA, the role of WA Health will become more important, with an aim of refining and improving the consistency of costing across the state. As such, WA Health is in the process of undertaking an Australian Hospital Patient Costing Standards compliance project and developing educational tools and documentation to enhance hospital costing. Further, the number of QA procedures that the department will perform will increase substantially with a greater focus on pre-emptive tests before costing has commenced.</w:t>
      </w:r>
    </w:p>
    <w:p w:rsidR="00F14328" w:rsidRDefault="00F14328" w:rsidP="00F14328">
      <w:pPr>
        <w:pStyle w:val="Heading3"/>
        <w:spacing w:before="240" w:after="40"/>
      </w:pPr>
      <w:bookmarkStart w:id="149" w:name="_Ref403229671"/>
      <w:r>
        <w:t>Adjustments to costed dataset</w:t>
      </w:r>
      <w:bookmarkEnd w:id="149"/>
    </w:p>
    <w:p w:rsidR="00F14328" w:rsidRPr="00466DD9" w:rsidRDefault="00F14328" w:rsidP="00F14328">
      <w:pPr>
        <w:pStyle w:val="PwCNormal"/>
        <w:numPr>
          <w:ilvl w:val="0"/>
          <w:numId w:val="0"/>
        </w:numPr>
        <w:spacing w:before="240" w:after="120"/>
        <w:rPr>
          <w:b/>
        </w:rPr>
      </w:pPr>
      <w:r>
        <w:rPr>
          <w:b/>
        </w:rPr>
        <w:t>Royal Perth Hospital</w:t>
      </w:r>
    </w:p>
    <w:p w:rsidR="00F14328" w:rsidRDefault="00F14328" w:rsidP="00F14328">
      <w:pPr>
        <w:pStyle w:val="PwCNormal"/>
        <w:numPr>
          <w:ilvl w:val="0"/>
          <w:numId w:val="0"/>
        </w:numPr>
        <w:spacing w:after="120"/>
      </w:pPr>
      <w:r>
        <w:t>The following adjustments were made to the RPH dataset before submission was made to IHPA:</w:t>
      </w:r>
    </w:p>
    <w:p w:rsidR="00F14328" w:rsidRDefault="00F14328" w:rsidP="00F14328">
      <w:pPr>
        <w:pStyle w:val="PwCNormal"/>
        <w:numPr>
          <w:ilvl w:val="0"/>
          <w:numId w:val="52"/>
        </w:numPr>
        <w:spacing w:after="120"/>
      </w:pPr>
      <w:r>
        <w:t>$44.4</w:t>
      </w:r>
      <w:r w:rsidR="008E7280">
        <w:t xml:space="preserve"> </w:t>
      </w:r>
      <w:r>
        <w:t>m</w:t>
      </w:r>
      <w:r w:rsidR="008E7280">
        <w:t>illion</w:t>
      </w:r>
      <w:r>
        <w:t xml:space="preserve"> relating to </w:t>
      </w:r>
      <w:r w:rsidR="00A513CA">
        <w:t>TTR</w:t>
      </w:r>
      <w:r>
        <w:t xml:space="preserve"> costs was removed</w:t>
      </w:r>
      <w:r w:rsidR="00A513CA">
        <w:t>.</w:t>
      </w:r>
    </w:p>
    <w:p w:rsidR="00F14328" w:rsidRDefault="00F14328" w:rsidP="00F14328">
      <w:pPr>
        <w:pStyle w:val="PwCNormal"/>
        <w:numPr>
          <w:ilvl w:val="0"/>
          <w:numId w:val="52"/>
        </w:numPr>
        <w:spacing w:after="120"/>
      </w:pPr>
      <w:r>
        <w:t>$21.3</w:t>
      </w:r>
      <w:r w:rsidR="008E7280">
        <w:t xml:space="preserve"> </w:t>
      </w:r>
      <w:r>
        <w:t>m</w:t>
      </w:r>
      <w:r w:rsidR="008E7280">
        <w:t>illion</w:t>
      </w:r>
      <w:r>
        <w:t xml:space="preserve"> relating to patients not yet discharged by the end of the financial year (scenario 2 and scenario 4 patients) was removed</w:t>
      </w:r>
      <w:r w:rsidR="00A513CA">
        <w:t>.</w:t>
      </w:r>
    </w:p>
    <w:p w:rsidR="00F14328" w:rsidRDefault="00F14328" w:rsidP="00F14328">
      <w:pPr>
        <w:pStyle w:val="PwCNormal"/>
        <w:numPr>
          <w:ilvl w:val="0"/>
          <w:numId w:val="52"/>
        </w:numPr>
        <w:spacing w:after="120"/>
      </w:pPr>
      <w:r>
        <w:t>$12.1</w:t>
      </w:r>
      <w:r w:rsidR="008E7280">
        <w:t xml:space="preserve"> </w:t>
      </w:r>
      <w:r>
        <w:t>m</w:t>
      </w:r>
      <w:r w:rsidR="008E7280">
        <w:t>illion</w:t>
      </w:r>
      <w:r>
        <w:t xml:space="preserve"> relating to non-ABF activity was removed</w:t>
      </w:r>
      <w:r w:rsidR="00A513CA">
        <w:t>.</w:t>
      </w:r>
      <w:r>
        <w:t xml:space="preserve"> </w:t>
      </w:r>
    </w:p>
    <w:p w:rsidR="00F14328" w:rsidRDefault="00F14328" w:rsidP="00F14328">
      <w:pPr>
        <w:pStyle w:val="PwCNormal"/>
        <w:numPr>
          <w:ilvl w:val="0"/>
          <w:numId w:val="52"/>
        </w:numPr>
        <w:spacing w:after="120"/>
      </w:pPr>
      <w:r>
        <w:t>$160</w:t>
      </w:r>
      <w:r w:rsidR="008E7280">
        <w:t>,000</w:t>
      </w:r>
      <w:r>
        <w:t xml:space="preserve"> relating to other adjustments was removed</w:t>
      </w:r>
      <w:r w:rsidR="00A513CA">
        <w:t>.</w:t>
      </w:r>
      <w:r>
        <w:t xml:space="preserve"> </w:t>
      </w:r>
    </w:p>
    <w:p w:rsidR="00F14328" w:rsidRDefault="00F14328" w:rsidP="00F14328">
      <w:pPr>
        <w:pStyle w:val="PwCNormal"/>
        <w:numPr>
          <w:ilvl w:val="0"/>
          <w:numId w:val="52"/>
        </w:numPr>
        <w:spacing w:after="120"/>
      </w:pPr>
      <w:r>
        <w:t>$134</w:t>
      </w:r>
      <w:r w:rsidR="008E7280">
        <w:t>,000</w:t>
      </w:r>
      <w:r>
        <w:t xml:space="preserve"> relating to unlinked activity was removed. </w:t>
      </w:r>
    </w:p>
    <w:p w:rsidR="00F14328" w:rsidRPr="00466DD9" w:rsidRDefault="00F14328" w:rsidP="00F14328">
      <w:pPr>
        <w:pStyle w:val="PwCNormal"/>
        <w:numPr>
          <w:ilvl w:val="0"/>
          <w:numId w:val="0"/>
        </w:numPr>
        <w:spacing w:before="240" w:after="120"/>
        <w:rPr>
          <w:b/>
        </w:rPr>
      </w:pPr>
      <w:r>
        <w:rPr>
          <w:b/>
        </w:rPr>
        <w:t>Swan District Hospital</w:t>
      </w:r>
    </w:p>
    <w:p w:rsidR="00F14328" w:rsidRDefault="00F14328" w:rsidP="00F14328">
      <w:pPr>
        <w:pStyle w:val="PwCNormal"/>
        <w:numPr>
          <w:ilvl w:val="0"/>
          <w:numId w:val="0"/>
        </w:numPr>
      </w:pPr>
      <w:r>
        <w:t>The following adjustments were made to the Swan dataset before submission to IHPA:</w:t>
      </w:r>
    </w:p>
    <w:p w:rsidR="00F14328" w:rsidRDefault="00F14328" w:rsidP="00F14328">
      <w:pPr>
        <w:pStyle w:val="PwCNormal"/>
        <w:numPr>
          <w:ilvl w:val="0"/>
          <w:numId w:val="52"/>
        </w:numPr>
        <w:spacing w:after="120"/>
      </w:pPr>
      <w:r>
        <w:t>$2.3</w:t>
      </w:r>
      <w:r w:rsidR="008E7280">
        <w:t xml:space="preserve"> </w:t>
      </w:r>
      <w:r>
        <w:t>m</w:t>
      </w:r>
      <w:r w:rsidR="008E7280">
        <w:t>illion</w:t>
      </w:r>
      <w:r>
        <w:t xml:space="preserve"> for patients not discharged by year end and carried forward to future round. These were not submitted to IHPA in Round 17.</w:t>
      </w:r>
    </w:p>
    <w:p w:rsidR="00F14328" w:rsidRDefault="00F14328" w:rsidP="00F14328">
      <w:pPr>
        <w:pStyle w:val="PwCNormal"/>
        <w:numPr>
          <w:ilvl w:val="0"/>
          <w:numId w:val="52"/>
        </w:numPr>
        <w:spacing w:after="120"/>
      </w:pPr>
      <w:r>
        <w:t>$1.5</w:t>
      </w:r>
      <w:r w:rsidR="008E7280">
        <w:t xml:space="preserve"> </w:t>
      </w:r>
      <w:r>
        <w:t>m</w:t>
      </w:r>
      <w:r w:rsidR="008E7280">
        <w:t>illion</w:t>
      </w:r>
      <w:r>
        <w:t xml:space="preserve"> relating to unlinked feeder records and $2.8</w:t>
      </w:r>
      <w:r w:rsidR="008E7280">
        <w:t xml:space="preserve"> </w:t>
      </w:r>
      <w:r>
        <w:t>m</w:t>
      </w:r>
      <w:r w:rsidR="008E7280">
        <w:t>illion</w:t>
      </w:r>
      <w:r>
        <w:t xml:space="preserve"> for admitted ED presentations was removed</w:t>
      </w:r>
      <w:r w:rsidR="00A513CA">
        <w:t>.</w:t>
      </w:r>
      <w:r>
        <w:t xml:space="preserve"> </w:t>
      </w:r>
    </w:p>
    <w:p w:rsidR="00F14328" w:rsidRDefault="00F14328" w:rsidP="00F14328">
      <w:pPr>
        <w:pStyle w:val="PwCNormal"/>
        <w:numPr>
          <w:ilvl w:val="0"/>
          <w:numId w:val="52"/>
        </w:numPr>
        <w:spacing w:after="120"/>
      </w:pPr>
      <w:r>
        <w:t>$13.9</w:t>
      </w:r>
      <w:r w:rsidR="008E7280">
        <w:t xml:space="preserve"> </w:t>
      </w:r>
      <w:r>
        <w:t>m</w:t>
      </w:r>
      <w:r w:rsidR="008E7280">
        <w:t>illion</w:t>
      </w:r>
      <w:r>
        <w:t xml:space="preserve"> for outpatient activity that did not have a Tier 2 classification. These were removed from the submission to IHPA</w:t>
      </w:r>
      <w:r w:rsidR="00A513CA">
        <w:t>.</w:t>
      </w:r>
    </w:p>
    <w:p w:rsidR="00986D7F" w:rsidRDefault="00F14328" w:rsidP="00F20521">
      <w:pPr>
        <w:pStyle w:val="PwCNormal"/>
        <w:numPr>
          <w:ilvl w:val="0"/>
          <w:numId w:val="52"/>
        </w:numPr>
        <w:kinsoku/>
        <w:overflowPunct/>
        <w:autoSpaceDE/>
        <w:autoSpaceDN/>
        <w:adjustRightInd/>
        <w:snapToGrid/>
        <w:spacing w:after="120"/>
      </w:pPr>
      <w:r>
        <w:t>$7.8</w:t>
      </w:r>
      <w:r w:rsidR="008E7280">
        <w:t xml:space="preserve"> </w:t>
      </w:r>
      <w:r>
        <w:t>m</w:t>
      </w:r>
      <w:r w:rsidR="008E7280">
        <w:t>illion</w:t>
      </w:r>
      <w:r>
        <w:t xml:space="preserve"> relating to </w:t>
      </w:r>
      <w:r w:rsidR="00A513CA">
        <w:t>TTR</w:t>
      </w:r>
      <w:r w:rsidR="00F20521">
        <w:t xml:space="preserve"> was removed.</w:t>
      </w:r>
      <w:r w:rsidR="00986D7F">
        <w:br w:type="page"/>
      </w:r>
    </w:p>
    <w:p w:rsidR="00F14328" w:rsidRDefault="00F14328" w:rsidP="00F14328">
      <w:pPr>
        <w:pStyle w:val="Heading3"/>
        <w:spacing w:before="240"/>
      </w:pPr>
      <w:r>
        <w:lastRenderedPageBreak/>
        <w:t>Reconciliation with IHPA</w:t>
      </w:r>
    </w:p>
    <w:p w:rsidR="00F14328" w:rsidRDefault="0008008B" w:rsidP="00F14328">
      <w:pPr>
        <w:pStyle w:val="PwCNormal"/>
        <w:numPr>
          <w:ilvl w:val="0"/>
          <w:numId w:val="0"/>
        </w:numPr>
      </w:pPr>
      <w:r>
        <w:fldChar w:fldCharType="begin"/>
      </w:r>
      <w:r>
        <w:instrText xml:space="preserve"> REF _Ref403229757 \h </w:instrText>
      </w:r>
      <w:r>
        <w:fldChar w:fldCharType="separate"/>
      </w:r>
      <w:r w:rsidR="00575DFC">
        <w:t xml:space="preserve">Table </w:t>
      </w:r>
      <w:r w:rsidR="00575DFC">
        <w:rPr>
          <w:noProof/>
        </w:rPr>
        <w:t>106</w:t>
      </w:r>
      <w:r>
        <w:fldChar w:fldCharType="end"/>
      </w:r>
      <w:r>
        <w:t xml:space="preserve"> </w:t>
      </w:r>
      <w:r w:rsidRPr="005B6050">
        <w:t>below compares the total costs and activity</w:t>
      </w:r>
      <w:r>
        <w:t xml:space="preserve"> records</w:t>
      </w:r>
      <w:r w:rsidRPr="005B6050">
        <w:t xml:space="preserve"> subm</w:t>
      </w:r>
      <w:r>
        <w:t>itted by the jurisdiction with</w:t>
      </w:r>
      <w:r w:rsidRPr="005B6050">
        <w:t xml:space="preserve"> the total costs and activity </w:t>
      </w:r>
      <w:r>
        <w:t>records that were received by IHPA.</w:t>
      </w:r>
    </w:p>
    <w:p w:rsidR="00F14328" w:rsidRDefault="00F14328" w:rsidP="00F14328">
      <w:pPr>
        <w:pStyle w:val="Caption"/>
      </w:pPr>
      <w:bookmarkStart w:id="150" w:name="_Ref403229757"/>
      <w:r>
        <w:t xml:space="preserve">Table </w:t>
      </w:r>
      <w:fldSimple w:instr=" SEQ Table \* ARABIC ">
        <w:r w:rsidR="00575DFC">
          <w:rPr>
            <w:noProof/>
          </w:rPr>
          <w:t>106</w:t>
        </w:r>
      </w:fldSimple>
      <w:bookmarkEnd w:id="150"/>
      <w:r>
        <w:t xml:space="preserve">: </w:t>
      </w:r>
      <w:r w:rsidRPr="0005284B">
        <w:t>Reconciliation of total costs and activity submitted</w:t>
      </w:r>
    </w:p>
    <w:p w:rsidR="00F14328" w:rsidRPr="00B83F51" w:rsidRDefault="00F14328" w:rsidP="00F14328">
      <w:r w:rsidRPr="00845ED2">
        <w:rPr>
          <w:noProof/>
          <w:lang w:eastAsia="en-AU"/>
        </w:rPr>
        <w:drawing>
          <wp:inline distT="0" distB="0" distL="0" distR="0" wp14:anchorId="4C0D8BEF" wp14:editId="3EBE3521">
            <wp:extent cx="4424400" cy="2066400"/>
            <wp:effectExtent l="0" t="0" r="0" b="0"/>
            <wp:docPr id="129" name="Picture 129" descr="This table details the costs and activity submitted by the jurisdiction and what was received by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424400" cy="2066400"/>
                    </a:xfrm>
                    <a:prstGeom prst="rect">
                      <a:avLst/>
                    </a:prstGeom>
                    <a:noFill/>
                    <a:ln>
                      <a:noFill/>
                    </a:ln>
                  </pic:spPr>
                </pic:pic>
              </a:graphicData>
            </a:graphic>
          </wp:inline>
        </w:drawing>
      </w:r>
    </w:p>
    <w:p w:rsidR="009D71F8" w:rsidRPr="00A8493C" w:rsidRDefault="009D71F8" w:rsidP="002E3637">
      <w:pPr>
        <w:pStyle w:val="PwCNormal"/>
        <w:numPr>
          <w:ilvl w:val="0"/>
          <w:numId w:val="0"/>
        </w:numPr>
        <w:rPr>
          <w:b/>
        </w:rPr>
      </w:pPr>
    </w:p>
    <w:p w:rsidR="0086166C" w:rsidRDefault="0086166C" w:rsidP="0086166C">
      <w:pPr>
        <w:pStyle w:val="Heading1"/>
      </w:pPr>
      <w:bookmarkStart w:id="151" w:name="_Toc404355511"/>
      <w:r>
        <w:lastRenderedPageBreak/>
        <w:t xml:space="preserve">IHPA </w:t>
      </w:r>
      <w:r w:rsidR="0048555D">
        <w:t>process review</w:t>
      </w:r>
      <w:bookmarkEnd w:id="151"/>
    </w:p>
    <w:p w:rsidR="00223476" w:rsidRDefault="00602C90" w:rsidP="00602C90">
      <w:pPr>
        <w:pStyle w:val="Heading2"/>
      </w:pPr>
      <w:r>
        <w:t>Overview and scope</w:t>
      </w:r>
    </w:p>
    <w:p w:rsidR="00602C90" w:rsidRDefault="00602C90" w:rsidP="00602C90">
      <w:pPr>
        <w:pStyle w:val="PwCNormal"/>
        <w:numPr>
          <w:ilvl w:val="0"/>
          <w:numId w:val="0"/>
        </w:numPr>
      </w:pPr>
      <w:r>
        <w:t xml:space="preserve">PwC reviewed the process </w:t>
      </w:r>
      <w:r w:rsidR="007C4DBA">
        <w:t xml:space="preserve">the </w:t>
      </w:r>
      <w:r>
        <w:t xml:space="preserve">IHPA </w:t>
      </w:r>
      <w:r w:rsidR="007C4DBA">
        <w:t>applied in compiling</w:t>
      </w:r>
      <w:r>
        <w:t xml:space="preserve"> the NHCDC and follow</w:t>
      </w:r>
      <w:r w:rsidR="00923DC6">
        <w:t>ed</w:t>
      </w:r>
      <w:r>
        <w:t xml:space="preserve"> the data</w:t>
      </w:r>
      <w:r w:rsidR="0048555D">
        <w:t xml:space="preserve"> submitted</w:t>
      </w:r>
      <w:r>
        <w:t xml:space="preserve"> for the 15 participating sites, through to </w:t>
      </w:r>
      <w:r w:rsidR="0048555D">
        <w:t>it being</w:t>
      </w:r>
      <w:r w:rsidR="007C4DBA">
        <w:t xml:space="preserve"> </w:t>
      </w:r>
      <w:r w:rsidR="0048555D">
        <w:t>recorded</w:t>
      </w:r>
      <w:r w:rsidR="007C4DBA">
        <w:t xml:space="preserve"> </w:t>
      </w:r>
      <w:r>
        <w:t xml:space="preserve">in the national database. </w:t>
      </w:r>
    </w:p>
    <w:p w:rsidR="00602C90" w:rsidRDefault="00602C90" w:rsidP="00602C90">
      <w:pPr>
        <w:pStyle w:val="PwCNormal"/>
        <w:numPr>
          <w:ilvl w:val="0"/>
          <w:numId w:val="0"/>
        </w:numPr>
      </w:pPr>
      <w:r>
        <w:t>The scope of the IHPA NHCDC data submission and review process was:</w:t>
      </w:r>
    </w:p>
    <w:p w:rsidR="00602C90" w:rsidRDefault="00602C90" w:rsidP="001940C8">
      <w:pPr>
        <w:pStyle w:val="PwCNormal"/>
        <w:numPr>
          <w:ilvl w:val="0"/>
          <w:numId w:val="35"/>
        </w:numPr>
      </w:pPr>
      <w:r>
        <w:t xml:space="preserve">understand the </w:t>
      </w:r>
      <w:r w:rsidR="0048555D">
        <w:t xml:space="preserve">IHPA’s </w:t>
      </w:r>
      <w:r>
        <w:t>process</w:t>
      </w:r>
      <w:r w:rsidR="0048555D">
        <w:t>es</w:t>
      </w:r>
      <w:r>
        <w:t xml:space="preserve"> </w:t>
      </w:r>
      <w:r w:rsidR="0048555D">
        <w:t>for</w:t>
      </w:r>
      <w:r>
        <w:t xml:space="preserve"> </w:t>
      </w:r>
      <w:r w:rsidR="00EE31FD">
        <w:t>receiving</w:t>
      </w:r>
      <w:r>
        <w:t xml:space="preserve"> the submitted data</w:t>
      </w:r>
    </w:p>
    <w:p w:rsidR="00602C90" w:rsidRDefault="00EE31FD" w:rsidP="001940C8">
      <w:pPr>
        <w:pStyle w:val="PwCNormal"/>
        <w:numPr>
          <w:ilvl w:val="0"/>
          <w:numId w:val="35"/>
        </w:numPr>
      </w:pPr>
      <w:r>
        <w:t>determine</w:t>
      </w:r>
      <w:r w:rsidR="0048555D">
        <w:t xml:space="preserve"> the</w:t>
      </w:r>
      <w:r>
        <w:t xml:space="preserve"> IHPA’s processes for validating and performing </w:t>
      </w:r>
      <w:r w:rsidR="0048555D">
        <w:t>QA</w:t>
      </w:r>
      <w:r>
        <w:t xml:space="preserve"> procedures, and verify </w:t>
      </w:r>
      <w:r w:rsidR="0048555D">
        <w:t>that the IHP</w:t>
      </w:r>
      <w:r w:rsidR="007D0D1B">
        <w:t>A</w:t>
      </w:r>
      <w:r w:rsidR="0048555D">
        <w:t xml:space="preserve"> followed </w:t>
      </w:r>
      <w:r>
        <w:t>the</w:t>
      </w:r>
      <w:r w:rsidR="0048555D">
        <w:t>se</w:t>
      </w:r>
      <w:r>
        <w:t xml:space="preserve"> process</w:t>
      </w:r>
      <w:r w:rsidR="0048555D">
        <w:t>es</w:t>
      </w:r>
    </w:p>
    <w:p w:rsidR="00602C90" w:rsidRDefault="00602C90" w:rsidP="001940C8">
      <w:pPr>
        <w:pStyle w:val="PwCNormal"/>
        <w:numPr>
          <w:ilvl w:val="0"/>
          <w:numId w:val="35"/>
        </w:numPr>
      </w:pPr>
      <w:r>
        <w:t>identify and understand any adjustment</w:t>
      </w:r>
      <w:r w:rsidR="0048555D">
        <w:t>s</w:t>
      </w:r>
      <w:r>
        <w:t xml:space="preserve"> to the data</w:t>
      </w:r>
    </w:p>
    <w:p w:rsidR="00602C90" w:rsidRDefault="00602C90" w:rsidP="001940C8">
      <w:pPr>
        <w:pStyle w:val="PwCNormal"/>
        <w:numPr>
          <w:ilvl w:val="0"/>
          <w:numId w:val="35"/>
        </w:numPr>
      </w:pPr>
      <w:proofErr w:type="gramStart"/>
      <w:r>
        <w:t>reconcile</w:t>
      </w:r>
      <w:proofErr w:type="gramEnd"/>
      <w:r>
        <w:t xml:space="preserve"> the data </w:t>
      </w:r>
      <w:r w:rsidR="0048555D">
        <w:t xml:space="preserve">against </w:t>
      </w:r>
      <w:r>
        <w:t>the national database.</w:t>
      </w:r>
      <w:r w:rsidRPr="00A91846">
        <w:t xml:space="preserve"> </w:t>
      </w:r>
    </w:p>
    <w:p w:rsidR="00602C90" w:rsidRDefault="00602C90" w:rsidP="00602C90">
      <w:pPr>
        <w:pStyle w:val="PwCNormal"/>
        <w:numPr>
          <w:ilvl w:val="0"/>
          <w:numId w:val="0"/>
        </w:numPr>
      </w:pPr>
      <w:r>
        <w:t>The PwC review team met with the Director</w:t>
      </w:r>
      <w:r w:rsidR="0048555D">
        <w:t xml:space="preserve"> of</w:t>
      </w:r>
      <w:r w:rsidR="00923DC6">
        <w:t xml:space="preserve"> </w:t>
      </w:r>
      <w:r>
        <w:t>Hospital Costing</w:t>
      </w:r>
      <w:r w:rsidR="0048555D">
        <w:t>;</w:t>
      </w:r>
      <w:r>
        <w:t xml:space="preserve"> </w:t>
      </w:r>
      <w:r w:rsidR="00923DC6">
        <w:t xml:space="preserve">the </w:t>
      </w:r>
      <w:r w:rsidR="00EE31FD">
        <w:t>Manager</w:t>
      </w:r>
      <w:r w:rsidR="0048555D">
        <w:t xml:space="preserve"> of</w:t>
      </w:r>
      <w:r w:rsidR="00923DC6">
        <w:t xml:space="preserve"> </w:t>
      </w:r>
      <w:r w:rsidRPr="008E22E7">
        <w:t>Costing, Analysis &amp; Reporting</w:t>
      </w:r>
      <w:r w:rsidR="0048555D">
        <w:t>;</w:t>
      </w:r>
      <w:r>
        <w:t xml:space="preserve"> and </w:t>
      </w:r>
      <w:r w:rsidRPr="008E22E7">
        <w:t>other members of the IHPA Costing and</w:t>
      </w:r>
      <w:r w:rsidRPr="006C7740">
        <w:t xml:space="preserve"> Data Acquisition</w:t>
      </w:r>
      <w:r w:rsidR="001E62F0">
        <w:t xml:space="preserve"> (DA)</w:t>
      </w:r>
      <w:r w:rsidRPr="008E22E7">
        <w:t xml:space="preserve"> team</w:t>
      </w:r>
      <w:r w:rsidR="0048555D">
        <w:t>s. They</w:t>
      </w:r>
      <w:r>
        <w:t xml:space="preserve"> discuss</w:t>
      </w:r>
      <w:r w:rsidR="0048555D">
        <w:t>ed</w:t>
      </w:r>
      <w:r>
        <w:t xml:space="preserve"> the data management, validation and </w:t>
      </w:r>
      <w:r w:rsidR="0048555D">
        <w:t>QA</w:t>
      </w:r>
      <w:r>
        <w:t xml:space="preserve"> processes </w:t>
      </w:r>
      <w:r w:rsidR="0048555D">
        <w:t xml:space="preserve">the IHPA applied in handling </w:t>
      </w:r>
      <w:r>
        <w:t xml:space="preserve">the </w:t>
      </w:r>
      <w:r w:rsidR="006A194B">
        <w:t>Round 17</w:t>
      </w:r>
      <w:r>
        <w:t xml:space="preserve"> NHCDC submissions. </w:t>
      </w:r>
    </w:p>
    <w:p w:rsidR="00602C90" w:rsidRDefault="0048555D" w:rsidP="00602C90">
      <w:pPr>
        <w:pStyle w:val="PwCNormal"/>
        <w:numPr>
          <w:ilvl w:val="0"/>
          <w:numId w:val="0"/>
        </w:numPr>
      </w:pPr>
      <w:r>
        <w:t>During the meeting, the review team collected s</w:t>
      </w:r>
      <w:r w:rsidR="00602C90">
        <w:t xml:space="preserve">upporting documentation, validation and </w:t>
      </w:r>
      <w:r>
        <w:t>QA</w:t>
      </w:r>
      <w:r w:rsidR="00602C90">
        <w:t xml:space="preserve"> outputs </w:t>
      </w:r>
      <w:r>
        <w:t>regarding</w:t>
      </w:r>
      <w:r w:rsidR="00EE31FD">
        <w:t xml:space="preserve"> the participating hospitals</w:t>
      </w:r>
      <w:r w:rsidR="00602C90">
        <w:t>. Additional clarification and reconciliations</w:t>
      </w:r>
      <w:r w:rsidR="00EE31FD">
        <w:t xml:space="preserve"> between data </w:t>
      </w:r>
      <w:r>
        <w:t xml:space="preserve">the participants </w:t>
      </w:r>
      <w:r w:rsidR="00EE31FD">
        <w:t>submitted and the national database</w:t>
      </w:r>
      <w:r w:rsidR="00602C90">
        <w:t xml:space="preserve"> were discussed during and after the meeting with the relevant IHPA team members. </w:t>
      </w:r>
    </w:p>
    <w:p w:rsidR="00602C90" w:rsidRDefault="00602C90" w:rsidP="00602C90">
      <w:pPr>
        <w:pStyle w:val="Heading2"/>
      </w:pPr>
      <w:r>
        <w:t>IHPA NHCDC data submission process</w:t>
      </w:r>
    </w:p>
    <w:p w:rsidR="00A44CA1" w:rsidRDefault="006A194B" w:rsidP="00602C90">
      <w:pPr>
        <w:pStyle w:val="PwCNormal"/>
        <w:numPr>
          <w:ilvl w:val="0"/>
          <w:numId w:val="0"/>
        </w:numPr>
      </w:pPr>
      <w:r>
        <w:t>Round 17</w:t>
      </w:r>
      <w:r w:rsidR="00A44CA1">
        <w:t xml:space="preserve"> saw the introduction of a new data submission and quality review process for </w:t>
      </w:r>
      <w:r w:rsidR="0048555D">
        <w:t xml:space="preserve">the </w:t>
      </w:r>
      <w:r w:rsidR="00A44CA1">
        <w:t xml:space="preserve">IHPA. One of the big changes was the move to a </w:t>
      </w:r>
      <w:proofErr w:type="spellStart"/>
      <w:r w:rsidR="00A44CA1">
        <w:t>CostA</w:t>
      </w:r>
      <w:proofErr w:type="spellEnd"/>
      <w:r w:rsidR="00A44CA1">
        <w:t xml:space="preserve"> (activity data) and </w:t>
      </w:r>
      <w:proofErr w:type="spellStart"/>
      <w:r w:rsidR="00A44CA1">
        <w:t>CostC</w:t>
      </w:r>
      <w:proofErr w:type="spellEnd"/>
      <w:r w:rsidR="00A44CA1">
        <w:t xml:space="preserve"> (cost data) submission file</w:t>
      </w:r>
      <w:r w:rsidR="00F7188D">
        <w:t xml:space="preserve">. This </w:t>
      </w:r>
      <w:r w:rsidR="00923DC6">
        <w:t>was part of a</w:t>
      </w:r>
      <w:r w:rsidR="00F7188D">
        <w:t xml:space="preserve"> move towards the </w:t>
      </w:r>
      <w:r w:rsidR="0048555D">
        <w:t>‘</w:t>
      </w:r>
      <w:r w:rsidR="00F7188D">
        <w:t>one submission, multiple purpose</w:t>
      </w:r>
      <w:r w:rsidR="0048555D">
        <w:t>s’</w:t>
      </w:r>
      <w:r w:rsidR="00F7188D">
        <w:t xml:space="preserve"> approach to collecting data. </w:t>
      </w:r>
      <w:proofErr w:type="spellStart"/>
      <w:r w:rsidR="00F7188D">
        <w:t>CostA</w:t>
      </w:r>
      <w:proofErr w:type="spellEnd"/>
      <w:r w:rsidR="00F7188D">
        <w:t xml:space="preserve"> </w:t>
      </w:r>
      <w:r w:rsidR="00EE31FD">
        <w:t>file</w:t>
      </w:r>
      <w:r w:rsidR="0048555D">
        <w:t>s</w:t>
      </w:r>
      <w:r w:rsidR="00F7188D">
        <w:t xml:space="preserve"> contain</w:t>
      </w:r>
      <w:r w:rsidR="0048555D">
        <w:t>ed</w:t>
      </w:r>
      <w:r w:rsidR="00F7188D">
        <w:t xml:space="preserve"> only the additional activity fields that </w:t>
      </w:r>
      <w:r w:rsidR="0048555D">
        <w:t xml:space="preserve">were </w:t>
      </w:r>
      <w:r w:rsidR="00F7188D">
        <w:t>not submitted to</w:t>
      </w:r>
      <w:r w:rsidR="0048555D">
        <w:t xml:space="preserve"> the</w:t>
      </w:r>
      <w:r w:rsidR="00F7188D">
        <w:t xml:space="preserve"> IHPA in </w:t>
      </w:r>
      <w:r w:rsidR="007D0D1B">
        <w:t>jurisdictions’</w:t>
      </w:r>
      <w:r w:rsidR="00F7188D">
        <w:t xml:space="preserve"> quarterly</w:t>
      </w:r>
      <w:r w:rsidR="00923DC6">
        <w:t xml:space="preserve"> activity</w:t>
      </w:r>
      <w:r w:rsidR="00F7188D">
        <w:t xml:space="preserve"> submissions.</w:t>
      </w:r>
    </w:p>
    <w:p w:rsidR="00F7188D" w:rsidRDefault="0048555D" w:rsidP="00223476">
      <w:pPr>
        <w:pStyle w:val="PwCNormal"/>
        <w:numPr>
          <w:ilvl w:val="0"/>
          <w:numId w:val="0"/>
        </w:numPr>
      </w:pPr>
      <w:r>
        <w:t xml:space="preserve">The </w:t>
      </w:r>
      <w:r w:rsidR="00F7188D">
        <w:t>IHPA’s process can b</w:t>
      </w:r>
      <w:r w:rsidR="00EE31FD">
        <w:t>e broken down into three phases,</w:t>
      </w:r>
      <w:r>
        <w:t xml:space="preserve"> with several tasks performed</w:t>
      </w:r>
      <w:r w:rsidR="00EE31FD">
        <w:t xml:space="preserve"> </w:t>
      </w:r>
      <w:r>
        <w:t xml:space="preserve">during </w:t>
      </w:r>
      <w:r w:rsidR="00EE31FD">
        <w:t>each</w:t>
      </w:r>
      <w:r w:rsidR="007D0D1B">
        <w:t xml:space="preserve"> phase</w:t>
      </w:r>
      <w:r w:rsidR="00923DC6">
        <w:t xml:space="preserve">. </w:t>
      </w:r>
      <w:r>
        <w:t xml:space="preserve">In each stage, the IHPA gives </w:t>
      </w:r>
      <w:r w:rsidR="00F7188D">
        <w:t>feedback to the jurisdictions</w:t>
      </w:r>
      <w:r>
        <w:t xml:space="preserve"> (if required)</w:t>
      </w:r>
      <w:r w:rsidR="00F7188D">
        <w:t xml:space="preserve">. </w:t>
      </w:r>
      <w:r w:rsidR="00923DC6">
        <w:t>J</w:t>
      </w:r>
      <w:r w:rsidR="00F7188D">
        <w:t xml:space="preserve">urisdictions </w:t>
      </w:r>
      <w:r w:rsidR="00923DC6">
        <w:t xml:space="preserve">were informed </w:t>
      </w:r>
      <w:r>
        <w:t xml:space="preserve">at NHCDC Advisory Committee meetings </w:t>
      </w:r>
      <w:r w:rsidR="00923DC6">
        <w:t xml:space="preserve">of this </w:t>
      </w:r>
      <w:r w:rsidR="00E11DEA">
        <w:t xml:space="preserve">new process for </w:t>
      </w:r>
      <w:r w:rsidR="006A194B">
        <w:t>Round 17</w:t>
      </w:r>
      <w:r w:rsidR="00E11DEA">
        <w:t xml:space="preserve"> and what </w:t>
      </w:r>
      <w:r>
        <w:t xml:space="preserve">would </w:t>
      </w:r>
      <w:r w:rsidR="00923DC6">
        <w:t>occur during each stage</w:t>
      </w:r>
      <w:r w:rsidR="00E11DEA">
        <w:t>.</w:t>
      </w:r>
      <w:r w:rsidR="00EE31FD">
        <w:t xml:space="preserve"> Each phase of the process described below </w:t>
      </w:r>
      <w:r>
        <w:t>applies</w:t>
      </w:r>
      <w:r w:rsidR="00EE31FD">
        <w:t xml:space="preserve"> at the hospital level.</w:t>
      </w:r>
    </w:p>
    <w:p w:rsidR="00F7188D" w:rsidRDefault="00F7188D" w:rsidP="00CE5EF2">
      <w:pPr>
        <w:pStyle w:val="Heading3"/>
      </w:pPr>
      <w:r>
        <w:t>Phase 1: Data submission and validation</w:t>
      </w:r>
    </w:p>
    <w:p w:rsidR="00F7188D" w:rsidRDefault="00E11DEA" w:rsidP="00223476">
      <w:pPr>
        <w:pStyle w:val="PwCNormal"/>
        <w:numPr>
          <w:ilvl w:val="0"/>
          <w:numId w:val="0"/>
        </w:numPr>
      </w:pPr>
      <w:r>
        <w:t xml:space="preserve">Jurisdictions submitted the </w:t>
      </w:r>
      <w:proofErr w:type="spellStart"/>
      <w:r>
        <w:t>CostA</w:t>
      </w:r>
      <w:proofErr w:type="spellEnd"/>
      <w:r>
        <w:t xml:space="preserve"> and </w:t>
      </w:r>
      <w:proofErr w:type="spellStart"/>
      <w:r>
        <w:t>CostC</w:t>
      </w:r>
      <w:proofErr w:type="spellEnd"/>
      <w:r>
        <w:t xml:space="preserve"> files to the IHPA Dropbox (</w:t>
      </w:r>
      <w:r w:rsidR="0048555D">
        <w:t xml:space="preserve">the </w:t>
      </w:r>
      <w:proofErr w:type="spellStart"/>
      <w:r w:rsidR="0048555D">
        <w:t>d</w:t>
      </w:r>
      <w:r>
        <w:t>ropbox</w:t>
      </w:r>
      <w:proofErr w:type="spellEnd"/>
      <w:r>
        <w:t xml:space="preserve">). </w:t>
      </w:r>
      <w:r w:rsidR="001E62F0">
        <w:t>An IHPA representative checked the</w:t>
      </w:r>
      <w:r>
        <w:t xml:space="preserve"> </w:t>
      </w:r>
      <w:proofErr w:type="spellStart"/>
      <w:r w:rsidR="001E62F0">
        <w:t>dropbox</w:t>
      </w:r>
      <w:proofErr w:type="spellEnd"/>
      <w:r w:rsidR="001E62F0">
        <w:t xml:space="preserve"> </w:t>
      </w:r>
      <w:r>
        <w:t>daily at 1pm</w:t>
      </w:r>
      <w:r w:rsidR="001E62F0">
        <w:t>,</w:t>
      </w:r>
      <w:r>
        <w:t xml:space="preserve"> and</w:t>
      </w:r>
      <w:r w:rsidR="001E62F0">
        <w:t xml:space="preserve"> provided</w:t>
      </w:r>
      <w:r>
        <w:t xml:space="preserve"> feedback </w:t>
      </w:r>
      <w:r w:rsidR="001E62F0">
        <w:t>on the outcome of the submission</w:t>
      </w:r>
      <w:r w:rsidR="001E62F0" w:rsidDel="001E62F0">
        <w:t xml:space="preserve"> </w:t>
      </w:r>
      <w:r>
        <w:t>at 10am the following business day.</w:t>
      </w:r>
    </w:p>
    <w:p w:rsidR="00E11DEA" w:rsidRDefault="00E11DEA" w:rsidP="00223476">
      <w:pPr>
        <w:pStyle w:val="PwCNormal"/>
        <w:numPr>
          <w:ilvl w:val="0"/>
          <w:numId w:val="0"/>
        </w:numPr>
      </w:pPr>
      <w:r>
        <w:t xml:space="preserve">During this phase, IHPA’s </w:t>
      </w:r>
      <w:r w:rsidR="001E62F0">
        <w:t xml:space="preserve">DA </w:t>
      </w:r>
      <w:r>
        <w:t xml:space="preserve">team produced a validation and linking report </w:t>
      </w:r>
      <w:r w:rsidR="001E62F0">
        <w:t>outlining</w:t>
      </w:r>
      <w:r>
        <w:t xml:space="preserve"> the results of the following tests:</w:t>
      </w:r>
    </w:p>
    <w:p w:rsidR="00E11DEA" w:rsidRDefault="00EE31FD" w:rsidP="007D0D1B">
      <w:pPr>
        <w:pStyle w:val="ListNumber"/>
        <w:numPr>
          <w:ilvl w:val="0"/>
          <w:numId w:val="92"/>
        </w:numPr>
        <w:spacing w:before="120" w:after="120"/>
        <w:contextualSpacing w:val="0"/>
      </w:pPr>
      <w:r>
        <w:t xml:space="preserve">Whether the </w:t>
      </w:r>
      <w:proofErr w:type="spellStart"/>
      <w:r>
        <w:t>CostC</w:t>
      </w:r>
      <w:proofErr w:type="spellEnd"/>
      <w:r w:rsidR="00E11DEA">
        <w:t xml:space="preserve"> data </w:t>
      </w:r>
      <w:r w:rsidR="001E62F0">
        <w:t xml:space="preserve">matched </w:t>
      </w:r>
      <w:r w:rsidR="00E11DEA">
        <w:t xml:space="preserve">completely </w:t>
      </w:r>
      <w:r w:rsidR="001E62F0">
        <w:t xml:space="preserve">against </w:t>
      </w:r>
      <w:r w:rsidR="00E11DEA">
        <w:t xml:space="preserve">the </w:t>
      </w:r>
      <w:r>
        <w:t>ABF</w:t>
      </w:r>
      <w:r w:rsidR="00E11DEA">
        <w:t xml:space="preserve"> data submission</w:t>
      </w:r>
    </w:p>
    <w:p w:rsidR="00E11DEA" w:rsidRDefault="00D25480" w:rsidP="007D0D1B">
      <w:pPr>
        <w:pStyle w:val="ListNumber"/>
        <w:numPr>
          <w:ilvl w:val="0"/>
          <w:numId w:val="92"/>
        </w:numPr>
        <w:spacing w:before="120" w:after="120"/>
        <w:contextualSpacing w:val="0"/>
      </w:pPr>
      <w:r>
        <w:t xml:space="preserve">Whether the </w:t>
      </w:r>
      <w:proofErr w:type="spellStart"/>
      <w:r>
        <w:t>CostA</w:t>
      </w:r>
      <w:proofErr w:type="spellEnd"/>
      <w:r w:rsidR="00EE31FD">
        <w:t xml:space="preserve"> and </w:t>
      </w:r>
      <w:proofErr w:type="spellStart"/>
      <w:r w:rsidR="00EE31FD">
        <w:t>CostC</w:t>
      </w:r>
      <w:proofErr w:type="spellEnd"/>
      <w:r>
        <w:t xml:space="preserve"> file</w:t>
      </w:r>
      <w:r w:rsidR="00EE31FD">
        <w:t>s</w:t>
      </w:r>
      <w:r>
        <w:t xml:space="preserve"> met the data requirements, as set out in the </w:t>
      </w:r>
      <w:r w:rsidR="00EE31FD">
        <w:t>NHCDC</w:t>
      </w:r>
      <w:r>
        <w:t xml:space="preserve"> Data Request Specifications (DRS)</w:t>
      </w:r>
    </w:p>
    <w:p w:rsidR="00D25480" w:rsidRDefault="00401BDF" w:rsidP="007D0D1B">
      <w:pPr>
        <w:pStyle w:val="ListNumber"/>
        <w:numPr>
          <w:ilvl w:val="0"/>
          <w:numId w:val="92"/>
        </w:numPr>
        <w:spacing w:before="120" w:after="120"/>
        <w:contextualSpacing w:val="0"/>
      </w:pPr>
      <w:r>
        <w:t xml:space="preserve">Whether all patients </w:t>
      </w:r>
      <w:r w:rsidR="001E62F0">
        <w:t xml:space="preserve">recorded </w:t>
      </w:r>
      <w:r>
        <w:t>in</w:t>
      </w:r>
      <w:r w:rsidR="001E62F0">
        <w:t xml:space="preserve"> the</w:t>
      </w:r>
      <w:r>
        <w:t xml:space="preserve"> </w:t>
      </w:r>
      <w:proofErr w:type="spellStart"/>
      <w:r>
        <w:t>CostA</w:t>
      </w:r>
      <w:proofErr w:type="spellEnd"/>
      <w:r w:rsidR="001E62F0">
        <w:t xml:space="preserve"> file</w:t>
      </w:r>
      <w:r>
        <w:t xml:space="preserve"> w</w:t>
      </w:r>
      <w:r w:rsidR="00D25480">
        <w:t xml:space="preserve">ere present in the </w:t>
      </w:r>
      <w:proofErr w:type="spellStart"/>
      <w:r w:rsidR="00D25480">
        <w:t>CostC</w:t>
      </w:r>
      <w:proofErr w:type="spellEnd"/>
      <w:r w:rsidR="00D25480">
        <w:t xml:space="preserve"> file, and vice versa</w:t>
      </w:r>
    </w:p>
    <w:p w:rsidR="00D25480" w:rsidRDefault="00D25480" w:rsidP="007D0D1B">
      <w:pPr>
        <w:pStyle w:val="ListNumber"/>
        <w:numPr>
          <w:ilvl w:val="0"/>
          <w:numId w:val="92"/>
        </w:numPr>
        <w:spacing w:before="120" w:after="240"/>
        <w:contextualSpacing w:val="0"/>
      </w:pPr>
      <w:r>
        <w:lastRenderedPageBreak/>
        <w:t>Other logical tests</w:t>
      </w:r>
      <w:r w:rsidR="001E62F0">
        <w:t xml:space="preserve">, </w:t>
      </w:r>
      <w:r>
        <w:t xml:space="preserve">such as </w:t>
      </w:r>
      <w:r w:rsidR="001E62F0">
        <w:t>whether</w:t>
      </w:r>
      <w:r>
        <w:t xml:space="preserve"> all admitted ED patient</w:t>
      </w:r>
      <w:r w:rsidR="00F96FCB">
        <w:t>s ha</w:t>
      </w:r>
      <w:r w:rsidR="001E62F0">
        <w:t>d</w:t>
      </w:r>
      <w:r w:rsidR="00F96FCB">
        <w:t xml:space="preserve"> a corresponding acute separation</w:t>
      </w:r>
      <w:r w:rsidR="001E62F0">
        <w:t xml:space="preserve"> recorded</w:t>
      </w:r>
    </w:p>
    <w:p w:rsidR="00F96FCB" w:rsidRDefault="001E62F0" w:rsidP="00F96FCB">
      <w:pPr>
        <w:pStyle w:val="PwCNormal"/>
        <w:numPr>
          <w:ilvl w:val="0"/>
          <w:numId w:val="0"/>
        </w:numPr>
      </w:pPr>
      <w:r>
        <w:t xml:space="preserve">The IHPA provided the jurisdictions with a </w:t>
      </w:r>
      <w:r w:rsidR="00F96FCB">
        <w:t>report cont</w:t>
      </w:r>
      <w:r w:rsidR="00EE31FD">
        <w:t>aining</w:t>
      </w:r>
      <w:r w:rsidR="00F96FCB">
        <w:t xml:space="preserve"> critical and warning flags. Jurisdictions made further submissions with adjusted data and the </w:t>
      </w:r>
      <w:r>
        <w:t xml:space="preserve">Phase </w:t>
      </w:r>
      <w:r w:rsidR="00F96FCB">
        <w:t xml:space="preserve">1 process ran again until, at a minimum, </w:t>
      </w:r>
      <w:r>
        <w:t xml:space="preserve">jurisdictions had resolved </w:t>
      </w:r>
      <w:r w:rsidR="00F96FCB">
        <w:t>all the critical flags.</w:t>
      </w:r>
      <w:r w:rsidR="00EE31FD">
        <w:t xml:space="preserve"> </w:t>
      </w:r>
      <w:r>
        <w:t xml:space="preserve">The DA team provided its </w:t>
      </w:r>
      <w:r w:rsidR="00EE31FD">
        <w:t>reports at a summary and detailed (episode) level.</w:t>
      </w:r>
    </w:p>
    <w:p w:rsidR="00F96FCB" w:rsidRDefault="00F96FCB" w:rsidP="00CE5EF2">
      <w:pPr>
        <w:pStyle w:val="Heading3"/>
      </w:pPr>
      <w:r>
        <w:t>Phase 2: Data transformation</w:t>
      </w:r>
    </w:p>
    <w:p w:rsidR="00F96FCB" w:rsidRDefault="00EE31FD" w:rsidP="00F96FCB">
      <w:pPr>
        <w:pStyle w:val="PwCNormal"/>
        <w:numPr>
          <w:ilvl w:val="0"/>
          <w:numId w:val="0"/>
        </w:numPr>
      </w:pPr>
      <w:r>
        <w:t xml:space="preserve">Before </w:t>
      </w:r>
      <w:r w:rsidR="001E62F0">
        <w:t xml:space="preserve">the IHPA made any </w:t>
      </w:r>
      <w:r>
        <w:t xml:space="preserve">adjustments </w:t>
      </w:r>
      <w:r w:rsidR="001E62F0">
        <w:t>to the data</w:t>
      </w:r>
      <w:r>
        <w:t xml:space="preserve">, </w:t>
      </w:r>
      <w:r w:rsidR="001E62F0">
        <w:t xml:space="preserve">it aggregated </w:t>
      </w:r>
      <w:r>
        <w:t xml:space="preserve">costs in the </w:t>
      </w:r>
      <w:proofErr w:type="spellStart"/>
      <w:r>
        <w:t>CostC</w:t>
      </w:r>
      <w:proofErr w:type="spellEnd"/>
      <w:r>
        <w:t xml:space="preserve"> file </w:t>
      </w:r>
      <w:r w:rsidR="001E62F0">
        <w:t>so</w:t>
      </w:r>
      <w:r>
        <w:t xml:space="preserve"> there was a single NHCDC line item and NHCDC cost centre for each episode. </w:t>
      </w:r>
      <w:r w:rsidR="00F96FCB">
        <w:t>During Phase 2,</w:t>
      </w:r>
      <w:r w:rsidR="001E62F0">
        <w:t xml:space="preserve"> the</w:t>
      </w:r>
      <w:r w:rsidR="00F96FCB">
        <w:t xml:space="preserve"> IHPA </w:t>
      </w:r>
      <w:r w:rsidR="007137E0">
        <w:t xml:space="preserve">made </w:t>
      </w:r>
      <w:r w:rsidR="00F96FCB">
        <w:t>t</w:t>
      </w:r>
      <w:r w:rsidR="00401BDF">
        <w:t>w</w:t>
      </w:r>
      <w:r w:rsidR="00F96FCB">
        <w:t>o adjustments to the data: one for unqualified babies</w:t>
      </w:r>
      <w:r w:rsidR="00054E8A">
        <w:t xml:space="preserve"> (UQB)</w:t>
      </w:r>
      <w:r w:rsidR="00F96FCB">
        <w:t xml:space="preserve"> and the other for admitted ED patients. </w:t>
      </w:r>
    </w:p>
    <w:p w:rsidR="00054E8A" w:rsidRPr="00102376" w:rsidRDefault="007137E0" w:rsidP="00054E8A">
      <w:pPr>
        <w:pStyle w:val="PwCNormal"/>
        <w:rPr>
          <w:b/>
        </w:rPr>
      </w:pPr>
      <w:r>
        <w:rPr>
          <w:b/>
        </w:rPr>
        <w:t>UQB</w:t>
      </w:r>
      <w:r w:rsidR="00054E8A">
        <w:rPr>
          <w:b/>
        </w:rPr>
        <w:t xml:space="preserve"> adjustment</w:t>
      </w:r>
    </w:p>
    <w:p w:rsidR="00054E8A" w:rsidRDefault="00054E8A" w:rsidP="00F96FCB">
      <w:pPr>
        <w:pStyle w:val="PwCNormal"/>
        <w:numPr>
          <w:ilvl w:val="0"/>
          <w:numId w:val="0"/>
        </w:numPr>
      </w:pPr>
      <w:r>
        <w:t>The UQB adjustment allocate</w:t>
      </w:r>
      <w:r w:rsidR="007137E0">
        <w:t>s</w:t>
      </w:r>
      <w:r>
        <w:t xml:space="preserve"> </w:t>
      </w:r>
      <w:r w:rsidR="00401BDF">
        <w:t xml:space="preserve">the </w:t>
      </w:r>
      <w:r>
        <w:t>costs of UQB back to the mother DRGs rather than having two separations containing cost</w:t>
      </w:r>
      <w:r w:rsidR="00401BDF">
        <w:t>s</w:t>
      </w:r>
      <w:r>
        <w:t xml:space="preserve">. </w:t>
      </w:r>
      <w:r w:rsidR="007137E0">
        <w:t xml:space="preserve">The IHPA made this adjustment </w:t>
      </w:r>
      <w:r w:rsidR="00633171">
        <w:t>using the following methodology:</w:t>
      </w:r>
    </w:p>
    <w:p w:rsidR="00633171" w:rsidRDefault="007137E0" w:rsidP="005C7380">
      <w:pPr>
        <w:pStyle w:val="PwCNormal"/>
        <w:numPr>
          <w:ilvl w:val="0"/>
          <w:numId w:val="36"/>
        </w:numPr>
      </w:pPr>
      <w:r>
        <w:t xml:space="preserve">Calculate a </w:t>
      </w:r>
      <w:r w:rsidR="00633171">
        <w:t>summary of the numb</w:t>
      </w:r>
      <w:r w:rsidR="00401BDF">
        <w:t xml:space="preserve">er of mother DRGs and UQB DRGs </w:t>
      </w:r>
      <w:r w:rsidR="001E0D2F">
        <w:t>at the hospital level</w:t>
      </w:r>
      <w:r>
        <w:t>.</w:t>
      </w:r>
    </w:p>
    <w:p w:rsidR="00633171" w:rsidRDefault="00401BDF" w:rsidP="005C7380">
      <w:pPr>
        <w:pStyle w:val="PwCNormal"/>
        <w:numPr>
          <w:ilvl w:val="0"/>
          <w:numId w:val="36"/>
        </w:numPr>
      </w:pPr>
      <w:r>
        <w:t>Where a mother separation wa</w:t>
      </w:r>
      <w:r w:rsidR="00633171">
        <w:t xml:space="preserve">s directly linked with a baby separation, </w:t>
      </w:r>
      <w:r w:rsidR="007137E0">
        <w:t xml:space="preserve">tie </w:t>
      </w:r>
      <w:r w:rsidR="00633171">
        <w:t>th</w:t>
      </w:r>
      <w:r>
        <w:t xml:space="preserve">e costs of that UQB separation </w:t>
      </w:r>
      <w:r w:rsidR="00633171">
        <w:t>to the mother</w:t>
      </w:r>
      <w:r w:rsidR="00886E0B">
        <w:t xml:space="preserve">. If there </w:t>
      </w:r>
      <w:r w:rsidR="007137E0">
        <w:t xml:space="preserve">are still </w:t>
      </w:r>
      <w:r w:rsidR="00886E0B">
        <w:t>mother separations with no linked UQB separation, those mother separations remain with no additional allocated cost.</w:t>
      </w:r>
    </w:p>
    <w:p w:rsidR="00633171" w:rsidRDefault="007137E0" w:rsidP="005C7380">
      <w:pPr>
        <w:pStyle w:val="PwCNormal"/>
        <w:numPr>
          <w:ilvl w:val="0"/>
          <w:numId w:val="36"/>
        </w:numPr>
      </w:pPr>
      <w:r>
        <w:t xml:space="preserve">Allocate the </w:t>
      </w:r>
      <w:r w:rsidR="00633171">
        <w:t>un</w:t>
      </w:r>
      <w:r w:rsidR="00401BDF">
        <w:t xml:space="preserve">allocated UQB separations </w:t>
      </w:r>
      <w:r w:rsidR="00633171">
        <w:t>to the remaining mother separations up to a maximum ratio of 1:</w:t>
      </w:r>
      <w:r w:rsidR="00401BDF">
        <w:t>1 (</w:t>
      </w:r>
      <w:r>
        <w:t>that is,</w:t>
      </w:r>
      <w:r w:rsidR="00401BDF">
        <w:t xml:space="preserve"> only one UQB separation </w:t>
      </w:r>
      <w:r>
        <w:t>per</w:t>
      </w:r>
      <w:r w:rsidR="00633171">
        <w:t xml:space="preserve"> mother separation)</w:t>
      </w:r>
      <w:r>
        <w:t>.</w:t>
      </w:r>
    </w:p>
    <w:p w:rsidR="00633171" w:rsidRDefault="00401BDF" w:rsidP="005C7380">
      <w:pPr>
        <w:pStyle w:val="PwCNormal"/>
        <w:numPr>
          <w:ilvl w:val="0"/>
          <w:numId w:val="36"/>
        </w:numPr>
      </w:pPr>
      <w:r>
        <w:t xml:space="preserve">If there </w:t>
      </w:r>
      <w:r w:rsidR="007137E0">
        <w:t xml:space="preserve">are </w:t>
      </w:r>
      <w:r>
        <w:t>remaining</w:t>
      </w:r>
      <w:r w:rsidR="00633171">
        <w:t xml:space="preserve"> UQB separations a</w:t>
      </w:r>
      <w:r>
        <w:t>fter</w:t>
      </w:r>
      <w:r w:rsidR="007137E0">
        <w:t xml:space="preserve"> following</w:t>
      </w:r>
      <w:r>
        <w:t xml:space="preserve"> this process, </w:t>
      </w:r>
      <w:r w:rsidR="007137E0">
        <w:t xml:space="preserve">allocate </w:t>
      </w:r>
      <w:r>
        <w:t xml:space="preserve">those costs </w:t>
      </w:r>
      <w:r w:rsidR="00633171">
        <w:t>to all mother separations</w:t>
      </w:r>
      <w:r w:rsidR="00886E0B">
        <w:t xml:space="preserve">. </w:t>
      </w:r>
    </w:p>
    <w:p w:rsidR="00633171" w:rsidRPr="00102376" w:rsidRDefault="00633171" w:rsidP="00633171">
      <w:pPr>
        <w:pStyle w:val="PwCNormal"/>
        <w:numPr>
          <w:ilvl w:val="0"/>
          <w:numId w:val="0"/>
        </w:numPr>
        <w:rPr>
          <w:b/>
        </w:rPr>
      </w:pPr>
      <w:r>
        <w:rPr>
          <w:b/>
        </w:rPr>
        <w:t>Admitted ED costs</w:t>
      </w:r>
    </w:p>
    <w:p w:rsidR="008C0D9D" w:rsidRDefault="007137E0" w:rsidP="008C0D9D">
      <w:pPr>
        <w:pStyle w:val="PwCNormal"/>
        <w:numPr>
          <w:ilvl w:val="0"/>
          <w:numId w:val="0"/>
        </w:numPr>
      </w:pPr>
      <w:r>
        <w:t xml:space="preserve">The IHPA linked any </w:t>
      </w:r>
      <w:r w:rsidR="00396AA5">
        <w:t xml:space="preserve">ED presentations </w:t>
      </w:r>
      <w:r w:rsidR="007D0D1B">
        <w:t xml:space="preserve">that were </w:t>
      </w:r>
      <w:r w:rsidR="00396AA5">
        <w:t xml:space="preserve">subsequently admitted </w:t>
      </w:r>
      <w:r w:rsidR="008C0D9D">
        <w:t xml:space="preserve">to the corresponding acute presentation. This enables reporting of acute presentations with the related ED costs, and of ED costs </w:t>
      </w:r>
      <w:r w:rsidR="007D1201">
        <w:t xml:space="preserve">for all </w:t>
      </w:r>
      <w:r w:rsidR="008C0D9D">
        <w:t>patient</w:t>
      </w:r>
      <w:r w:rsidR="007D1201">
        <w:t>s regardless of whether they were subsequently admitted as an acute patient or not</w:t>
      </w:r>
      <w:r w:rsidR="008C0D9D">
        <w:t>. For hospitals this occurred in one of two ways:</w:t>
      </w:r>
    </w:p>
    <w:p w:rsidR="008C0D9D" w:rsidRDefault="007137E0" w:rsidP="009C4A5D">
      <w:pPr>
        <w:pStyle w:val="PwCNormal"/>
        <w:numPr>
          <w:ilvl w:val="0"/>
          <w:numId w:val="80"/>
        </w:numPr>
      </w:pPr>
      <w:r>
        <w:t>M</w:t>
      </w:r>
      <w:r w:rsidR="008C0D9D">
        <w:t>ost participants</w:t>
      </w:r>
      <w:r>
        <w:t xml:space="preserve"> submitted</w:t>
      </w:r>
      <w:r w:rsidR="008C0D9D">
        <w:t xml:space="preserve"> admitted ED activity as individual separations with related costs, so during this phase the admitted ED presentation was linked to the related acute episode</w:t>
      </w:r>
      <w:r>
        <w:t>.</w:t>
      </w:r>
    </w:p>
    <w:p w:rsidR="008C0D9D" w:rsidRDefault="007137E0" w:rsidP="009C4A5D">
      <w:pPr>
        <w:pStyle w:val="PwCNormal"/>
        <w:numPr>
          <w:ilvl w:val="0"/>
          <w:numId w:val="80"/>
        </w:numPr>
      </w:pPr>
      <w:r>
        <w:t>M</w:t>
      </w:r>
      <w:r w:rsidR="008C0D9D">
        <w:t xml:space="preserve">ost WA </w:t>
      </w:r>
      <w:r w:rsidR="000E4775">
        <w:t>sites</w:t>
      </w:r>
      <w:r>
        <w:t xml:space="preserve"> included </w:t>
      </w:r>
      <w:r w:rsidR="008C0D9D">
        <w:t>admitted ED costs in the acute separation, so during this phase the admitted ED cost component was identified and linked to the admitted ED presentation</w:t>
      </w:r>
    </w:p>
    <w:p w:rsidR="00312F7B" w:rsidRDefault="00312F7B" w:rsidP="00312F7B">
      <w:pPr>
        <w:pStyle w:val="PwCNormal"/>
        <w:numPr>
          <w:ilvl w:val="0"/>
          <w:numId w:val="0"/>
        </w:numPr>
      </w:pPr>
      <w:r>
        <w:t xml:space="preserve">After </w:t>
      </w:r>
      <w:r w:rsidR="007137E0">
        <w:t xml:space="preserve">making </w:t>
      </w:r>
      <w:r>
        <w:t xml:space="preserve">the UQB and ED adjustments, </w:t>
      </w:r>
      <w:r w:rsidR="007137E0">
        <w:t xml:space="preserve">the IHPA team emailed </w:t>
      </w:r>
      <w:r w:rsidR="009F25C5">
        <w:t>a report</w:t>
      </w:r>
      <w:r w:rsidR="001E0D2F">
        <w:t xml:space="preserve"> </w:t>
      </w:r>
      <w:r w:rsidR="007137E0">
        <w:t xml:space="preserve">to the jurisdiction, </w:t>
      </w:r>
      <w:r w:rsidR="00EA05AF">
        <w:t xml:space="preserve">summarising </w:t>
      </w:r>
      <w:r w:rsidR="001E0D2F">
        <w:t>the outcomes of this process</w:t>
      </w:r>
      <w:r w:rsidR="009F25C5">
        <w:t>.</w:t>
      </w:r>
    </w:p>
    <w:p w:rsidR="009F25C5" w:rsidRDefault="009F25C5" w:rsidP="00CE5EF2">
      <w:pPr>
        <w:pStyle w:val="Heading3"/>
      </w:pPr>
      <w:r>
        <w:t>Phase 3: Quality assurance</w:t>
      </w:r>
      <w:r w:rsidR="00781334">
        <w:t xml:space="preserve"> </w:t>
      </w:r>
    </w:p>
    <w:p w:rsidR="009F25C5" w:rsidRDefault="009F25C5" w:rsidP="00312F7B">
      <w:pPr>
        <w:pStyle w:val="PwCNormal"/>
        <w:numPr>
          <w:ilvl w:val="0"/>
          <w:numId w:val="0"/>
        </w:numPr>
      </w:pPr>
      <w:r>
        <w:t xml:space="preserve">During this phase, </w:t>
      </w:r>
      <w:r w:rsidR="007137E0">
        <w:t xml:space="preserve">the IHPA conducted </w:t>
      </w:r>
      <w:r w:rsidR="001E0D2F">
        <w:t>more than 40 tests</w:t>
      </w:r>
      <w:r>
        <w:t xml:space="preserve"> to assess </w:t>
      </w:r>
      <w:r w:rsidR="007137E0">
        <w:t xml:space="preserve">the </w:t>
      </w:r>
      <w:r>
        <w:t xml:space="preserve">reasonableness and validity of the data. </w:t>
      </w:r>
      <w:r w:rsidR="007137E0">
        <w:t>These</w:t>
      </w:r>
      <w:r>
        <w:t xml:space="preserve"> tests </w:t>
      </w:r>
      <w:r w:rsidR="007137E0">
        <w:t>included</w:t>
      </w:r>
      <w:r>
        <w:t>:</w:t>
      </w:r>
    </w:p>
    <w:p w:rsidR="009F25C5" w:rsidRDefault="007137E0" w:rsidP="005C7380">
      <w:pPr>
        <w:pStyle w:val="PwCNormal"/>
        <w:numPr>
          <w:ilvl w:val="0"/>
          <w:numId w:val="37"/>
        </w:numPr>
      </w:pPr>
      <w:r>
        <w:t xml:space="preserve">analysis </w:t>
      </w:r>
      <w:r w:rsidR="008D48D5">
        <w:t>o</w:t>
      </w:r>
      <w:r>
        <w:t>f</w:t>
      </w:r>
      <w:r w:rsidR="008D48D5">
        <w:t xml:space="preserve"> the cost results for patient episodes (such as high</w:t>
      </w:r>
      <w:r>
        <w:t xml:space="preserve"> and </w:t>
      </w:r>
      <w:r w:rsidR="008D48D5">
        <w:t xml:space="preserve">low costs, </w:t>
      </w:r>
      <w:r>
        <w:t xml:space="preserve">and </w:t>
      </w:r>
      <w:r w:rsidR="008D48D5">
        <w:t>unexpected or missing costs in particular episodes)</w:t>
      </w:r>
    </w:p>
    <w:p w:rsidR="008D48D5" w:rsidRDefault="007137E0" w:rsidP="005C7380">
      <w:pPr>
        <w:pStyle w:val="PwCNormal"/>
        <w:numPr>
          <w:ilvl w:val="0"/>
          <w:numId w:val="37"/>
        </w:numPr>
      </w:pPr>
      <w:r>
        <w:t xml:space="preserve">assessment </w:t>
      </w:r>
      <w:r w:rsidR="008D48D5">
        <w:t>of growth in average costs in each product</w:t>
      </w:r>
    </w:p>
    <w:p w:rsidR="008D48D5" w:rsidRDefault="007137E0" w:rsidP="005C7380">
      <w:pPr>
        <w:pStyle w:val="PwCNormal"/>
        <w:numPr>
          <w:ilvl w:val="0"/>
          <w:numId w:val="37"/>
        </w:numPr>
      </w:pPr>
      <w:r>
        <w:lastRenderedPageBreak/>
        <w:t xml:space="preserve">assessment </w:t>
      </w:r>
      <w:r w:rsidR="008D48D5">
        <w:t xml:space="preserve">of the contribution </w:t>
      </w:r>
      <w:r>
        <w:t xml:space="preserve">of </w:t>
      </w:r>
      <w:r w:rsidR="008D48D5">
        <w:t>each component cost to the total</w:t>
      </w:r>
      <w:r>
        <w:t>,</w:t>
      </w:r>
      <w:r w:rsidR="008D48D5">
        <w:t xml:space="preserve"> and whether there are disproportional contributions</w:t>
      </w:r>
    </w:p>
    <w:p w:rsidR="008D48D5" w:rsidRDefault="007137E0" w:rsidP="005C7380">
      <w:pPr>
        <w:pStyle w:val="PwCNormal"/>
        <w:numPr>
          <w:ilvl w:val="0"/>
          <w:numId w:val="37"/>
        </w:numPr>
      </w:pPr>
      <w:r>
        <w:t xml:space="preserve">comparisons </w:t>
      </w:r>
      <w:r w:rsidR="008D48D5">
        <w:t>with prior year results</w:t>
      </w:r>
    </w:p>
    <w:p w:rsidR="008D48D5" w:rsidRDefault="007137E0" w:rsidP="005C7380">
      <w:pPr>
        <w:pStyle w:val="PwCNormal"/>
        <w:numPr>
          <w:ilvl w:val="0"/>
          <w:numId w:val="37"/>
        </w:numPr>
      </w:pPr>
      <w:proofErr w:type="gramStart"/>
      <w:r>
        <w:t>specific</w:t>
      </w:r>
      <w:proofErr w:type="gramEnd"/>
      <w:r>
        <w:t xml:space="preserve"> </w:t>
      </w:r>
      <w:r w:rsidR="008D48D5">
        <w:t xml:space="preserve">hospital product tests (such as cost centre and line item </w:t>
      </w:r>
      <w:r w:rsidR="00781334">
        <w:t>relativities for acute patients</w:t>
      </w:r>
      <w:r>
        <w:t>,</w:t>
      </w:r>
      <w:r w:rsidR="00781334">
        <w:t xml:space="preserve"> or</w:t>
      </w:r>
      <w:r w:rsidR="008D48D5">
        <w:t xml:space="preserve"> non-admitted ED average cost relativity by triage category)</w:t>
      </w:r>
      <w:r>
        <w:t>.</w:t>
      </w:r>
    </w:p>
    <w:p w:rsidR="008D48D5" w:rsidRDefault="007137E0" w:rsidP="008D48D5">
      <w:pPr>
        <w:pStyle w:val="PwCNormal"/>
        <w:numPr>
          <w:ilvl w:val="0"/>
          <w:numId w:val="0"/>
        </w:numPr>
      </w:pPr>
      <w:r>
        <w:t xml:space="preserve">IHPA provided the jurisdictions with a </w:t>
      </w:r>
      <w:r w:rsidR="008D48D5">
        <w:t xml:space="preserve">detailed QA report </w:t>
      </w:r>
      <w:r w:rsidR="001E0D2F">
        <w:t>for each hospital</w:t>
      </w:r>
      <w:r w:rsidR="008D48D5">
        <w:t xml:space="preserve">. </w:t>
      </w:r>
      <w:r>
        <w:t>C</w:t>
      </w:r>
      <w:r w:rsidR="008D48D5">
        <w:t>ritical and warning flags identified areas for correct</w:t>
      </w:r>
      <w:r w:rsidR="00781334">
        <w:t>ion</w:t>
      </w:r>
      <w:r w:rsidR="008D48D5">
        <w:t xml:space="preserve"> or further investigation. Jurisdictions</w:t>
      </w:r>
      <w:r w:rsidR="001E0D2F">
        <w:t xml:space="preserve"> were requested to review </w:t>
      </w:r>
      <w:r>
        <w:t xml:space="preserve">these </w:t>
      </w:r>
      <w:r w:rsidR="001E0D2F">
        <w:t>reports and confirm</w:t>
      </w:r>
      <w:r>
        <w:t xml:space="preserve"> the contents,</w:t>
      </w:r>
      <w:r w:rsidR="008D48D5">
        <w:t xml:space="preserve"> then revisit their data and ma</w:t>
      </w:r>
      <w:r>
        <w:t>k</w:t>
      </w:r>
      <w:r w:rsidR="008D48D5">
        <w:t xml:space="preserve">e </w:t>
      </w:r>
      <w:r w:rsidR="00781334">
        <w:t>further</w:t>
      </w:r>
      <w:r w:rsidR="008D48D5">
        <w:t xml:space="preserve"> submission</w:t>
      </w:r>
      <w:r w:rsidR="00781334">
        <w:t>s</w:t>
      </w:r>
      <w:r>
        <w:t>, carrying out the</w:t>
      </w:r>
      <w:r w:rsidR="008D48D5">
        <w:t xml:space="preserve"> </w:t>
      </w:r>
      <w:r>
        <w:t xml:space="preserve">Phase 1 </w:t>
      </w:r>
      <w:r w:rsidR="008D48D5">
        <w:t>process again.</w:t>
      </w:r>
    </w:p>
    <w:p w:rsidR="008D48D5" w:rsidRDefault="008D48D5" w:rsidP="008D48D5">
      <w:pPr>
        <w:pStyle w:val="Heading2"/>
      </w:pPr>
      <w:r>
        <w:t>Reconciliation between submitted data and the national database</w:t>
      </w:r>
    </w:p>
    <w:p w:rsidR="008D48D5" w:rsidRDefault="008379DC" w:rsidP="008D48D5">
      <w:pPr>
        <w:pStyle w:val="PwCNormal"/>
        <w:numPr>
          <w:ilvl w:val="0"/>
          <w:numId w:val="0"/>
        </w:numPr>
      </w:pPr>
      <w:r>
        <w:fldChar w:fldCharType="begin"/>
      </w:r>
      <w:r w:rsidR="0071453C">
        <w:instrText xml:space="preserve"> REF _Ref399698832 \h </w:instrText>
      </w:r>
      <w:r>
        <w:fldChar w:fldCharType="separate"/>
      </w:r>
      <w:r w:rsidR="00575DFC">
        <w:t xml:space="preserve">Table </w:t>
      </w:r>
      <w:r w:rsidR="00575DFC">
        <w:rPr>
          <w:noProof/>
        </w:rPr>
        <w:t>107</w:t>
      </w:r>
      <w:r>
        <w:fldChar w:fldCharType="end"/>
      </w:r>
      <w:r w:rsidR="0071453C">
        <w:t xml:space="preserve"> </w:t>
      </w:r>
      <w:r w:rsidR="000A61CE">
        <w:t>summarises the total cost and activity</w:t>
      </w:r>
      <w:r w:rsidR="007137E0">
        <w:t xml:space="preserve"> data</w:t>
      </w:r>
      <w:r w:rsidR="000A61CE">
        <w:t xml:space="preserve"> provided by jurisdictions for the participating sites</w:t>
      </w:r>
      <w:r w:rsidR="007137E0">
        <w:t>,</w:t>
      </w:r>
      <w:r w:rsidR="000A61CE">
        <w:t xml:space="preserve"> and how </w:t>
      </w:r>
      <w:r w:rsidR="007137E0">
        <w:t>this</w:t>
      </w:r>
      <w:r w:rsidR="000A61CE">
        <w:t xml:space="preserve"> flows through the IHPA process to the national database.</w:t>
      </w:r>
    </w:p>
    <w:p w:rsidR="0071453C" w:rsidRDefault="0071453C" w:rsidP="0071453C">
      <w:pPr>
        <w:pStyle w:val="Caption"/>
      </w:pPr>
      <w:bookmarkStart w:id="152" w:name="_Ref399698832"/>
      <w:bookmarkStart w:id="153" w:name="_Ref399698816"/>
      <w:r>
        <w:t xml:space="preserve">Table </w:t>
      </w:r>
      <w:r w:rsidR="008379DC">
        <w:fldChar w:fldCharType="begin"/>
      </w:r>
      <w:r w:rsidR="009E64DF">
        <w:instrText xml:space="preserve"> SEQ Table \* ARABIC </w:instrText>
      </w:r>
      <w:r w:rsidR="008379DC">
        <w:fldChar w:fldCharType="separate"/>
      </w:r>
      <w:r w:rsidR="00575DFC">
        <w:rPr>
          <w:noProof/>
        </w:rPr>
        <w:t>107</w:t>
      </w:r>
      <w:r w:rsidR="008379DC">
        <w:rPr>
          <w:noProof/>
        </w:rPr>
        <w:fldChar w:fldCharType="end"/>
      </w:r>
      <w:bookmarkEnd w:id="152"/>
      <w:r>
        <w:t>: Reconciliation between data submitted and the national dataset</w:t>
      </w:r>
      <w:bookmarkEnd w:id="153"/>
    </w:p>
    <w:p w:rsidR="007D0D1B" w:rsidRPr="007D0D1B" w:rsidRDefault="007D0D1B" w:rsidP="007D0D1B">
      <w:r w:rsidRPr="007D0D1B">
        <w:rPr>
          <w:noProof/>
          <w:lang w:eastAsia="en-AU"/>
        </w:rPr>
        <w:drawing>
          <wp:inline distT="0" distB="0" distL="0" distR="0" wp14:anchorId="2208FCA5" wp14:editId="4DD10E9F">
            <wp:extent cx="5850255" cy="2920642"/>
            <wp:effectExtent l="0" t="0" r="0" b="0"/>
            <wp:docPr id="94" name="Picture 94" descr="This table lists the total costs and activity submitted to IHPA and what adjustments are made to the data before it is stored in the national dataset." title="Reconciliation between data submitted and the national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850255" cy="2920642"/>
                    </a:xfrm>
                    <a:prstGeom prst="rect">
                      <a:avLst/>
                    </a:prstGeom>
                    <a:noFill/>
                    <a:ln>
                      <a:noFill/>
                    </a:ln>
                  </pic:spPr>
                </pic:pic>
              </a:graphicData>
            </a:graphic>
          </wp:inline>
        </w:drawing>
      </w:r>
    </w:p>
    <w:p w:rsidR="00EA05AF" w:rsidRDefault="00EA05AF" w:rsidP="008D48D5">
      <w:pPr>
        <w:pStyle w:val="PwCNormal"/>
        <w:numPr>
          <w:ilvl w:val="0"/>
          <w:numId w:val="0"/>
        </w:numPr>
      </w:pPr>
    </w:p>
    <w:p w:rsidR="00CE0473" w:rsidRDefault="00CE0473" w:rsidP="008D48D5">
      <w:pPr>
        <w:pStyle w:val="PwCNormal"/>
        <w:numPr>
          <w:ilvl w:val="0"/>
          <w:numId w:val="0"/>
        </w:numPr>
      </w:pPr>
      <w:r>
        <w:t xml:space="preserve">The activity adjustments noted </w:t>
      </w:r>
      <w:r w:rsidR="00381F21">
        <w:t xml:space="preserve">in </w:t>
      </w:r>
      <w:r w:rsidR="00414638">
        <w:t>Phase 2</w:t>
      </w:r>
      <w:r w:rsidR="00381F21">
        <w:t xml:space="preserve"> </w:t>
      </w:r>
      <w:r>
        <w:t xml:space="preserve">relate to the remapping of </w:t>
      </w:r>
      <w:r w:rsidR="00414638">
        <w:t>UQB</w:t>
      </w:r>
      <w:r>
        <w:t xml:space="preserve"> costs bac</w:t>
      </w:r>
      <w:r w:rsidR="00381F21">
        <w:t>k to mother encounters</w:t>
      </w:r>
      <w:r w:rsidR="00414638">
        <w:t>, so</w:t>
      </w:r>
      <w:r>
        <w:t xml:space="preserve"> there is no net impact on </w:t>
      </w:r>
      <w:r w:rsidR="00381F21">
        <w:t xml:space="preserve">total </w:t>
      </w:r>
      <w:r>
        <w:t>cost</w:t>
      </w:r>
      <w:r w:rsidR="00381F21">
        <w:t>s</w:t>
      </w:r>
      <w:r>
        <w:t xml:space="preserve">, </w:t>
      </w:r>
      <w:r w:rsidR="00414638">
        <w:t>and the UQB</w:t>
      </w:r>
      <w:r>
        <w:t xml:space="preserve"> encounter</w:t>
      </w:r>
      <w:r w:rsidR="00414638">
        <w:t>s are</w:t>
      </w:r>
      <w:r>
        <w:t xml:space="preserve"> removed</w:t>
      </w:r>
      <w:r w:rsidR="00414638">
        <w:t xml:space="preserve"> from the data</w:t>
      </w:r>
      <w:r>
        <w:t xml:space="preserve">. </w:t>
      </w:r>
      <w:r w:rsidR="00381F21">
        <w:t xml:space="preserve">Some sites perform this remapping themselves, such as Canberra Hospital and the NSW </w:t>
      </w:r>
      <w:proofErr w:type="gramStart"/>
      <w:r w:rsidR="00381F21">
        <w:t>sites</w:t>
      </w:r>
      <w:r w:rsidR="0050433E">
        <w:t>,</w:t>
      </w:r>
      <w:proofErr w:type="gramEnd"/>
      <w:r w:rsidR="00414638">
        <w:t xml:space="preserve"> h</w:t>
      </w:r>
      <w:r w:rsidR="00381F21">
        <w:t xml:space="preserve">owever some additional mapping was required where UQB encounters </w:t>
      </w:r>
      <w:r w:rsidR="0010601A">
        <w:t>remained</w:t>
      </w:r>
      <w:r w:rsidR="00381F21">
        <w:t xml:space="preserve"> in the dataset. </w:t>
      </w:r>
      <w:r w:rsidR="00414638">
        <w:t xml:space="preserve">Noarlunga Hospital </w:t>
      </w:r>
      <w:r w:rsidR="00381F21">
        <w:t xml:space="preserve">does </w:t>
      </w:r>
      <w:r w:rsidR="00EA05AF">
        <w:t xml:space="preserve">not </w:t>
      </w:r>
      <w:r w:rsidR="00414638">
        <w:t xml:space="preserve">deliver babies; it </w:t>
      </w:r>
      <w:r w:rsidR="00381F21">
        <w:t>only</w:t>
      </w:r>
      <w:r w:rsidR="00414638">
        <w:t xml:space="preserve"> provides</w:t>
      </w:r>
      <w:r w:rsidR="00381F21">
        <w:t xml:space="preserve"> antenatal and early postnatal outpatient services</w:t>
      </w:r>
      <w:r w:rsidR="0010601A">
        <w:t xml:space="preserve"> for women delivering their babies at </w:t>
      </w:r>
      <w:r w:rsidR="00414638">
        <w:t>Flinders Medical Centre</w:t>
      </w:r>
      <w:r w:rsidR="0010601A">
        <w:t>.</w:t>
      </w:r>
    </w:p>
    <w:p w:rsidR="00194434" w:rsidRDefault="00194434">
      <w:pPr>
        <w:kinsoku/>
        <w:overflowPunct/>
        <w:autoSpaceDE/>
        <w:autoSpaceDN/>
        <w:adjustRightInd/>
        <w:snapToGrid/>
      </w:pPr>
      <w:r>
        <w:br w:type="page"/>
      </w:r>
    </w:p>
    <w:p w:rsidR="0086166C" w:rsidRDefault="0086166C" w:rsidP="0086166C">
      <w:pPr>
        <w:pStyle w:val="Heading1"/>
      </w:pPr>
      <w:bookmarkStart w:id="154" w:name="_Toc404355512"/>
      <w:r>
        <w:lastRenderedPageBreak/>
        <w:t>Peer review outcomes</w:t>
      </w:r>
      <w:bookmarkEnd w:id="154"/>
    </w:p>
    <w:p w:rsidR="00565F91" w:rsidRDefault="005C39DA" w:rsidP="00565F91">
      <w:pPr>
        <w:pStyle w:val="Heading2"/>
      </w:pPr>
      <w:bookmarkStart w:id="155" w:name="_Toc369004204"/>
      <w:r>
        <w:t>T</w:t>
      </w:r>
      <w:r w:rsidR="00565F91" w:rsidRPr="009F7D2E">
        <w:t>he peer review</w:t>
      </w:r>
      <w:bookmarkEnd w:id="155"/>
      <w:r w:rsidR="00565F91" w:rsidRPr="009F7D2E">
        <w:t xml:space="preserve"> </w:t>
      </w:r>
      <w:r>
        <w:t>process</w:t>
      </w:r>
    </w:p>
    <w:p w:rsidR="009B68A1" w:rsidRDefault="005C39DA" w:rsidP="00565F91">
      <w:pPr>
        <w:pStyle w:val="PwCNormal"/>
        <w:numPr>
          <w:ilvl w:val="0"/>
          <w:numId w:val="0"/>
        </w:numPr>
        <w:rPr>
          <w:rFonts w:asciiTheme="majorHAnsi" w:hAnsiTheme="majorHAnsi"/>
        </w:rPr>
      </w:pPr>
      <w:r>
        <w:t xml:space="preserve">The </w:t>
      </w:r>
      <w:r w:rsidR="006A194B">
        <w:t>Round 17</w:t>
      </w:r>
      <w:r>
        <w:t xml:space="preserve"> </w:t>
      </w:r>
      <w:r w:rsidR="00414638">
        <w:t xml:space="preserve">financial review </w:t>
      </w:r>
      <w:r w:rsidR="002F7ED1">
        <w:t>involved</w:t>
      </w:r>
      <w:r w:rsidR="00414638">
        <w:t xml:space="preserve"> for </w:t>
      </w:r>
      <w:r>
        <w:t xml:space="preserve">a peer review process </w:t>
      </w:r>
      <w:r w:rsidR="00414638">
        <w:t xml:space="preserve">so that </w:t>
      </w:r>
      <w:r>
        <w:t xml:space="preserve">costing representatives from other jurisdictions </w:t>
      </w:r>
      <w:r w:rsidR="00414638">
        <w:t xml:space="preserve">could </w:t>
      </w:r>
      <w:r>
        <w:t xml:space="preserve">participate in </w:t>
      </w:r>
      <w:r w:rsidR="002F7ED1">
        <w:t>s</w:t>
      </w:r>
      <w:r>
        <w:t xml:space="preserve">ite visits. </w:t>
      </w:r>
      <w:r w:rsidR="00565F91" w:rsidRPr="004D669B">
        <w:rPr>
          <w:rFonts w:asciiTheme="majorHAnsi" w:hAnsiTheme="majorHAnsi"/>
        </w:rPr>
        <w:t>Th</w:t>
      </w:r>
      <w:r w:rsidR="00565F91">
        <w:rPr>
          <w:rFonts w:asciiTheme="majorHAnsi" w:hAnsiTheme="majorHAnsi"/>
        </w:rPr>
        <w:t xml:space="preserve">e peer review </w:t>
      </w:r>
      <w:r w:rsidR="002F7ED1">
        <w:rPr>
          <w:rFonts w:asciiTheme="majorHAnsi" w:hAnsiTheme="majorHAnsi"/>
        </w:rPr>
        <w:t>allowed</w:t>
      </w:r>
      <w:r w:rsidR="00565F91">
        <w:rPr>
          <w:rFonts w:asciiTheme="majorHAnsi" w:hAnsiTheme="majorHAnsi"/>
        </w:rPr>
        <w:t xml:space="preserve"> NHCDC peer</w:t>
      </w:r>
      <w:r w:rsidR="00414638">
        <w:rPr>
          <w:rFonts w:asciiTheme="majorHAnsi" w:hAnsiTheme="majorHAnsi"/>
        </w:rPr>
        <w:t>s</w:t>
      </w:r>
      <w:r w:rsidR="00565F91">
        <w:rPr>
          <w:rFonts w:asciiTheme="majorHAnsi" w:hAnsiTheme="majorHAnsi"/>
        </w:rPr>
        <w:t xml:space="preserve"> to share information, processes, challenges and solutions. Based o</w:t>
      </w:r>
      <w:r w:rsidR="00414638">
        <w:rPr>
          <w:rFonts w:asciiTheme="majorHAnsi" w:hAnsiTheme="majorHAnsi"/>
        </w:rPr>
        <w:t>n</w:t>
      </w:r>
      <w:r w:rsidR="00565F91">
        <w:rPr>
          <w:rFonts w:asciiTheme="majorHAnsi" w:hAnsiTheme="majorHAnsi"/>
        </w:rPr>
        <w:t xml:space="preserve"> the feedback from </w:t>
      </w:r>
      <w:r w:rsidR="006A194B">
        <w:rPr>
          <w:rFonts w:asciiTheme="majorHAnsi" w:hAnsiTheme="majorHAnsi"/>
        </w:rPr>
        <w:t>Round 16</w:t>
      </w:r>
      <w:r w:rsidR="00565F91">
        <w:rPr>
          <w:rFonts w:asciiTheme="majorHAnsi" w:hAnsiTheme="majorHAnsi"/>
        </w:rPr>
        <w:t>,</w:t>
      </w:r>
      <w:r w:rsidR="00414638">
        <w:rPr>
          <w:rFonts w:asciiTheme="majorHAnsi" w:hAnsiTheme="majorHAnsi"/>
        </w:rPr>
        <w:t xml:space="preserve"> all parties valued the chance to</w:t>
      </w:r>
      <w:r w:rsidR="00565F91">
        <w:rPr>
          <w:rFonts w:asciiTheme="majorHAnsi" w:hAnsiTheme="majorHAnsi"/>
        </w:rPr>
        <w:t xml:space="preserve"> </w:t>
      </w:r>
      <w:r w:rsidR="00414638">
        <w:rPr>
          <w:rFonts w:asciiTheme="majorHAnsi" w:hAnsiTheme="majorHAnsi"/>
        </w:rPr>
        <w:t xml:space="preserve">have </w:t>
      </w:r>
      <w:r w:rsidR="00565F91">
        <w:rPr>
          <w:rFonts w:asciiTheme="majorHAnsi" w:hAnsiTheme="majorHAnsi"/>
        </w:rPr>
        <w:t>costing staff and costing representatives visit other jurisdict</w:t>
      </w:r>
      <w:r w:rsidR="009B68A1">
        <w:rPr>
          <w:rFonts w:asciiTheme="majorHAnsi" w:hAnsiTheme="majorHAnsi"/>
        </w:rPr>
        <w:t>ions</w:t>
      </w:r>
      <w:r w:rsidR="004811DF">
        <w:rPr>
          <w:rFonts w:asciiTheme="majorHAnsi" w:hAnsiTheme="majorHAnsi"/>
        </w:rPr>
        <w:t xml:space="preserve">, so the project team continued this process </w:t>
      </w:r>
      <w:r w:rsidR="00B224BF">
        <w:rPr>
          <w:rFonts w:asciiTheme="majorHAnsi" w:hAnsiTheme="majorHAnsi"/>
        </w:rPr>
        <w:t xml:space="preserve">for </w:t>
      </w:r>
      <w:r w:rsidR="006A194B">
        <w:rPr>
          <w:rFonts w:asciiTheme="majorHAnsi" w:hAnsiTheme="majorHAnsi"/>
        </w:rPr>
        <w:t>Round 17</w:t>
      </w:r>
      <w:r w:rsidR="00B224BF">
        <w:rPr>
          <w:rFonts w:asciiTheme="majorHAnsi" w:hAnsiTheme="majorHAnsi"/>
        </w:rPr>
        <w:t>.</w:t>
      </w:r>
    </w:p>
    <w:p w:rsidR="00565F91" w:rsidRPr="00BC41C2" w:rsidRDefault="00565F91" w:rsidP="00CE5EF2">
      <w:pPr>
        <w:pStyle w:val="Heading3"/>
      </w:pPr>
      <w:r w:rsidRPr="00BC41C2">
        <w:t>Participation in site visits</w:t>
      </w:r>
    </w:p>
    <w:p w:rsidR="00565F91" w:rsidRDefault="00565F91" w:rsidP="00565F91">
      <w:pPr>
        <w:pStyle w:val="PwCNormal"/>
        <w:numPr>
          <w:ilvl w:val="0"/>
          <w:numId w:val="0"/>
        </w:numPr>
        <w:rPr>
          <w:rFonts w:asciiTheme="majorHAnsi" w:hAnsiTheme="majorHAnsi"/>
        </w:rPr>
      </w:pPr>
      <w:r>
        <w:rPr>
          <w:rFonts w:asciiTheme="majorHAnsi" w:hAnsiTheme="majorHAnsi"/>
        </w:rPr>
        <w:t>Jurisdictions were asked to nominate people to participate in the peer review</w:t>
      </w:r>
      <w:r w:rsidR="004811DF">
        <w:rPr>
          <w:rFonts w:asciiTheme="majorHAnsi" w:hAnsiTheme="majorHAnsi"/>
        </w:rPr>
        <w:t>,</w:t>
      </w:r>
      <w:r>
        <w:rPr>
          <w:rFonts w:asciiTheme="majorHAnsi" w:hAnsiTheme="majorHAnsi"/>
        </w:rPr>
        <w:t xml:space="preserve"> and to identify participants either at the hospital costing level or the jurisdiction level. </w:t>
      </w:r>
      <w:r w:rsidR="004811DF">
        <w:rPr>
          <w:rFonts w:asciiTheme="majorHAnsi" w:hAnsiTheme="majorHAnsi"/>
        </w:rPr>
        <w:t xml:space="preserve">Jurisdictions in </w:t>
      </w:r>
      <w:r w:rsidR="00C12721">
        <w:rPr>
          <w:rFonts w:asciiTheme="majorHAnsi" w:hAnsiTheme="majorHAnsi"/>
        </w:rPr>
        <w:t>QLD</w:t>
      </w:r>
      <w:r w:rsidR="004811DF">
        <w:rPr>
          <w:rFonts w:asciiTheme="majorHAnsi" w:hAnsiTheme="majorHAnsi"/>
        </w:rPr>
        <w:t xml:space="preserve">, NSW, </w:t>
      </w:r>
      <w:r w:rsidR="00C12721">
        <w:rPr>
          <w:rFonts w:asciiTheme="majorHAnsi" w:hAnsiTheme="majorHAnsi"/>
        </w:rPr>
        <w:t>VIC</w:t>
      </w:r>
      <w:r w:rsidR="0033116C">
        <w:rPr>
          <w:rFonts w:asciiTheme="majorHAnsi" w:hAnsiTheme="majorHAnsi"/>
        </w:rPr>
        <w:t xml:space="preserve"> </w:t>
      </w:r>
      <w:r w:rsidR="004811DF">
        <w:rPr>
          <w:rFonts w:asciiTheme="majorHAnsi" w:hAnsiTheme="majorHAnsi"/>
        </w:rPr>
        <w:t>and NT nominated p</w:t>
      </w:r>
      <w:r w:rsidR="00B224BF">
        <w:rPr>
          <w:rFonts w:asciiTheme="majorHAnsi" w:hAnsiTheme="majorHAnsi"/>
        </w:rPr>
        <w:t>eers. The remaining jurisdictions were unable to send representatives due to capacity or funding constraints. NSW and VIC nominated LHN costing staff to attend, and</w:t>
      </w:r>
      <w:r w:rsidR="004811DF">
        <w:rPr>
          <w:rFonts w:asciiTheme="majorHAnsi" w:hAnsiTheme="majorHAnsi"/>
        </w:rPr>
        <w:t xml:space="preserve"> V</w:t>
      </w:r>
      <w:r w:rsidR="0050433E">
        <w:rPr>
          <w:rFonts w:asciiTheme="majorHAnsi" w:hAnsiTheme="majorHAnsi"/>
        </w:rPr>
        <w:t>IC</w:t>
      </w:r>
      <w:r w:rsidR="004811DF">
        <w:rPr>
          <w:rFonts w:asciiTheme="majorHAnsi" w:hAnsiTheme="majorHAnsi"/>
        </w:rPr>
        <w:t>, Q</w:t>
      </w:r>
      <w:r w:rsidR="0050433E">
        <w:rPr>
          <w:rFonts w:asciiTheme="majorHAnsi" w:hAnsiTheme="majorHAnsi"/>
        </w:rPr>
        <w:t>LD</w:t>
      </w:r>
      <w:r w:rsidR="004811DF">
        <w:rPr>
          <w:rFonts w:asciiTheme="majorHAnsi" w:hAnsiTheme="majorHAnsi"/>
        </w:rPr>
        <w:t xml:space="preserve"> and NT sent</w:t>
      </w:r>
      <w:r w:rsidR="00B224BF">
        <w:rPr>
          <w:rFonts w:asciiTheme="majorHAnsi" w:hAnsiTheme="majorHAnsi"/>
        </w:rPr>
        <w:t xml:space="preserve"> jurisdiction representatives</w:t>
      </w:r>
      <w:r w:rsidR="009B794F">
        <w:rPr>
          <w:rFonts w:asciiTheme="majorHAnsi" w:hAnsiTheme="majorHAnsi"/>
        </w:rPr>
        <w:t>.</w:t>
      </w:r>
      <w:r>
        <w:rPr>
          <w:rFonts w:asciiTheme="majorHAnsi" w:hAnsiTheme="majorHAnsi"/>
        </w:rPr>
        <w:t xml:space="preserve"> A</w:t>
      </w:r>
      <w:r w:rsidR="004811DF">
        <w:rPr>
          <w:rFonts w:asciiTheme="majorHAnsi" w:hAnsiTheme="majorHAnsi"/>
        </w:rPr>
        <w:t>ppendix A contains a</w:t>
      </w:r>
      <w:r>
        <w:rPr>
          <w:rFonts w:asciiTheme="majorHAnsi" w:hAnsiTheme="majorHAnsi"/>
        </w:rPr>
        <w:t xml:space="preserve"> list of the peer review participants</w:t>
      </w:r>
      <w:r w:rsidRPr="00785C6E">
        <w:rPr>
          <w:rFonts w:asciiTheme="majorHAnsi" w:hAnsiTheme="majorHAnsi"/>
        </w:rPr>
        <w:t>.</w:t>
      </w:r>
    </w:p>
    <w:p w:rsidR="00565F91" w:rsidRPr="00BC41C2" w:rsidRDefault="00565F91" w:rsidP="00565F91">
      <w:pPr>
        <w:pStyle w:val="PwCNormal"/>
        <w:numPr>
          <w:ilvl w:val="0"/>
          <w:numId w:val="0"/>
        </w:numPr>
        <w:rPr>
          <w:rFonts w:asciiTheme="majorHAnsi" w:hAnsiTheme="majorHAnsi"/>
        </w:rPr>
      </w:pPr>
      <w:r>
        <w:rPr>
          <w:rFonts w:asciiTheme="majorHAnsi" w:hAnsiTheme="majorHAnsi"/>
        </w:rPr>
        <w:t>The peer review nominees selected their preferred locations and the host site was informed of the peer review selection. The nominees attended the meetings together with the PwC review team</w:t>
      </w:r>
      <w:r w:rsidR="00380906">
        <w:rPr>
          <w:rFonts w:asciiTheme="majorHAnsi" w:hAnsiTheme="majorHAnsi"/>
        </w:rPr>
        <w:t>,</w:t>
      </w:r>
      <w:r>
        <w:rPr>
          <w:rFonts w:asciiTheme="majorHAnsi" w:hAnsiTheme="majorHAnsi"/>
        </w:rPr>
        <w:t xml:space="preserve"> and were asked to actively participate in the meeting and ask any questions they had. </w:t>
      </w:r>
    </w:p>
    <w:p w:rsidR="00131848" w:rsidRPr="00BC41C2" w:rsidRDefault="00380906" w:rsidP="00CE5EF2">
      <w:pPr>
        <w:pStyle w:val="Heading3"/>
      </w:pPr>
      <w:r>
        <w:t>S</w:t>
      </w:r>
      <w:r w:rsidR="00131848">
        <w:t>ite visit</w:t>
      </w:r>
      <w:r>
        <w:t xml:space="preserve"> follow-up</w:t>
      </w:r>
      <w:r w:rsidR="00131848">
        <w:t xml:space="preserve"> survey</w:t>
      </w:r>
    </w:p>
    <w:p w:rsidR="00131848" w:rsidRDefault="00131848" w:rsidP="00131848">
      <w:pPr>
        <w:pStyle w:val="PwCNormal"/>
        <w:numPr>
          <w:ilvl w:val="0"/>
          <w:numId w:val="0"/>
        </w:numPr>
        <w:rPr>
          <w:rFonts w:asciiTheme="majorHAnsi" w:hAnsiTheme="majorHAnsi"/>
        </w:rPr>
      </w:pPr>
      <w:r w:rsidRPr="006F3A03">
        <w:rPr>
          <w:rFonts w:asciiTheme="majorHAnsi" w:hAnsiTheme="majorHAnsi"/>
        </w:rPr>
        <w:t xml:space="preserve">Following the site visits, </w:t>
      </w:r>
      <w:r w:rsidR="00380906">
        <w:rPr>
          <w:rFonts w:asciiTheme="majorHAnsi" w:hAnsiTheme="majorHAnsi"/>
        </w:rPr>
        <w:t xml:space="preserve">the IHPA sent out </w:t>
      </w:r>
      <w:r w:rsidRPr="006F3A03">
        <w:rPr>
          <w:rFonts w:asciiTheme="majorHAnsi" w:hAnsiTheme="majorHAnsi"/>
        </w:rPr>
        <w:t xml:space="preserve">a survey </w:t>
      </w:r>
      <w:r w:rsidR="00C20202">
        <w:rPr>
          <w:rFonts w:asciiTheme="majorHAnsi" w:hAnsiTheme="majorHAnsi"/>
        </w:rPr>
        <w:t>to the peer review participants and the peer review host sites</w:t>
      </w:r>
      <w:r w:rsidRPr="006F3A03">
        <w:rPr>
          <w:rFonts w:asciiTheme="majorHAnsi" w:hAnsiTheme="majorHAnsi"/>
        </w:rPr>
        <w:t xml:space="preserve"> to</w:t>
      </w:r>
      <w:r w:rsidR="00C20202">
        <w:rPr>
          <w:rFonts w:asciiTheme="majorHAnsi" w:hAnsiTheme="majorHAnsi"/>
        </w:rPr>
        <w:t xml:space="preserve"> gather their feedback on the peer review process</w:t>
      </w:r>
      <w:r w:rsidRPr="006F3A03">
        <w:rPr>
          <w:rFonts w:asciiTheme="majorHAnsi" w:hAnsiTheme="majorHAnsi"/>
        </w:rPr>
        <w:t xml:space="preserve">. </w:t>
      </w:r>
      <w:r>
        <w:rPr>
          <w:rFonts w:asciiTheme="majorHAnsi" w:hAnsiTheme="majorHAnsi"/>
        </w:rPr>
        <w:t>The</w:t>
      </w:r>
      <w:r w:rsidR="00380906">
        <w:rPr>
          <w:rFonts w:asciiTheme="majorHAnsi" w:hAnsiTheme="majorHAnsi"/>
        </w:rPr>
        <w:t xml:space="preserve"> survey had three sections</w:t>
      </w:r>
      <w:r>
        <w:rPr>
          <w:rFonts w:asciiTheme="majorHAnsi" w:hAnsiTheme="majorHAnsi"/>
        </w:rPr>
        <w:t>:</w:t>
      </w:r>
    </w:p>
    <w:p w:rsidR="00131848" w:rsidRDefault="00131848" w:rsidP="005C7380">
      <w:pPr>
        <w:pStyle w:val="ListNumber"/>
        <w:numPr>
          <w:ilvl w:val="0"/>
          <w:numId w:val="38"/>
        </w:numPr>
        <w:kinsoku/>
        <w:overflowPunct/>
        <w:autoSpaceDE/>
        <w:autoSpaceDN/>
        <w:adjustRightInd/>
        <w:snapToGrid/>
        <w:spacing w:after="120" w:line="240" w:lineRule="atLeast"/>
        <w:contextualSpacing w:val="0"/>
      </w:pPr>
      <w:r w:rsidRPr="000C687F">
        <w:t xml:space="preserve">What were your expectations of the peer review before you participated in </w:t>
      </w:r>
      <w:r w:rsidR="00380906">
        <w:t>the</w:t>
      </w:r>
      <w:r w:rsidR="00380906" w:rsidRPr="000C687F">
        <w:t xml:space="preserve"> </w:t>
      </w:r>
      <w:r w:rsidRPr="000C687F">
        <w:t>site visit?</w:t>
      </w:r>
    </w:p>
    <w:p w:rsidR="00131848" w:rsidRDefault="00131848" w:rsidP="005C7380">
      <w:pPr>
        <w:pStyle w:val="ListNumber"/>
        <w:numPr>
          <w:ilvl w:val="0"/>
          <w:numId w:val="38"/>
        </w:numPr>
        <w:kinsoku/>
        <w:overflowPunct/>
        <w:autoSpaceDE/>
        <w:autoSpaceDN/>
        <w:adjustRightInd/>
        <w:snapToGrid/>
        <w:spacing w:after="120" w:line="240" w:lineRule="atLeast"/>
        <w:contextualSpacing w:val="0"/>
      </w:pPr>
      <w:r w:rsidRPr="000C687F">
        <w:t>Please provide details and/or examples of key learnings (</w:t>
      </w:r>
      <w:r w:rsidR="00380906">
        <w:t xml:space="preserve">a </w:t>
      </w:r>
      <w:r w:rsidRPr="000C687F">
        <w:t xml:space="preserve">minimum of </w:t>
      </w:r>
      <w:r w:rsidR="00380906">
        <w:t>three</w:t>
      </w:r>
      <w:r w:rsidRPr="000C687F">
        <w:t>) that you have taken a</w:t>
      </w:r>
      <w:r>
        <w:t>way from your recent site visit</w:t>
      </w:r>
      <w:r w:rsidR="00C12721">
        <w:t>.</w:t>
      </w:r>
    </w:p>
    <w:p w:rsidR="00131848" w:rsidRDefault="00131848" w:rsidP="005C7380">
      <w:pPr>
        <w:pStyle w:val="ListNumber"/>
        <w:numPr>
          <w:ilvl w:val="0"/>
          <w:numId w:val="38"/>
        </w:numPr>
        <w:kinsoku/>
        <w:overflowPunct/>
        <w:autoSpaceDE/>
        <w:autoSpaceDN/>
        <w:adjustRightInd/>
        <w:snapToGrid/>
        <w:spacing w:after="240" w:line="240" w:lineRule="atLeast"/>
        <w:contextualSpacing w:val="0"/>
      </w:pPr>
      <w:r w:rsidRPr="000C687F">
        <w:t>Please provide any ideas or suggestions for improving the peer r</w:t>
      </w:r>
      <w:r>
        <w:t xml:space="preserve">eview process </w:t>
      </w:r>
      <w:r w:rsidR="00380906">
        <w:t xml:space="preserve">in </w:t>
      </w:r>
      <w:r>
        <w:t>future rounds</w:t>
      </w:r>
      <w:r w:rsidR="00380906">
        <w:t xml:space="preserve"> of review.</w:t>
      </w:r>
    </w:p>
    <w:p w:rsidR="00131848" w:rsidRPr="006F3A03" w:rsidRDefault="00131848" w:rsidP="00131848">
      <w:pPr>
        <w:pStyle w:val="Heading2"/>
      </w:pPr>
      <w:bookmarkStart w:id="156" w:name="_Toc369004205"/>
      <w:r w:rsidRPr="006F3A03">
        <w:t>The feedback</w:t>
      </w:r>
      <w:bookmarkEnd w:id="156"/>
    </w:p>
    <w:p w:rsidR="00131848" w:rsidRDefault="00FA18F7" w:rsidP="00C20202">
      <w:pPr>
        <w:pStyle w:val="ListNumber"/>
        <w:numPr>
          <w:ilvl w:val="0"/>
          <w:numId w:val="0"/>
        </w:numPr>
        <w:kinsoku/>
        <w:overflowPunct/>
        <w:autoSpaceDE/>
        <w:autoSpaceDN/>
        <w:adjustRightInd/>
        <w:snapToGrid/>
        <w:spacing w:after="240" w:line="240" w:lineRule="atLeast"/>
        <w:contextualSpacing w:val="0"/>
      </w:pPr>
      <w:r>
        <w:t>Overall, m</w:t>
      </w:r>
      <w:r w:rsidR="005C39DA">
        <w:t>ost of t</w:t>
      </w:r>
      <w:r w:rsidR="009B794F">
        <w:t xml:space="preserve">he peers who </w:t>
      </w:r>
      <w:r w:rsidR="005C39DA">
        <w:t>participated</w:t>
      </w:r>
      <w:r w:rsidR="009B794F">
        <w:t xml:space="preserve"> </w:t>
      </w:r>
      <w:r w:rsidR="005C39DA">
        <w:t xml:space="preserve">reported that they received </w:t>
      </w:r>
      <w:r w:rsidR="00C20202">
        <w:t>substantial value from attending the site visits. One costing staff participant reported:</w:t>
      </w:r>
    </w:p>
    <w:p w:rsidR="00FA18F7" w:rsidRPr="00FA18F7" w:rsidRDefault="009B794F" w:rsidP="00C20202">
      <w:pPr>
        <w:pStyle w:val="Default"/>
        <w:spacing w:after="240"/>
        <w:rPr>
          <w:i/>
          <w:sz w:val="20"/>
          <w:szCs w:val="20"/>
        </w:rPr>
      </w:pPr>
      <w:r w:rsidRPr="00C20202">
        <w:rPr>
          <w:i/>
        </w:rPr>
        <w:t>“</w:t>
      </w:r>
      <w:r w:rsidRPr="00C20202">
        <w:rPr>
          <w:i/>
          <w:sz w:val="20"/>
          <w:szCs w:val="20"/>
        </w:rPr>
        <w:t>The NHCDC inter-jurisdictional site visits are a unique vehicle to provide interstate costing staff a diverse perspective on the costing process, the many similar ongoing challenges in patient</w:t>
      </w:r>
      <w:r w:rsidR="00380906">
        <w:rPr>
          <w:i/>
          <w:sz w:val="20"/>
          <w:szCs w:val="20"/>
        </w:rPr>
        <w:t>-</w:t>
      </w:r>
      <w:r w:rsidRPr="00C20202">
        <w:rPr>
          <w:i/>
          <w:sz w:val="20"/>
          <w:szCs w:val="20"/>
        </w:rPr>
        <w:t>level costing and the differing methodologies used to construct the same end product</w:t>
      </w:r>
      <w:r w:rsidR="00380906">
        <w:rPr>
          <w:i/>
          <w:sz w:val="20"/>
          <w:szCs w:val="20"/>
        </w:rPr>
        <w:t>:</w:t>
      </w:r>
      <w:r w:rsidRPr="00C20202">
        <w:rPr>
          <w:i/>
          <w:sz w:val="20"/>
          <w:szCs w:val="20"/>
        </w:rPr>
        <w:t xml:space="preserve"> the NHCDC</w:t>
      </w:r>
      <w:r w:rsidR="00215AFC">
        <w:rPr>
          <w:i/>
          <w:sz w:val="20"/>
          <w:szCs w:val="20"/>
        </w:rPr>
        <w:t>.</w:t>
      </w:r>
      <w:r w:rsidRPr="00C20202">
        <w:rPr>
          <w:i/>
          <w:sz w:val="20"/>
          <w:szCs w:val="20"/>
        </w:rPr>
        <w:t>”</w:t>
      </w:r>
    </w:p>
    <w:p w:rsidR="00FA18F7" w:rsidRPr="00102376" w:rsidRDefault="00A24582" w:rsidP="00FA18F7">
      <w:pPr>
        <w:pStyle w:val="PwCNormal"/>
        <w:numPr>
          <w:ilvl w:val="0"/>
          <w:numId w:val="0"/>
        </w:numPr>
        <w:rPr>
          <w:b/>
        </w:rPr>
      </w:pPr>
      <w:r>
        <w:rPr>
          <w:b/>
        </w:rPr>
        <w:t>Expectations of the peer review</w:t>
      </w:r>
    </w:p>
    <w:p w:rsidR="0050433E" w:rsidRDefault="00FA18F7" w:rsidP="0050433E">
      <w:pPr>
        <w:pStyle w:val="Default"/>
        <w:spacing w:after="240"/>
      </w:pPr>
      <w:r>
        <w:rPr>
          <w:sz w:val="20"/>
          <w:szCs w:val="20"/>
        </w:rPr>
        <w:t xml:space="preserve">Participants commonly noted </w:t>
      </w:r>
      <w:r w:rsidR="00781CEF">
        <w:rPr>
          <w:sz w:val="20"/>
          <w:szCs w:val="20"/>
        </w:rPr>
        <w:t>their</w:t>
      </w:r>
      <w:r>
        <w:rPr>
          <w:sz w:val="20"/>
          <w:szCs w:val="20"/>
        </w:rPr>
        <w:t xml:space="preserve"> initial expectation was to understand the application of the AHPCS, particularly in some of the more complex areas such as allocation statistics, treatment of blood products and PFRACs. </w:t>
      </w:r>
      <w:r w:rsidR="00A24582">
        <w:rPr>
          <w:sz w:val="20"/>
          <w:szCs w:val="20"/>
        </w:rPr>
        <w:t>There was also an interest in the use of the various software packages available, and how they were implemented and used at the hospital</w:t>
      </w:r>
      <w:r w:rsidR="00995248">
        <w:rPr>
          <w:sz w:val="20"/>
          <w:szCs w:val="20"/>
        </w:rPr>
        <w:t xml:space="preserve"> and </w:t>
      </w:r>
      <w:r w:rsidR="00A24582">
        <w:rPr>
          <w:sz w:val="20"/>
          <w:szCs w:val="20"/>
        </w:rPr>
        <w:t>LHN level. Through discussion of th</w:t>
      </w:r>
      <w:r w:rsidR="00CC1DB3">
        <w:rPr>
          <w:sz w:val="20"/>
          <w:szCs w:val="20"/>
        </w:rPr>
        <w:t>ese</w:t>
      </w:r>
      <w:r w:rsidR="00995248">
        <w:rPr>
          <w:sz w:val="20"/>
          <w:szCs w:val="20"/>
        </w:rPr>
        <w:t xml:space="preserve"> topics</w:t>
      </w:r>
      <w:r w:rsidR="00CC1DB3">
        <w:rPr>
          <w:sz w:val="20"/>
          <w:szCs w:val="20"/>
        </w:rPr>
        <w:t xml:space="preserve">, participants expected to understand the common issues across the country and share </w:t>
      </w:r>
      <w:r w:rsidR="00781CEF">
        <w:rPr>
          <w:sz w:val="20"/>
          <w:szCs w:val="20"/>
        </w:rPr>
        <w:t>approaches</w:t>
      </w:r>
      <w:r w:rsidR="00CC1DB3">
        <w:rPr>
          <w:sz w:val="20"/>
          <w:szCs w:val="20"/>
        </w:rPr>
        <w:t xml:space="preserve"> to tackling the problems.</w:t>
      </w:r>
      <w:r w:rsidR="0050433E">
        <w:br w:type="page"/>
      </w:r>
    </w:p>
    <w:p w:rsidR="00CC1DB3" w:rsidRPr="00102376" w:rsidRDefault="00663127" w:rsidP="00CC1DB3">
      <w:pPr>
        <w:pStyle w:val="PwCNormal"/>
        <w:numPr>
          <w:ilvl w:val="0"/>
          <w:numId w:val="0"/>
        </w:numPr>
        <w:rPr>
          <w:b/>
        </w:rPr>
      </w:pPr>
      <w:r>
        <w:rPr>
          <w:b/>
        </w:rPr>
        <w:lastRenderedPageBreak/>
        <w:t>Learnings from</w:t>
      </w:r>
      <w:r w:rsidR="00CC1DB3">
        <w:rPr>
          <w:b/>
        </w:rPr>
        <w:t xml:space="preserve"> the peer review</w:t>
      </w:r>
    </w:p>
    <w:p w:rsidR="005A0594" w:rsidRDefault="00663127" w:rsidP="00C20202">
      <w:pPr>
        <w:pStyle w:val="Default"/>
        <w:spacing w:after="240"/>
        <w:rPr>
          <w:sz w:val="20"/>
          <w:szCs w:val="20"/>
        </w:rPr>
      </w:pPr>
      <w:r>
        <w:rPr>
          <w:sz w:val="20"/>
          <w:szCs w:val="20"/>
        </w:rPr>
        <w:t>Participants noted that they gained an understanding of how jurisdictions use other methodologies to split costs between hospital p</w:t>
      </w:r>
      <w:r w:rsidR="006167B7">
        <w:rPr>
          <w:sz w:val="20"/>
          <w:szCs w:val="20"/>
        </w:rPr>
        <w:t>roducts</w:t>
      </w:r>
      <w:r>
        <w:rPr>
          <w:sz w:val="20"/>
          <w:szCs w:val="20"/>
        </w:rPr>
        <w:t xml:space="preserve"> through </w:t>
      </w:r>
      <w:r w:rsidR="005A0594">
        <w:rPr>
          <w:sz w:val="20"/>
          <w:szCs w:val="20"/>
        </w:rPr>
        <w:t xml:space="preserve">the </w:t>
      </w:r>
      <w:r>
        <w:rPr>
          <w:sz w:val="20"/>
          <w:szCs w:val="20"/>
        </w:rPr>
        <w:t>use of feeder data</w:t>
      </w:r>
      <w:r w:rsidR="006167B7">
        <w:rPr>
          <w:sz w:val="20"/>
          <w:szCs w:val="20"/>
        </w:rPr>
        <w:t xml:space="preserve"> (and without using PFRACs)</w:t>
      </w:r>
      <w:r>
        <w:rPr>
          <w:sz w:val="20"/>
          <w:szCs w:val="20"/>
        </w:rPr>
        <w:t>. Further</w:t>
      </w:r>
      <w:r w:rsidR="00995248">
        <w:rPr>
          <w:sz w:val="20"/>
          <w:szCs w:val="20"/>
        </w:rPr>
        <w:t>more</w:t>
      </w:r>
      <w:r>
        <w:rPr>
          <w:sz w:val="20"/>
          <w:szCs w:val="20"/>
        </w:rPr>
        <w:t>,</w:t>
      </w:r>
      <w:r w:rsidR="00995248">
        <w:rPr>
          <w:sz w:val="20"/>
          <w:szCs w:val="20"/>
        </w:rPr>
        <w:t xml:space="preserve"> they identified</w:t>
      </w:r>
      <w:r>
        <w:rPr>
          <w:sz w:val="20"/>
          <w:szCs w:val="20"/>
        </w:rPr>
        <w:t xml:space="preserve"> </w:t>
      </w:r>
      <w:r w:rsidR="005A0594">
        <w:rPr>
          <w:sz w:val="20"/>
          <w:szCs w:val="20"/>
        </w:rPr>
        <w:t>some of the variation between linking rules, and the contextual reasons why that was the case.</w:t>
      </w:r>
      <w:r w:rsidR="00874ACD">
        <w:rPr>
          <w:sz w:val="20"/>
          <w:szCs w:val="20"/>
        </w:rPr>
        <w:t xml:space="preserve"> Overall</w:t>
      </w:r>
      <w:r w:rsidR="006167B7">
        <w:rPr>
          <w:sz w:val="20"/>
          <w:szCs w:val="20"/>
        </w:rPr>
        <w:t>,</w:t>
      </w:r>
      <w:r w:rsidR="00874ACD">
        <w:rPr>
          <w:sz w:val="20"/>
          <w:szCs w:val="20"/>
        </w:rPr>
        <w:t xml:space="preserve"> while</w:t>
      </w:r>
      <w:r w:rsidR="005A0594">
        <w:rPr>
          <w:sz w:val="20"/>
          <w:szCs w:val="20"/>
        </w:rPr>
        <w:t xml:space="preserve"> some sites </w:t>
      </w:r>
      <w:r w:rsidR="00995248">
        <w:rPr>
          <w:sz w:val="20"/>
          <w:szCs w:val="20"/>
        </w:rPr>
        <w:t xml:space="preserve">use </w:t>
      </w:r>
      <w:r w:rsidR="005A0594">
        <w:rPr>
          <w:sz w:val="20"/>
          <w:szCs w:val="20"/>
        </w:rPr>
        <w:t>slightly different processes and methodologies,</w:t>
      </w:r>
      <w:r w:rsidR="006167B7">
        <w:rPr>
          <w:sz w:val="20"/>
          <w:szCs w:val="20"/>
        </w:rPr>
        <w:t xml:space="preserve"> participants </w:t>
      </w:r>
      <w:r w:rsidR="00995248">
        <w:rPr>
          <w:sz w:val="20"/>
          <w:szCs w:val="20"/>
        </w:rPr>
        <w:t xml:space="preserve">noted </w:t>
      </w:r>
      <w:r w:rsidR="006167B7">
        <w:rPr>
          <w:sz w:val="20"/>
          <w:szCs w:val="20"/>
        </w:rPr>
        <w:t>that</w:t>
      </w:r>
      <w:r w:rsidR="005A0594">
        <w:rPr>
          <w:sz w:val="20"/>
          <w:szCs w:val="20"/>
        </w:rPr>
        <w:t xml:space="preserve"> the end result of patient</w:t>
      </w:r>
      <w:r w:rsidR="00995248">
        <w:rPr>
          <w:sz w:val="20"/>
          <w:szCs w:val="20"/>
        </w:rPr>
        <w:t>-</w:t>
      </w:r>
      <w:r w:rsidR="005A0594">
        <w:rPr>
          <w:sz w:val="20"/>
          <w:szCs w:val="20"/>
        </w:rPr>
        <w:t>level cost</w:t>
      </w:r>
      <w:r w:rsidR="00995248">
        <w:rPr>
          <w:sz w:val="20"/>
          <w:szCs w:val="20"/>
        </w:rPr>
        <w:t>ing</w:t>
      </w:r>
      <w:r w:rsidR="00874ACD">
        <w:rPr>
          <w:sz w:val="20"/>
          <w:szCs w:val="20"/>
        </w:rPr>
        <w:t xml:space="preserve"> data is very similar.</w:t>
      </w:r>
    </w:p>
    <w:p w:rsidR="005A0594" w:rsidRDefault="00874ACD" w:rsidP="00C20202">
      <w:pPr>
        <w:pStyle w:val="Default"/>
        <w:spacing w:after="240"/>
        <w:rPr>
          <w:sz w:val="20"/>
          <w:szCs w:val="20"/>
        </w:rPr>
      </w:pPr>
      <w:r>
        <w:rPr>
          <w:sz w:val="20"/>
          <w:szCs w:val="20"/>
        </w:rPr>
        <w:t xml:space="preserve">Another key learning from the peer review process </w:t>
      </w:r>
      <w:r w:rsidR="00995248">
        <w:rPr>
          <w:sz w:val="20"/>
          <w:szCs w:val="20"/>
        </w:rPr>
        <w:t>came</w:t>
      </w:r>
      <w:r w:rsidR="006167B7">
        <w:rPr>
          <w:sz w:val="20"/>
          <w:szCs w:val="20"/>
        </w:rPr>
        <w:t xml:space="preserve"> from discussion</w:t>
      </w:r>
      <w:r w:rsidR="00995248">
        <w:rPr>
          <w:sz w:val="20"/>
          <w:szCs w:val="20"/>
        </w:rPr>
        <w:t>s about</w:t>
      </w:r>
      <w:r w:rsidR="006167B7">
        <w:rPr>
          <w:sz w:val="20"/>
          <w:szCs w:val="20"/>
        </w:rPr>
        <w:t xml:space="preserve"> the improvement plans </w:t>
      </w:r>
      <w:r w:rsidR="00995248">
        <w:rPr>
          <w:sz w:val="20"/>
          <w:szCs w:val="20"/>
        </w:rPr>
        <w:t xml:space="preserve">in place </w:t>
      </w:r>
      <w:r w:rsidR="006167B7">
        <w:rPr>
          <w:sz w:val="20"/>
          <w:szCs w:val="20"/>
        </w:rPr>
        <w:t>at each site</w:t>
      </w:r>
      <w:r>
        <w:rPr>
          <w:sz w:val="20"/>
          <w:szCs w:val="20"/>
        </w:rPr>
        <w:t xml:space="preserve">. Participants valued the opportunity </w:t>
      </w:r>
      <w:r w:rsidR="00995248">
        <w:rPr>
          <w:sz w:val="20"/>
          <w:szCs w:val="20"/>
        </w:rPr>
        <w:t>to</w:t>
      </w:r>
      <w:r>
        <w:rPr>
          <w:sz w:val="20"/>
          <w:szCs w:val="20"/>
        </w:rPr>
        <w:t xml:space="preserve"> understand how costing processes were different</w:t>
      </w:r>
      <w:r w:rsidR="00995248">
        <w:rPr>
          <w:sz w:val="20"/>
          <w:szCs w:val="20"/>
        </w:rPr>
        <w:t xml:space="preserve"> (</w:t>
      </w:r>
      <w:r>
        <w:rPr>
          <w:sz w:val="20"/>
          <w:szCs w:val="20"/>
        </w:rPr>
        <w:t>such as monthly costing instead of yearly costing</w:t>
      </w:r>
      <w:r w:rsidR="00995248">
        <w:rPr>
          <w:sz w:val="20"/>
          <w:szCs w:val="20"/>
        </w:rPr>
        <w:t>)</w:t>
      </w:r>
      <w:r>
        <w:rPr>
          <w:sz w:val="20"/>
          <w:szCs w:val="20"/>
        </w:rPr>
        <w:t xml:space="preserve">, </w:t>
      </w:r>
      <w:r w:rsidR="00995248">
        <w:rPr>
          <w:sz w:val="20"/>
          <w:szCs w:val="20"/>
        </w:rPr>
        <w:t xml:space="preserve">and </w:t>
      </w:r>
      <w:r>
        <w:rPr>
          <w:sz w:val="20"/>
          <w:szCs w:val="20"/>
        </w:rPr>
        <w:t xml:space="preserve">also </w:t>
      </w:r>
      <w:r w:rsidR="00995248">
        <w:rPr>
          <w:sz w:val="20"/>
          <w:szCs w:val="20"/>
        </w:rPr>
        <w:t xml:space="preserve">get an idea of other jurisdictions’ </w:t>
      </w:r>
      <w:r>
        <w:rPr>
          <w:sz w:val="20"/>
          <w:szCs w:val="20"/>
        </w:rPr>
        <w:t xml:space="preserve">the plans for the future. </w:t>
      </w:r>
      <w:r w:rsidR="006167B7">
        <w:rPr>
          <w:sz w:val="20"/>
          <w:szCs w:val="20"/>
        </w:rPr>
        <w:t xml:space="preserve">Improvement plans included areas such as </w:t>
      </w:r>
      <w:r w:rsidR="00995248">
        <w:rPr>
          <w:sz w:val="20"/>
          <w:szCs w:val="20"/>
        </w:rPr>
        <w:t xml:space="preserve">better </w:t>
      </w:r>
      <w:r w:rsidR="006167B7">
        <w:rPr>
          <w:sz w:val="20"/>
          <w:szCs w:val="20"/>
        </w:rPr>
        <w:t xml:space="preserve">data collection, more use of feeder systems and </w:t>
      </w:r>
      <w:r w:rsidR="00995248">
        <w:rPr>
          <w:sz w:val="20"/>
          <w:szCs w:val="20"/>
        </w:rPr>
        <w:t>enhanced data QA</w:t>
      </w:r>
      <w:r w:rsidR="006167B7">
        <w:rPr>
          <w:sz w:val="20"/>
          <w:szCs w:val="20"/>
        </w:rPr>
        <w:t xml:space="preserve"> </w:t>
      </w:r>
      <w:r w:rsidR="00995248">
        <w:rPr>
          <w:sz w:val="20"/>
          <w:szCs w:val="20"/>
        </w:rPr>
        <w:t>processes</w:t>
      </w:r>
      <w:r w:rsidR="006167B7">
        <w:rPr>
          <w:sz w:val="20"/>
          <w:szCs w:val="20"/>
        </w:rPr>
        <w:t xml:space="preserve">. </w:t>
      </w:r>
      <w:r w:rsidR="00995248">
        <w:rPr>
          <w:sz w:val="20"/>
          <w:szCs w:val="20"/>
        </w:rPr>
        <w:t xml:space="preserve">These insights </w:t>
      </w:r>
      <w:r w:rsidR="006F26D2">
        <w:rPr>
          <w:sz w:val="20"/>
          <w:szCs w:val="20"/>
        </w:rPr>
        <w:t xml:space="preserve">provided participants with alternatives to </w:t>
      </w:r>
      <w:r w:rsidR="00995248">
        <w:rPr>
          <w:sz w:val="20"/>
          <w:szCs w:val="20"/>
        </w:rPr>
        <w:t xml:space="preserve">their </w:t>
      </w:r>
      <w:r w:rsidR="006F26D2">
        <w:rPr>
          <w:sz w:val="20"/>
          <w:szCs w:val="20"/>
        </w:rPr>
        <w:t>existing methodologies.</w:t>
      </w:r>
    </w:p>
    <w:p w:rsidR="00874ACD" w:rsidRPr="00102376" w:rsidRDefault="006F26D2" w:rsidP="00874ACD">
      <w:pPr>
        <w:pStyle w:val="PwCNormal"/>
        <w:numPr>
          <w:ilvl w:val="0"/>
          <w:numId w:val="0"/>
        </w:numPr>
      </w:pPr>
      <w:r>
        <w:rPr>
          <w:b/>
        </w:rPr>
        <w:t>Suggests for future rounds of the peer review process</w:t>
      </w:r>
    </w:p>
    <w:p w:rsidR="00A701EE" w:rsidRPr="00A701EE" w:rsidRDefault="006F26D2" w:rsidP="00A844E8">
      <w:pPr>
        <w:pStyle w:val="PwCNormal"/>
        <w:spacing w:before="240" w:after="120"/>
        <w:rPr>
          <w:b/>
        </w:rPr>
      </w:pPr>
      <w:r>
        <w:t>Building on the learnings from</w:t>
      </w:r>
      <w:r w:rsidR="00F86578">
        <w:t xml:space="preserve"> this round, peers identified </w:t>
      </w:r>
      <w:r>
        <w:t xml:space="preserve">some changes </w:t>
      </w:r>
      <w:r w:rsidR="00995248">
        <w:t xml:space="preserve">the IHPA </w:t>
      </w:r>
      <w:r>
        <w:t xml:space="preserve">could </w:t>
      </w:r>
      <w:r w:rsidR="00995248">
        <w:t>make</w:t>
      </w:r>
      <w:r>
        <w:t xml:space="preserve"> to maximise the value of the peer review process. One change would be to organise jurisdictional meetings before the site visits. This would give participants an understanding of the jurisdiction-wide processes </w:t>
      </w:r>
      <w:r w:rsidR="00995248">
        <w:t xml:space="preserve">in place before </w:t>
      </w:r>
      <w:r w:rsidR="00F86578">
        <w:t xml:space="preserve">entering the site visits. </w:t>
      </w:r>
      <w:r w:rsidR="00995248">
        <w:t>Peers</w:t>
      </w:r>
      <w:r w:rsidR="00F86578">
        <w:t xml:space="preserve"> also noted that it was important to ensure hospital costing </w:t>
      </w:r>
      <w:proofErr w:type="gramStart"/>
      <w:r w:rsidR="00F86578">
        <w:t>staff were</w:t>
      </w:r>
      <w:proofErr w:type="gramEnd"/>
      <w:r w:rsidR="00F86578">
        <w:t xml:space="preserve"> present </w:t>
      </w:r>
      <w:r w:rsidR="00995248">
        <w:t xml:space="preserve">during </w:t>
      </w:r>
      <w:r w:rsidR="00F86578">
        <w:t xml:space="preserve">the site visit </w:t>
      </w:r>
      <w:r w:rsidR="00995248">
        <w:t xml:space="preserve">to facilitate a </w:t>
      </w:r>
      <w:r w:rsidR="00F86578">
        <w:t>detailed exchange of methodologies</w:t>
      </w:r>
      <w:r w:rsidR="00995248">
        <w:t>.</w:t>
      </w:r>
      <w:r w:rsidR="00F86578">
        <w:t xml:space="preserve"> Participants found this exchange </w:t>
      </w:r>
      <w:r w:rsidR="00995248">
        <w:t xml:space="preserve">could </w:t>
      </w:r>
      <w:r w:rsidR="00F86578">
        <w:t>be limited when only jurisdictional staff attended the site visits.</w:t>
      </w:r>
    </w:p>
    <w:p w:rsidR="00C0184A" w:rsidRDefault="00A701EE" w:rsidP="0050433E">
      <w:pPr>
        <w:pStyle w:val="PwCNormal"/>
        <w:numPr>
          <w:ilvl w:val="0"/>
          <w:numId w:val="0"/>
        </w:numPr>
        <w:spacing w:before="240" w:after="120"/>
      </w:pPr>
      <w:r>
        <w:t>Given the opportunity to be in the same room, some</w:t>
      </w:r>
      <w:r w:rsidR="00995248">
        <w:t xml:space="preserve"> peers</w:t>
      </w:r>
      <w:r>
        <w:t xml:space="preserve"> suggest</w:t>
      </w:r>
      <w:r w:rsidR="00995248">
        <w:t xml:space="preserve">ed </w:t>
      </w:r>
      <w:r>
        <w:t>allocating time for non-NHCDC</w:t>
      </w:r>
      <w:r w:rsidR="00995248">
        <w:t>–</w:t>
      </w:r>
      <w:r>
        <w:t>related discussions. O</w:t>
      </w:r>
      <w:r w:rsidR="00F86578">
        <w:t xml:space="preserve">ne suggestion </w:t>
      </w:r>
      <w:r>
        <w:t>was to include time</w:t>
      </w:r>
      <w:r w:rsidR="00F86578">
        <w:t xml:space="preserve"> at the end </w:t>
      </w:r>
      <w:r>
        <w:t xml:space="preserve">of the site visit for costing staff to talk about their costing experience without IHPA or PwC </w:t>
      </w:r>
      <w:r w:rsidR="00995248">
        <w:t xml:space="preserve">representatives </w:t>
      </w:r>
      <w:r>
        <w:t xml:space="preserve">being present. Another suggestion was to ensure the team discussed how NHCDC data was being used for internal benchmarking and management purposes in an ABF environment. </w:t>
      </w:r>
    </w:p>
    <w:p w:rsidR="005244F0" w:rsidRDefault="005244F0" w:rsidP="005244F0">
      <w:pPr>
        <w:pStyle w:val="PwCNormal"/>
        <w:numPr>
          <w:ilvl w:val="0"/>
          <w:numId w:val="0"/>
        </w:numPr>
        <w:sectPr w:rsidR="005244F0" w:rsidSect="006C356D">
          <w:headerReference w:type="even" r:id="rId108"/>
          <w:headerReference w:type="default" r:id="rId109"/>
          <w:footerReference w:type="even" r:id="rId110"/>
          <w:footerReference w:type="default" r:id="rId111"/>
          <w:headerReference w:type="first" r:id="rId112"/>
          <w:footerReference w:type="first" r:id="rId113"/>
          <w:pgSz w:w="11907" w:h="16839" w:code="9"/>
          <w:pgMar w:top="1588" w:right="1134" w:bottom="1418" w:left="1560" w:header="567" w:footer="567" w:gutter="0"/>
          <w:cols w:space="227"/>
          <w:titlePg/>
          <w:docGrid w:linePitch="360"/>
        </w:sectPr>
      </w:pPr>
    </w:p>
    <w:p w:rsidR="00C00A66" w:rsidRDefault="004F0878" w:rsidP="008E75A3">
      <w:pPr>
        <w:pStyle w:val="Appendicestitle"/>
      </w:pPr>
      <w:bookmarkStart w:id="157" w:name="_Toc150158830"/>
      <w:bookmarkStart w:id="158" w:name="_Toc152054531"/>
      <w:bookmarkStart w:id="159" w:name="_Toc175455170"/>
      <w:bookmarkStart w:id="160" w:name="_Toc188929763"/>
      <w:bookmarkStart w:id="161" w:name="_Toc190831168"/>
      <w:bookmarkStart w:id="162" w:name="_Toc190831919"/>
      <w:bookmarkStart w:id="163" w:name="_Toc222740491"/>
      <w:bookmarkStart w:id="164" w:name="_Toc222797936"/>
      <w:bookmarkStart w:id="165" w:name="_Toc222812200"/>
      <w:bookmarkStart w:id="166" w:name="_Toc222812227"/>
      <w:bookmarkStart w:id="167" w:name="_Toc222812328"/>
      <w:bookmarkStart w:id="168" w:name="_Toc222812365"/>
      <w:bookmarkStart w:id="169" w:name="_Toc225761846"/>
      <w:bookmarkStart w:id="170" w:name="_Toc225761870"/>
      <w:bookmarkStart w:id="171" w:name="_Toc225761910"/>
      <w:bookmarkStart w:id="172" w:name="_Toc225761938"/>
      <w:bookmarkStart w:id="173" w:name="_Toc225761943"/>
      <w:bookmarkStart w:id="174" w:name="_Toc225761966"/>
      <w:bookmarkStart w:id="175" w:name="_Toc225761994"/>
      <w:bookmarkStart w:id="176" w:name="_Toc225762001"/>
      <w:bookmarkStart w:id="177" w:name="_Toc225762006"/>
      <w:bookmarkStart w:id="178" w:name="_Toc225762012"/>
      <w:bookmarkStart w:id="179" w:name="_Toc225762175"/>
      <w:bookmarkStart w:id="180" w:name="_Toc225762181"/>
      <w:bookmarkStart w:id="181" w:name="_Toc225762203"/>
      <w:bookmarkStart w:id="182" w:name="_Toc225763053"/>
      <w:bookmarkStart w:id="183" w:name="_Toc225910585"/>
      <w:bookmarkStart w:id="184" w:name="_Toc225910639"/>
      <w:bookmarkStart w:id="185" w:name="_Toc225910665"/>
      <w:bookmarkStart w:id="186" w:name="_Toc225910695"/>
      <w:bookmarkStart w:id="187" w:name="_Toc225911504"/>
      <w:bookmarkStart w:id="188" w:name="_Toc225911520"/>
      <w:bookmarkStart w:id="189" w:name="_Toc225912405"/>
      <w:bookmarkStart w:id="190" w:name="_Toc225912871"/>
      <w:bookmarkStart w:id="191" w:name="_Toc225913057"/>
      <w:bookmarkStart w:id="192" w:name="_Toc225913091"/>
      <w:bookmarkStart w:id="193" w:name="_Toc225913280"/>
      <w:r>
        <w:lastRenderedPageBreak/>
        <w:t>Appendices</w:t>
      </w:r>
      <w:bookmarkStart w:id="194" w:name="TOCAppendix"/>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F213EA" w:rsidRPr="00F213EA" w:rsidRDefault="008379DC">
      <w:pPr>
        <w:pStyle w:val="TOC4"/>
        <w:rPr>
          <w:noProof/>
        </w:rPr>
      </w:pPr>
      <w:r>
        <w:rPr>
          <w:color w:val="FFFFFF" w:themeColor="background1"/>
        </w:rPr>
        <w:fldChar w:fldCharType="begin"/>
      </w:r>
      <w:r w:rsidR="004F0878">
        <w:instrText xml:space="preserve"> </w:instrText>
      </w:r>
      <w:r w:rsidR="004F0878" w:rsidRPr="003A7350">
        <w:instrText>TOC \t " Heading 7,3,Heading 8,4" \*Charformat</w:instrText>
      </w:r>
      <w:r w:rsidR="004F0878">
        <w:instrText xml:space="preserve"> </w:instrText>
      </w:r>
      <w:r>
        <w:rPr>
          <w:color w:val="FFFFFF" w:themeColor="background1"/>
        </w:rPr>
        <w:fldChar w:fldCharType="separate"/>
      </w:r>
      <w:r w:rsidR="00F213EA">
        <w:rPr>
          <w:noProof/>
        </w:rPr>
        <w:t>Appendix A</w:t>
      </w:r>
      <w:r w:rsidR="00F213EA" w:rsidRPr="00F213EA">
        <w:rPr>
          <w:noProof/>
        </w:rPr>
        <w:tab/>
      </w:r>
      <w:r w:rsidR="00F213EA">
        <w:rPr>
          <w:noProof/>
        </w:rPr>
        <w:t>Site visit attendees</w:t>
      </w:r>
      <w:r w:rsidR="00F213EA">
        <w:rPr>
          <w:noProof/>
        </w:rPr>
        <w:tab/>
      </w:r>
      <w:r w:rsidR="00F213EA">
        <w:rPr>
          <w:noProof/>
        </w:rPr>
        <w:fldChar w:fldCharType="begin"/>
      </w:r>
      <w:r w:rsidR="00F213EA">
        <w:rPr>
          <w:noProof/>
        </w:rPr>
        <w:instrText xml:space="preserve"> PAGEREF _Toc404355514 \h </w:instrText>
      </w:r>
      <w:r w:rsidR="00F213EA">
        <w:rPr>
          <w:noProof/>
        </w:rPr>
      </w:r>
      <w:r w:rsidR="00F213EA">
        <w:rPr>
          <w:noProof/>
        </w:rPr>
        <w:fldChar w:fldCharType="separate"/>
      </w:r>
      <w:r w:rsidR="00575DFC">
        <w:rPr>
          <w:noProof/>
        </w:rPr>
        <w:t>146</w:t>
      </w:r>
      <w:r w:rsidR="00F213EA">
        <w:rPr>
          <w:noProof/>
        </w:rPr>
        <w:fldChar w:fldCharType="end"/>
      </w:r>
    </w:p>
    <w:p w:rsidR="008E7A3D" w:rsidRDefault="008379DC" w:rsidP="00A925C6">
      <w:pPr>
        <w:pStyle w:val="PwCNormal"/>
        <w:sectPr w:rsidR="008E7A3D" w:rsidSect="00BE1656">
          <w:headerReference w:type="even" r:id="rId114"/>
          <w:headerReference w:type="default" r:id="rId115"/>
          <w:footerReference w:type="even" r:id="rId116"/>
          <w:footerReference w:type="default" r:id="rId117"/>
          <w:headerReference w:type="first" r:id="rId118"/>
          <w:footerReference w:type="first" r:id="rId119"/>
          <w:type w:val="oddPage"/>
          <w:pgSz w:w="11907" w:h="16840" w:code="9"/>
          <w:pgMar w:top="1588" w:right="1843" w:bottom="1418" w:left="1843" w:header="567" w:footer="567" w:gutter="0"/>
          <w:cols w:space="227"/>
          <w:titlePg/>
          <w:docGrid w:linePitch="360"/>
        </w:sectPr>
      </w:pPr>
      <w:r>
        <w:fldChar w:fldCharType="end"/>
      </w:r>
    </w:p>
    <w:p w:rsidR="008E7A3D" w:rsidRDefault="00840AAB" w:rsidP="00C904C9">
      <w:pPr>
        <w:pStyle w:val="Heading8"/>
        <w:spacing w:after="160"/>
      </w:pPr>
      <w:r>
        <w:lastRenderedPageBreak/>
        <w:br/>
      </w:r>
      <w:bookmarkStart w:id="195" w:name="_Toc404355513"/>
      <w:bookmarkStart w:id="196" w:name="_Toc404355514"/>
      <w:r w:rsidR="00B618E7">
        <w:t>Site visit attendees</w:t>
      </w:r>
      <w:bookmarkStart w:id="197" w:name="_GoBack"/>
      <w:bookmarkEnd w:id="195"/>
      <w:bookmarkEnd w:id="196"/>
      <w:bookmarkEnd w:id="197"/>
    </w:p>
    <w:tbl>
      <w:tblPr>
        <w:tblStyle w:val="Tables-APBase"/>
        <w:tblW w:w="9640" w:type="dxa"/>
        <w:tblInd w:w="-318" w:type="dxa"/>
        <w:tblLook w:val="04A0" w:firstRow="1" w:lastRow="0" w:firstColumn="1" w:lastColumn="0" w:noHBand="0" w:noVBand="1"/>
        <w:tblCaption w:val="Site Visit Attendees"/>
        <w:tblDescription w:val="This table lists the attendees at each of the site visits."/>
      </w:tblPr>
      <w:tblGrid>
        <w:gridCol w:w="1745"/>
        <w:gridCol w:w="1941"/>
        <w:gridCol w:w="2011"/>
        <w:gridCol w:w="1958"/>
        <w:gridCol w:w="1985"/>
      </w:tblGrid>
      <w:tr w:rsidR="00B65AAD" w:rsidTr="00B65AA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745" w:type="dxa"/>
            <w:vAlign w:val="center"/>
          </w:tcPr>
          <w:p w:rsidR="00B65AAD" w:rsidRPr="00B618E7" w:rsidRDefault="00B65AAD" w:rsidP="00B65AAD">
            <w:pPr>
              <w:pStyle w:val="Majorheading"/>
              <w:spacing w:before="40"/>
              <w:jc w:val="center"/>
              <w:rPr>
                <w:color w:val="auto"/>
                <w:sz w:val="24"/>
              </w:rPr>
            </w:pPr>
            <w:r w:rsidRPr="00B65AAD">
              <w:rPr>
                <w:color w:val="auto"/>
                <w:sz w:val="22"/>
                <w:szCs w:val="22"/>
              </w:rPr>
              <w:t>Jurisdiction</w:t>
            </w:r>
          </w:p>
        </w:tc>
        <w:tc>
          <w:tcPr>
            <w:tcW w:w="1941" w:type="dxa"/>
            <w:vAlign w:val="center"/>
          </w:tcPr>
          <w:p w:rsidR="00B65AAD" w:rsidRPr="00B65AAD" w:rsidRDefault="00B65AAD" w:rsidP="00B65AAD">
            <w:pPr>
              <w:pStyle w:val="Majorheading"/>
              <w:spacing w:before="40"/>
              <w:cnfStyle w:val="100000000000" w:firstRow="1" w:lastRow="0" w:firstColumn="0" w:lastColumn="0" w:oddVBand="0" w:evenVBand="0" w:oddHBand="0" w:evenHBand="0" w:firstRowFirstColumn="0" w:firstRowLastColumn="0" w:lastRowFirstColumn="0" w:lastRowLastColumn="0"/>
              <w:rPr>
                <w:color w:val="auto"/>
                <w:sz w:val="22"/>
                <w:szCs w:val="22"/>
              </w:rPr>
            </w:pPr>
            <w:r w:rsidRPr="00B65AAD">
              <w:rPr>
                <w:color w:val="auto"/>
                <w:sz w:val="22"/>
                <w:szCs w:val="22"/>
              </w:rPr>
              <w:t>IHPA representative</w:t>
            </w:r>
          </w:p>
        </w:tc>
        <w:tc>
          <w:tcPr>
            <w:tcW w:w="2011" w:type="dxa"/>
            <w:vAlign w:val="center"/>
          </w:tcPr>
          <w:p w:rsidR="00B65AAD" w:rsidRPr="00B65AAD" w:rsidRDefault="00B65AAD" w:rsidP="0050433E">
            <w:pPr>
              <w:pStyle w:val="Majorheading"/>
              <w:spacing w:before="40"/>
              <w:cnfStyle w:val="100000000000" w:firstRow="1" w:lastRow="0" w:firstColumn="0" w:lastColumn="0" w:oddVBand="0" w:evenVBand="0" w:oddHBand="0" w:evenHBand="0" w:firstRowFirstColumn="0" w:firstRowLastColumn="0" w:lastRowFirstColumn="0" w:lastRowLastColumn="0"/>
              <w:rPr>
                <w:color w:val="auto"/>
                <w:sz w:val="22"/>
                <w:szCs w:val="22"/>
              </w:rPr>
            </w:pPr>
            <w:r w:rsidRPr="00B65AAD">
              <w:rPr>
                <w:color w:val="auto"/>
                <w:sz w:val="22"/>
                <w:szCs w:val="22"/>
              </w:rPr>
              <w:t>Jurisdictional and hospital/LHN representatives</w:t>
            </w:r>
          </w:p>
        </w:tc>
        <w:tc>
          <w:tcPr>
            <w:tcW w:w="1958" w:type="dxa"/>
            <w:vAlign w:val="center"/>
          </w:tcPr>
          <w:p w:rsidR="00B65AAD" w:rsidRPr="00B65AAD" w:rsidRDefault="00B65AAD" w:rsidP="00B65AAD">
            <w:pPr>
              <w:pStyle w:val="Majorheading"/>
              <w:spacing w:before="40"/>
              <w:cnfStyle w:val="100000000000" w:firstRow="1" w:lastRow="0" w:firstColumn="0" w:lastColumn="0" w:oddVBand="0" w:evenVBand="0" w:oddHBand="0" w:evenHBand="0" w:firstRowFirstColumn="0" w:firstRowLastColumn="0" w:lastRowFirstColumn="0" w:lastRowLastColumn="0"/>
              <w:rPr>
                <w:color w:val="auto"/>
                <w:sz w:val="22"/>
                <w:szCs w:val="22"/>
              </w:rPr>
            </w:pPr>
            <w:r w:rsidRPr="00B65AAD">
              <w:rPr>
                <w:color w:val="auto"/>
                <w:sz w:val="22"/>
                <w:szCs w:val="22"/>
              </w:rPr>
              <w:t>Peer representative</w:t>
            </w:r>
          </w:p>
        </w:tc>
        <w:tc>
          <w:tcPr>
            <w:tcW w:w="1985" w:type="dxa"/>
            <w:vAlign w:val="center"/>
          </w:tcPr>
          <w:p w:rsidR="00B65AAD" w:rsidRPr="00B65AAD" w:rsidRDefault="00B65AAD" w:rsidP="0050433E">
            <w:pPr>
              <w:pStyle w:val="Majorheading"/>
              <w:spacing w:before="40"/>
              <w:cnfStyle w:val="100000000000" w:firstRow="1" w:lastRow="0" w:firstColumn="0" w:lastColumn="0" w:oddVBand="0" w:evenVBand="0" w:oddHBand="0" w:evenHBand="0" w:firstRowFirstColumn="0" w:firstRowLastColumn="0" w:lastRowFirstColumn="0" w:lastRowLastColumn="0"/>
              <w:rPr>
                <w:b w:val="0"/>
                <w:i w:val="0"/>
                <w:iCs/>
                <w:snapToGrid/>
                <w:color w:val="auto"/>
                <w:sz w:val="22"/>
                <w:szCs w:val="22"/>
              </w:rPr>
            </w:pPr>
            <w:r w:rsidRPr="00B65AAD">
              <w:rPr>
                <w:color w:val="auto"/>
                <w:sz w:val="22"/>
                <w:szCs w:val="22"/>
              </w:rPr>
              <w:t xml:space="preserve">PwC </w:t>
            </w:r>
            <w:r w:rsidR="00840AAB">
              <w:rPr>
                <w:color w:val="auto"/>
                <w:sz w:val="22"/>
                <w:szCs w:val="22"/>
              </w:rPr>
              <w:t>r</w:t>
            </w:r>
            <w:r w:rsidR="00840AAB" w:rsidRPr="00B65AAD">
              <w:rPr>
                <w:color w:val="auto"/>
                <w:sz w:val="22"/>
                <w:szCs w:val="22"/>
              </w:rPr>
              <w:t>epresentative</w:t>
            </w:r>
          </w:p>
        </w:tc>
      </w:tr>
      <w:tr w:rsidR="00B65AAD" w:rsidTr="00B65AAD">
        <w:tc>
          <w:tcPr>
            <w:tcW w:w="1745" w:type="dxa"/>
          </w:tcPr>
          <w:p w:rsidR="00B65AAD" w:rsidRPr="00B65AAD" w:rsidRDefault="00B65AAD" w:rsidP="00206CAD">
            <w:pPr>
              <w:pStyle w:val="Majorheading"/>
              <w:spacing w:before="40"/>
              <w:rPr>
                <w:sz w:val="18"/>
                <w:szCs w:val="18"/>
              </w:rPr>
            </w:pPr>
            <w:r>
              <w:rPr>
                <w:sz w:val="18"/>
                <w:szCs w:val="18"/>
              </w:rPr>
              <w:t>NSW</w:t>
            </w:r>
          </w:p>
        </w:tc>
        <w:tc>
          <w:tcPr>
            <w:tcW w:w="1941" w:type="dxa"/>
          </w:tcPr>
          <w:p w:rsidR="00B65AAD" w:rsidRPr="0025441D" w:rsidRDefault="00B65AAD" w:rsidP="00F74A78">
            <w:pPr>
              <w:pStyle w:val="Majorheading"/>
              <w:spacing w:before="40"/>
              <w:rPr>
                <w:b w:val="0"/>
                <w:i w:val="0"/>
                <w:color w:val="auto"/>
                <w:sz w:val="18"/>
                <w:szCs w:val="18"/>
              </w:rPr>
            </w:pPr>
            <w:r w:rsidRPr="0025441D">
              <w:rPr>
                <w:b w:val="0"/>
                <w:i w:val="0"/>
                <w:color w:val="auto"/>
                <w:sz w:val="18"/>
                <w:szCs w:val="18"/>
              </w:rPr>
              <w:t>Angela Leary-Smith</w:t>
            </w:r>
          </w:p>
        </w:tc>
        <w:tc>
          <w:tcPr>
            <w:tcW w:w="2011" w:type="dxa"/>
          </w:tcPr>
          <w:p w:rsidR="00B65AAD" w:rsidRPr="0025441D" w:rsidRDefault="00B65AAD" w:rsidP="00F74A78">
            <w:pPr>
              <w:pStyle w:val="PwCNormal"/>
              <w:spacing w:before="40" w:after="40"/>
              <w:rPr>
                <w:sz w:val="18"/>
                <w:szCs w:val="18"/>
              </w:rPr>
            </w:pPr>
            <w:r w:rsidRPr="0025441D">
              <w:rPr>
                <w:sz w:val="18"/>
                <w:szCs w:val="18"/>
              </w:rPr>
              <w:t>Julia Heberle</w:t>
            </w:r>
          </w:p>
          <w:p w:rsidR="00B65AAD" w:rsidRPr="0025441D" w:rsidRDefault="00B65AAD" w:rsidP="00F74A78">
            <w:pPr>
              <w:pStyle w:val="Majorheading"/>
              <w:spacing w:before="40"/>
              <w:rPr>
                <w:b w:val="0"/>
                <w:i w:val="0"/>
                <w:color w:val="auto"/>
                <w:sz w:val="18"/>
                <w:szCs w:val="18"/>
              </w:rPr>
            </w:pPr>
            <w:r w:rsidRPr="0025441D">
              <w:rPr>
                <w:b w:val="0"/>
                <w:i w:val="0"/>
                <w:color w:val="auto"/>
                <w:sz w:val="18"/>
                <w:szCs w:val="18"/>
              </w:rPr>
              <w:t>Tania O’Brien</w:t>
            </w:r>
          </w:p>
          <w:p w:rsidR="00B65AAD" w:rsidRPr="0025441D" w:rsidRDefault="00B65AAD" w:rsidP="00F74A78">
            <w:pPr>
              <w:pStyle w:val="Majorheading"/>
              <w:spacing w:before="40"/>
              <w:rPr>
                <w:b w:val="0"/>
                <w:i w:val="0"/>
                <w:color w:val="auto"/>
                <w:sz w:val="18"/>
                <w:szCs w:val="18"/>
              </w:rPr>
            </w:pPr>
            <w:r w:rsidRPr="0025441D">
              <w:rPr>
                <w:b w:val="0"/>
                <w:i w:val="0"/>
                <w:color w:val="auto"/>
                <w:sz w:val="18"/>
                <w:szCs w:val="18"/>
              </w:rPr>
              <w:t>Nick de Groot</w:t>
            </w:r>
          </w:p>
          <w:p w:rsidR="00B65AAD" w:rsidRPr="0025441D" w:rsidRDefault="00B65AAD" w:rsidP="00F74A78">
            <w:pPr>
              <w:pStyle w:val="Majorheading"/>
              <w:spacing w:before="40"/>
              <w:rPr>
                <w:b w:val="0"/>
                <w:i w:val="0"/>
                <w:color w:val="auto"/>
                <w:sz w:val="18"/>
                <w:szCs w:val="18"/>
              </w:rPr>
            </w:pPr>
            <w:r w:rsidRPr="0025441D">
              <w:rPr>
                <w:b w:val="0"/>
                <w:i w:val="0"/>
                <w:color w:val="auto"/>
                <w:sz w:val="18"/>
                <w:szCs w:val="18"/>
              </w:rPr>
              <w:t>Raymond Lal</w:t>
            </w:r>
          </w:p>
          <w:p w:rsidR="00B65AAD" w:rsidRDefault="00B65AAD" w:rsidP="00F74A78">
            <w:pPr>
              <w:pStyle w:val="Majorheading"/>
              <w:spacing w:before="40"/>
              <w:rPr>
                <w:b w:val="0"/>
                <w:i w:val="0"/>
                <w:color w:val="auto"/>
                <w:sz w:val="18"/>
                <w:szCs w:val="18"/>
              </w:rPr>
            </w:pPr>
            <w:r w:rsidRPr="0025441D">
              <w:rPr>
                <w:b w:val="0"/>
                <w:i w:val="0"/>
                <w:color w:val="auto"/>
                <w:sz w:val="18"/>
                <w:szCs w:val="18"/>
              </w:rPr>
              <w:t>Stephen Johnson</w:t>
            </w:r>
          </w:p>
          <w:p w:rsidR="001016B4" w:rsidRPr="001016B4" w:rsidRDefault="001016B4" w:rsidP="001016B4">
            <w:pPr>
              <w:pStyle w:val="Majorheading"/>
              <w:spacing w:before="40"/>
              <w:rPr>
                <w:b w:val="0"/>
                <w:i w:val="0"/>
                <w:color w:val="auto"/>
                <w:sz w:val="18"/>
                <w:szCs w:val="18"/>
              </w:rPr>
            </w:pPr>
            <w:proofErr w:type="spellStart"/>
            <w:r w:rsidRPr="001016B4">
              <w:rPr>
                <w:b w:val="0"/>
                <w:i w:val="0"/>
                <w:color w:val="auto"/>
                <w:sz w:val="18"/>
                <w:szCs w:val="18"/>
              </w:rPr>
              <w:t>Katey</w:t>
            </w:r>
            <w:proofErr w:type="spellEnd"/>
            <w:r w:rsidRPr="001016B4">
              <w:rPr>
                <w:b w:val="0"/>
                <w:i w:val="0"/>
                <w:color w:val="auto"/>
                <w:sz w:val="18"/>
                <w:szCs w:val="18"/>
              </w:rPr>
              <w:t xml:space="preserve"> Yang</w:t>
            </w:r>
          </w:p>
          <w:p w:rsidR="001016B4" w:rsidRPr="001016B4" w:rsidRDefault="001016B4" w:rsidP="001016B4">
            <w:pPr>
              <w:pStyle w:val="Majorheading"/>
              <w:spacing w:before="40"/>
              <w:rPr>
                <w:b w:val="0"/>
                <w:i w:val="0"/>
                <w:color w:val="auto"/>
                <w:sz w:val="18"/>
                <w:szCs w:val="18"/>
              </w:rPr>
            </w:pPr>
            <w:r w:rsidRPr="001016B4">
              <w:rPr>
                <w:b w:val="0"/>
                <w:i w:val="0"/>
                <w:color w:val="auto"/>
                <w:sz w:val="18"/>
                <w:szCs w:val="18"/>
              </w:rPr>
              <w:t>Yasuko Nakano</w:t>
            </w:r>
          </w:p>
          <w:p w:rsidR="001016B4" w:rsidRPr="001016B4" w:rsidRDefault="001016B4" w:rsidP="001016B4">
            <w:pPr>
              <w:pStyle w:val="Majorheading"/>
              <w:spacing w:before="40"/>
              <w:rPr>
                <w:b w:val="0"/>
                <w:i w:val="0"/>
                <w:color w:val="auto"/>
                <w:sz w:val="18"/>
                <w:szCs w:val="18"/>
              </w:rPr>
            </w:pPr>
            <w:r w:rsidRPr="001016B4">
              <w:rPr>
                <w:b w:val="0"/>
                <w:i w:val="0"/>
                <w:color w:val="auto"/>
                <w:sz w:val="18"/>
                <w:szCs w:val="18"/>
              </w:rPr>
              <w:t>Christine Gong</w:t>
            </w:r>
          </w:p>
          <w:p w:rsidR="001016B4" w:rsidRPr="001016B4" w:rsidRDefault="001016B4" w:rsidP="001016B4">
            <w:pPr>
              <w:pStyle w:val="Majorheading"/>
              <w:spacing w:before="40"/>
              <w:rPr>
                <w:b w:val="0"/>
                <w:i w:val="0"/>
                <w:color w:val="auto"/>
                <w:sz w:val="18"/>
                <w:szCs w:val="18"/>
              </w:rPr>
            </w:pPr>
            <w:r w:rsidRPr="001016B4">
              <w:rPr>
                <w:b w:val="0"/>
                <w:i w:val="0"/>
                <w:color w:val="auto"/>
                <w:sz w:val="18"/>
                <w:szCs w:val="18"/>
              </w:rPr>
              <w:t>Charlie Farrah</w:t>
            </w:r>
          </w:p>
          <w:p w:rsidR="001016B4" w:rsidRPr="001016B4" w:rsidRDefault="001016B4" w:rsidP="001016B4">
            <w:pPr>
              <w:pStyle w:val="Majorheading"/>
              <w:spacing w:before="40"/>
            </w:pPr>
            <w:r w:rsidRPr="001016B4">
              <w:rPr>
                <w:b w:val="0"/>
                <w:i w:val="0"/>
                <w:color w:val="auto"/>
                <w:sz w:val="18"/>
                <w:szCs w:val="18"/>
              </w:rPr>
              <w:t xml:space="preserve">Rachel </w:t>
            </w:r>
            <w:proofErr w:type="spellStart"/>
            <w:r w:rsidRPr="001016B4">
              <w:rPr>
                <w:b w:val="0"/>
                <w:i w:val="0"/>
                <w:color w:val="auto"/>
                <w:sz w:val="18"/>
                <w:szCs w:val="18"/>
              </w:rPr>
              <w:t>Knoblanche</w:t>
            </w:r>
            <w:proofErr w:type="spellEnd"/>
          </w:p>
        </w:tc>
        <w:tc>
          <w:tcPr>
            <w:tcW w:w="1958" w:type="dxa"/>
          </w:tcPr>
          <w:p w:rsidR="00B65AAD" w:rsidRPr="0025441D" w:rsidRDefault="00B65AAD" w:rsidP="00F74A78">
            <w:pPr>
              <w:pStyle w:val="Majorheading"/>
              <w:spacing w:before="40"/>
              <w:rPr>
                <w:b w:val="0"/>
                <w:i w:val="0"/>
                <w:color w:val="auto"/>
                <w:sz w:val="18"/>
                <w:szCs w:val="18"/>
              </w:rPr>
            </w:pPr>
            <w:r w:rsidRPr="0025441D">
              <w:rPr>
                <w:b w:val="0"/>
                <w:i w:val="0"/>
                <w:color w:val="auto"/>
                <w:sz w:val="18"/>
                <w:szCs w:val="18"/>
              </w:rPr>
              <w:t xml:space="preserve">David </w:t>
            </w:r>
            <w:proofErr w:type="spellStart"/>
            <w:r w:rsidRPr="0025441D">
              <w:rPr>
                <w:b w:val="0"/>
                <w:i w:val="0"/>
                <w:color w:val="auto"/>
                <w:sz w:val="18"/>
                <w:szCs w:val="18"/>
              </w:rPr>
              <w:t>Debono</w:t>
            </w:r>
            <w:proofErr w:type="spellEnd"/>
          </w:p>
          <w:p w:rsidR="00B65AAD" w:rsidRPr="0025441D" w:rsidRDefault="00B65AAD" w:rsidP="00F74A78">
            <w:pPr>
              <w:pStyle w:val="PwCNormal"/>
              <w:spacing w:before="40" w:after="40"/>
              <w:rPr>
                <w:sz w:val="18"/>
                <w:szCs w:val="18"/>
              </w:rPr>
            </w:pPr>
            <w:r w:rsidRPr="0025441D">
              <w:rPr>
                <w:sz w:val="18"/>
                <w:szCs w:val="18"/>
              </w:rPr>
              <w:t>Graham Bushnell</w:t>
            </w:r>
          </w:p>
        </w:tc>
        <w:tc>
          <w:tcPr>
            <w:tcW w:w="1985" w:type="dxa"/>
          </w:tcPr>
          <w:p w:rsidR="00B65AAD" w:rsidRPr="0025441D" w:rsidRDefault="00B65AAD" w:rsidP="00F74A78">
            <w:pPr>
              <w:pStyle w:val="Majorheading"/>
              <w:spacing w:before="40"/>
              <w:rPr>
                <w:b w:val="0"/>
                <w:i w:val="0"/>
                <w:color w:val="auto"/>
                <w:sz w:val="18"/>
                <w:szCs w:val="18"/>
              </w:rPr>
            </w:pPr>
            <w:r w:rsidRPr="0025441D">
              <w:rPr>
                <w:b w:val="0"/>
                <w:i w:val="0"/>
                <w:color w:val="auto"/>
                <w:sz w:val="18"/>
                <w:szCs w:val="18"/>
              </w:rPr>
              <w:t xml:space="preserve">Julia </w:t>
            </w:r>
            <w:proofErr w:type="spellStart"/>
            <w:r w:rsidRPr="0025441D">
              <w:rPr>
                <w:b w:val="0"/>
                <w:i w:val="0"/>
                <w:color w:val="auto"/>
                <w:sz w:val="18"/>
                <w:szCs w:val="18"/>
              </w:rPr>
              <w:t>Strelitz</w:t>
            </w:r>
            <w:proofErr w:type="spellEnd"/>
          </w:p>
          <w:p w:rsidR="00B65AAD" w:rsidRPr="0025441D" w:rsidRDefault="00B65AAD" w:rsidP="00F74A78">
            <w:pPr>
              <w:pStyle w:val="PwCNormal"/>
              <w:spacing w:before="40" w:after="40"/>
              <w:rPr>
                <w:rFonts w:asciiTheme="majorHAnsi" w:hAnsiTheme="majorHAnsi"/>
                <w:sz w:val="18"/>
                <w:szCs w:val="18"/>
              </w:rPr>
            </w:pPr>
            <w:r w:rsidRPr="0025441D">
              <w:rPr>
                <w:rFonts w:asciiTheme="majorHAnsi" w:hAnsiTheme="majorHAnsi"/>
                <w:sz w:val="18"/>
                <w:szCs w:val="18"/>
              </w:rPr>
              <w:t xml:space="preserve">Laila </w:t>
            </w:r>
            <w:proofErr w:type="spellStart"/>
            <w:r w:rsidRPr="0025441D">
              <w:rPr>
                <w:rFonts w:asciiTheme="majorHAnsi" w:hAnsiTheme="majorHAnsi"/>
                <w:sz w:val="18"/>
                <w:szCs w:val="18"/>
              </w:rPr>
              <w:t>Qasem</w:t>
            </w:r>
            <w:proofErr w:type="spellEnd"/>
          </w:p>
          <w:p w:rsidR="00B65AAD" w:rsidRPr="0025441D" w:rsidRDefault="00B65AAD" w:rsidP="00F74A78">
            <w:pPr>
              <w:pStyle w:val="PwCNormal"/>
              <w:spacing w:before="40" w:after="40"/>
              <w:rPr>
                <w:rFonts w:asciiTheme="majorHAnsi" w:hAnsiTheme="majorHAnsi"/>
                <w:sz w:val="18"/>
                <w:szCs w:val="18"/>
              </w:rPr>
            </w:pPr>
            <w:r w:rsidRPr="0025441D">
              <w:rPr>
                <w:rFonts w:asciiTheme="majorHAnsi" w:hAnsiTheme="majorHAnsi"/>
                <w:sz w:val="18"/>
                <w:szCs w:val="18"/>
              </w:rPr>
              <w:t xml:space="preserve">Joe </w:t>
            </w:r>
            <w:proofErr w:type="spellStart"/>
            <w:r w:rsidRPr="0025441D">
              <w:rPr>
                <w:rFonts w:asciiTheme="majorHAnsi" w:hAnsiTheme="majorHAnsi"/>
                <w:sz w:val="18"/>
                <w:szCs w:val="18"/>
              </w:rPr>
              <w:t>Portelli</w:t>
            </w:r>
            <w:proofErr w:type="spellEnd"/>
          </w:p>
          <w:p w:rsidR="00B65AAD" w:rsidRPr="0025441D" w:rsidRDefault="00B65AAD" w:rsidP="00F74A78">
            <w:pPr>
              <w:pStyle w:val="Majorheading"/>
              <w:spacing w:before="40"/>
              <w:rPr>
                <w:b w:val="0"/>
                <w:i w:val="0"/>
                <w:color w:val="auto"/>
                <w:sz w:val="18"/>
                <w:szCs w:val="18"/>
              </w:rPr>
            </w:pPr>
            <w:r w:rsidRPr="0025441D">
              <w:rPr>
                <w:b w:val="0"/>
                <w:i w:val="0"/>
                <w:color w:val="auto"/>
                <w:sz w:val="18"/>
                <w:szCs w:val="18"/>
              </w:rPr>
              <w:t>Blake Bentley</w:t>
            </w:r>
          </w:p>
        </w:tc>
      </w:tr>
      <w:tr w:rsidR="00B65AAD" w:rsidTr="00B65AAD">
        <w:tc>
          <w:tcPr>
            <w:tcW w:w="1745" w:type="dxa"/>
          </w:tcPr>
          <w:p w:rsidR="00B65AAD" w:rsidRPr="00B65AAD" w:rsidRDefault="00B65AAD" w:rsidP="00206CAD">
            <w:pPr>
              <w:pStyle w:val="Majorheading"/>
              <w:spacing w:before="40"/>
              <w:rPr>
                <w:sz w:val="18"/>
                <w:szCs w:val="18"/>
              </w:rPr>
            </w:pPr>
            <w:r>
              <w:rPr>
                <w:sz w:val="18"/>
                <w:szCs w:val="18"/>
              </w:rPr>
              <w:t>SA</w:t>
            </w:r>
          </w:p>
        </w:tc>
        <w:tc>
          <w:tcPr>
            <w:tcW w:w="1941" w:type="dxa"/>
          </w:tcPr>
          <w:p w:rsidR="00B65AAD" w:rsidRPr="0025441D" w:rsidRDefault="00206CAD" w:rsidP="00F74A78">
            <w:pPr>
              <w:pStyle w:val="Majorheading"/>
              <w:spacing w:before="40"/>
              <w:rPr>
                <w:b w:val="0"/>
                <w:i w:val="0"/>
                <w:color w:val="auto"/>
                <w:sz w:val="18"/>
                <w:szCs w:val="18"/>
              </w:rPr>
            </w:pPr>
            <w:r w:rsidRPr="0025441D">
              <w:rPr>
                <w:b w:val="0"/>
                <w:i w:val="0"/>
                <w:color w:val="auto"/>
                <w:sz w:val="18"/>
                <w:szCs w:val="18"/>
              </w:rPr>
              <w:t>Julia Hume</w:t>
            </w:r>
          </w:p>
        </w:tc>
        <w:tc>
          <w:tcPr>
            <w:tcW w:w="2011" w:type="dxa"/>
          </w:tcPr>
          <w:p w:rsidR="00206CAD" w:rsidRPr="0025441D" w:rsidRDefault="00206CAD" w:rsidP="00F74A78">
            <w:pPr>
              <w:spacing w:before="40" w:after="40"/>
              <w:rPr>
                <w:sz w:val="18"/>
                <w:szCs w:val="18"/>
              </w:rPr>
            </w:pPr>
            <w:r w:rsidRPr="0025441D">
              <w:rPr>
                <w:sz w:val="18"/>
                <w:szCs w:val="18"/>
              </w:rPr>
              <w:t>Phillip Battista</w:t>
            </w:r>
          </w:p>
          <w:p w:rsidR="00206CAD" w:rsidRPr="0025441D" w:rsidRDefault="00206CAD" w:rsidP="00F74A78">
            <w:pPr>
              <w:spacing w:before="40" w:after="40"/>
              <w:rPr>
                <w:sz w:val="18"/>
                <w:szCs w:val="18"/>
              </w:rPr>
            </w:pPr>
            <w:proofErr w:type="spellStart"/>
            <w:r w:rsidRPr="0025441D">
              <w:rPr>
                <w:sz w:val="18"/>
                <w:szCs w:val="18"/>
              </w:rPr>
              <w:t>Silvana</w:t>
            </w:r>
            <w:proofErr w:type="spellEnd"/>
            <w:r w:rsidRPr="0025441D">
              <w:rPr>
                <w:sz w:val="18"/>
                <w:szCs w:val="18"/>
              </w:rPr>
              <w:t xml:space="preserve"> Di </w:t>
            </w:r>
            <w:proofErr w:type="spellStart"/>
            <w:r w:rsidRPr="0025441D">
              <w:rPr>
                <w:sz w:val="18"/>
                <w:szCs w:val="18"/>
              </w:rPr>
              <w:t>Ciocco</w:t>
            </w:r>
            <w:proofErr w:type="spellEnd"/>
          </w:p>
          <w:p w:rsidR="00B65AAD" w:rsidRPr="0025441D" w:rsidRDefault="00206CAD" w:rsidP="00F74A78">
            <w:pPr>
              <w:spacing w:before="40" w:after="40"/>
              <w:rPr>
                <w:b/>
                <w:i/>
                <w:sz w:val="18"/>
                <w:szCs w:val="18"/>
              </w:rPr>
            </w:pPr>
            <w:r w:rsidRPr="0025441D">
              <w:rPr>
                <w:sz w:val="18"/>
                <w:szCs w:val="18"/>
              </w:rPr>
              <w:t>Emma Martin</w:t>
            </w:r>
          </w:p>
        </w:tc>
        <w:tc>
          <w:tcPr>
            <w:tcW w:w="1958" w:type="dxa"/>
          </w:tcPr>
          <w:p w:rsidR="00B65AAD" w:rsidRPr="0025441D" w:rsidRDefault="00206CAD" w:rsidP="00F74A78">
            <w:pPr>
              <w:pStyle w:val="Majorheading"/>
              <w:spacing w:before="40"/>
              <w:rPr>
                <w:b w:val="0"/>
                <w:i w:val="0"/>
                <w:color w:val="auto"/>
                <w:sz w:val="18"/>
                <w:szCs w:val="18"/>
              </w:rPr>
            </w:pPr>
            <w:r w:rsidRPr="0025441D">
              <w:rPr>
                <w:b w:val="0"/>
                <w:i w:val="0"/>
                <w:color w:val="auto"/>
                <w:sz w:val="18"/>
                <w:szCs w:val="18"/>
              </w:rPr>
              <w:t>Colin McCrow</w:t>
            </w:r>
          </w:p>
        </w:tc>
        <w:tc>
          <w:tcPr>
            <w:tcW w:w="1985" w:type="dxa"/>
          </w:tcPr>
          <w:p w:rsidR="00B65AAD" w:rsidRPr="0025441D" w:rsidRDefault="00206CAD" w:rsidP="00F74A78">
            <w:pPr>
              <w:pStyle w:val="Majorheading"/>
              <w:spacing w:before="40"/>
              <w:rPr>
                <w:b w:val="0"/>
                <w:i w:val="0"/>
                <w:color w:val="auto"/>
                <w:sz w:val="18"/>
                <w:szCs w:val="18"/>
              </w:rPr>
            </w:pPr>
            <w:r w:rsidRPr="0025441D">
              <w:rPr>
                <w:b w:val="0"/>
                <w:i w:val="0"/>
                <w:color w:val="auto"/>
                <w:sz w:val="18"/>
                <w:szCs w:val="18"/>
              </w:rPr>
              <w:t xml:space="preserve">Laila </w:t>
            </w:r>
            <w:proofErr w:type="spellStart"/>
            <w:r w:rsidRPr="0025441D">
              <w:rPr>
                <w:b w:val="0"/>
                <w:i w:val="0"/>
                <w:color w:val="auto"/>
                <w:sz w:val="18"/>
                <w:szCs w:val="18"/>
              </w:rPr>
              <w:t>Qasem</w:t>
            </w:r>
            <w:proofErr w:type="spellEnd"/>
          </w:p>
          <w:p w:rsidR="00206CAD" w:rsidRPr="0025441D" w:rsidRDefault="00206CAD" w:rsidP="00F74A78">
            <w:pPr>
              <w:pStyle w:val="PwCNormal"/>
              <w:spacing w:before="40" w:after="40"/>
              <w:rPr>
                <w:sz w:val="18"/>
                <w:szCs w:val="18"/>
              </w:rPr>
            </w:pPr>
            <w:proofErr w:type="spellStart"/>
            <w:r w:rsidRPr="0025441D">
              <w:rPr>
                <w:sz w:val="18"/>
                <w:szCs w:val="18"/>
              </w:rPr>
              <w:t>Ruan</w:t>
            </w:r>
            <w:proofErr w:type="spellEnd"/>
            <w:r w:rsidRPr="0025441D">
              <w:rPr>
                <w:sz w:val="18"/>
                <w:szCs w:val="18"/>
              </w:rPr>
              <w:t xml:space="preserve"> </w:t>
            </w:r>
            <w:proofErr w:type="spellStart"/>
            <w:r w:rsidRPr="0025441D">
              <w:rPr>
                <w:sz w:val="18"/>
                <w:szCs w:val="18"/>
              </w:rPr>
              <w:t>Jordaan</w:t>
            </w:r>
            <w:proofErr w:type="spellEnd"/>
          </w:p>
        </w:tc>
      </w:tr>
      <w:tr w:rsidR="00206CAD" w:rsidTr="00B65AAD">
        <w:tc>
          <w:tcPr>
            <w:tcW w:w="1745" w:type="dxa"/>
          </w:tcPr>
          <w:p w:rsidR="00206CAD" w:rsidRDefault="00206CAD">
            <w:pPr>
              <w:pStyle w:val="Majorheading"/>
              <w:spacing w:before="40"/>
              <w:rPr>
                <w:sz w:val="18"/>
                <w:szCs w:val="18"/>
              </w:rPr>
            </w:pPr>
            <w:r>
              <w:rPr>
                <w:sz w:val="18"/>
                <w:szCs w:val="18"/>
              </w:rPr>
              <w:t>TAS</w:t>
            </w:r>
          </w:p>
        </w:tc>
        <w:tc>
          <w:tcPr>
            <w:tcW w:w="1941" w:type="dxa"/>
          </w:tcPr>
          <w:p w:rsidR="00206CAD" w:rsidRPr="0025441D" w:rsidRDefault="00206CAD" w:rsidP="00F74A78">
            <w:pPr>
              <w:pStyle w:val="Majorheading"/>
              <w:spacing w:before="40"/>
              <w:rPr>
                <w:b w:val="0"/>
                <w:i w:val="0"/>
                <w:color w:val="auto"/>
                <w:sz w:val="18"/>
                <w:szCs w:val="18"/>
              </w:rPr>
            </w:pPr>
            <w:r w:rsidRPr="0025441D">
              <w:rPr>
                <w:b w:val="0"/>
                <w:i w:val="0"/>
                <w:color w:val="auto"/>
                <w:sz w:val="18"/>
                <w:szCs w:val="18"/>
              </w:rPr>
              <w:t>Joanne Siviloglou</w:t>
            </w:r>
          </w:p>
        </w:tc>
        <w:tc>
          <w:tcPr>
            <w:tcW w:w="2011" w:type="dxa"/>
          </w:tcPr>
          <w:p w:rsidR="00206CAD" w:rsidRPr="0025441D" w:rsidRDefault="00206CAD" w:rsidP="00F74A78">
            <w:pPr>
              <w:spacing w:before="40" w:after="40"/>
              <w:rPr>
                <w:sz w:val="18"/>
                <w:szCs w:val="18"/>
              </w:rPr>
            </w:pPr>
            <w:r w:rsidRPr="0025441D">
              <w:rPr>
                <w:sz w:val="18"/>
                <w:szCs w:val="18"/>
              </w:rPr>
              <w:t>Kristian Murray</w:t>
            </w:r>
          </w:p>
          <w:p w:rsidR="00206CAD" w:rsidRPr="0025441D" w:rsidRDefault="00206CAD" w:rsidP="00F74A78">
            <w:pPr>
              <w:pStyle w:val="PwCNormal"/>
              <w:spacing w:before="40" w:after="40"/>
              <w:rPr>
                <w:sz w:val="18"/>
                <w:szCs w:val="18"/>
              </w:rPr>
            </w:pPr>
            <w:r w:rsidRPr="0025441D">
              <w:rPr>
                <w:sz w:val="18"/>
                <w:szCs w:val="18"/>
              </w:rPr>
              <w:t>Ian Jordan</w:t>
            </w:r>
          </w:p>
        </w:tc>
        <w:tc>
          <w:tcPr>
            <w:tcW w:w="1958" w:type="dxa"/>
          </w:tcPr>
          <w:p w:rsidR="00206CAD" w:rsidRPr="0025441D" w:rsidRDefault="00206CAD" w:rsidP="00F74A78">
            <w:pPr>
              <w:pStyle w:val="Majorheading"/>
              <w:spacing w:before="40"/>
              <w:rPr>
                <w:b w:val="0"/>
                <w:i w:val="0"/>
                <w:color w:val="auto"/>
                <w:sz w:val="18"/>
                <w:szCs w:val="18"/>
              </w:rPr>
            </w:pPr>
          </w:p>
        </w:tc>
        <w:tc>
          <w:tcPr>
            <w:tcW w:w="1985" w:type="dxa"/>
          </w:tcPr>
          <w:p w:rsidR="00206CAD" w:rsidRPr="0025441D" w:rsidRDefault="00206CAD" w:rsidP="00F74A78">
            <w:pPr>
              <w:pStyle w:val="Majorheading"/>
              <w:spacing w:before="40"/>
              <w:rPr>
                <w:b w:val="0"/>
                <w:i w:val="0"/>
                <w:color w:val="auto"/>
                <w:sz w:val="18"/>
                <w:szCs w:val="18"/>
              </w:rPr>
            </w:pPr>
            <w:r w:rsidRPr="0025441D">
              <w:rPr>
                <w:b w:val="0"/>
                <w:i w:val="0"/>
                <w:color w:val="auto"/>
                <w:sz w:val="18"/>
                <w:szCs w:val="18"/>
              </w:rPr>
              <w:t xml:space="preserve">Joe </w:t>
            </w:r>
            <w:proofErr w:type="spellStart"/>
            <w:r w:rsidRPr="0025441D">
              <w:rPr>
                <w:b w:val="0"/>
                <w:i w:val="0"/>
                <w:color w:val="auto"/>
                <w:sz w:val="18"/>
                <w:szCs w:val="18"/>
              </w:rPr>
              <w:t>Portelli</w:t>
            </w:r>
            <w:proofErr w:type="spellEnd"/>
          </w:p>
          <w:p w:rsidR="00206CAD" w:rsidRPr="0025441D" w:rsidRDefault="00206CAD" w:rsidP="00F74A78">
            <w:pPr>
              <w:pStyle w:val="PwCNormal"/>
              <w:spacing w:before="40" w:after="40"/>
              <w:rPr>
                <w:sz w:val="18"/>
                <w:szCs w:val="18"/>
              </w:rPr>
            </w:pPr>
            <w:r w:rsidRPr="0025441D">
              <w:rPr>
                <w:sz w:val="18"/>
                <w:szCs w:val="18"/>
              </w:rPr>
              <w:t>Yasmin Clarke</w:t>
            </w:r>
          </w:p>
        </w:tc>
      </w:tr>
      <w:tr w:rsidR="00206CAD" w:rsidTr="00B65AAD">
        <w:tc>
          <w:tcPr>
            <w:tcW w:w="1745" w:type="dxa"/>
          </w:tcPr>
          <w:p w:rsidR="00206CAD" w:rsidRDefault="00206CAD" w:rsidP="00206CAD">
            <w:pPr>
              <w:pStyle w:val="Majorheading"/>
              <w:spacing w:before="40"/>
              <w:rPr>
                <w:sz w:val="18"/>
                <w:szCs w:val="18"/>
              </w:rPr>
            </w:pPr>
            <w:r>
              <w:rPr>
                <w:sz w:val="18"/>
                <w:szCs w:val="18"/>
              </w:rPr>
              <w:t>WA</w:t>
            </w:r>
          </w:p>
        </w:tc>
        <w:tc>
          <w:tcPr>
            <w:tcW w:w="1941" w:type="dxa"/>
          </w:tcPr>
          <w:p w:rsidR="00206CAD" w:rsidRPr="0025441D" w:rsidRDefault="00206CAD" w:rsidP="00F74A78">
            <w:pPr>
              <w:pStyle w:val="Majorheading"/>
              <w:spacing w:before="40"/>
              <w:rPr>
                <w:b w:val="0"/>
                <w:i w:val="0"/>
                <w:color w:val="auto"/>
                <w:sz w:val="18"/>
                <w:szCs w:val="18"/>
              </w:rPr>
            </w:pPr>
            <w:r w:rsidRPr="0025441D">
              <w:rPr>
                <w:b w:val="0"/>
                <w:i w:val="0"/>
                <w:color w:val="auto"/>
                <w:sz w:val="18"/>
                <w:szCs w:val="18"/>
              </w:rPr>
              <w:t>Joanne Siviloglou</w:t>
            </w:r>
          </w:p>
        </w:tc>
        <w:tc>
          <w:tcPr>
            <w:tcW w:w="2011" w:type="dxa"/>
          </w:tcPr>
          <w:p w:rsidR="00206CAD" w:rsidRPr="0025441D" w:rsidRDefault="00206CAD" w:rsidP="00F74A78">
            <w:pPr>
              <w:spacing w:before="40" w:after="40"/>
              <w:rPr>
                <w:sz w:val="18"/>
                <w:szCs w:val="18"/>
              </w:rPr>
            </w:pPr>
            <w:r w:rsidRPr="0025441D">
              <w:rPr>
                <w:sz w:val="18"/>
                <w:szCs w:val="18"/>
              </w:rPr>
              <w:t>Kevin Frost</w:t>
            </w:r>
          </w:p>
          <w:p w:rsidR="00206CAD" w:rsidRPr="0025441D" w:rsidRDefault="00206CAD" w:rsidP="00F74A78">
            <w:pPr>
              <w:spacing w:before="40" w:after="40"/>
              <w:rPr>
                <w:sz w:val="18"/>
                <w:szCs w:val="18"/>
              </w:rPr>
            </w:pPr>
            <w:r w:rsidRPr="0025441D">
              <w:rPr>
                <w:sz w:val="18"/>
                <w:szCs w:val="18"/>
              </w:rPr>
              <w:t>Paul Smith</w:t>
            </w:r>
          </w:p>
          <w:p w:rsidR="00206CAD" w:rsidRPr="0025441D" w:rsidRDefault="00206CAD" w:rsidP="00F74A78">
            <w:pPr>
              <w:spacing w:before="40" w:after="40"/>
              <w:rPr>
                <w:sz w:val="18"/>
                <w:szCs w:val="18"/>
              </w:rPr>
            </w:pPr>
            <w:r w:rsidRPr="0025441D">
              <w:rPr>
                <w:sz w:val="18"/>
                <w:szCs w:val="18"/>
              </w:rPr>
              <w:t>Howard Andre</w:t>
            </w:r>
          </w:p>
          <w:p w:rsidR="00206CAD" w:rsidRPr="0025441D" w:rsidRDefault="00206CAD" w:rsidP="00F74A78">
            <w:pPr>
              <w:spacing w:before="40" w:after="40"/>
              <w:rPr>
                <w:sz w:val="18"/>
                <w:szCs w:val="18"/>
              </w:rPr>
            </w:pPr>
            <w:proofErr w:type="spellStart"/>
            <w:r w:rsidRPr="0025441D">
              <w:rPr>
                <w:sz w:val="18"/>
                <w:szCs w:val="18"/>
              </w:rPr>
              <w:t>Rinaldo</w:t>
            </w:r>
            <w:proofErr w:type="spellEnd"/>
            <w:r w:rsidRPr="0025441D">
              <w:rPr>
                <w:sz w:val="18"/>
                <w:szCs w:val="18"/>
              </w:rPr>
              <w:t xml:space="preserve"> </w:t>
            </w:r>
            <w:proofErr w:type="spellStart"/>
            <w:r w:rsidRPr="0025441D">
              <w:rPr>
                <w:sz w:val="18"/>
                <w:szCs w:val="18"/>
              </w:rPr>
              <w:t>Ienco</w:t>
            </w:r>
            <w:proofErr w:type="spellEnd"/>
          </w:p>
          <w:p w:rsidR="00206CAD" w:rsidRPr="0025441D" w:rsidRDefault="00206CAD" w:rsidP="00F74A78">
            <w:pPr>
              <w:spacing w:before="40" w:after="40"/>
              <w:rPr>
                <w:sz w:val="18"/>
                <w:szCs w:val="18"/>
              </w:rPr>
            </w:pPr>
            <w:r w:rsidRPr="0025441D">
              <w:rPr>
                <w:sz w:val="18"/>
                <w:szCs w:val="18"/>
              </w:rPr>
              <w:t xml:space="preserve">Ian </w:t>
            </w:r>
            <w:proofErr w:type="spellStart"/>
            <w:r w:rsidRPr="0025441D">
              <w:rPr>
                <w:sz w:val="18"/>
                <w:szCs w:val="18"/>
              </w:rPr>
              <w:t>Massingham</w:t>
            </w:r>
            <w:proofErr w:type="spellEnd"/>
          </w:p>
        </w:tc>
        <w:tc>
          <w:tcPr>
            <w:tcW w:w="1958" w:type="dxa"/>
          </w:tcPr>
          <w:p w:rsidR="00206CAD" w:rsidRPr="0025441D" w:rsidRDefault="00206CAD" w:rsidP="00F74A78">
            <w:pPr>
              <w:pStyle w:val="Majorheading"/>
              <w:spacing w:before="40"/>
              <w:rPr>
                <w:b w:val="0"/>
                <w:i w:val="0"/>
                <w:color w:val="auto"/>
                <w:sz w:val="18"/>
                <w:szCs w:val="18"/>
              </w:rPr>
            </w:pPr>
            <w:r w:rsidRPr="0025441D">
              <w:rPr>
                <w:b w:val="0"/>
                <w:i w:val="0"/>
                <w:color w:val="auto"/>
                <w:sz w:val="18"/>
                <w:szCs w:val="18"/>
              </w:rPr>
              <w:t>Colin McCrow</w:t>
            </w:r>
          </w:p>
        </w:tc>
        <w:tc>
          <w:tcPr>
            <w:tcW w:w="1985" w:type="dxa"/>
          </w:tcPr>
          <w:p w:rsidR="00206CAD" w:rsidRPr="0025441D" w:rsidRDefault="00206CAD" w:rsidP="00F74A78">
            <w:pPr>
              <w:pStyle w:val="Majorheading"/>
              <w:spacing w:before="40"/>
              <w:rPr>
                <w:b w:val="0"/>
                <w:i w:val="0"/>
                <w:color w:val="auto"/>
                <w:sz w:val="18"/>
                <w:szCs w:val="18"/>
              </w:rPr>
            </w:pPr>
            <w:r w:rsidRPr="0025441D">
              <w:rPr>
                <w:b w:val="0"/>
                <w:i w:val="0"/>
                <w:color w:val="auto"/>
                <w:sz w:val="18"/>
                <w:szCs w:val="18"/>
              </w:rPr>
              <w:t xml:space="preserve">Joe </w:t>
            </w:r>
            <w:proofErr w:type="spellStart"/>
            <w:r w:rsidRPr="0025441D">
              <w:rPr>
                <w:b w:val="0"/>
                <w:i w:val="0"/>
                <w:color w:val="auto"/>
                <w:sz w:val="18"/>
                <w:szCs w:val="18"/>
              </w:rPr>
              <w:t>Portelli</w:t>
            </w:r>
            <w:proofErr w:type="spellEnd"/>
          </w:p>
          <w:p w:rsidR="00206CAD" w:rsidRPr="0025441D" w:rsidRDefault="00206CAD" w:rsidP="00F74A78">
            <w:pPr>
              <w:pStyle w:val="PwCNormal"/>
              <w:spacing w:before="40" w:after="40"/>
              <w:rPr>
                <w:sz w:val="18"/>
                <w:szCs w:val="18"/>
              </w:rPr>
            </w:pPr>
            <w:proofErr w:type="spellStart"/>
            <w:r w:rsidRPr="0025441D">
              <w:rPr>
                <w:sz w:val="18"/>
                <w:szCs w:val="18"/>
              </w:rPr>
              <w:t>Ruan</w:t>
            </w:r>
            <w:proofErr w:type="spellEnd"/>
            <w:r w:rsidRPr="0025441D">
              <w:rPr>
                <w:sz w:val="18"/>
                <w:szCs w:val="18"/>
              </w:rPr>
              <w:t xml:space="preserve"> </w:t>
            </w:r>
            <w:proofErr w:type="spellStart"/>
            <w:r w:rsidRPr="0025441D">
              <w:rPr>
                <w:sz w:val="18"/>
                <w:szCs w:val="18"/>
              </w:rPr>
              <w:t>Jordaan</w:t>
            </w:r>
            <w:proofErr w:type="spellEnd"/>
          </w:p>
        </w:tc>
      </w:tr>
      <w:tr w:rsidR="00206CAD" w:rsidTr="00B65AAD">
        <w:tc>
          <w:tcPr>
            <w:tcW w:w="1745" w:type="dxa"/>
          </w:tcPr>
          <w:p w:rsidR="00206CAD" w:rsidRPr="00F74A78" w:rsidRDefault="00206CAD">
            <w:pPr>
              <w:pStyle w:val="Majorheading"/>
              <w:spacing w:before="40"/>
              <w:rPr>
                <w:b w:val="0"/>
                <w:i w:val="0"/>
                <w:color w:val="auto"/>
                <w:sz w:val="18"/>
                <w:szCs w:val="18"/>
              </w:rPr>
            </w:pPr>
            <w:r w:rsidRPr="00F74A78">
              <w:rPr>
                <w:sz w:val="18"/>
                <w:szCs w:val="18"/>
              </w:rPr>
              <w:t>QLD</w:t>
            </w:r>
          </w:p>
        </w:tc>
        <w:tc>
          <w:tcPr>
            <w:tcW w:w="1941" w:type="dxa"/>
          </w:tcPr>
          <w:p w:rsidR="00206CAD" w:rsidRPr="0025441D" w:rsidRDefault="00206CAD" w:rsidP="00F74A78">
            <w:pPr>
              <w:pStyle w:val="Majorheading"/>
              <w:spacing w:before="40"/>
              <w:rPr>
                <w:b w:val="0"/>
                <w:i w:val="0"/>
                <w:color w:val="auto"/>
                <w:sz w:val="18"/>
                <w:szCs w:val="18"/>
              </w:rPr>
            </w:pPr>
            <w:r w:rsidRPr="0025441D">
              <w:rPr>
                <w:b w:val="0"/>
                <w:i w:val="0"/>
                <w:color w:val="auto"/>
                <w:sz w:val="18"/>
                <w:szCs w:val="18"/>
              </w:rPr>
              <w:t>Angela Leary-Smith</w:t>
            </w:r>
          </w:p>
        </w:tc>
        <w:tc>
          <w:tcPr>
            <w:tcW w:w="2011" w:type="dxa"/>
          </w:tcPr>
          <w:p w:rsidR="00206CAD" w:rsidRPr="0025441D" w:rsidRDefault="00206CAD" w:rsidP="00F74A78">
            <w:pPr>
              <w:spacing w:before="40" w:after="40"/>
              <w:rPr>
                <w:rFonts w:asciiTheme="majorHAnsi" w:hAnsiTheme="majorHAnsi"/>
                <w:sz w:val="18"/>
                <w:szCs w:val="18"/>
              </w:rPr>
            </w:pPr>
            <w:r w:rsidRPr="0025441D">
              <w:rPr>
                <w:rFonts w:asciiTheme="majorHAnsi" w:hAnsiTheme="majorHAnsi"/>
                <w:sz w:val="18"/>
                <w:szCs w:val="18"/>
              </w:rPr>
              <w:t>Colin McCrow</w:t>
            </w:r>
          </w:p>
          <w:p w:rsidR="00206CAD" w:rsidRPr="0025441D" w:rsidRDefault="00206CAD" w:rsidP="00F74A78">
            <w:pPr>
              <w:pStyle w:val="PwCNormal"/>
              <w:spacing w:before="40" w:after="40"/>
              <w:rPr>
                <w:rFonts w:asciiTheme="majorHAnsi" w:hAnsiTheme="majorHAnsi"/>
                <w:sz w:val="18"/>
                <w:szCs w:val="18"/>
              </w:rPr>
            </w:pPr>
            <w:r w:rsidRPr="0025441D">
              <w:rPr>
                <w:rFonts w:asciiTheme="majorHAnsi" w:hAnsiTheme="majorHAnsi"/>
                <w:sz w:val="18"/>
                <w:szCs w:val="18"/>
              </w:rPr>
              <w:t>Leslie Egerton</w:t>
            </w:r>
          </w:p>
          <w:p w:rsidR="00206CAD" w:rsidRPr="0025441D" w:rsidRDefault="00206CAD" w:rsidP="00F74A78">
            <w:pPr>
              <w:pStyle w:val="PwCNormal"/>
              <w:spacing w:before="40" w:after="40"/>
              <w:rPr>
                <w:rFonts w:asciiTheme="majorHAnsi" w:hAnsiTheme="majorHAnsi"/>
                <w:sz w:val="18"/>
                <w:szCs w:val="18"/>
              </w:rPr>
            </w:pPr>
            <w:r w:rsidRPr="0025441D">
              <w:rPr>
                <w:rFonts w:asciiTheme="majorHAnsi" w:hAnsiTheme="majorHAnsi"/>
                <w:sz w:val="18"/>
                <w:szCs w:val="18"/>
              </w:rPr>
              <w:t xml:space="preserve">Brett </w:t>
            </w:r>
            <w:proofErr w:type="spellStart"/>
            <w:r w:rsidRPr="0025441D">
              <w:rPr>
                <w:rFonts w:asciiTheme="majorHAnsi" w:hAnsiTheme="majorHAnsi"/>
                <w:sz w:val="18"/>
                <w:szCs w:val="18"/>
              </w:rPr>
              <w:t>Darracott</w:t>
            </w:r>
            <w:proofErr w:type="spellEnd"/>
          </w:p>
          <w:p w:rsidR="00206CAD" w:rsidRPr="0025441D" w:rsidRDefault="00206CAD" w:rsidP="00F74A78">
            <w:pPr>
              <w:pStyle w:val="PwCNormal"/>
              <w:spacing w:before="40" w:after="40"/>
              <w:rPr>
                <w:rFonts w:asciiTheme="majorHAnsi" w:hAnsiTheme="majorHAnsi"/>
                <w:sz w:val="18"/>
                <w:szCs w:val="18"/>
              </w:rPr>
            </w:pPr>
            <w:r w:rsidRPr="0025441D">
              <w:rPr>
                <w:rFonts w:asciiTheme="majorHAnsi" w:hAnsiTheme="majorHAnsi"/>
                <w:sz w:val="18"/>
                <w:szCs w:val="18"/>
              </w:rPr>
              <w:t>Janet Moncrieff</w:t>
            </w:r>
          </w:p>
          <w:p w:rsidR="00206CAD" w:rsidRDefault="00206CAD" w:rsidP="00F74A78">
            <w:pPr>
              <w:pStyle w:val="PwCNormal"/>
              <w:spacing w:before="40" w:after="40"/>
              <w:rPr>
                <w:rFonts w:asciiTheme="majorHAnsi" w:hAnsiTheme="majorHAnsi"/>
                <w:sz w:val="18"/>
                <w:szCs w:val="18"/>
              </w:rPr>
            </w:pPr>
            <w:r w:rsidRPr="0025441D">
              <w:rPr>
                <w:rFonts w:asciiTheme="majorHAnsi" w:hAnsiTheme="majorHAnsi"/>
                <w:sz w:val="18"/>
                <w:szCs w:val="18"/>
              </w:rPr>
              <w:t>Dominic Flynn</w:t>
            </w:r>
          </w:p>
          <w:p w:rsidR="00C904C9" w:rsidRPr="00C904C9" w:rsidRDefault="00C904C9" w:rsidP="00C904C9">
            <w:pPr>
              <w:pStyle w:val="PwCNormal"/>
              <w:spacing w:before="40" w:after="40"/>
              <w:rPr>
                <w:rFonts w:asciiTheme="majorHAnsi" w:hAnsiTheme="majorHAnsi"/>
                <w:sz w:val="18"/>
                <w:szCs w:val="18"/>
              </w:rPr>
            </w:pPr>
            <w:r w:rsidRPr="00C904C9">
              <w:rPr>
                <w:rFonts w:asciiTheme="majorHAnsi" w:hAnsiTheme="majorHAnsi"/>
                <w:sz w:val="18"/>
                <w:szCs w:val="18"/>
              </w:rPr>
              <w:t xml:space="preserve">Rod </w:t>
            </w:r>
            <w:proofErr w:type="spellStart"/>
            <w:r w:rsidRPr="00C904C9">
              <w:rPr>
                <w:rFonts w:asciiTheme="majorHAnsi" w:hAnsiTheme="majorHAnsi"/>
                <w:sz w:val="18"/>
                <w:szCs w:val="18"/>
              </w:rPr>
              <w:t>Margetts</w:t>
            </w:r>
            <w:proofErr w:type="spellEnd"/>
          </w:p>
          <w:p w:rsidR="00C904C9" w:rsidRPr="00C904C9" w:rsidRDefault="00C904C9" w:rsidP="00C904C9">
            <w:pPr>
              <w:pStyle w:val="PwCNormal"/>
              <w:spacing w:before="40" w:after="40"/>
              <w:rPr>
                <w:rFonts w:asciiTheme="majorHAnsi" w:hAnsiTheme="majorHAnsi"/>
                <w:sz w:val="18"/>
                <w:szCs w:val="18"/>
              </w:rPr>
            </w:pPr>
            <w:r w:rsidRPr="00C904C9">
              <w:rPr>
                <w:rFonts w:asciiTheme="majorHAnsi" w:hAnsiTheme="majorHAnsi"/>
                <w:sz w:val="18"/>
                <w:szCs w:val="18"/>
              </w:rPr>
              <w:t xml:space="preserve">Brett </w:t>
            </w:r>
            <w:proofErr w:type="spellStart"/>
            <w:r w:rsidRPr="00C904C9">
              <w:rPr>
                <w:rFonts w:asciiTheme="majorHAnsi" w:hAnsiTheme="majorHAnsi"/>
                <w:sz w:val="18"/>
                <w:szCs w:val="18"/>
              </w:rPr>
              <w:t>Darracott</w:t>
            </w:r>
            <w:proofErr w:type="spellEnd"/>
          </w:p>
          <w:p w:rsidR="00C904C9" w:rsidRPr="00C904C9" w:rsidRDefault="00C904C9" w:rsidP="00C904C9">
            <w:pPr>
              <w:pStyle w:val="PwCNormal"/>
              <w:spacing w:before="40" w:after="40"/>
              <w:rPr>
                <w:rFonts w:asciiTheme="majorHAnsi" w:hAnsiTheme="majorHAnsi"/>
                <w:sz w:val="18"/>
                <w:szCs w:val="18"/>
              </w:rPr>
            </w:pPr>
            <w:r w:rsidRPr="00C904C9">
              <w:rPr>
                <w:rFonts w:asciiTheme="majorHAnsi" w:hAnsiTheme="majorHAnsi"/>
                <w:sz w:val="18"/>
                <w:szCs w:val="18"/>
              </w:rPr>
              <w:t>Geoff Evans</w:t>
            </w:r>
          </w:p>
          <w:p w:rsidR="00C904C9" w:rsidRPr="00C904C9" w:rsidRDefault="00C904C9" w:rsidP="00C904C9">
            <w:pPr>
              <w:pStyle w:val="PwCNormal"/>
              <w:spacing w:before="40" w:after="40"/>
              <w:rPr>
                <w:rFonts w:asciiTheme="majorHAnsi" w:hAnsiTheme="majorHAnsi"/>
                <w:sz w:val="18"/>
                <w:szCs w:val="18"/>
              </w:rPr>
            </w:pPr>
            <w:r w:rsidRPr="00C904C9">
              <w:rPr>
                <w:rFonts w:asciiTheme="majorHAnsi" w:hAnsiTheme="majorHAnsi"/>
                <w:sz w:val="18"/>
                <w:szCs w:val="18"/>
              </w:rPr>
              <w:t>Mitch Price</w:t>
            </w:r>
          </w:p>
          <w:p w:rsidR="00C904C9" w:rsidRPr="00C904C9" w:rsidRDefault="00C904C9" w:rsidP="00C904C9">
            <w:pPr>
              <w:pStyle w:val="PwCNormal"/>
              <w:spacing w:before="40" w:after="40"/>
              <w:rPr>
                <w:rFonts w:asciiTheme="majorHAnsi" w:hAnsiTheme="majorHAnsi"/>
                <w:sz w:val="18"/>
                <w:szCs w:val="18"/>
              </w:rPr>
            </w:pPr>
            <w:r w:rsidRPr="00C904C9">
              <w:rPr>
                <w:rFonts w:asciiTheme="majorHAnsi" w:hAnsiTheme="majorHAnsi"/>
                <w:sz w:val="18"/>
                <w:szCs w:val="18"/>
              </w:rPr>
              <w:t>Karen Stewart</w:t>
            </w:r>
          </w:p>
          <w:p w:rsidR="00C904C9" w:rsidRPr="00C904C9" w:rsidRDefault="00C904C9" w:rsidP="00C904C9">
            <w:pPr>
              <w:pStyle w:val="PwCNormal"/>
              <w:spacing w:before="40" w:after="40"/>
              <w:rPr>
                <w:rFonts w:asciiTheme="majorHAnsi" w:hAnsiTheme="majorHAnsi"/>
                <w:sz w:val="18"/>
                <w:szCs w:val="18"/>
              </w:rPr>
            </w:pPr>
            <w:r w:rsidRPr="00C904C9">
              <w:rPr>
                <w:rFonts w:asciiTheme="majorHAnsi" w:hAnsiTheme="majorHAnsi"/>
                <w:sz w:val="18"/>
                <w:szCs w:val="18"/>
              </w:rPr>
              <w:t>Allan Lawrie</w:t>
            </w:r>
          </w:p>
          <w:p w:rsidR="00C904C9" w:rsidRPr="00C904C9" w:rsidRDefault="00C904C9" w:rsidP="00C904C9">
            <w:pPr>
              <w:pStyle w:val="PwCNormal"/>
              <w:spacing w:before="40" w:after="40"/>
              <w:rPr>
                <w:rFonts w:asciiTheme="majorHAnsi" w:hAnsiTheme="majorHAnsi"/>
                <w:sz w:val="18"/>
                <w:szCs w:val="18"/>
              </w:rPr>
            </w:pPr>
            <w:r w:rsidRPr="00C904C9">
              <w:rPr>
                <w:rFonts w:asciiTheme="majorHAnsi" w:hAnsiTheme="majorHAnsi"/>
                <w:sz w:val="18"/>
                <w:szCs w:val="18"/>
              </w:rPr>
              <w:t xml:space="preserve">Lindy </w:t>
            </w:r>
            <w:proofErr w:type="spellStart"/>
            <w:r w:rsidRPr="00C904C9">
              <w:rPr>
                <w:rFonts w:asciiTheme="majorHAnsi" w:hAnsiTheme="majorHAnsi"/>
                <w:sz w:val="18"/>
                <w:szCs w:val="18"/>
              </w:rPr>
              <w:t>LePatourel</w:t>
            </w:r>
            <w:proofErr w:type="spellEnd"/>
          </w:p>
          <w:p w:rsidR="00C904C9" w:rsidRPr="00C904C9" w:rsidRDefault="00C904C9" w:rsidP="00C904C9">
            <w:pPr>
              <w:pStyle w:val="PwCNormal"/>
              <w:spacing w:before="40" w:after="40"/>
              <w:rPr>
                <w:rFonts w:asciiTheme="majorHAnsi" w:hAnsiTheme="majorHAnsi"/>
                <w:sz w:val="18"/>
                <w:szCs w:val="18"/>
              </w:rPr>
            </w:pPr>
            <w:proofErr w:type="spellStart"/>
            <w:r w:rsidRPr="00C904C9">
              <w:rPr>
                <w:rFonts w:asciiTheme="majorHAnsi" w:hAnsiTheme="majorHAnsi"/>
                <w:sz w:val="18"/>
                <w:szCs w:val="18"/>
              </w:rPr>
              <w:t>Manjinder</w:t>
            </w:r>
            <w:proofErr w:type="spellEnd"/>
            <w:r w:rsidRPr="00C904C9">
              <w:rPr>
                <w:rFonts w:asciiTheme="majorHAnsi" w:hAnsiTheme="majorHAnsi"/>
                <w:sz w:val="18"/>
                <w:szCs w:val="18"/>
              </w:rPr>
              <w:t xml:space="preserve"> Daley</w:t>
            </w:r>
          </w:p>
          <w:p w:rsidR="00C904C9" w:rsidRPr="0025441D" w:rsidRDefault="00C904C9" w:rsidP="00C904C9">
            <w:pPr>
              <w:pStyle w:val="PwCNormal"/>
              <w:spacing w:before="40" w:after="40"/>
              <w:rPr>
                <w:rFonts w:asciiTheme="majorHAnsi" w:hAnsiTheme="majorHAnsi"/>
                <w:sz w:val="18"/>
                <w:szCs w:val="18"/>
              </w:rPr>
            </w:pPr>
            <w:r w:rsidRPr="00C904C9">
              <w:rPr>
                <w:rFonts w:asciiTheme="majorHAnsi" w:hAnsiTheme="majorHAnsi"/>
                <w:sz w:val="18"/>
                <w:szCs w:val="18"/>
              </w:rPr>
              <w:t xml:space="preserve">Karen </w:t>
            </w:r>
            <w:proofErr w:type="spellStart"/>
            <w:r w:rsidRPr="00C904C9">
              <w:rPr>
                <w:rFonts w:asciiTheme="majorHAnsi" w:hAnsiTheme="majorHAnsi"/>
                <w:sz w:val="18"/>
                <w:szCs w:val="18"/>
              </w:rPr>
              <w:t>Gault</w:t>
            </w:r>
            <w:proofErr w:type="spellEnd"/>
            <w:r w:rsidRPr="00C904C9">
              <w:rPr>
                <w:rFonts w:asciiTheme="majorHAnsi" w:hAnsiTheme="majorHAnsi"/>
                <w:sz w:val="18"/>
                <w:szCs w:val="18"/>
              </w:rPr>
              <w:t>-Wilde</w:t>
            </w:r>
          </w:p>
        </w:tc>
        <w:tc>
          <w:tcPr>
            <w:tcW w:w="1958" w:type="dxa"/>
          </w:tcPr>
          <w:p w:rsidR="00206CAD" w:rsidRPr="0025441D" w:rsidRDefault="00F74A78" w:rsidP="00F74A78">
            <w:pPr>
              <w:pStyle w:val="Majorheading"/>
              <w:spacing w:before="40"/>
              <w:rPr>
                <w:b w:val="0"/>
                <w:i w:val="0"/>
                <w:color w:val="auto"/>
                <w:sz w:val="18"/>
                <w:szCs w:val="18"/>
              </w:rPr>
            </w:pPr>
            <w:r w:rsidRPr="0025441D">
              <w:rPr>
                <w:b w:val="0"/>
                <w:i w:val="0"/>
                <w:color w:val="auto"/>
                <w:sz w:val="18"/>
                <w:szCs w:val="18"/>
              </w:rPr>
              <w:t>Steve Shea</w:t>
            </w:r>
          </w:p>
        </w:tc>
        <w:tc>
          <w:tcPr>
            <w:tcW w:w="1985" w:type="dxa"/>
          </w:tcPr>
          <w:p w:rsidR="00206CAD" w:rsidRPr="0025441D" w:rsidRDefault="00206CAD" w:rsidP="00F74A78">
            <w:pPr>
              <w:pStyle w:val="Majorheading"/>
              <w:spacing w:before="40"/>
              <w:rPr>
                <w:b w:val="0"/>
                <w:i w:val="0"/>
                <w:color w:val="auto"/>
                <w:sz w:val="18"/>
                <w:szCs w:val="18"/>
              </w:rPr>
            </w:pPr>
            <w:r w:rsidRPr="0025441D">
              <w:rPr>
                <w:b w:val="0"/>
                <w:i w:val="0"/>
                <w:color w:val="auto"/>
                <w:sz w:val="18"/>
                <w:szCs w:val="18"/>
              </w:rPr>
              <w:t xml:space="preserve">Julia </w:t>
            </w:r>
            <w:proofErr w:type="spellStart"/>
            <w:r w:rsidRPr="0025441D">
              <w:rPr>
                <w:b w:val="0"/>
                <w:i w:val="0"/>
                <w:color w:val="auto"/>
                <w:sz w:val="18"/>
                <w:szCs w:val="18"/>
              </w:rPr>
              <w:t>Strelitz</w:t>
            </w:r>
            <w:proofErr w:type="spellEnd"/>
          </w:p>
          <w:p w:rsidR="00206CAD" w:rsidRPr="0025441D" w:rsidRDefault="00F74A78" w:rsidP="00F74A78">
            <w:pPr>
              <w:pStyle w:val="PwCNormal"/>
              <w:spacing w:before="40" w:after="40"/>
              <w:rPr>
                <w:rFonts w:asciiTheme="majorHAnsi" w:hAnsiTheme="majorHAnsi"/>
                <w:sz w:val="18"/>
                <w:szCs w:val="18"/>
              </w:rPr>
            </w:pPr>
            <w:r w:rsidRPr="0025441D">
              <w:rPr>
                <w:rFonts w:asciiTheme="majorHAnsi" w:hAnsiTheme="majorHAnsi"/>
                <w:sz w:val="18"/>
                <w:szCs w:val="18"/>
              </w:rPr>
              <w:t xml:space="preserve">Joe </w:t>
            </w:r>
            <w:proofErr w:type="spellStart"/>
            <w:r w:rsidRPr="0025441D">
              <w:rPr>
                <w:rFonts w:asciiTheme="majorHAnsi" w:hAnsiTheme="majorHAnsi"/>
                <w:sz w:val="18"/>
                <w:szCs w:val="18"/>
              </w:rPr>
              <w:t>Portelli</w:t>
            </w:r>
            <w:proofErr w:type="spellEnd"/>
          </w:p>
          <w:p w:rsidR="00F74A78" w:rsidRPr="0025441D" w:rsidRDefault="00F74A78" w:rsidP="00F74A78">
            <w:pPr>
              <w:pStyle w:val="PwCNormal"/>
              <w:spacing w:before="40" w:after="40"/>
              <w:rPr>
                <w:rFonts w:asciiTheme="majorHAnsi" w:hAnsiTheme="majorHAnsi"/>
                <w:sz w:val="18"/>
                <w:szCs w:val="18"/>
              </w:rPr>
            </w:pPr>
            <w:r w:rsidRPr="0025441D">
              <w:rPr>
                <w:rFonts w:asciiTheme="majorHAnsi" w:hAnsiTheme="majorHAnsi"/>
                <w:sz w:val="18"/>
                <w:szCs w:val="18"/>
              </w:rPr>
              <w:t>Blake Bentley</w:t>
            </w:r>
          </w:p>
        </w:tc>
      </w:tr>
      <w:tr w:rsidR="00F74A78" w:rsidTr="00B65AAD">
        <w:tc>
          <w:tcPr>
            <w:tcW w:w="1745" w:type="dxa"/>
          </w:tcPr>
          <w:p w:rsidR="00F74A78" w:rsidRPr="00F74A78" w:rsidRDefault="00F74A78">
            <w:pPr>
              <w:pStyle w:val="Majorheading"/>
              <w:spacing w:before="40"/>
              <w:rPr>
                <w:sz w:val="18"/>
                <w:szCs w:val="18"/>
              </w:rPr>
            </w:pPr>
            <w:r>
              <w:rPr>
                <w:sz w:val="18"/>
                <w:szCs w:val="18"/>
              </w:rPr>
              <w:t>VIC</w:t>
            </w:r>
          </w:p>
        </w:tc>
        <w:tc>
          <w:tcPr>
            <w:tcW w:w="1941" w:type="dxa"/>
          </w:tcPr>
          <w:p w:rsidR="00F74A78" w:rsidRPr="0025441D" w:rsidRDefault="00F74A78" w:rsidP="00F74A78">
            <w:pPr>
              <w:pStyle w:val="Majorheading"/>
              <w:spacing w:before="40"/>
              <w:rPr>
                <w:b w:val="0"/>
                <w:i w:val="0"/>
                <w:color w:val="auto"/>
                <w:sz w:val="18"/>
                <w:szCs w:val="18"/>
              </w:rPr>
            </w:pPr>
            <w:r w:rsidRPr="0025441D">
              <w:rPr>
                <w:b w:val="0"/>
                <w:i w:val="0"/>
                <w:color w:val="auto"/>
                <w:sz w:val="18"/>
                <w:szCs w:val="18"/>
              </w:rPr>
              <w:t>Joanne Siviloglou</w:t>
            </w:r>
          </w:p>
        </w:tc>
        <w:tc>
          <w:tcPr>
            <w:tcW w:w="2011" w:type="dxa"/>
          </w:tcPr>
          <w:p w:rsidR="00F74A78" w:rsidRPr="0025441D" w:rsidRDefault="00F74A78" w:rsidP="00F74A78">
            <w:pPr>
              <w:spacing w:before="40" w:after="40"/>
              <w:rPr>
                <w:sz w:val="18"/>
                <w:szCs w:val="18"/>
              </w:rPr>
            </w:pPr>
            <w:r w:rsidRPr="0025441D">
              <w:rPr>
                <w:sz w:val="18"/>
                <w:szCs w:val="18"/>
              </w:rPr>
              <w:t xml:space="preserve">David </w:t>
            </w:r>
            <w:proofErr w:type="spellStart"/>
            <w:r w:rsidRPr="0025441D">
              <w:rPr>
                <w:sz w:val="18"/>
                <w:szCs w:val="18"/>
              </w:rPr>
              <w:t>Debono</w:t>
            </w:r>
            <w:proofErr w:type="spellEnd"/>
          </w:p>
          <w:p w:rsidR="00F74A78" w:rsidRPr="0025441D" w:rsidRDefault="00F74A78" w:rsidP="00F74A78">
            <w:pPr>
              <w:spacing w:before="40" w:after="40"/>
              <w:rPr>
                <w:sz w:val="18"/>
                <w:szCs w:val="18"/>
              </w:rPr>
            </w:pPr>
            <w:r w:rsidRPr="0025441D">
              <w:rPr>
                <w:sz w:val="18"/>
                <w:szCs w:val="18"/>
              </w:rPr>
              <w:t>Kim Lim</w:t>
            </w:r>
          </w:p>
          <w:p w:rsidR="00F74A78" w:rsidRPr="0025441D" w:rsidRDefault="00F74A78" w:rsidP="00F74A78">
            <w:pPr>
              <w:spacing w:before="40" w:after="40"/>
              <w:rPr>
                <w:sz w:val="18"/>
                <w:szCs w:val="18"/>
              </w:rPr>
            </w:pPr>
            <w:r w:rsidRPr="0025441D">
              <w:rPr>
                <w:sz w:val="18"/>
                <w:szCs w:val="18"/>
              </w:rPr>
              <w:t xml:space="preserve">Ross </w:t>
            </w:r>
            <w:proofErr w:type="spellStart"/>
            <w:r w:rsidRPr="0025441D">
              <w:rPr>
                <w:sz w:val="18"/>
                <w:szCs w:val="18"/>
              </w:rPr>
              <w:t>Arblaster</w:t>
            </w:r>
            <w:proofErr w:type="spellEnd"/>
          </w:p>
          <w:p w:rsidR="00F74A78" w:rsidRPr="0025441D" w:rsidRDefault="00F74A78" w:rsidP="00F74A78">
            <w:pPr>
              <w:spacing w:before="40" w:after="40"/>
              <w:rPr>
                <w:sz w:val="18"/>
                <w:szCs w:val="18"/>
              </w:rPr>
            </w:pPr>
            <w:r w:rsidRPr="0025441D">
              <w:rPr>
                <w:sz w:val="18"/>
                <w:szCs w:val="18"/>
              </w:rPr>
              <w:t>Graham Bushnell</w:t>
            </w:r>
          </w:p>
          <w:p w:rsidR="00C904C9" w:rsidRPr="00C904C9" w:rsidRDefault="00F74A78" w:rsidP="00C904C9">
            <w:pPr>
              <w:spacing w:before="40" w:after="40"/>
              <w:rPr>
                <w:sz w:val="18"/>
                <w:szCs w:val="18"/>
              </w:rPr>
            </w:pPr>
            <w:r w:rsidRPr="0025441D">
              <w:rPr>
                <w:sz w:val="18"/>
                <w:szCs w:val="18"/>
              </w:rPr>
              <w:t>Tyrone Patterson</w:t>
            </w:r>
          </w:p>
        </w:tc>
        <w:tc>
          <w:tcPr>
            <w:tcW w:w="1958" w:type="dxa"/>
          </w:tcPr>
          <w:p w:rsidR="00F74A78" w:rsidRPr="0025441D" w:rsidRDefault="00F74A78" w:rsidP="00F74A78">
            <w:pPr>
              <w:pStyle w:val="Majorheading"/>
              <w:spacing w:before="40"/>
              <w:rPr>
                <w:b w:val="0"/>
                <w:i w:val="0"/>
                <w:color w:val="auto"/>
                <w:sz w:val="18"/>
                <w:szCs w:val="18"/>
              </w:rPr>
            </w:pPr>
            <w:r w:rsidRPr="0025441D">
              <w:rPr>
                <w:b w:val="0"/>
                <w:i w:val="0"/>
                <w:color w:val="auto"/>
                <w:sz w:val="18"/>
                <w:szCs w:val="18"/>
              </w:rPr>
              <w:t>Kylie Hawkins</w:t>
            </w:r>
          </w:p>
        </w:tc>
        <w:tc>
          <w:tcPr>
            <w:tcW w:w="1985" w:type="dxa"/>
          </w:tcPr>
          <w:p w:rsidR="00F74A78" w:rsidRPr="0025441D" w:rsidRDefault="00F74A78" w:rsidP="00F74A78">
            <w:pPr>
              <w:pStyle w:val="Majorheading"/>
              <w:spacing w:before="40"/>
              <w:rPr>
                <w:b w:val="0"/>
                <w:i w:val="0"/>
                <w:color w:val="auto"/>
                <w:sz w:val="18"/>
                <w:szCs w:val="18"/>
              </w:rPr>
            </w:pPr>
            <w:r w:rsidRPr="0025441D">
              <w:rPr>
                <w:b w:val="0"/>
                <w:i w:val="0"/>
                <w:color w:val="auto"/>
                <w:sz w:val="18"/>
                <w:szCs w:val="18"/>
              </w:rPr>
              <w:t xml:space="preserve">Stuart </w:t>
            </w:r>
            <w:proofErr w:type="spellStart"/>
            <w:r w:rsidRPr="0025441D">
              <w:rPr>
                <w:b w:val="0"/>
                <w:i w:val="0"/>
                <w:color w:val="auto"/>
                <w:sz w:val="18"/>
                <w:szCs w:val="18"/>
              </w:rPr>
              <w:t>Shinfield</w:t>
            </w:r>
            <w:proofErr w:type="spellEnd"/>
          </w:p>
          <w:p w:rsidR="00F74A78" w:rsidRPr="0025441D" w:rsidRDefault="00F74A78" w:rsidP="00F74A78">
            <w:pPr>
              <w:pStyle w:val="PwCNormal"/>
              <w:spacing w:before="40" w:after="40"/>
              <w:rPr>
                <w:sz w:val="18"/>
                <w:szCs w:val="18"/>
              </w:rPr>
            </w:pPr>
            <w:r w:rsidRPr="0025441D">
              <w:rPr>
                <w:sz w:val="18"/>
                <w:szCs w:val="18"/>
              </w:rPr>
              <w:t xml:space="preserve">Laila </w:t>
            </w:r>
            <w:proofErr w:type="spellStart"/>
            <w:r w:rsidRPr="0025441D">
              <w:rPr>
                <w:sz w:val="18"/>
                <w:szCs w:val="18"/>
              </w:rPr>
              <w:t>Qasem</w:t>
            </w:r>
            <w:proofErr w:type="spellEnd"/>
          </w:p>
          <w:p w:rsidR="00F74A78" w:rsidRPr="0025441D" w:rsidRDefault="00F74A78" w:rsidP="00F74A78">
            <w:pPr>
              <w:pStyle w:val="PwCNormal"/>
              <w:spacing w:before="40" w:after="40"/>
              <w:rPr>
                <w:sz w:val="18"/>
                <w:szCs w:val="18"/>
              </w:rPr>
            </w:pPr>
            <w:proofErr w:type="spellStart"/>
            <w:r w:rsidRPr="0025441D">
              <w:rPr>
                <w:sz w:val="18"/>
                <w:szCs w:val="18"/>
              </w:rPr>
              <w:t>Abraam</w:t>
            </w:r>
            <w:proofErr w:type="spellEnd"/>
            <w:r w:rsidRPr="0025441D">
              <w:rPr>
                <w:sz w:val="18"/>
                <w:szCs w:val="18"/>
              </w:rPr>
              <w:t xml:space="preserve"> </w:t>
            </w:r>
            <w:proofErr w:type="spellStart"/>
            <w:r w:rsidRPr="0025441D">
              <w:rPr>
                <w:sz w:val="18"/>
                <w:szCs w:val="18"/>
              </w:rPr>
              <w:t>Gregiouro</w:t>
            </w:r>
            <w:proofErr w:type="spellEnd"/>
          </w:p>
        </w:tc>
      </w:tr>
      <w:tr w:rsidR="00F74A78" w:rsidTr="00B65AAD">
        <w:tc>
          <w:tcPr>
            <w:tcW w:w="1745" w:type="dxa"/>
          </w:tcPr>
          <w:p w:rsidR="00F74A78" w:rsidRDefault="00F74A78" w:rsidP="00206CAD">
            <w:pPr>
              <w:pStyle w:val="Majorheading"/>
              <w:spacing w:before="40"/>
              <w:rPr>
                <w:sz w:val="18"/>
                <w:szCs w:val="18"/>
              </w:rPr>
            </w:pPr>
            <w:r>
              <w:rPr>
                <w:sz w:val="18"/>
                <w:szCs w:val="18"/>
              </w:rPr>
              <w:t>NT</w:t>
            </w:r>
          </w:p>
        </w:tc>
        <w:tc>
          <w:tcPr>
            <w:tcW w:w="1941" w:type="dxa"/>
          </w:tcPr>
          <w:p w:rsidR="00F74A78" w:rsidRPr="0025441D" w:rsidRDefault="00F74A78" w:rsidP="00F74A78">
            <w:pPr>
              <w:pStyle w:val="Majorheading"/>
              <w:spacing w:before="40"/>
              <w:rPr>
                <w:b w:val="0"/>
                <w:i w:val="0"/>
                <w:color w:val="auto"/>
                <w:sz w:val="18"/>
                <w:szCs w:val="18"/>
              </w:rPr>
            </w:pPr>
            <w:r w:rsidRPr="0025441D">
              <w:rPr>
                <w:b w:val="0"/>
                <w:i w:val="0"/>
                <w:color w:val="auto"/>
                <w:sz w:val="18"/>
                <w:szCs w:val="18"/>
              </w:rPr>
              <w:t>Stathi Tsangaris</w:t>
            </w:r>
          </w:p>
        </w:tc>
        <w:tc>
          <w:tcPr>
            <w:tcW w:w="2011" w:type="dxa"/>
          </w:tcPr>
          <w:p w:rsidR="00F74A78" w:rsidRPr="0025441D" w:rsidRDefault="00F74A78" w:rsidP="00F74A78">
            <w:pPr>
              <w:spacing w:before="40" w:after="40"/>
              <w:rPr>
                <w:sz w:val="18"/>
                <w:szCs w:val="18"/>
              </w:rPr>
            </w:pPr>
            <w:r w:rsidRPr="0025441D">
              <w:rPr>
                <w:sz w:val="18"/>
                <w:szCs w:val="18"/>
              </w:rPr>
              <w:t>Ian Pollock</w:t>
            </w:r>
          </w:p>
          <w:p w:rsidR="00F74A78" w:rsidRPr="0025441D" w:rsidRDefault="00F74A78" w:rsidP="00C904C9">
            <w:pPr>
              <w:pStyle w:val="PwCNormal"/>
              <w:spacing w:after="40"/>
              <w:rPr>
                <w:sz w:val="18"/>
                <w:szCs w:val="18"/>
              </w:rPr>
            </w:pPr>
            <w:r w:rsidRPr="0025441D">
              <w:rPr>
                <w:sz w:val="18"/>
                <w:szCs w:val="18"/>
              </w:rPr>
              <w:t>Kim Lim</w:t>
            </w:r>
          </w:p>
        </w:tc>
        <w:tc>
          <w:tcPr>
            <w:tcW w:w="1958" w:type="dxa"/>
          </w:tcPr>
          <w:p w:rsidR="00F74A78" w:rsidRPr="0025441D" w:rsidRDefault="00F74A78" w:rsidP="00F74A78">
            <w:pPr>
              <w:pStyle w:val="Majorheading"/>
              <w:spacing w:before="40"/>
              <w:rPr>
                <w:b w:val="0"/>
                <w:i w:val="0"/>
                <w:color w:val="auto"/>
                <w:sz w:val="18"/>
                <w:szCs w:val="18"/>
              </w:rPr>
            </w:pPr>
          </w:p>
        </w:tc>
        <w:tc>
          <w:tcPr>
            <w:tcW w:w="1985" w:type="dxa"/>
          </w:tcPr>
          <w:p w:rsidR="00F74A78" w:rsidRPr="0025441D" w:rsidRDefault="00F74A78" w:rsidP="00F74A78">
            <w:pPr>
              <w:pStyle w:val="Majorheading"/>
              <w:spacing w:before="40"/>
              <w:rPr>
                <w:b w:val="0"/>
                <w:i w:val="0"/>
                <w:color w:val="auto"/>
                <w:sz w:val="18"/>
                <w:szCs w:val="18"/>
              </w:rPr>
            </w:pPr>
            <w:r w:rsidRPr="0025441D">
              <w:rPr>
                <w:b w:val="0"/>
                <w:i w:val="0"/>
                <w:color w:val="auto"/>
                <w:sz w:val="18"/>
                <w:szCs w:val="18"/>
              </w:rPr>
              <w:t xml:space="preserve">Joe </w:t>
            </w:r>
            <w:proofErr w:type="spellStart"/>
            <w:r w:rsidRPr="0025441D">
              <w:rPr>
                <w:b w:val="0"/>
                <w:i w:val="0"/>
                <w:color w:val="auto"/>
                <w:sz w:val="18"/>
                <w:szCs w:val="18"/>
              </w:rPr>
              <w:t>Portelli</w:t>
            </w:r>
            <w:proofErr w:type="spellEnd"/>
          </w:p>
          <w:p w:rsidR="00F74A78" w:rsidRPr="0025441D" w:rsidRDefault="00F74A78" w:rsidP="00C904C9">
            <w:pPr>
              <w:pStyle w:val="PwCNormal"/>
              <w:spacing w:after="40"/>
              <w:rPr>
                <w:sz w:val="18"/>
                <w:szCs w:val="18"/>
              </w:rPr>
            </w:pPr>
            <w:proofErr w:type="spellStart"/>
            <w:r w:rsidRPr="0025441D">
              <w:rPr>
                <w:sz w:val="18"/>
                <w:szCs w:val="18"/>
              </w:rPr>
              <w:t>Ruan</w:t>
            </w:r>
            <w:proofErr w:type="spellEnd"/>
            <w:r w:rsidRPr="0025441D">
              <w:rPr>
                <w:sz w:val="18"/>
                <w:szCs w:val="18"/>
              </w:rPr>
              <w:t xml:space="preserve"> </w:t>
            </w:r>
            <w:proofErr w:type="spellStart"/>
            <w:r w:rsidRPr="0025441D">
              <w:rPr>
                <w:sz w:val="18"/>
                <w:szCs w:val="18"/>
              </w:rPr>
              <w:t>Jordaan</w:t>
            </w:r>
            <w:proofErr w:type="spellEnd"/>
          </w:p>
        </w:tc>
      </w:tr>
      <w:tr w:rsidR="00F74A78" w:rsidTr="00B65AAD">
        <w:tc>
          <w:tcPr>
            <w:tcW w:w="1745" w:type="dxa"/>
          </w:tcPr>
          <w:p w:rsidR="00F74A78" w:rsidRDefault="00F74A78" w:rsidP="00206CAD">
            <w:pPr>
              <w:pStyle w:val="Majorheading"/>
              <w:spacing w:before="40"/>
              <w:rPr>
                <w:sz w:val="18"/>
                <w:szCs w:val="18"/>
              </w:rPr>
            </w:pPr>
            <w:r>
              <w:rPr>
                <w:sz w:val="18"/>
                <w:szCs w:val="18"/>
              </w:rPr>
              <w:t>ACT</w:t>
            </w:r>
          </w:p>
        </w:tc>
        <w:tc>
          <w:tcPr>
            <w:tcW w:w="1941" w:type="dxa"/>
          </w:tcPr>
          <w:p w:rsidR="00F74A78" w:rsidRPr="0025441D" w:rsidRDefault="00F74A78" w:rsidP="00F74A78">
            <w:pPr>
              <w:pStyle w:val="Majorheading"/>
              <w:spacing w:before="40"/>
              <w:rPr>
                <w:b w:val="0"/>
                <w:i w:val="0"/>
                <w:color w:val="auto"/>
                <w:sz w:val="18"/>
                <w:szCs w:val="18"/>
              </w:rPr>
            </w:pPr>
            <w:r w:rsidRPr="0025441D">
              <w:rPr>
                <w:b w:val="0"/>
                <w:i w:val="0"/>
                <w:color w:val="auto"/>
                <w:sz w:val="18"/>
                <w:szCs w:val="18"/>
              </w:rPr>
              <w:t>Joanne Siviloglou</w:t>
            </w:r>
          </w:p>
        </w:tc>
        <w:tc>
          <w:tcPr>
            <w:tcW w:w="2011" w:type="dxa"/>
          </w:tcPr>
          <w:p w:rsidR="00F74A78" w:rsidRPr="0025441D" w:rsidRDefault="00F74A78" w:rsidP="00F74A78">
            <w:pPr>
              <w:spacing w:before="40" w:after="40"/>
              <w:rPr>
                <w:sz w:val="18"/>
                <w:szCs w:val="18"/>
              </w:rPr>
            </w:pPr>
            <w:r w:rsidRPr="0025441D">
              <w:rPr>
                <w:sz w:val="18"/>
                <w:szCs w:val="18"/>
              </w:rPr>
              <w:t xml:space="preserve">Winston </w:t>
            </w:r>
            <w:proofErr w:type="spellStart"/>
            <w:r w:rsidRPr="0025441D">
              <w:rPr>
                <w:sz w:val="18"/>
                <w:szCs w:val="18"/>
              </w:rPr>
              <w:t>Piddington</w:t>
            </w:r>
            <w:proofErr w:type="spellEnd"/>
          </w:p>
        </w:tc>
        <w:tc>
          <w:tcPr>
            <w:tcW w:w="1958" w:type="dxa"/>
          </w:tcPr>
          <w:p w:rsidR="00F74A78" w:rsidRPr="0025441D" w:rsidRDefault="00F74A78" w:rsidP="00F74A78">
            <w:pPr>
              <w:pStyle w:val="Majorheading"/>
              <w:spacing w:before="40"/>
              <w:rPr>
                <w:b w:val="0"/>
                <w:i w:val="0"/>
                <w:color w:val="auto"/>
                <w:sz w:val="18"/>
                <w:szCs w:val="18"/>
              </w:rPr>
            </w:pPr>
            <w:r w:rsidRPr="0025441D">
              <w:rPr>
                <w:b w:val="0"/>
                <w:i w:val="0"/>
                <w:color w:val="auto"/>
                <w:sz w:val="18"/>
                <w:szCs w:val="18"/>
              </w:rPr>
              <w:t>Ian Pollock</w:t>
            </w:r>
          </w:p>
        </w:tc>
        <w:tc>
          <w:tcPr>
            <w:tcW w:w="1985" w:type="dxa"/>
          </w:tcPr>
          <w:p w:rsidR="00F74A78" w:rsidRPr="0025441D" w:rsidRDefault="00F74A78" w:rsidP="00F74A78">
            <w:pPr>
              <w:pStyle w:val="Majorheading"/>
              <w:spacing w:before="40"/>
              <w:rPr>
                <w:b w:val="0"/>
                <w:i w:val="0"/>
                <w:color w:val="auto"/>
                <w:sz w:val="18"/>
                <w:szCs w:val="18"/>
              </w:rPr>
            </w:pPr>
            <w:r w:rsidRPr="0025441D">
              <w:rPr>
                <w:b w:val="0"/>
                <w:i w:val="0"/>
                <w:color w:val="auto"/>
                <w:sz w:val="18"/>
                <w:szCs w:val="18"/>
              </w:rPr>
              <w:t xml:space="preserve">Julia </w:t>
            </w:r>
            <w:proofErr w:type="spellStart"/>
            <w:r w:rsidRPr="0025441D">
              <w:rPr>
                <w:b w:val="0"/>
                <w:i w:val="0"/>
                <w:color w:val="auto"/>
                <w:sz w:val="18"/>
                <w:szCs w:val="18"/>
              </w:rPr>
              <w:t>Strelitz</w:t>
            </w:r>
            <w:proofErr w:type="spellEnd"/>
          </w:p>
          <w:p w:rsidR="00F74A78" w:rsidRPr="0025441D" w:rsidRDefault="00F74A78" w:rsidP="00F74A78">
            <w:pPr>
              <w:pStyle w:val="PwCNormal"/>
              <w:rPr>
                <w:sz w:val="18"/>
                <w:szCs w:val="18"/>
              </w:rPr>
            </w:pPr>
            <w:proofErr w:type="spellStart"/>
            <w:r w:rsidRPr="0025441D">
              <w:rPr>
                <w:sz w:val="18"/>
                <w:szCs w:val="18"/>
              </w:rPr>
              <w:t>Abraam</w:t>
            </w:r>
            <w:proofErr w:type="spellEnd"/>
            <w:r w:rsidRPr="0025441D">
              <w:rPr>
                <w:sz w:val="18"/>
                <w:szCs w:val="18"/>
              </w:rPr>
              <w:t xml:space="preserve"> </w:t>
            </w:r>
            <w:proofErr w:type="spellStart"/>
            <w:r w:rsidRPr="0025441D">
              <w:rPr>
                <w:sz w:val="18"/>
                <w:szCs w:val="18"/>
              </w:rPr>
              <w:t>Gregiouro</w:t>
            </w:r>
            <w:proofErr w:type="spellEnd"/>
          </w:p>
        </w:tc>
      </w:tr>
    </w:tbl>
    <w:p w:rsidR="004F0878" w:rsidRPr="00FC2C77" w:rsidRDefault="004F0878" w:rsidP="009024A4">
      <w:pPr>
        <w:pStyle w:val="ChapterNumberLong"/>
        <w:numPr>
          <w:ilvl w:val="0"/>
          <w:numId w:val="0"/>
        </w:numPr>
        <w:sectPr w:rsidR="004F0878" w:rsidRPr="00FC2C77" w:rsidSect="008E7A3D">
          <w:pgSz w:w="11907" w:h="16840" w:code="9"/>
          <w:pgMar w:top="1588" w:right="1843" w:bottom="1418" w:left="1843" w:header="567" w:footer="567" w:gutter="0"/>
          <w:cols w:space="227"/>
          <w:titlePg/>
          <w:docGrid w:linePitch="360"/>
        </w:sectPr>
      </w:pPr>
    </w:p>
    <w:p w:rsidR="00425FC5" w:rsidRDefault="00425FC5" w:rsidP="008E7A3D"/>
    <w:sectPr w:rsidR="00425FC5" w:rsidSect="001714A4">
      <w:headerReference w:type="even" r:id="rId120"/>
      <w:headerReference w:type="default" r:id="rId121"/>
      <w:footerReference w:type="even" r:id="rId122"/>
      <w:footerReference w:type="default" r:id="rId123"/>
      <w:headerReference w:type="first" r:id="rId124"/>
      <w:footerReference w:type="first" r:id="rId125"/>
      <w:pgSz w:w="11907" w:h="16840" w:code="9"/>
      <w:pgMar w:top="1588" w:right="1843" w:bottom="1418" w:left="1843" w:header="567" w:footer="567"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A7" w:rsidRDefault="003952A7" w:rsidP="004343B3">
      <w:pPr>
        <w:pStyle w:val="Separator"/>
      </w:pPr>
      <w:r>
        <w:separator/>
      </w:r>
    </w:p>
    <w:p w:rsidR="003952A7" w:rsidRDefault="003952A7"/>
  </w:endnote>
  <w:endnote w:type="continuationSeparator" w:id="0">
    <w:p w:rsidR="003952A7" w:rsidRDefault="003952A7" w:rsidP="004343B3">
      <w:pPr>
        <w:pStyle w:val="Separator"/>
      </w:pPr>
      <w:r>
        <w:continuationSeparator/>
      </w:r>
    </w:p>
    <w:p w:rsidR="003952A7" w:rsidRDefault="003952A7"/>
  </w:endnote>
  <w:endnote w:type="continuationNotice" w:id="1">
    <w:p w:rsidR="003952A7" w:rsidRDefault="003952A7" w:rsidP="004343B3">
      <w:pPr>
        <w:pStyle w:val="Separator"/>
      </w:pPr>
    </w:p>
    <w:p w:rsidR="003952A7" w:rsidRDefault="00395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pPr>
      <w:pStyle w:val="Footer"/>
    </w:pPr>
    <w:bookmarkStart w:id="0" w:name="CoverFixedLogo"/>
    <w:r>
      <w:rPr>
        <w:noProof/>
        <w:snapToGrid/>
        <w:lang w:eastAsia="en-AU"/>
      </w:rPr>
      <w:drawing>
        <wp:inline distT="0" distB="0" distL="0" distR="0" wp14:anchorId="706CF12B" wp14:editId="1E6CE281">
          <wp:extent cx="1250191" cy="941695"/>
          <wp:effectExtent l="0" t="0" r="7620" b="0"/>
          <wp:docPr id="10" name="PwCLogoFL" descr="This is an image of the 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wC new Visual Identity\Logos\Fixed\Print\EPS\PwC_fl_4cp 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0191" cy="941695"/>
                  </a:xfrm>
                  <a:prstGeom prst="rect">
                    <a:avLst/>
                  </a:prstGeom>
                  <a:noFill/>
                  <a:ln w="9525">
                    <a:noFill/>
                    <a:miter lim="800000"/>
                    <a:headEnd/>
                    <a:tailEnd/>
                  </a:ln>
                </pic:spPr>
              </pic:pic>
            </a:graphicData>
          </a:graphic>
        </wp:inline>
      </w:drawing>
    </w:r>
    <w:bookmarkEnd w:id="0"/>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BE1656">
    <w:pPr>
      <w:pStyle w:val="Footer-ToC"/>
    </w:pPr>
    <w:r w:rsidRPr="00BE1656">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sidR="004A0183">
        <w:rPr>
          <w:noProof/>
        </w:rPr>
        <w:instrText>Round 17 Independent Financial Review of the National Hospital Cost Data Collection</w:instrText>
      </w:r>
    </w:fldSimple>
  </w:p>
  <w:p w:rsidR="003952A7" w:rsidRDefault="003952A7" w:rsidP="00BE1656">
    <w:pPr>
      <w:pStyle w:val="Footer-ToC"/>
    </w:pPr>
    <w:r>
      <w:instrText>PwC</w:instrText>
    </w:r>
    <w:r>
      <w:ptab w:relativeTo="margin" w:alignment="right" w:leader="none"/>
    </w:r>
    <w:r>
      <w:fldChar w:fldCharType="begin"/>
    </w:r>
    <w:r>
      <w:instrText xml:space="preserve"> PAGE </w:instrText>
    </w:r>
    <w:r>
      <w:fldChar w:fldCharType="separate"/>
    </w:r>
    <w:r w:rsidR="004A0183">
      <w:rPr>
        <w:noProof/>
      </w:rPr>
      <w:instrText>146</w:instrText>
    </w:r>
    <w:r>
      <w:rPr>
        <w:noProof/>
      </w:rPr>
      <w:fldChar w:fldCharType="end"/>
    </w:r>
    <w:r>
      <w:instrText xml:space="preserve">" </w:instrText>
    </w:r>
    <w:r w:rsidRPr="00BE1656">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3952A7" w:rsidRDefault="003952A7" w:rsidP="00BE1656">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3952A7" w:rsidRDefault="003952A7" w:rsidP="00BE1656">
    <w:pPr>
      <w:pStyle w:val="Footer-ToC"/>
    </w:pPr>
    <w:r>
      <w:instrText>" "</w:instrText>
    </w:r>
    <w:r>
      <w:ptab w:relativeTo="margin" w:alignment="right" w:leader="none"/>
    </w:r>
    <w:fldSimple w:instr=" STYLEREF &quot;Cover title&quot; ">
      <w:r>
        <w:rPr>
          <w:noProof/>
        </w:rPr>
        <w:instrText>Prospect name</w:instrText>
      </w:r>
    </w:fldSimple>
  </w:p>
  <w:p w:rsidR="003952A7" w:rsidRDefault="003952A7" w:rsidP="00BE1656">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3952A7" w:rsidRPr="00BE1656" w:rsidRDefault="003952A7" w:rsidP="00BE1656">
    <w:pPr>
      <w:pStyle w:val="Footer-ToC"/>
      <w:rPr>
        <w:noProof/>
        <w:sz w:val="2"/>
      </w:rPr>
    </w:pPr>
    <w:r w:rsidRPr="00BE1656">
      <w:rPr>
        <w:sz w:val="2"/>
      </w:rPr>
      <w:instrText xml:space="preserve">" </w:instrText>
    </w:r>
    <w:r w:rsidRPr="00BE1656">
      <w:rPr>
        <w:sz w:val="2"/>
      </w:rPr>
      <w:fldChar w:fldCharType="separate"/>
    </w:r>
    <w:r w:rsidRPr="00BE1656">
      <w:rPr>
        <w:noProof/>
        <w:sz w:val="2"/>
      </w:rPr>
      <w:instrText>Prospect name</w:instrText>
    </w:r>
  </w:p>
  <w:p w:rsidR="003952A7" w:rsidRPr="00BE1656" w:rsidRDefault="003952A7" w:rsidP="00BE1656">
    <w:pPr>
      <w:pStyle w:val="Footer-ToC"/>
      <w:rPr>
        <w:noProof/>
        <w:sz w:val="2"/>
      </w:rPr>
    </w:pPr>
    <w:r w:rsidRPr="00BE1656">
      <w:rPr>
        <w:noProof/>
        <w:sz w:val="2"/>
      </w:rPr>
      <w:instrText>PwC</w:instrText>
    </w:r>
    <w:r w:rsidRPr="00BE1656">
      <w:rPr>
        <w:noProof/>
        <w:sz w:val="2"/>
      </w:rPr>
      <w:tab/>
      <w:instrText>5</w:instrText>
    </w:r>
    <w:r w:rsidRPr="00BE1656">
      <w:rPr>
        <w:noProof/>
        <w:sz w:val="2"/>
      </w:rPr>
      <w:tab/>
      <w:instrText>WWYLTG?</w:instrText>
    </w:r>
  </w:p>
  <w:p w:rsidR="004A0183" w:rsidRDefault="003952A7" w:rsidP="00BE1656">
    <w:pPr>
      <w:pStyle w:val="Footer-ToC"/>
      <w:rPr>
        <w:noProof/>
      </w:rPr>
    </w:pPr>
    <w:r w:rsidRPr="00BE1656">
      <w:rPr>
        <w:sz w:val="2"/>
      </w:rPr>
      <w:fldChar w:fldCharType="end"/>
    </w:r>
    <w:r w:rsidRPr="00BE1656">
      <w:rPr>
        <w:sz w:val="2"/>
      </w:rPr>
      <w:instrText xml:space="preserve"> </w:instrText>
    </w:r>
    <w:r w:rsidRPr="00BE1656">
      <w:rPr>
        <w:sz w:val="2"/>
      </w:rPr>
      <w:fldChar w:fldCharType="separate"/>
    </w:r>
    <w:r w:rsidR="004A0183">
      <w:rPr>
        <w:noProof/>
      </w:rPr>
      <w:t>Round 17 Independent Financial Review of the National Hospital Cost Data Collection</w:t>
    </w:r>
  </w:p>
  <w:p w:rsidR="003952A7" w:rsidRPr="00BE1656" w:rsidRDefault="004A0183" w:rsidP="00BE1656">
    <w:pPr>
      <w:pStyle w:val="Footer-ToC"/>
      <w:rPr>
        <w:sz w:val="2"/>
      </w:rPr>
    </w:pPr>
    <w:r>
      <w:rPr>
        <w:noProof/>
      </w:rPr>
      <w:t>PwC</w:t>
    </w:r>
    <w:r>
      <w:rPr>
        <w:noProof/>
      </w:rPr>
      <w:ptab w:relativeTo="margin" w:alignment="right" w:leader="none"/>
    </w:r>
    <w:r>
      <w:rPr>
        <w:noProof/>
      </w:rPr>
      <w:t>146</w:t>
    </w:r>
    <w:r w:rsidR="003952A7" w:rsidRPr="00BE1656">
      <w:rPr>
        <w:sz w:val="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A84ADF" w:rsidRDefault="003952A7" w:rsidP="008E7A3D">
    <w:pPr>
      <w:pStyle w:val="Copyright"/>
      <w:framePr w:w="0" w:wrap="auto" w:vAnchor="margin" w:hAnchor="text" w:xAlign="left" w:yAlign="inline"/>
    </w:pPr>
    <w:r>
      <w:t>© 2013 PricewaterhouseCoopers. All rights reserved.</w:t>
    </w:r>
    <w:r>
      <w:br/>
      <w:t>PwC refers to the Australian member firm, and may sometimes refer to the PwC network.</w:t>
    </w:r>
    <w:r>
      <w:br/>
      <w:t xml:space="preserve">Each member firm is a separate legal entity. Please see </w:t>
    </w:r>
    <w:r w:rsidRPr="00B95011">
      <w:t>www.pwc.com/structure</w:t>
    </w:r>
    <w:r>
      <w:t xml:space="preserve"> for further details.</w:t>
    </w:r>
    <w:r>
      <w:br/>
    </w:r>
    <w:r>
      <w:br/>
    </w:r>
    <w:r w:rsidRPr="00A75868">
      <w:t>Liability limited by a scheme approved under Professional Standards Legislation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A84ADF" w:rsidRDefault="003952A7" w:rsidP="003333C5">
    <w:pPr>
      <w:pStyle w:val="Copyright"/>
      <w:framePr w:w="0" w:wrap="auto" w:vAnchor="margin" w:hAnchor="text" w:xAlign="left" w:yAlign="inline"/>
    </w:pPr>
    <w:r>
      <w:t>© 2013 PricewaterhouseCoopers. All rights reserved.</w:t>
    </w:r>
    <w:r>
      <w:br/>
      <w:t>PwC refers to the Australian member firm, and may sometimes refer to the PwC network.</w:t>
    </w:r>
    <w:r>
      <w:br/>
      <w:t xml:space="preserve">Each member firm is a separate legal entity. Please see </w:t>
    </w:r>
    <w:r w:rsidRPr="00B95011">
      <w:t>www.pwc.com/structure</w:t>
    </w:r>
    <w:r>
      <w:t xml:space="preserve"> for further details.</w:t>
    </w:r>
    <w:r>
      <w:br/>
    </w:r>
    <w:r>
      <w:br/>
    </w:r>
    <w:r w:rsidRPr="00A75868">
      <w:t>Liability limited by a scheme approved under Professional Standards Legislation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A84ADF" w:rsidRDefault="003952A7" w:rsidP="008E7A3D">
    <w:pPr>
      <w:pStyle w:val="Copyright"/>
      <w:framePr w:w="0" w:wrap="auto" w:vAnchor="margin" w:hAnchor="text" w:xAlign="left" w:yAlign="inline"/>
    </w:pPr>
    <w:r>
      <w:t>© 2014 PricewaterhouseCoopers. All rights reserved.</w:t>
    </w:r>
    <w:r>
      <w:br/>
      <w:t>PwC refers to the Australian member firm, and may sometimes refer to the PwC network.</w:t>
    </w:r>
    <w:r>
      <w:br/>
      <w:t xml:space="preserve">Each member firm is a separate legal entity. Please see </w:t>
    </w:r>
    <w:r w:rsidRPr="00B95011">
      <w:t>www.pwc.com/structure</w:t>
    </w:r>
    <w:r>
      <w:t xml:space="preserve"> for further details.</w:t>
    </w:r>
    <w:r>
      <w:br/>
    </w:r>
    <w:r>
      <w:br/>
    </w:r>
    <w:r w:rsidRPr="00A75868">
      <w:t>Liability limited by a scheme approved under Professional Standards Legislation</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BE1656">
    <w:pPr>
      <w:pStyle w:val="Footer-ToCEven"/>
    </w:pPr>
    <w:fldSimple w:instr=" STYLEREF &quot;Cover Title&quot; ">
      <w:r w:rsidR="004A0183">
        <w:rPr>
          <w:noProof/>
        </w:rPr>
        <w:t>Round 17 Independent Financial Review of the National Hospital Cost Data Collection</w:t>
      </w:r>
    </w:fldSimple>
  </w:p>
  <w:p w:rsidR="003952A7" w:rsidRPr="006650EF" w:rsidRDefault="003952A7" w:rsidP="00BE1656">
    <w:pPr>
      <w:pStyle w:val="Footer-ToCEven"/>
    </w:pPr>
    <w:r>
      <w:t>PwC</w:t>
    </w:r>
    <w:r>
      <w:tab/>
    </w:r>
    <w:r>
      <w:fldChar w:fldCharType="begin"/>
    </w:r>
    <w:r>
      <w:instrText xml:space="preserve"> PAGE  \* MERGEFORMAT </w:instrText>
    </w:r>
    <w:r>
      <w:fldChar w:fldCharType="separate"/>
    </w:r>
    <w:r w:rsidR="004A0183">
      <w:rPr>
        <w:noProof/>
      </w:rPr>
      <w:t>iv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BE1656">
    <w:pPr>
      <w:pStyle w:val="Footer-ToC"/>
    </w:pPr>
    <w:fldSimple w:instr=" STYLEREF &quot;Cover Title&quot; ">
      <w:r w:rsidR="004A0183">
        <w:rPr>
          <w:noProof/>
        </w:rPr>
        <w:t>Round 17 Independent Financial Review of the National Hospital Cost Data Collection</w:t>
      </w:r>
    </w:fldSimple>
  </w:p>
  <w:p w:rsidR="003952A7" w:rsidRPr="00A84ADF" w:rsidRDefault="003952A7" w:rsidP="00BE1656">
    <w:pPr>
      <w:pStyle w:val="Footer-ToC"/>
    </w:pPr>
    <w:r>
      <w:t>PwC</w:t>
    </w:r>
    <w:r>
      <w:tab/>
    </w:r>
    <w:r>
      <w:fldChar w:fldCharType="begin"/>
    </w:r>
    <w:r>
      <w:instrText xml:space="preserve"> PAGE  \* MERGEFORMAT </w:instrText>
    </w:r>
    <w:r>
      <w:fldChar w:fldCharType="separate"/>
    </w:r>
    <w:r w:rsidR="004A0183">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BE1656">
    <w:pPr>
      <w:pStyle w:val="Footer-ToC"/>
    </w:pPr>
    <w:r w:rsidRPr="006650EF">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sidR="004A0183">
        <w:rPr>
          <w:noProof/>
        </w:rPr>
        <w:instrText>Round 17 Independent Financial Review of the National Hospital Cost Data Collection</w:instrText>
      </w:r>
    </w:fldSimple>
  </w:p>
  <w:p w:rsidR="003952A7" w:rsidRDefault="003952A7" w:rsidP="00BE1656">
    <w:pPr>
      <w:pStyle w:val="Footer-ToC"/>
    </w:pPr>
    <w:r>
      <w:instrText>PwC</w:instrText>
    </w:r>
    <w:r>
      <w:ptab w:relativeTo="margin" w:alignment="right" w:leader="none"/>
    </w:r>
    <w:r>
      <w:fldChar w:fldCharType="begin"/>
    </w:r>
    <w:r>
      <w:instrText xml:space="preserve"> PAGE </w:instrText>
    </w:r>
    <w:r>
      <w:fldChar w:fldCharType="separate"/>
    </w:r>
    <w:r w:rsidR="004A0183">
      <w:rPr>
        <w:noProof/>
      </w:rPr>
      <w:instrText>i</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3952A7" w:rsidRDefault="003952A7" w:rsidP="00BE1656">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3952A7" w:rsidRDefault="003952A7" w:rsidP="00BE1656">
    <w:pPr>
      <w:pStyle w:val="Footer-ToC"/>
    </w:pPr>
    <w:r>
      <w:instrText>" "</w:instrText>
    </w:r>
    <w:r>
      <w:ptab w:relativeTo="margin" w:alignment="right" w:leader="none"/>
    </w:r>
    <w:fldSimple w:instr=" STYLEREF &quot;Cover title&quot; ">
      <w:r>
        <w:rPr>
          <w:noProof/>
        </w:rPr>
        <w:instrText>Prospect name</w:instrText>
      </w:r>
    </w:fldSimple>
  </w:p>
  <w:p w:rsidR="003952A7" w:rsidRDefault="003952A7" w:rsidP="00BE1656">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3952A7" w:rsidRPr="006650EF" w:rsidRDefault="003952A7" w:rsidP="00BE1656">
    <w:pPr>
      <w:pStyle w:val="Footer-ToC"/>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3952A7" w:rsidRPr="006650EF" w:rsidRDefault="003952A7" w:rsidP="00BE1656">
    <w:pPr>
      <w:pStyle w:val="Footer-ToC"/>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4A0183" w:rsidRDefault="003952A7" w:rsidP="00BE1656">
    <w:pPr>
      <w:pStyle w:val="Footer-ToC"/>
      <w:rPr>
        <w:noProof/>
      </w:rPr>
    </w:pPr>
    <w:r w:rsidRPr="006650EF">
      <w:rPr>
        <w:sz w:val="2"/>
      </w:rPr>
      <w:fldChar w:fldCharType="end"/>
    </w:r>
    <w:r w:rsidRPr="006650EF">
      <w:rPr>
        <w:sz w:val="2"/>
      </w:rPr>
      <w:instrText xml:space="preserve"> </w:instrText>
    </w:r>
    <w:r w:rsidRPr="006650EF">
      <w:rPr>
        <w:sz w:val="2"/>
      </w:rPr>
      <w:fldChar w:fldCharType="separate"/>
    </w:r>
    <w:r w:rsidR="004A0183">
      <w:rPr>
        <w:noProof/>
      </w:rPr>
      <w:t>Round 17 Independent Financial Review of the National Hospital Cost Data Collection</w:t>
    </w:r>
  </w:p>
  <w:p w:rsidR="003952A7" w:rsidRPr="006650EF" w:rsidRDefault="004A0183" w:rsidP="00BE1656">
    <w:pPr>
      <w:pStyle w:val="Footer-ToC"/>
      <w:rPr>
        <w:sz w:val="2"/>
      </w:rPr>
    </w:pPr>
    <w:r>
      <w:rPr>
        <w:noProof/>
      </w:rPr>
      <w:t>PwC</w:t>
    </w:r>
    <w:r>
      <w:rPr>
        <w:noProof/>
      </w:rPr>
      <w:ptab w:relativeTo="margin" w:alignment="right" w:leader="none"/>
    </w:r>
    <w:r>
      <w:rPr>
        <w:noProof/>
      </w:rPr>
      <w:t>i</w:t>
    </w:r>
    <w:r w:rsidR="003952A7" w:rsidRPr="006650EF">
      <w:rPr>
        <w:sz w:val="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BE1656">
    <w:pPr>
      <w:pStyle w:val="Footer-Even"/>
    </w:pPr>
    <w:fldSimple w:instr=" STYLEREF &quot;Cover Title&quot; ">
      <w:r w:rsidR="004A0183">
        <w:rPr>
          <w:noProof/>
        </w:rPr>
        <w:t>Round 17 Independent Financial Review of the National Hospital Cost Data Collection</w:t>
      </w:r>
    </w:fldSimple>
  </w:p>
  <w:p w:rsidR="003952A7" w:rsidRPr="006650EF" w:rsidRDefault="003952A7" w:rsidP="00BE1656">
    <w:pPr>
      <w:pStyle w:val="Footer-Even"/>
    </w:pPr>
    <w:r>
      <w:t>PwC</w:t>
    </w:r>
    <w:r>
      <w:ptab w:relativeTo="margin" w:alignment="right" w:leader="none"/>
    </w:r>
    <w:r>
      <w:fldChar w:fldCharType="begin"/>
    </w:r>
    <w:r>
      <w:instrText xml:space="preserve"> PAGE  \* MERGEFORMAT </w:instrText>
    </w:r>
    <w:r>
      <w:fldChar w:fldCharType="separate"/>
    </w:r>
    <w:r w:rsidR="004A0183">
      <w:rPr>
        <w:noProof/>
      </w:rPr>
      <w:t>144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8C6722" w:rsidRDefault="003952A7" w:rsidP="00BE1656">
    <w:pPr>
      <w:pStyle w:val="Footer"/>
    </w:pPr>
    <w:fldSimple w:instr=" STYLEREF &quot;Cover Title&quot; ">
      <w:r w:rsidR="004A0183">
        <w:rPr>
          <w:noProof/>
        </w:rPr>
        <w:t>Round 17 Independent Financial Review of the National Hospital Cost Data Collection</w:t>
      </w:r>
    </w:fldSimple>
  </w:p>
  <w:p w:rsidR="003952A7" w:rsidRPr="008C6722" w:rsidRDefault="003952A7" w:rsidP="00BE1656">
    <w:pPr>
      <w:pStyle w:val="Footer"/>
    </w:pPr>
    <w:r w:rsidRPr="008C6722">
      <w:t>PwC</w:t>
    </w:r>
    <w:r>
      <w:ptab w:relativeTo="margin" w:alignment="right" w:leader="none"/>
    </w:r>
    <w:r>
      <w:fldChar w:fldCharType="begin"/>
    </w:r>
    <w:r>
      <w:instrText xml:space="preserve"> PAGE  \* MERGEFORMAT </w:instrText>
    </w:r>
    <w:r>
      <w:fldChar w:fldCharType="separate"/>
    </w:r>
    <w:r w:rsidR="004A0183">
      <w:rPr>
        <w:noProof/>
      </w:rPr>
      <w:t>143</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6650EF">
    <w:pPr>
      <w:pStyle w:val="Footer"/>
    </w:pPr>
    <w:r w:rsidRPr="006650EF">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sidR="004A0183">
        <w:rPr>
          <w:noProof/>
        </w:rPr>
        <w:instrText>Round 17 Independent Financial Review of the National Hospital Cost Data Collection</w:instrText>
      </w:r>
    </w:fldSimple>
  </w:p>
  <w:p w:rsidR="003952A7" w:rsidRDefault="003952A7" w:rsidP="006650EF">
    <w:pPr>
      <w:pStyle w:val="Footer"/>
    </w:pPr>
    <w:r>
      <w:instrText>PwC</w:instrText>
    </w:r>
    <w:r>
      <w:ptab w:relativeTo="margin" w:alignment="right" w:leader="none"/>
    </w:r>
    <w:r>
      <w:fldChar w:fldCharType="begin"/>
    </w:r>
    <w:r>
      <w:instrText xml:space="preserve"> PAGE </w:instrText>
    </w:r>
    <w:r>
      <w:fldChar w:fldCharType="separate"/>
    </w:r>
    <w:r w:rsidR="004A0183">
      <w:rPr>
        <w:noProof/>
      </w:rPr>
      <w:instrText>5</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3952A7" w:rsidRDefault="003952A7"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3952A7" w:rsidRDefault="003952A7" w:rsidP="006650EF">
    <w:pPr>
      <w:pStyle w:val="Footer-Even"/>
    </w:pPr>
    <w:r>
      <w:instrText>" "</w:instrText>
    </w:r>
    <w:r>
      <w:ptab w:relativeTo="margin" w:alignment="right" w:leader="none"/>
    </w:r>
    <w:fldSimple w:instr=" STYLEREF &quot;Cover title&quot; ">
      <w:r>
        <w:rPr>
          <w:noProof/>
        </w:rPr>
        <w:instrText>Prospect name</w:instrText>
      </w:r>
    </w:fldSimple>
  </w:p>
  <w:p w:rsidR="003952A7" w:rsidRDefault="003952A7"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3952A7" w:rsidRPr="006650EF" w:rsidRDefault="003952A7"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3952A7" w:rsidRPr="006650EF" w:rsidRDefault="003952A7"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4A0183" w:rsidRDefault="003952A7"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sidR="004A0183">
      <w:rPr>
        <w:noProof/>
      </w:rPr>
      <w:t>Round 17 Independent Financial Review of the National Hospital Cost Data Collection</w:t>
    </w:r>
  </w:p>
  <w:p w:rsidR="003952A7" w:rsidRPr="006650EF" w:rsidRDefault="004A0183" w:rsidP="006650EF">
    <w:pPr>
      <w:pStyle w:val="Footer"/>
      <w:rPr>
        <w:sz w:val="2"/>
      </w:rPr>
    </w:pPr>
    <w:r>
      <w:rPr>
        <w:noProof/>
      </w:rPr>
      <w:t>PwC</w:t>
    </w:r>
    <w:r>
      <w:rPr>
        <w:noProof/>
      </w:rPr>
      <w:ptab w:relativeTo="margin" w:alignment="right" w:leader="none"/>
    </w:r>
    <w:r>
      <w:rPr>
        <w:noProof/>
      </w:rPr>
      <w:t>5</w:t>
    </w:r>
    <w:r w:rsidR="003952A7" w:rsidRPr="006650EF">
      <w:rPr>
        <w:sz w:val="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BE1656">
    <w:pPr>
      <w:pStyle w:val="Footer-ToCEven"/>
    </w:pPr>
    <w:fldSimple w:instr=" STYLEREF &quot;Cover Title&quot; ">
      <w:r>
        <w:rPr>
          <w:noProof/>
        </w:rPr>
        <w:t>Round 17 Independent Financial Review of the National Hospital Cost Data Collection</w:t>
      </w:r>
    </w:fldSimple>
  </w:p>
  <w:p w:rsidR="003952A7" w:rsidRPr="002628D1" w:rsidRDefault="003952A7" w:rsidP="00BE1656">
    <w:pPr>
      <w:pStyle w:val="Footer-ToCEven"/>
    </w:pPr>
    <w:r>
      <w:t>PwC</w:t>
    </w:r>
    <w:r>
      <w:tab/>
    </w:r>
    <w:r>
      <w:fldChar w:fldCharType="begin"/>
    </w:r>
    <w:r>
      <w:instrText xml:space="preserve"> PAGE  \* MERGEFORMAT </w:instrText>
    </w:r>
    <w:r>
      <w:fldChar w:fldCharType="separate"/>
    </w:r>
    <w:r>
      <w:rPr>
        <w:noProof/>
      </w:rPr>
      <w:t>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8C6722" w:rsidRDefault="003952A7" w:rsidP="00BE1656">
    <w:pPr>
      <w:pStyle w:val="Footer-ToC"/>
    </w:pPr>
    <w:fldSimple w:instr=" STYLEREF &quot;Cover Title&quot; ">
      <w:r>
        <w:rPr>
          <w:noProof/>
        </w:rPr>
        <w:t>Round 17 Independent Financial Review of the National Hospital Cost Data Collection</w:t>
      </w:r>
    </w:fldSimple>
  </w:p>
  <w:p w:rsidR="003952A7" w:rsidRPr="008C6722" w:rsidRDefault="003952A7" w:rsidP="00BE1656">
    <w:pPr>
      <w:pStyle w:val="Footer-ToC"/>
    </w:pPr>
    <w:r w:rsidRPr="008C6722">
      <w:t>PwC</w:t>
    </w:r>
    <w:r w:rsidRPr="008C6722">
      <w:tab/>
    </w:r>
    <w:r>
      <w:fldChar w:fldCharType="begin"/>
    </w:r>
    <w:r>
      <w:instrText xml:space="preserve"> PAGE  \* MERGEFORMAT </w:instrText>
    </w:r>
    <w:r>
      <w:fldChar w:fldCharType="separate"/>
    </w:r>
    <w:r>
      <w:rPr>
        <w:noProof/>
      </w:rPr>
      <w:t>161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A7" w:rsidRDefault="003952A7" w:rsidP="004343B3">
      <w:pPr>
        <w:pStyle w:val="Separator"/>
      </w:pPr>
      <w:r>
        <w:separator/>
      </w:r>
    </w:p>
    <w:p w:rsidR="003952A7" w:rsidRDefault="003952A7"/>
  </w:footnote>
  <w:footnote w:type="continuationSeparator" w:id="0">
    <w:p w:rsidR="003952A7" w:rsidRDefault="003952A7" w:rsidP="004343B3">
      <w:pPr>
        <w:pStyle w:val="Separator"/>
      </w:pPr>
      <w:r>
        <w:continuationSeparator/>
      </w:r>
    </w:p>
    <w:p w:rsidR="003952A7" w:rsidRDefault="003952A7"/>
  </w:footnote>
  <w:footnote w:type="continuationNotice" w:id="1">
    <w:p w:rsidR="003952A7" w:rsidRPr="00F20B7D" w:rsidRDefault="003952A7" w:rsidP="00F20B7D">
      <w:pPr>
        <w:pStyle w:val="Footer"/>
        <w:rPr>
          <w:sz w:val="2"/>
          <w:szCs w:val="2"/>
        </w:rPr>
      </w:pPr>
    </w:p>
    <w:p w:rsidR="003952A7" w:rsidRDefault="003952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9B05E3" w:rsidRDefault="003952A7" w:rsidP="00574287">
    <w:pPr>
      <w:pStyle w:val="Header-Even"/>
    </w:pPr>
    <w:r>
      <w:fldChar w:fldCharType="begin"/>
    </w:r>
    <w:r>
      <w:instrText xml:space="preserve"> STYLEREF "Heading 4" </w:instrText>
    </w:r>
    <w:r>
      <w:fldChar w:fldCharType="separate"/>
    </w:r>
    <w:r>
      <w:rPr>
        <w:b/>
        <w:bCs/>
        <w:noProof/>
        <w:lang w:val="en-US"/>
      </w:rPr>
      <w:t>Error! No text of specified style in document.</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9B05E3" w:rsidRDefault="003952A7" w:rsidP="009B05E3">
    <w:pPr>
      <w:pStyle w:val="Header"/>
    </w:pPr>
    <w:r>
      <w:fldChar w:fldCharType="begin"/>
    </w:r>
    <w:r>
      <w:instrText xml:space="preserve"> STYLEREF "Heading 4" </w:instrText>
    </w:r>
    <w:r>
      <w:fldChar w:fldCharType="separate"/>
    </w:r>
    <w:r>
      <w:rPr>
        <w:b/>
        <w:bCs/>
        <w:noProof/>
        <w:lang w:val="en-US"/>
      </w:rPr>
      <w:t>Error! No text of specified style in document.</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91050E">
    <w:pPr>
      <w:pStyle w:val="Header-FirstPage"/>
    </w:pPr>
  </w:p>
  <w:p w:rsidR="003952A7" w:rsidRPr="007E5215" w:rsidRDefault="003952A7" w:rsidP="007E5215">
    <w:pPr>
      <w:pStyle w:val="FirstPagePanelFrame-Contents"/>
      <w:framePr w:wrap="notBesid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8E7A3D">
    <w:pPr>
      <w:pStyle w:val="URL"/>
    </w:pPr>
    <w:r>
      <w:t>www.pwc.com.au</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8E7A3D">
    <w:pPr>
      <w:pStyle w:val="URL"/>
    </w:pPr>
    <w:r>
      <w:t>www.pwc.com.au</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8E7A3D">
    <w:pPr>
      <w:pStyle w:val="URL"/>
    </w:pPr>
    <w:r>
      <w:t>www.pwc.com.au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0F4EB8" w:rsidRDefault="003952A7" w:rsidP="000F4EB8">
    <w:pPr>
      <w:pStyle w:val="URLCover"/>
      <w:rPr>
        <w:rFonts w:eastAsia="+mn-ea"/>
      </w:rPr>
    </w:pPr>
    <w:r>
      <w:rPr>
        <w:rFonts w:eastAsia="+mn-ea"/>
      </w:rPr>
      <w:t>www.pwc.com.au</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5D1FC6" w:rsidRDefault="003952A7" w:rsidP="005D1FC6">
    <w:pPr>
      <w:pStyle w:val="Header"/>
    </w:pPr>
    <w:fldSimple w:instr=" STYLEREF &quot;TOC Title&quot; ">
      <w:r w:rsidR="004A0183">
        <w:rPr>
          <w:noProof/>
        </w:rPr>
        <w:t>Contents</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5D1FC6" w:rsidRDefault="003952A7" w:rsidP="005D1FC6">
    <w:pPr>
      <w:pStyle w:val="Header"/>
    </w:pPr>
    <w:r>
      <w:fldChar w:fldCharType="begin"/>
    </w:r>
    <w:r>
      <w:instrText>STYLEREF "Heading 2"</w:instrText>
    </w:r>
    <w:r>
      <w:fldChar w:fldCharType="separate"/>
    </w:r>
    <w:r w:rsidR="004A0183">
      <w:rPr>
        <w:noProof/>
      </w:rPr>
      <w:t>Overview and scope</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4521EC">
    <w:pPr>
      <w:pStyle w:val="Header"/>
    </w:pPr>
  </w:p>
  <w:p w:rsidR="003952A7" w:rsidRPr="00460052" w:rsidRDefault="003952A7" w:rsidP="00460052">
    <w:pPr>
      <w:pStyle w:val="FirstPagePanelFrame-Contents"/>
      <w:framePr w:wrap="notBesid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BE1656" w:rsidRDefault="003952A7" w:rsidP="00BE1656">
    <w:pPr>
      <w:pStyle w:val="Header-Even"/>
    </w:pPr>
    <w:r>
      <w:rPr>
        <w:noProof/>
        <w:snapToGrid/>
        <w:lang w:eastAsia="en-AU"/>
      </w:rPr>
      <w:fldChar w:fldCharType="begin"/>
    </w:r>
    <w:r>
      <w:rPr>
        <w:noProof/>
        <w:snapToGrid/>
        <w:lang w:eastAsia="en-AU"/>
      </w:rPr>
      <w:instrText xml:space="preserve"> STYLEREF "Heading 1" </w:instrText>
    </w:r>
    <w:r>
      <w:rPr>
        <w:noProof/>
        <w:snapToGrid/>
        <w:lang w:eastAsia="en-AU"/>
      </w:rPr>
      <w:fldChar w:fldCharType="separate"/>
    </w:r>
    <w:r w:rsidR="004A0183">
      <w:rPr>
        <w:noProof/>
        <w:snapToGrid/>
        <w:lang w:eastAsia="en-AU"/>
      </w:rPr>
      <w:t>Peer review outcomes</w:t>
    </w:r>
    <w:r>
      <w:rPr>
        <w:noProof/>
        <w:snapToGrid/>
        <w:lang w:eastAsia="en-AU"/>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Pr="00BE1656" w:rsidRDefault="003952A7" w:rsidP="00BE1656">
    <w:pPr>
      <w:pStyle w:val="Header"/>
    </w:pPr>
    <w:r>
      <w:rPr>
        <w:noProof/>
        <w:snapToGrid/>
        <w:lang w:eastAsia="en-AU"/>
      </w:rPr>
      <w:fldChar w:fldCharType="begin"/>
    </w:r>
    <w:r>
      <w:rPr>
        <w:noProof/>
        <w:snapToGrid/>
        <w:lang w:eastAsia="en-AU"/>
      </w:rPr>
      <w:instrText xml:space="preserve"> STYLEREF "Heading 1" </w:instrText>
    </w:r>
    <w:r>
      <w:rPr>
        <w:noProof/>
        <w:snapToGrid/>
        <w:lang w:eastAsia="en-AU"/>
      </w:rPr>
      <w:fldChar w:fldCharType="separate"/>
    </w:r>
    <w:r w:rsidR="004A0183">
      <w:rPr>
        <w:noProof/>
        <w:snapToGrid/>
        <w:lang w:eastAsia="en-AU"/>
      </w:rPr>
      <w:t>Peer review outcomes</w:t>
    </w:r>
    <w:r>
      <w:rPr>
        <w:noProof/>
        <w:snapToGrid/>
        <w:lang w:eastAsia="en-AU"/>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A7" w:rsidRDefault="003952A7" w:rsidP="0091050E">
    <w:pPr>
      <w:pStyle w:val="Header-FirstPage"/>
    </w:pPr>
  </w:p>
  <w:p w:rsidR="003952A7" w:rsidRPr="00460052" w:rsidRDefault="003952A7" w:rsidP="00460052">
    <w:pPr>
      <w:pStyle w:val="FirstPagePanelFrame"/>
      <w:framePr w:wrap="notBesid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BA38BC"/>
    <w:multiLevelType w:val="hybridMultilevel"/>
    <w:tmpl w:val="743C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nsid w:val="0750314D"/>
    <w:multiLevelType w:val="hybridMultilevel"/>
    <w:tmpl w:val="0504B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CC5A7A"/>
    <w:multiLevelType w:val="hybridMultilevel"/>
    <w:tmpl w:val="A15E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6">
    <w:nsid w:val="089D2791"/>
    <w:multiLevelType w:val="hybridMultilevel"/>
    <w:tmpl w:val="1F44E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B794F69"/>
    <w:multiLevelType w:val="hybridMultilevel"/>
    <w:tmpl w:val="6220D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B25075"/>
    <w:multiLevelType w:val="hybridMultilevel"/>
    <w:tmpl w:val="CB60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3">
    <w:nsid w:val="11C562C8"/>
    <w:multiLevelType w:val="hybridMultilevel"/>
    <w:tmpl w:val="B2EC7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EB4B54"/>
    <w:multiLevelType w:val="hybridMultilevel"/>
    <w:tmpl w:val="4650C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1648F1"/>
    <w:multiLevelType w:val="hybridMultilevel"/>
    <w:tmpl w:val="106A3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9C850D5"/>
    <w:multiLevelType w:val="hybridMultilevel"/>
    <w:tmpl w:val="9BA6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AEC1469"/>
    <w:multiLevelType w:val="hybridMultilevel"/>
    <w:tmpl w:val="55B8F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C30B9B"/>
    <w:multiLevelType w:val="hybridMultilevel"/>
    <w:tmpl w:val="C37C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3">
    <w:nsid w:val="1D65648C"/>
    <w:multiLevelType w:val="multilevel"/>
    <w:tmpl w:val="4230BA96"/>
    <w:lvl w:ilvl="0">
      <w:start w:val="1"/>
      <w:numFmt w:val="bullet"/>
      <w:lvlText w:val=""/>
      <w:lvlJc w:val="left"/>
      <w:pPr>
        <w:ind w:left="0" w:firstLine="0"/>
      </w:pPr>
      <w:rPr>
        <w:rFonts w:ascii="Symbol" w:hAnsi="Symbo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8" w:firstLine="0"/>
      </w:pPr>
      <w:rPr>
        <w:rFonts w:hint="default"/>
      </w:rPr>
    </w:lvl>
    <w:lvl w:ilvl="3">
      <w:start w:val="1"/>
      <w:numFmt w:val="none"/>
      <w:suff w:val="nothing"/>
      <w:lvlText w:val=""/>
      <w:lvlJc w:val="left"/>
      <w:pPr>
        <w:ind w:left="852" w:firstLine="0"/>
      </w:pPr>
      <w:rPr>
        <w:rFonts w:hint="default"/>
      </w:rPr>
    </w:lvl>
    <w:lvl w:ilvl="4">
      <w:start w:val="1"/>
      <w:numFmt w:val="none"/>
      <w:suff w:val="nothing"/>
      <w:lvlText w:val=""/>
      <w:lvlJc w:val="left"/>
      <w:pPr>
        <w:ind w:left="1136" w:firstLine="0"/>
      </w:pPr>
      <w:rPr>
        <w:rFonts w:hint="default"/>
      </w:rPr>
    </w:lvl>
    <w:lvl w:ilvl="5">
      <w:start w:val="1"/>
      <w:numFmt w:val="none"/>
      <w:suff w:val="nothing"/>
      <w:lvlText w:val=""/>
      <w:lvlJc w:val="left"/>
      <w:pPr>
        <w:ind w:left="1420" w:firstLine="0"/>
      </w:pPr>
      <w:rPr>
        <w:rFonts w:hint="default"/>
      </w:rPr>
    </w:lvl>
    <w:lvl w:ilvl="6">
      <w:start w:val="1"/>
      <w:numFmt w:val="none"/>
      <w:suff w:val="nothing"/>
      <w:lvlText w:val=""/>
      <w:lvlJc w:val="left"/>
      <w:pPr>
        <w:ind w:left="1704" w:firstLine="0"/>
      </w:pPr>
      <w:rPr>
        <w:rFonts w:hint="default"/>
      </w:rPr>
    </w:lvl>
    <w:lvl w:ilvl="7">
      <w:start w:val="1"/>
      <w:numFmt w:val="none"/>
      <w:suff w:val="nothing"/>
      <w:lvlText w:val=""/>
      <w:lvlJc w:val="left"/>
      <w:pPr>
        <w:ind w:left="1988" w:firstLine="0"/>
      </w:pPr>
      <w:rPr>
        <w:rFonts w:hint="default"/>
      </w:rPr>
    </w:lvl>
    <w:lvl w:ilvl="8">
      <w:start w:val="1"/>
      <w:numFmt w:val="none"/>
      <w:suff w:val="nothing"/>
      <w:lvlText w:val=""/>
      <w:lvlJc w:val="left"/>
      <w:pPr>
        <w:ind w:left="2272" w:firstLine="0"/>
      </w:pPr>
      <w:rPr>
        <w:rFonts w:hint="default"/>
      </w:rPr>
    </w:lvl>
  </w:abstractNum>
  <w:abstractNum w:abstractNumId="24">
    <w:nsid w:val="1DD07501"/>
    <w:multiLevelType w:val="hybridMultilevel"/>
    <w:tmpl w:val="122C7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E6B1704"/>
    <w:multiLevelType w:val="hybridMultilevel"/>
    <w:tmpl w:val="6FB8565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nsid w:val="1ED33804"/>
    <w:multiLevelType w:val="hybridMultilevel"/>
    <w:tmpl w:val="56C2D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F4D7929"/>
    <w:multiLevelType w:val="hybridMultilevel"/>
    <w:tmpl w:val="F25A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22E0118"/>
    <w:multiLevelType w:val="hybridMultilevel"/>
    <w:tmpl w:val="60DC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5490D01"/>
    <w:multiLevelType w:val="hybridMultilevel"/>
    <w:tmpl w:val="31AE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83947C2"/>
    <w:multiLevelType w:val="multilevel"/>
    <w:tmpl w:val="50B20D3A"/>
    <w:numStyleLink w:val="TableNumberedListSmall"/>
  </w:abstractNum>
  <w:abstractNum w:abstractNumId="31">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2">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3">
    <w:nsid w:val="2CD40821"/>
    <w:multiLevelType w:val="hybridMultilevel"/>
    <w:tmpl w:val="2F483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CE463F8"/>
    <w:multiLevelType w:val="multilevel"/>
    <w:tmpl w:val="642C809C"/>
    <w:lvl w:ilvl="0">
      <w:start w:val="1"/>
      <w:numFmt w:val="bullet"/>
      <w:lvlText w:val=""/>
      <w:lvlJc w:val="left"/>
      <w:pPr>
        <w:ind w:left="0" w:firstLine="0"/>
      </w:pPr>
      <w:rPr>
        <w:rFonts w:ascii="Symbol" w:hAnsi="Symbol" w:hint="default"/>
        <w:color w:val="auto"/>
      </w:rPr>
    </w:lvl>
    <w:lvl w:ilvl="1">
      <w:start w:val="1"/>
      <w:numFmt w:val="bullet"/>
      <w:lvlText w:val=""/>
      <w:lvlJc w:val="left"/>
      <w:pPr>
        <w:ind w:left="284" w:firstLine="0"/>
      </w:pPr>
      <w:rPr>
        <w:rFonts w:ascii="Symbol" w:hAnsi="Symbol" w:hint="default"/>
      </w:rPr>
    </w:lvl>
    <w:lvl w:ilvl="2">
      <w:start w:val="1"/>
      <w:numFmt w:val="none"/>
      <w:suff w:val="nothing"/>
      <w:lvlText w:val=""/>
      <w:lvlJc w:val="left"/>
      <w:pPr>
        <w:ind w:left="568" w:firstLine="0"/>
      </w:pPr>
      <w:rPr>
        <w:rFonts w:hint="default"/>
      </w:rPr>
    </w:lvl>
    <w:lvl w:ilvl="3">
      <w:start w:val="1"/>
      <w:numFmt w:val="none"/>
      <w:suff w:val="nothing"/>
      <w:lvlText w:val=""/>
      <w:lvlJc w:val="left"/>
      <w:pPr>
        <w:ind w:left="852" w:firstLine="0"/>
      </w:pPr>
      <w:rPr>
        <w:rFonts w:hint="default"/>
      </w:rPr>
    </w:lvl>
    <w:lvl w:ilvl="4">
      <w:start w:val="1"/>
      <w:numFmt w:val="none"/>
      <w:suff w:val="nothing"/>
      <w:lvlText w:val=""/>
      <w:lvlJc w:val="left"/>
      <w:pPr>
        <w:ind w:left="1136" w:firstLine="0"/>
      </w:pPr>
      <w:rPr>
        <w:rFonts w:hint="default"/>
      </w:rPr>
    </w:lvl>
    <w:lvl w:ilvl="5">
      <w:start w:val="1"/>
      <w:numFmt w:val="none"/>
      <w:suff w:val="nothing"/>
      <w:lvlText w:val=""/>
      <w:lvlJc w:val="left"/>
      <w:pPr>
        <w:ind w:left="1420" w:firstLine="0"/>
      </w:pPr>
      <w:rPr>
        <w:rFonts w:hint="default"/>
      </w:rPr>
    </w:lvl>
    <w:lvl w:ilvl="6">
      <w:start w:val="1"/>
      <w:numFmt w:val="none"/>
      <w:suff w:val="nothing"/>
      <w:lvlText w:val=""/>
      <w:lvlJc w:val="left"/>
      <w:pPr>
        <w:ind w:left="1704" w:firstLine="0"/>
      </w:pPr>
      <w:rPr>
        <w:rFonts w:hint="default"/>
      </w:rPr>
    </w:lvl>
    <w:lvl w:ilvl="7">
      <w:start w:val="1"/>
      <w:numFmt w:val="none"/>
      <w:suff w:val="nothing"/>
      <w:lvlText w:val=""/>
      <w:lvlJc w:val="left"/>
      <w:pPr>
        <w:ind w:left="1988" w:firstLine="0"/>
      </w:pPr>
      <w:rPr>
        <w:rFonts w:hint="default"/>
      </w:rPr>
    </w:lvl>
    <w:lvl w:ilvl="8">
      <w:start w:val="1"/>
      <w:numFmt w:val="none"/>
      <w:suff w:val="nothing"/>
      <w:lvlText w:val=""/>
      <w:lvlJc w:val="left"/>
      <w:pPr>
        <w:ind w:left="2272" w:firstLine="0"/>
      </w:pPr>
      <w:rPr>
        <w:rFonts w:hint="default"/>
      </w:rPr>
    </w:lvl>
  </w:abstractNum>
  <w:abstractNum w:abstractNumId="35">
    <w:nsid w:val="2F2B4D13"/>
    <w:multiLevelType w:val="hybridMultilevel"/>
    <w:tmpl w:val="3EA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2F68E4"/>
    <w:multiLevelType w:val="hybridMultilevel"/>
    <w:tmpl w:val="9DD0B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3297B25"/>
    <w:multiLevelType w:val="hybridMultilevel"/>
    <w:tmpl w:val="05FCD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5885553"/>
    <w:multiLevelType w:val="multilevel"/>
    <w:tmpl w:val="FF9227D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67C6890"/>
    <w:multiLevelType w:val="hybridMultilevel"/>
    <w:tmpl w:val="79DE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8AF5206"/>
    <w:multiLevelType w:val="hybridMultilevel"/>
    <w:tmpl w:val="F52C3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E4F29E4"/>
    <w:multiLevelType w:val="multilevel"/>
    <w:tmpl w:val="20801D86"/>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45">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F7D6A05"/>
    <w:multiLevelType w:val="hybridMultilevel"/>
    <w:tmpl w:val="FC087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11A3C6A"/>
    <w:multiLevelType w:val="hybridMultilevel"/>
    <w:tmpl w:val="C9124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23246A0"/>
    <w:multiLevelType w:val="hybridMultilevel"/>
    <w:tmpl w:val="6338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2916BC7"/>
    <w:multiLevelType w:val="hybridMultilevel"/>
    <w:tmpl w:val="575CEB1C"/>
    <w:lvl w:ilvl="0" w:tplc="4404D356">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2A57211"/>
    <w:multiLevelType w:val="hybridMultilevel"/>
    <w:tmpl w:val="A896F2C6"/>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43777829"/>
    <w:multiLevelType w:val="hybridMultilevel"/>
    <w:tmpl w:val="277C0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43612D0"/>
    <w:multiLevelType w:val="hybridMultilevel"/>
    <w:tmpl w:val="1B141F3E"/>
    <w:lvl w:ilvl="0" w:tplc="97948AB0">
      <w:start w:val="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4">
    <w:nsid w:val="46F61C70"/>
    <w:multiLevelType w:val="hybridMultilevel"/>
    <w:tmpl w:val="628AA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7BA7B82"/>
    <w:multiLevelType w:val="hybridMultilevel"/>
    <w:tmpl w:val="1612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7C63EC3"/>
    <w:multiLevelType w:val="hybridMultilevel"/>
    <w:tmpl w:val="EFA64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A1A12E7"/>
    <w:multiLevelType w:val="hybridMultilevel"/>
    <w:tmpl w:val="D9D4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AAB5470"/>
    <w:multiLevelType w:val="multilevel"/>
    <w:tmpl w:val="70E46C8A"/>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59">
    <w:nsid w:val="4ADA4FC8"/>
    <w:multiLevelType w:val="hybridMultilevel"/>
    <w:tmpl w:val="E17E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1">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39E2E85"/>
    <w:multiLevelType w:val="hybridMultilevel"/>
    <w:tmpl w:val="C050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3FC3CA7"/>
    <w:multiLevelType w:val="hybridMultilevel"/>
    <w:tmpl w:val="36640B0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4">
    <w:nsid w:val="552A7144"/>
    <w:multiLevelType w:val="hybridMultilevel"/>
    <w:tmpl w:val="F786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5BFA50A1"/>
    <w:multiLevelType w:val="hybridMultilevel"/>
    <w:tmpl w:val="FB126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DBF2135"/>
    <w:multiLevelType w:val="hybridMultilevel"/>
    <w:tmpl w:val="4D78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DC76B7F"/>
    <w:multiLevelType w:val="multilevel"/>
    <w:tmpl w:val="BD1E9D6A"/>
    <w:name w:val="Chapter numbering list"/>
    <w:lvl w:ilvl="0">
      <w:start w:val="1"/>
      <w:numFmt w:val="decimal"/>
      <w:lvlRestart w:val="0"/>
      <w:pStyle w:val="ChapterNumberLong"/>
      <w:suff w:val="nothing"/>
      <w:lvlText w:val="%1"/>
      <w:lvlJc w:val="left"/>
      <w:pPr>
        <w:tabs>
          <w:tab w:val="num" w:pos="0"/>
        </w:tabs>
        <w:ind w:left="0" w:firstLine="0"/>
      </w:pPr>
      <w:rPr>
        <w:rFonts w:hint="default"/>
      </w:rPr>
    </w:lvl>
    <w:lvl w:ilvl="1">
      <w:start w:val="1"/>
      <w:numFmt w:val="decimal"/>
      <w:lvlRestart w:val="0"/>
      <w:pStyle w:val="Heading1"/>
      <w:lvlText w:val="%2"/>
      <w:lvlJc w:val="left"/>
      <w:pPr>
        <w:tabs>
          <w:tab w:val="num" w:pos="850"/>
        </w:tabs>
        <w:ind w:left="850" w:hanging="850"/>
      </w:pPr>
      <w:rPr>
        <w:rFonts w:hint="default"/>
      </w:rPr>
    </w:lvl>
    <w:lvl w:ilvl="2">
      <w:start w:val="1"/>
      <w:numFmt w:val="decimal"/>
      <w:pStyle w:val="Heading2"/>
      <w:lvlText w:val="%2.%3"/>
      <w:lvlJc w:val="left"/>
      <w:pPr>
        <w:tabs>
          <w:tab w:val="num" w:pos="850"/>
        </w:tabs>
        <w:ind w:left="850" w:hanging="850"/>
      </w:pPr>
      <w:rPr>
        <w:rFonts w:hint="default"/>
      </w:rPr>
    </w:lvl>
    <w:lvl w:ilvl="3">
      <w:start w:val="1"/>
      <w:numFmt w:val="decimal"/>
      <w:pStyle w:val="Heading3"/>
      <w:lvlText w:val="%2.%3.%4"/>
      <w:lvlJc w:val="left"/>
      <w:pPr>
        <w:tabs>
          <w:tab w:val="num" w:pos="850"/>
        </w:tabs>
        <w:ind w:left="850" w:hanging="850"/>
      </w:pPr>
      <w:rPr>
        <w:rFonts w:hint="default"/>
      </w:rPr>
    </w:lvl>
    <w:lvl w:ilvl="4">
      <w:start w:val="1"/>
      <w:numFmt w:val="upperLetter"/>
      <w:lvlRestart w:val="0"/>
      <w:pStyle w:val="Heading8"/>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tabs>
          <w:tab w:val="num" w:pos="0"/>
        </w:tabs>
        <w:ind w:left="0" w:firstLine="0"/>
      </w:pPr>
      <w:rPr>
        <w:rFonts w:hint="default"/>
      </w:rPr>
    </w:lvl>
    <w:lvl w:ilvl="6">
      <w:start w:val="1"/>
      <w:numFmt w:val="decimal"/>
      <w:pStyle w:val="Heading4"/>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68">
    <w:nsid w:val="5E401664"/>
    <w:multiLevelType w:val="multilevel"/>
    <w:tmpl w:val="EE12AE72"/>
    <w:name w:val="LongTOC"/>
    <w:numStyleLink w:val="PwCAppendixList1"/>
  </w:abstractNum>
  <w:abstractNum w:abstractNumId="69">
    <w:nsid w:val="632E2FDD"/>
    <w:multiLevelType w:val="hybridMultilevel"/>
    <w:tmpl w:val="E28A6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3917BB9"/>
    <w:multiLevelType w:val="multilevel"/>
    <w:tmpl w:val="C3DE98D4"/>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71">
    <w:nsid w:val="64670B5E"/>
    <w:multiLevelType w:val="hybridMultilevel"/>
    <w:tmpl w:val="92A8B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64F326D"/>
    <w:multiLevelType w:val="hybridMultilevel"/>
    <w:tmpl w:val="90A2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84035CA"/>
    <w:multiLevelType w:val="hybridMultilevel"/>
    <w:tmpl w:val="943E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8844D3B"/>
    <w:multiLevelType w:val="hybridMultilevel"/>
    <w:tmpl w:val="46EC2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6A143C57"/>
    <w:multiLevelType w:val="hybridMultilevel"/>
    <w:tmpl w:val="1838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A1920A3"/>
    <w:multiLevelType w:val="hybridMultilevel"/>
    <w:tmpl w:val="8CFC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A7A22CB"/>
    <w:multiLevelType w:val="hybridMultilevel"/>
    <w:tmpl w:val="09DA5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79">
    <w:nsid w:val="6D262098"/>
    <w:multiLevelType w:val="hybridMultilevel"/>
    <w:tmpl w:val="222A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F915327"/>
    <w:multiLevelType w:val="multilevel"/>
    <w:tmpl w:val="A71A1326"/>
    <w:lvl w:ilvl="0">
      <w:start w:val="1"/>
      <w:numFmt w:val="bullet"/>
      <w:lvlText w:val=""/>
      <w:lvlJc w:val="left"/>
      <w:pPr>
        <w:ind w:left="0" w:firstLine="0"/>
      </w:pPr>
      <w:rPr>
        <w:rFonts w:ascii="Symbol" w:hAnsi="Symbol" w:hint="default"/>
        <w:color w:val="auto"/>
      </w:rPr>
    </w:lvl>
    <w:lvl w:ilvl="1">
      <w:start w:val="1"/>
      <w:numFmt w:val="bullet"/>
      <w:lvlText w:val=""/>
      <w:lvlJc w:val="left"/>
      <w:pPr>
        <w:ind w:left="284" w:firstLine="0"/>
      </w:pPr>
      <w:rPr>
        <w:rFonts w:ascii="Symbol" w:hAnsi="Symbol" w:hint="default"/>
      </w:rPr>
    </w:lvl>
    <w:lvl w:ilvl="2">
      <w:start w:val="1"/>
      <w:numFmt w:val="none"/>
      <w:suff w:val="nothing"/>
      <w:lvlText w:val=""/>
      <w:lvlJc w:val="left"/>
      <w:pPr>
        <w:ind w:left="568" w:firstLine="0"/>
      </w:pPr>
      <w:rPr>
        <w:rFonts w:hint="default"/>
      </w:rPr>
    </w:lvl>
    <w:lvl w:ilvl="3">
      <w:start w:val="1"/>
      <w:numFmt w:val="none"/>
      <w:suff w:val="nothing"/>
      <w:lvlText w:val=""/>
      <w:lvlJc w:val="left"/>
      <w:pPr>
        <w:ind w:left="852" w:firstLine="0"/>
      </w:pPr>
      <w:rPr>
        <w:rFonts w:hint="default"/>
      </w:rPr>
    </w:lvl>
    <w:lvl w:ilvl="4">
      <w:start w:val="1"/>
      <w:numFmt w:val="none"/>
      <w:suff w:val="nothing"/>
      <w:lvlText w:val=""/>
      <w:lvlJc w:val="left"/>
      <w:pPr>
        <w:ind w:left="1136" w:firstLine="0"/>
      </w:pPr>
      <w:rPr>
        <w:rFonts w:hint="default"/>
      </w:rPr>
    </w:lvl>
    <w:lvl w:ilvl="5">
      <w:start w:val="1"/>
      <w:numFmt w:val="none"/>
      <w:suff w:val="nothing"/>
      <w:lvlText w:val=""/>
      <w:lvlJc w:val="left"/>
      <w:pPr>
        <w:ind w:left="1420" w:firstLine="0"/>
      </w:pPr>
      <w:rPr>
        <w:rFonts w:hint="default"/>
      </w:rPr>
    </w:lvl>
    <w:lvl w:ilvl="6">
      <w:start w:val="1"/>
      <w:numFmt w:val="none"/>
      <w:suff w:val="nothing"/>
      <w:lvlText w:val=""/>
      <w:lvlJc w:val="left"/>
      <w:pPr>
        <w:ind w:left="1704" w:firstLine="0"/>
      </w:pPr>
      <w:rPr>
        <w:rFonts w:hint="default"/>
      </w:rPr>
    </w:lvl>
    <w:lvl w:ilvl="7">
      <w:start w:val="1"/>
      <w:numFmt w:val="none"/>
      <w:suff w:val="nothing"/>
      <w:lvlText w:val=""/>
      <w:lvlJc w:val="left"/>
      <w:pPr>
        <w:ind w:left="1988" w:firstLine="0"/>
      </w:pPr>
      <w:rPr>
        <w:rFonts w:hint="default"/>
      </w:rPr>
    </w:lvl>
    <w:lvl w:ilvl="8">
      <w:start w:val="1"/>
      <w:numFmt w:val="none"/>
      <w:suff w:val="nothing"/>
      <w:lvlText w:val=""/>
      <w:lvlJc w:val="left"/>
      <w:pPr>
        <w:ind w:left="2272" w:firstLine="0"/>
      </w:pPr>
      <w:rPr>
        <w:rFonts w:hint="default"/>
      </w:rPr>
    </w:lvl>
  </w:abstractNum>
  <w:abstractNum w:abstractNumId="81">
    <w:nsid w:val="707518CF"/>
    <w:multiLevelType w:val="multilevel"/>
    <w:tmpl w:val="8CEA6DAA"/>
    <w:name w:val="Bullets2"/>
    <w:numStyleLink w:val="Bullets"/>
  </w:abstractNum>
  <w:abstractNum w:abstractNumId="82">
    <w:nsid w:val="707C1EB1"/>
    <w:multiLevelType w:val="hybridMultilevel"/>
    <w:tmpl w:val="408C9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28944A8"/>
    <w:multiLevelType w:val="hybridMultilevel"/>
    <w:tmpl w:val="33AEE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3A55DB9"/>
    <w:multiLevelType w:val="hybridMultilevel"/>
    <w:tmpl w:val="72CC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74425062"/>
    <w:multiLevelType w:val="hybridMultilevel"/>
    <w:tmpl w:val="0AD63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75144DB8"/>
    <w:multiLevelType w:val="hybridMultilevel"/>
    <w:tmpl w:val="A9E8C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778C17C6"/>
    <w:multiLevelType w:val="multilevel"/>
    <w:tmpl w:val="642C809C"/>
    <w:lvl w:ilvl="0">
      <w:start w:val="1"/>
      <w:numFmt w:val="bullet"/>
      <w:lvlText w:val=""/>
      <w:lvlJc w:val="left"/>
      <w:pPr>
        <w:ind w:left="0" w:firstLine="0"/>
      </w:pPr>
      <w:rPr>
        <w:rFonts w:ascii="Symbol" w:hAnsi="Symbol" w:hint="default"/>
        <w:color w:val="auto"/>
      </w:rPr>
    </w:lvl>
    <w:lvl w:ilvl="1">
      <w:start w:val="1"/>
      <w:numFmt w:val="bullet"/>
      <w:lvlText w:val=""/>
      <w:lvlJc w:val="left"/>
      <w:pPr>
        <w:ind w:left="284" w:firstLine="0"/>
      </w:pPr>
      <w:rPr>
        <w:rFonts w:ascii="Symbol" w:hAnsi="Symbol" w:hint="default"/>
      </w:rPr>
    </w:lvl>
    <w:lvl w:ilvl="2">
      <w:start w:val="1"/>
      <w:numFmt w:val="none"/>
      <w:suff w:val="nothing"/>
      <w:lvlText w:val=""/>
      <w:lvlJc w:val="left"/>
      <w:pPr>
        <w:ind w:left="568" w:firstLine="0"/>
      </w:pPr>
      <w:rPr>
        <w:rFonts w:hint="default"/>
      </w:rPr>
    </w:lvl>
    <w:lvl w:ilvl="3">
      <w:start w:val="1"/>
      <w:numFmt w:val="none"/>
      <w:suff w:val="nothing"/>
      <w:lvlText w:val=""/>
      <w:lvlJc w:val="left"/>
      <w:pPr>
        <w:ind w:left="852" w:firstLine="0"/>
      </w:pPr>
      <w:rPr>
        <w:rFonts w:hint="default"/>
      </w:rPr>
    </w:lvl>
    <w:lvl w:ilvl="4">
      <w:start w:val="1"/>
      <w:numFmt w:val="none"/>
      <w:suff w:val="nothing"/>
      <w:lvlText w:val=""/>
      <w:lvlJc w:val="left"/>
      <w:pPr>
        <w:ind w:left="1136" w:firstLine="0"/>
      </w:pPr>
      <w:rPr>
        <w:rFonts w:hint="default"/>
      </w:rPr>
    </w:lvl>
    <w:lvl w:ilvl="5">
      <w:start w:val="1"/>
      <w:numFmt w:val="none"/>
      <w:suff w:val="nothing"/>
      <w:lvlText w:val=""/>
      <w:lvlJc w:val="left"/>
      <w:pPr>
        <w:ind w:left="1420" w:firstLine="0"/>
      </w:pPr>
      <w:rPr>
        <w:rFonts w:hint="default"/>
      </w:rPr>
    </w:lvl>
    <w:lvl w:ilvl="6">
      <w:start w:val="1"/>
      <w:numFmt w:val="none"/>
      <w:suff w:val="nothing"/>
      <w:lvlText w:val=""/>
      <w:lvlJc w:val="left"/>
      <w:pPr>
        <w:ind w:left="1704" w:firstLine="0"/>
      </w:pPr>
      <w:rPr>
        <w:rFonts w:hint="default"/>
      </w:rPr>
    </w:lvl>
    <w:lvl w:ilvl="7">
      <w:start w:val="1"/>
      <w:numFmt w:val="none"/>
      <w:suff w:val="nothing"/>
      <w:lvlText w:val=""/>
      <w:lvlJc w:val="left"/>
      <w:pPr>
        <w:ind w:left="1988" w:firstLine="0"/>
      </w:pPr>
      <w:rPr>
        <w:rFonts w:hint="default"/>
      </w:rPr>
    </w:lvl>
    <w:lvl w:ilvl="8">
      <w:start w:val="1"/>
      <w:numFmt w:val="none"/>
      <w:suff w:val="nothing"/>
      <w:lvlText w:val=""/>
      <w:lvlJc w:val="left"/>
      <w:pPr>
        <w:ind w:left="2272" w:firstLine="0"/>
      </w:pPr>
      <w:rPr>
        <w:rFonts w:hint="default"/>
      </w:rPr>
    </w:lvl>
  </w:abstractNum>
  <w:abstractNum w:abstractNumId="88">
    <w:nsid w:val="79480317"/>
    <w:multiLevelType w:val="hybridMultilevel"/>
    <w:tmpl w:val="7548B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7D197510"/>
    <w:multiLevelType w:val="multilevel"/>
    <w:tmpl w:val="A71A1326"/>
    <w:lvl w:ilvl="0">
      <w:start w:val="1"/>
      <w:numFmt w:val="bullet"/>
      <w:lvlText w:val=""/>
      <w:lvlJc w:val="left"/>
      <w:pPr>
        <w:ind w:left="0" w:firstLine="0"/>
      </w:pPr>
      <w:rPr>
        <w:rFonts w:ascii="Symbol" w:hAnsi="Symbol" w:hint="default"/>
        <w:color w:val="auto"/>
      </w:rPr>
    </w:lvl>
    <w:lvl w:ilvl="1">
      <w:start w:val="1"/>
      <w:numFmt w:val="bullet"/>
      <w:lvlText w:val=""/>
      <w:lvlJc w:val="left"/>
      <w:pPr>
        <w:ind w:left="284" w:firstLine="0"/>
      </w:pPr>
      <w:rPr>
        <w:rFonts w:ascii="Symbol" w:hAnsi="Symbol" w:hint="default"/>
      </w:rPr>
    </w:lvl>
    <w:lvl w:ilvl="2">
      <w:start w:val="1"/>
      <w:numFmt w:val="none"/>
      <w:suff w:val="nothing"/>
      <w:lvlText w:val=""/>
      <w:lvlJc w:val="left"/>
      <w:pPr>
        <w:ind w:left="568" w:firstLine="0"/>
      </w:pPr>
      <w:rPr>
        <w:rFonts w:hint="default"/>
      </w:rPr>
    </w:lvl>
    <w:lvl w:ilvl="3">
      <w:start w:val="1"/>
      <w:numFmt w:val="none"/>
      <w:suff w:val="nothing"/>
      <w:lvlText w:val=""/>
      <w:lvlJc w:val="left"/>
      <w:pPr>
        <w:ind w:left="852" w:firstLine="0"/>
      </w:pPr>
      <w:rPr>
        <w:rFonts w:hint="default"/>
      </w:rPr>
    </w:lvl>
    <w:lvl w:ilvl="4">
      <w:start w:val="1"/>
      <w:numFmt w:val="none"/>
      <w:suff w:val="nothing"/>
      <w:lvlText w:val=""/>
      <w:lvlJc w:val="left"/>
      <w:pPr>
        <w:ind w:left="1136" w:firstLine="0"/>
      </w:pPr>
      <w:rPr>
        <w:rFonts w:hint="default"/>
      </w:rPr>
    </w:lvl>
    <w:lvl w:ilvl="5">
      <w:start w:val="1"/>
      <w:numFmt w:val="none"/>
      <w:suff w:val="nothing"/>
      <w:lvlText w:val=""/>
      <w:lvlJc w:val="left"/>
      <w:pPr>
        <w:ind w:left="1420" w:firstLine="0"/>
      </w:pPr>
      <w:rPr>
        <w:rFonts w:hint="default"/>
      </w:rPr>
    </w:lvl>
    <w:lvl w:ilvl="6">
      <w:start w:val="1"/>
      <w:numFmt w:val="none"/>
      <w:suff w:val="nothing"/>
      <w:lvlText w:val=""/>
      <w:lvlJc w:val="left"/>
      <w:pPr>
        <w:ind w:left="1704" w:firstLine="0"/>
      </w:pPr>
      <w:rPr>
        <w:rFonts w:hint="default"/>
      </w:rPr>
    </w:lvl>
    <w:lvl w:ilvl="7">
      <w:start w:val="1"/>
      <w:numFmt w:val="none"/>
      <w:suff w:val="nothing"/>
      <w:lvlText w:val=""/>
      <w:lvlJc w:val="left"/>
      <w:pPr>
        <w:ind w:left="1988" w:firstLine="0"/>
      </w:pPr>
      <w:rPr>
        <w:rFonts w:hint="default"/>
      </w:rPr>
    </w:lvl>
    <w:lvl w:ilvl="8">
      <w:start w:val="1"/>
      <w:numFmt w:val="none"/>
      <w:suff w:val="nothing"/>
      <w:lvlText w:val=""/>
      <w:lvlJc w:val="left"/>
      <w:pPr>
        <w:ind w:left="2272" w:firstLine="0"/>
      </w:pPr>
      <w:rPr>
        <w:rFonts w:hint="default"/>
      </w:rPr>
    </w:lvl>
  </w:abstractNum>
  <w:abstractNum w:abstractNumId="90">
    <w:nsid w:val="7FC926E8"/>
    <w:multiLevelType w:val="hybridMultilevel"/>
    <w:tmpl w:val="8FAC5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3"/>
  </w:num>
  <w:num w:numId="4">
    <w:abstractNumId w:val="78"/>
  </w:num>
  <w:num w:numId="5">
    <w:abstractNumId w:val="58"/>
  </w:num>
  <w:num w:numId="6">
    <w:abstractNumId w:val="60"/>
  </w:num>
  <w:num w:numId="7">
    <w:abstractNumId w:val="32"/>
  </w:num>
  <w:num w:numId="8">
    <w:abstractNumId w:val="38"/>
  </w:num>
  <w:num w:numId="9">
    <w:abstractNumId w:val="70"/>
  </w:num>
  <w:num w:numId="10">
    <w:abstractNumId w:val="7"/>
  </w:num>
  <w:num w:numId="11">
    <w:abstractNumId w:val="45"/>
  </w:num>
  <w:num w:numId="12">
    <w:abstractNumId w:val="68"/>
  </w:num>
  <w:num w:numId="13">
    <w:abstractNumId w:val="8"/>
  </w:num>
  <w:num w:numId="14">
    <w:abstractNumId w:val="22"/>
  </w:num>
  <w:num w:numId="15">
    <w:abstractNumId w:val="31"/>
  </w:num>
  <w:num w:numId="16">
    <w:abstractNumId w:val="16"/>
  </w:num>
  <w:num w:numId="17">
    <w:abstractNumId w:val="30"/>
  </w:num>
  <w:num w:numId="18">
    <w:abstractNumId w:val="17"/>
  </w:num>
  <w:num w:numId="19">
    <w:abstractNumId w:val="9"/>
  </w:num>
  <w:num w:numId="20">
    <w:abstractNumId w:val="18"/>
  </w:num>
  <w:num w:numId="21">
    <w:abstractNumId w:val="0"/>
  </w:num>
  <w:num w:numId="22">
    <w:abstractNumId w:val="37"/>
  </w:num>
  <w:num w:numId="23">
    <w:abstractNumId w:val="5"/>
  </w:num>
  <w:num w:numId="24">
    <w:abstractNumId w:val="61"/>
  </w:num>
  <w:num w:numId="25">
    <w:abstractNumId w:val="44"/>
  </w:num>
  <w:num w:numId="26">
    <w:abstractNumId w:val="81"/>
  </w:num>
  <w:num w:numId="27">
    <w:abstractNumId w:val="67"/>
  </w:num>
  <w:num w:numId="28">
    <w:abstractNumId w:val="39"/>
  </w:num>
  <w:num w:numId="29">
    <w:abstractNumId w:val="43"/>
  </w:num>
  <w:num w:numId="30">
    <w:abstractNumId w:val="14"/>
  </w:num>
  <w:num w:numId="31">
    <w:abstractNumId w:val="57"/>
  </w:num>
  <w:num w:numId="32">
    <w:abstractNumId w:val="33"/>
  </w:num>
  <w:num w:numId="33">
    <w:abstractNumId w:val="23"/>
  </w:num>
  <w:num w:numId="34">
    <w:abstractNumId w:val="24"/>
  </w:num>
  <w:num w:numId="35">
    <w:abstractNumId w:val="10"/>
  </w:num>
  <w:num w:numId="36">
    <w:abstractNumId w:val="71"/>
  </w:num>
  <w:num w:numId="37">
    <w:abstractNumId w:val="85"/>
  </w:num>
  <w:num w:numId="38">
    <w:abstractNumId w:val="74"/>
  </w:num>
  <w:num w:numId="39">
    <w:abstractNumId w:val="69"/>
  </w:num>
  <w:num w:numId="40">
    <w:abstractNumId w:val="3"/>
  </w:num>
  <w:num w:numId="41">
    <w:abstractNumId w:val="49"/>
  </w:num>
  <w:num w:numId="42">
    <w:abstractNumId w:val="26"/>
  </w:num>
  <w:num w:numId="43">
    <w:abstractNumId w:val="64"/>
  </w:num>
  <w:num w:numId="44">
    <w:abstractNumId w:val="29"/>
  </w:num>
  <w:num w:numId="45">
    <w:abstractNumId w:val="15"/>
  </w:num>
  <w:num w:numId="46">
    <w:abstractNumId w:val="63"/>
  </w:num>
  <w:num w:numId="47">
    <w:abstractNumId w:val="28"/>
  </w:num>
  <w:num w:numId="48">
    <w:abstractNumId w:val="11"/>
  </w:num>
  <w:num w:numId="49">
    <w:abstractNumId w:val="41"/>
  </w:num>
  <w:num w:numId="50">
    <w:abstractNumId w:val="1"/>
  </w:num>
  <w:num w:numId="51">
    <w:abstractNumId w:val="13"/>
  </w:num>
  <w:num w:numId="52">
    <w:abstractNumId w:val="25"/>
  </w:num>
  <w:num w:numId="53">
    <w:abstractNumId w:val="76"/>
  </w:num>
  <w:num w:numId="54">
    <w:abstractNumId w:val="36"/>
  </w:num>
  <w:num w:numId="55">
    <w:abstractNumId w:val="20"/>
  </w:num>
  <w:num w:numId="56">
    <w:abstractNumId w:val="73"/>
  </w:num>
  <w:num w:numId="57">
    <w:abstractNumId w:val="84"/>
  </w:num>
  <w:num w:numId="58">
    <w:abstractNumId w:val="27"/>
  </w:num>
  <w:num w:numId="59">
    <w:abstractNumId w:val="75"/>
  </w:num>
  <w:num w:numId="60">
    <w:abstractNumId w:val="66"/>
  </w:num>
  <w:num w:numId="61">
    <w:abstractNumId w:val="90"/>
  </w:num>
  <w:num w:numId="62">
    <w:abstractNumId w:val="86"/>
  </w:num>
  <w:num w:numId="63">
    <w:abstractNumId w:val="62"/>
  </w:num>
  <w:num w:numId="64">
    <w:abstractNumId w:val="6"/>
  </w:num>
  <w:num w:numId="65">
    <w:abstractNumId w:val="77"/>
  </w:num>
  <w:num w:numId="66">
    <w:abstractNumId w:val="79"/>
  </w:num>
  <w:num w:numId="67">
    <w:abstractNumId w:val="88"/>
  </w:num>
  <w:num w:numId="68">
    <w:abstractNumId w:val="59"/>
  </w:num>
  <w:num w:numId="69">
    <w:abstractNumId w:val="55"/>
  </w:num>
  <w:num w:numId="70">
    <w:abstractNumId w:val="19"/>
  </w:num>
  <w:num w:numId="71">
    <w:abstractNumId w:val="4"/>
  </w:num>
  <w:num w:numId="72">
    <w:abstractNumId w:val="83"/>
  </w:num>
  <w:num w:numId="73">
    <w:abstractNumId w:val="72"/>
  </w:num>
  <w:num w:numId="74">
    <w:abstractNumId w:val="51"/>
  </w:num>
  <w:num w:numId="75">
    <w:abstractNumId w:val="54"/>
  </w:num>
  <w:num w:numId="76">
    <w:abstractNumId w:val="87"/>
  </w:num>
  <w:num w:numId="77">
    <w:abstractNumId w:val="34"/>
  </w:num>
  <w:num w:numId="78">
    <w:abstractNumId w:val="80"/>
  </w:num>
  <w:num w:numId="79">
    <w:abstractNumId w:val="89"/>
  </w:num>
  <w:num w:numId="80">
    <w:abstractNumId w:val="47"/>
  </w:num>
  <w:num w:numId="81">
    <w:abstractNumId w:val="48"/>
  </w:num>
  <w:num w:numId="82">
    <w:abstractNumId w:val="21"/>
  </w:num>
  <w:num w:numId="83">
    <w:abstractNumId w:val="56"/>
  </w:num>
  <w:num w:numId="84">
    <w:abstractNumId w:val="65"/>
  </w:num>
  <w:num w:numId="85">
    <w:abstractNumId w:val="67"/>
  </w:num>
  <w:num w:numId="86">
    <w:abstractNumId w:val="82"/>
  </w:num>
  <w:num w:numId="87">
    <w:abstractNumId w:val="46"/>
  </w:num>
  <w:num w:numId="88">
    <w:abstractNumId w:val="50"/>
  </w:num>
  <w:num w:numId="89">
    <w:abstractNumId w:val="52"/>
  </w:num>
  <w:num w:numId="90">
    <w:abstractNumId w:val="70"/>
  </w:num>
  <w:num w:numId="91">
    <w:abstractNumId w:val="40"/>
  </w:num>
  <w:num w:numId="92">
    <w:abstractNumId w:val="35"/>
  </w:num>
  <w:num w:numId="93">
    <w:abstractNumId w:val="67"/>
  </w:num>
  <w:num w:numId="94">
    <w:abstractNumId w:val="7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isplayHorizontalDrawingGridEvery w:val="2"/>
  <w:characterSpacingControl w:val="doNotCompress"/>
  <w:hdrShapeDefaults>
    <o:shapedefaults v:ext="edit" spidmax="6145"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56"/>
    <w:rsid w:val="00000267"/>
    <w:rsid w:val="00000E07"/>
    <w:rsid w:val="000010DC"/>
    <w:rsid w:val="00001404"/>
    <w:rsid w:val="00002F7F"/>
    <w:rsid w:val="00002F85"/>
    <w:rsid w:val="000046CA"/>
    <w:rsid w:val="00005CEB"/>
    <w:rsid w:val="0000632E"/>
    <w:rsid w:val="00006B9F"/>
    <w:rsid w:val="00006DC6"/>
    <w:rsid w:val="00007406"/>
    <w:rsid w:val="00007EFD"/>
    <w:rsid w:val="00011B56"/>
    <w:rsid w:val="000148A7"/>
    <w:rsid w:val="00015271"/>
    <w:rsid w:val="00015598"/>
    <w:rsid w:val="00015F3F"/>
    <w:rsid w:val="000165FF"/>
    <w:rsid w:val="00017735"/>
    <w:rsid w:val="00017E94"/>
    <w:rsid w:val="000203C2"/>
    <w:rsid w:val="00020F7F"/>
    <w:rsid w:val="00020F8D"/>
    <w:rsid w:val="000219D0"/>
    <w:rsid w:val="00022D9D"/>
    <w:rsid w:val="00023712"/>
    <w:rsid w:val="0002400B"/>
    <w:rsid w:val="00024659"/>
    <w:rsid w:val="00025387"/>
    <w:rsid w:val="00027213"/>
    <w:rsid w:val="00027B5F"/>
    <w:rsid w:val="0003004A"/>
    <w:rsid w:val="000308DC"/>
    <w:rsid w:val="00031309"/>
    <w:rsid w:val="000317A6"/>
    <w:rsid w:val="00031F4C"/>
    <w:rsid w:val="000324F8"/>
    <w:rsid w:val="00033E53"/>
    <w:rsid w:val="00033E5E"/>
    <w:rsid w:val="00034011"/>
    <w:rsid w:val="00035288"/>
    <w:rsid w:val="0003687B"/>
    <w:rsid w:val="00040BC7"/>
    <w:rsid w:val="00041787"/>
    <w:rsid w:val="00041E14"/>
    <w:rsid w:val="00042109"/>
    <w:rsid w:val="00043650"/>
    <w:rsid w:val="00044237"/>
    <w:rsid w:val="000444FF"/>
    <w:rsid w:val="00044773"/>
    <w:rsid w:val="00044B17"/>
    <w:rsid w:val="000473AE"/>
    <w:rsid w:val="00047714"/>
    <w:rsid w:val="000506A5"/>
    <w:rsid w:val="00050ACB"/>
    <w:rsid w:val="00051862"/>
    <w:rsid w:val="0005222A"/>
    <w:rsid w:val="00053B82"/>
    <w:rsid w:val="00054C40"/>
    <w:rsid w:val="00054E8A"/>
    <w:rsid w:val="00055775"/>
    <w:rsid w:val="00055A6A"/>
    <w:rsid w:val="00055BAE"/>
    <w:rsid w:val="0005674C"/>
    <w:rsid w:val="000606D1"/>
    <w:rsid w:val="00061068"/>
    <w:rsid w:val="00061880"/>
    <w:rsid w:val="000619A2"/>
    <w:rsid w:val="00061DA1"/>
    <w:rsid w:val="00063503"/>
    <w:rsid w:val="00063BE4"/>
    <w:rsid w:val="00064A4C"/>
    <w:rsid w:val="00064B40"/>
    <w:rsid w:val="00064EB8"/>
    <w:rsid w:val="0006530A"/>
    <w:rsid w:val="000679F1"/>
    <w:rsid w:val="00067D49"/>
    <w:rsid w:val="00067EC5"/>
    <w:rsid w:val="00070164"/>
    <w:rsid w:val="00070486"/>
    <w:rsid w:val="00070875"/>
    <w:rsid w:val="000713BA"/>
    <w:rsid w:val="000756C3"/>
    <w:rsid w:val="00076C97"/>
    <w:rsid w:val="000773A0"/>
    <w:rsid w:val="000778D4"/>
    <w:rsid w:val="00077E50"/>
    <w:rsid w:val="00077EBF"/>
    <w:rsid w:val="0008008B"/>
    <w:rsid w:val="0008020B"/>
    <w:rsid w:val="00080AF8"/>
    <w:rsid w:val="0008139D"/>
    <w:rsid w:val="00081A58"/>
    <w:rsid w:val="00082CD9"/>
    <w:rsid w:val="00083051"/>
    <w:rsid w:val="000847B3"/>
    <w:rsid w:val="000868A0"/>
    <w:rsid w:val="00087C5B"/>
    <w:rsid w:val="000905BA"/>
    <w:rsid w:val="00090AAB"/>
    <w:rsid w:val="00091458"/>
    <w:rsid w:val="0009340E"/>
    <w:rsid w:val="00093ED7"/>
    <w:rsid w:val="00094408"/>
    <w:rsid w:val="00096CE6"/>
    <w:rsid w:val="00096F31"/>
    <w:rsid w:val="000A0570"/>
    <w:rsid w:val="000A0836"/>
    <w:rsid w:val="000A17F0"/>
    <w:rsid w:val="000A1F3F"/>
    <w:rsid w:val="000A38AA"/>
    <w:rsid w:val="000A4154"/>
    <w:rsid w:val="000A4352"/>
    <w:rsid w:val="000A51EE"/>
    <w:rsid w:val="000A6014"/>
    <w:rsid w:val="000A61CE"/>
    <w:rsid w:val="000A6F12"/>
    <w:rsid w:val="000A744F"/>
    <w:rsid w:val="000B0862"/>
    <w:rsid w:val="000B0BE8"/>
    <w:rsid w:val="000B1068"/>
    <w:rsid w:val="000B189A"/>
    <w:rsid w:val="000B319E"/>
    <w:rsid w:val="000B510F"/>
    <w:rsid w:val="000B5AFD"/>
    <w:rsid w:val="000B61EE"/>
    <w:rsid w:val="000B62A0"/>
    <w:rsid w:val="000B65CE"/>
    <w:rsid w:val="000B6B42"/>
    <w:rsid w:val="000B741C"/>
    <w:rsid w:val="000B7AC9"/>
    <w:rsid w:val="000B7E22"/>
    <w:rsid w:val="000C009C"/>
    <w:rsid w:val="000C0DC8"/>
    <w:rsid w:val="000C10E3"/>
    <w:rsid w:val="000C312A"/>
    <w:rsid w:val="000C3423"/>
    <w:rsid w:val="000C4821"/>
    <w:rsid w:val="000C56BD"/>
    <w:rsid w:val="000C5D73"/>
    <w:rsid w:val="000C5EEC"/>
    <w:rsid w:val="000C6DDB"/>
    <w:rsid w:val="000C6F10"/>
    <w:rsid w:val="000D0830"/>
    <w:rsid w:val="000D21C3"/>
    <w:rsid w:val="000D3B7B"/>
    <w:rsid w:val="000D3C42"/>
    <w:rsid w:val="000D3C62"/>
    <w:rsid w:val="000D4527"/>
    <w:rsid w:val="000D62BB"/>
    <w:rsid w:val="000E0229"/>
    <w:rsid w:val="000E0E16"/>
    <w:rsid w:val="000E126D"/>
    <w:rsid w:val="000E14AD"/>
    <w:rsid w:val="000E153B"/>
    <w:rsid w:val="000E2F96"/>
    <w:rsid w:val="000E3802"/>
    <w:rsid w:val="000E4775"/>
    <w:rsid w:val="000E5D59"/>
    <w:rsid w:val="000E6525"/>
    <w:rsid w:val="000E65B2"/>
    <w:rsid w:val="000E72AF"/>
    <w:rsid w:val="000E751E"/>
    <w:rsid w:val="000E7917"/>
    <w:rsid w:val="000E7BB5"/>
    <w:rsid w:val="000F118B"/>
    <w:rsid w:val="000F4710"/>
    <w:rsid w:val="000F4EB8"/>
    <w:rsid w:val="000F5BBE"/>
    <w:rsid w:val="000F76FF"/>
    <w:rsid w:val="000F77C6"/>
    <w:rsid w:val="001002E4"/>
    <w:rsid w:val="00100753"/>
    <w:rsid w:val="001013F4"/>
    <w:rsid w:val="001015D1"/>
    <w:rsid w:val="001016B4"/>
    <w:rsid w:val="00101E7E"/>
    <w:rsid w:val="00102376"/>
    <w:rsid w:val="001026F1"/>
    <w:rsid w:val="00103591"/>
    <w:rsid w:val="00105AA9"/>
    <w:rsid w:val="0010601A"/>
    <w:rsid w:val="00106911"/>
    <w:rsid w:val="00111324"/>
    <w:rsid w:val="00111544"/>
    <w:rsid w:val="00112A1C"/>
    <w:rsid w:val="00113D7F"/>
    <w:rsid w:val="0011421B"/>
    <w:rsid w:val="0011443A"/>
    <w:rsid w:val="00116C85"/>
    <w:rsid w:val="001179B7"/>
    <w:rsid w:val="00117D9C"/>
    <w:rsid w:val="00120C44"/>
    <w:rsid w:val="001226BE"/>
    <w:rsid w:val="00123EF1"/>
    <w:rsid w:val="00124E9B"/>
    <w:rsid w:val="00125AFC"/>
    <w:rsid w:val="00126AFF"/>
    <w:rsid w:val="00126DC3"/>
    <w:rsid w:val="00127187"/>
    <w:rsid w:val="00127829"/>
    <w:rsid w:val="00130007"/>
    <w:rsid w:val="00130727"/>
    <w:rsid w:val="00130745"/>
    <w:rsid w:val="00131848"/>
    <w:rsid w:val="00132EED"/>
    <w:rsid w:val="00133256"/>
    <w:rsid w:val="00135AE9"/>
    <w:rsid w:val="00137B03"/>
    <w:rsid w:val="0014062F"/>
    <w:rsid w:val="00140691"/>
    <w:rsid w:val="00141457"/>
    <w:rsid w:val="001415DD"/>
    <w:rsid w:val="001420B0"/>
    <w:rsid w:val="00142AFF"/>
    <w:rsid w:val="00142B14"/>
    <w:rsid w:val="00142F9D"/>
    <w:rsid w:val="001430DE"/>
    <w:rsid w:val="001436B6"/>
    <w:rsid w:val="001469D4"/>
    <w:rsid w:val="00146E85"/>
    <w:rsid w:val="00146F8A"/>
    <w:rsid w:val="0014703A"/>
    <w:rsid w:val="001476BD"/>
    <w:rsid w:val="001476BE"/>
    <w:rsid w:val="0015001A"/>
    <w:rsid w:val="001502E4"/>
    <w:rsid w:val="00151DEC"/>
    <w:rsid w:val="00151E39"/>
    <w:rsid w:val="0015303F"/>
    <w:rsid w:val="0015508A"/>
    <w:rsid w:val="0015576C"/>
    <w:rsid w:val="00155FE3"/>
    <w:rsid w:val="0015638D"/>
    <w:rsid w:val="00157444"/>
    <w:rsid w:val="001604B6"/>
    <w:rsid w:val="0016454D"/>
    <w:rsid w:val="00164A8D"/>
    <w:rsid w:val="00165AC0"/>
    <w:rsid w:val="00166AE4"/>
    <w:rsid w:val="00166F4F"/>
    <w:rsid w:val="00167EE0"/>
    <w:rsid w:val="00167F7E"/>
    <w:rsid w:val="00170238"/>
    <w:rsid w:val="001708CB"/>
    <w:rsid w:val="00170DF6"/>
    <w:rsid w:val="001714A4"/>
    <w:rsid w:val="001726E0"/>
    <w:rsid w:val="001734C1"/>
    <w:rsid w:val="00174043"/>
    <w:rsid w:val="00176D38"/>
    <w:rsid w:val="00180895"/>
    <w:rsid w:val="00181EAE"/>
    <w:rsid w:val="001824CB"/>
    <w:rsid w:val="00182598"/>
    <w:rsid w:val="0018270C"/>
    <w:rsid w:val="001827F1"/>
    <w:rsid w:val="00184855"/>
    <w:rsid w:val="00185379"/>
    <w:rsid w:val="001856FB"/>
    <w:rsid w:val="00185720"/>
    <w:rsid w:val="00185E01"/>
    <w:rsid w:val="00185F6F"/>
    <w:rsid w:val="001861C1"/>
    <w:rsid w:val="00187218"/>
    <w:rsid w:val="00190483"/>
    <w:rsid w:val="00192241"/>
    <w:rsid w:val="00192A42"/>
    <w:rsid w:val="00192F51"/>
    <w:rsid w:val="00193397"/>
    <w:rsid w:val="001940C8"/>
    <w:rsid w:val="00194434"/>
    <w:rsid w:val="00197937"/>
    <w:rsid w:val="00197C7A"/>
    <w:rsid w:val="001A01CF"/>
    <w:rsid w:val="001A129B"/>
    <w:rsid w:val="001A1C17"/>
    <w:rsid w:val="001A24EE"/>
    <w:rsid w:val="001A2696"/>
    <w:rsid w:val="001A519A"/>
    <w:rsid w:val="001A529E"/>
    <w:rsid w:val="001A6378"/>
    <w:rsid w:val="001B154C"/>
    <w:rsid w:val="001B1D4E"/>
    <w:rsid w:val="001B1E72"/>
    <w:rsid w:val="001B2382"/>
    <w:rsid w:val="001B3327"/>
    <w:rsid w:val="001B34FF"/>
    <w:rsid w:val="001B393F"/>
    <w:rsid w:val="001B3C7F"/>
    <w:rsid w:val="001B58F2"/>
    <w:rsid w:val="001B678D"/>
    <w:rsid w:val="001C000F"/>
    <w:rsid w:val="001C0FA7"/>
    <w:rsid w:val="001C1040"/>
    <w:rsid w:val="001C2061"/>
    <w:rsid w:val="001C28BE"/>
    <w:rsid w:val="001C32F9"/>
    <w:rsid w:val="001C35C5"/>
    <w:rsid w:val="001C447B"/>
    <w:rsid w:val="001C47A5"/>
    <w:rsid w:val="001C4FE3"/>
    <w:rsid w:val="001C54F0"/>
    <w:rsid w:val="001C5F00"/>
    <w:rsid w:val="001C6506"/>
    <w:rsid w:val="001C6D16"/>
    <w:rsid w:val="001D11DC"/>
    <w:rsid w:val="001D1AF5"/>
    <w:rsid w:val="001D2237"/>
    <w:rsid w:val="001D29AE"/>
    <w:rsid w:val="001D3DD1"/>
    <w:rsid w:val="001D4D60"/>
    <w:rsid w:val="001D65CA"/>
    <w:rsid w:val="001E06FE"/>
    <w:rsid w:val="001E0D2F"/>
    <w:rsid w:val="001E1B5F"/>
    <w:rsid w:val="001E2F91"/>
    <w:rsid w:val="001E31A4"/>
    <w:rsid w:val="001E384C"/>
    <w:rsid w:val="001E3EA7"/>
    <w:rsid w:val="001E41D9"/>
    <w:rsid w:val="001E5304"/>
    <w:rsid w:val="001E620F"/>
    <w:rsid w:val="001E62C4"/>
    <w:rsid w:val="001E62F0"/>
    <w:rsid w:val="001E6A5E"/>
    <w:rsid w:val="001E6CE0"/>
    <w:rsid w:val="001E725C"/>
    <w:rsid w:val="001F0210"/>
    <w:rsid w:val="001F0793"/>
    <w:rsid w:val="001F0DAD"/>
    <w:rsid w:val="001F2669"/>
    <w:rsid w:val="001F2BB2"/>
    <w:rsid w:val="001F2C4E"/>
    <w:rsid w:val="001F3220"/>
    <w:rsid w:val="001F3F6D"/>
    <w:rsid w:val="001F55EB"/>
    <w:rsid w:val="001F765D"/>
    <w:rsid w:val="001F798F"/>
    <w:rsid w:val="002014CF"/>
    <w:rsid w:val="0020172A"/>
    <w:rsid w:val="00202810"/>
    <w:rsid w:val="00202BB1"/>
    <w:rsid w:val="00202C76"/>
    <w:rsid w:val="002030A3"/>
    <w:rsid w:val="00203710"/>
    <w:rsid w:val="00204F10"/>
    <w:rsid w:val="00205D40"/>
    <w:rsid w:val="00205FA1"/>
    <w:rsid w:val="00206CAD"/>
    <w:rsid w:val="00207E36"/>
    <w:rsid w:val="00207F27"/>
    <w:rsid w:val="00210620"/>
    <w:rsid w:val="002108D1"/>
    <w:rsid w:val="0021094E"/>
    <w:rsid w:val="002117EE"/>
    <w:rsid w:val="00211991"/>
    <w:rsid w:val="00213C42"/>
    <w:rsid w:val="002142D3"/>
    <w:rsid w:val="0021543C"/>
    <w:rsid w:val="00215A74"/>
    <w:rsid w:val="00215AFC"/>
    <w:rsid w:val="00215D7C"/>
    <w:rsid w:val="00215E7C"/>
    <w:rsid w:val="00215E7D"/>
    <w:rsid w:val="00217154"/>
    <w:rsid w:val="002219F5"/>
    <w:rsid w:val="00221B74"/>
    <w:rsid w:val="002228B6"/>
    <w:rsid w:val="00222EC0"/>
    <w:rsid w:val="00223476"/>
    <w:rsid w:val="00224BA5"/>
    <w:rsid w:val="00230266"/>
    <w:rsid w:val="00230F0D"/>
    <w:rsid w:val="00231135"/>
    <w:rsid w:val="002330A0"/>
    <w:rsid w:val="00234835"/>
    <w:rsid w:val="00234F3A"/>
    <w:rsid w:val="002353A9"/>
    <w:rsid w:val="00235653"/>
    <w:rsid w:val="0023597B"/>
    <w:rsid w:val="00235E6E"/>
    <w:rsid w:val="00236445"/>
    <w:rsid w:val="00237BCC"/>
    <w:rsid w:val="002407B2"/>
    <w:rsid w:val="00240FCD"/>
    <w:rsid w:val="00241695"/>
    <w:rsid w:val="002425BC"/>
    <w:rsid w:val="00243644"/>
    <w:rsid w:val="002445FF"/>
    <w:rsid w:val="0024482C"/>
    <w:rsid w:val="00245400"/>
    <w:rsid w:val="00245C02"/>
    <w:rsid w:val="00247067"/>
    <w:rsid w:val="00247954"/>
    <w:rsid w:val="002504DF"/>
    <w:rsid w:val="0025240E"/>
    <w:rsid w:val="002534B3"/>
    <w:rsid w:val="002542AB"/>
    <w:rsid w:val="0025441D"/>
    <w:rsid w:val="0025481F"/>
    <w:rsid w:val="00255ECC"/>
    <w:rsid w:val="00256B17"/>
    <w:rsid w:val="00257062"/>
    <w:rsid w:val="002570A9"/>
    <w:rsid w:val="00257526"/>
    <w:rsid w:val="00257794"/>
    <w:rsid w:val="00260B1B"/>
    <w:rsid w:val="002627A5"/>
    <w:rsid w:val="002628D1"/>
    <w:rsid w:val="00263213"/>
    <w:rsid w:val="002639CC"/>
    <w:rsid w:val="00263AE9"/>
    <w:rsid w:val="00264E8C"/>
    <w:rsid w:val="0026608B"/>
    <w:rsid w:val="00266A04"/>
    <w:rsid w:val="00270109"/>
    <w:rsid w:val="00270144"/>
    <w:rsid w:val="002709D2"/>
    <w:rsid w:val="002729CE"/>
    <w:rsid w:val="00273234"/>
    <w:rsid w:val="002736C6"/>
    <w:rsid w:val="00273D52"/>
    <w:rsid w:val="002745E9"/>
    <w:rsid w:val="0027472A"/>
    <w:rsid w:val="00275248"/>
    <w:rsid w:val="00275813"/>
    <w:rsid w:val="00276748"/>
    <w:rsid w:val="00276DF5"/>
    <w:rsid w:val="00280476"/>
    <w:rsid w:val="00281EAB"/>
    <w:rsid w:val="00281F92"/>
    <w:rsid w:val="002821F4"/>
    <w:rsid w:val="002825BF"/>
    <w:rsid w:val="00282F45"/>
    <w:rsid w:val="00283175"/>
    <w:rsid w:val="002833F5"/>
    <w:rsid w:val="00283DEC"/>
    <w:rsid w:val="002850FC"/>
    <w:rsid w:val="00285547"/>
    <w:rsid w:val="0028561C"/>
    <w:rsid w:val="00285AAD"/>
    <w:rsid w:val="0028639C"/>
    <w:rsid w:val="00286EDF"/>
    <w:rsid w:val="00287BBC"/>
    <w:rsid w:val="002908C9"/>
    <w:rsid w:val="00291D66"/>
    <w:rsid w:val="00292BF1"/>
    <w:rsid w:val="00294857"/>
    <w:rsid w:val="002960CE"/>
    <w:rsid w:val="00296433"/>
    <w:rsid w:val="00296814"/>
    <w:rsid w:val="00297CF4"/>
    <w:rsid w:val="002A07D8"/>
    <w:rsid w:val="002A0C42"/>
    <w:rsid w:val="002A1C17"/>
    <w:rsid w:val="002A4114"/>
    <w:rsid w:val="002A4E44"/>
    <w:rsid w:val="002A5354"/>
    <w:rsid w:val="002B10D1"/>
    <w:rsid w:val="002B1624"/>
    <w:rsid w:val="002B1CD2"/>
    <w:rsid w:val="002B2426"/>
    <w:rsid w:val="002B27CC"/>
    <w:rsid w:val="002B298D"/>
    <w:rsid w:val="002B3373"/>
    <w:rsid w:val="002B4C2E"/>
    <w:rsid w:val="002B4C86"/>
    <w:rsid w:val="002B5288"/>
    <w:rsid w:val="002B60B6"/>
    <w:rsid w:val="002B6D0C"/>
    <w:rsid w:val="002B723E"/>
    <w:rsid w:val="002B7A82"/>
    <w:rsid w:val="002B7C8E"/>
    <w:rsid w:val="002B7E88"/>
    <w:rsid w:val="002C016F"/>
    <w:rsid w:val="002C0347"/>
    <w:rsid w:val="002C0A3C"/>
    <w:rsid w:val="002C1701"/>
    <w:rsid w:val="002C1CE6"/>
    <w:rsid w:val="002C29F8"/>
    <w:rsid w:val="002C3ABA"/>
    <w:rsid w:val="002C3C9E"/>
    <w:rsid w:val="002C4763"/>
    <w:rsid w:val="002C6FB3"/>
    <w:rsid w:val="002D0A6D"/>
    <w:rsid w:val="002D1B11"/>
    <w:rsid w:val="002D2514"/>
    <w:rsid w:val="002D38DD"/>
    <w:rsid w:val="002D41E8"/>
    <w:rsid w:val="002D4F4C"/>
    <w:rsid w:val="002D5CE4"/>
    <w:rsid w:val="002D5DC3"/>
    <w:rsid w:val="002D6616"/>
    <w:rsid w:val="002D6FED"/>
    <w:rsid w:val="002D75A8"/>
    <w:rsid w:val="002E0158"/>
    <w:rsid w:val="002E11FC"/>
    <w:rsid w:val="002E1E04"/>
    <w:rsid w:val="002E2AA4"/>
    <w:rsid w:val="002E3637"/>
    <w:rsid w:val="002E3F7B"/>
    <w:rsid w:val="002E481F"/>
    <w:rsid w:val="002E4B69"/>
    <w:rsid w:val="002E50EB"/>
    <w:rsid w:val="002E5B95"/>
    <w:rsid w:val="002E6590"/>
    <w:rsid w:val="002E6E70"/>
    <w:rsid w:val="002F02A4"/>
    <w:rsid w:val="002F07C9"/>
    <w:rsid w:val="002F323F"/>
    <w:rsid w:val="002F3B91"/>
    <w:rsid w:val="002F6082"/>
    <w:rsid w:val="002F6BF5"/>
    <w:rsid w:val="002F7A8E"/>
    <w:rsid w:val="002F7ED1"/>
    <w:rsid w:val="003000A1"/>
    <w:rsid w:val="0030011D"/>
    <w:rsid w:val="00301999"/>
    <w:rsid w:val="00302BCF"/>
    <w:rsid w:val="00303067"/>
    <w:rsid w:val="00304820"/>
    <w:rsid w:val="00305DC7"/>
    <w:rsid w:val="00306F4B"/>
    <w:rsid w:val="00310381"/>
    <w:rsid w:val="003103E1"/>
    <w:rsid w:val="00310CB2"/>
    <w:rsid w:val="00311E91"/>
    <w:rsid w:val="00312F7B"/>
    <w:rsid w:val="003146EB"/>
    <w:rsid w:val="003149FF"/>
    <w:rsid w:val="003151B8"/>
    <w:rsid w:val="00315CD9"/>
    <w:rsid w:val="00317710"/>
    <w:rsid w:val="00322637"/>
    <w:rsid w:val="0032300F"/>
    <w:rsid w:val="00324D03"/>
    <w:rsid w:val="00324F7E"/>
    <w:rsid w:val="003250F7"/>
    <w:rsid w:val="00325697"/>
    <w:rsid w:val="00325C37"/>
    <w:rsid w:val="00325FD3"/>
    <w:rsid w:val="0032654B"/>
    <w:rsid w:val="00327058"/>
    <w:rsid w:val="003270A5"/>
    <w:rsid w:val="00327C6B"/>
    <w:rsid w:val="00330EAA"/>
    <w:rsid w:val="0033116C"/>
    <w:rsid w:val="003318BA"/>
    <w:rsid w:val="0033196D"/>
    <w:rsid w:val="00331DAA"/>
    <w:rsid w:val="0033203A"/>
    <w:rsid w:val="003333C5"/>
    <w:rsid w:val="003343D7"/>
    <w:rsid w:val="00334CDC"/>
    <w:rsid w:val="00335316"/>
    <w:rsid w:val="00335C33"/>
    <w:rsid w:val="003364E5"/>
    <w:rsid w:val="00337F45"/>
    <w:rsid w:val="00340545"/>
    <w:rsid w:val="00340549"/>
    <w:rsid w:val="0034289D"/>
    <w:rsid w:val="00342966"/>
    <w:rsid w:val="003445FC"/>
    <w:rsid w:val="0034613B"/>
    <w:rsid w:val="00346235"/>
    <w:rsid w:val="00350B99"/>
    <w:rsid w:val="00351241"/>
    <w:rsid w:val="00351DE1"/>
    <w:rsid w:val="00351FA6"/>
    <w:rsid w:val="003522D8"/>
    <w:rsid w:val="00352966"/>
    <w:rsid w:val="00352FFC"/>
    <w:rsid w:val="0035350F"/>
    <w:rsid w:val="0035429F"/>
    <w:rsid w:val="00354ADA"/>
    <w:rsid w:val="00357088"/>
    <w:rsid w:val="00357CF2"/>
    <w:rsid w:val="00360109"/>
    <w:rsid w:val="00360615"/>
    <w:rsid w:val="003613F0"/>
    <w:rsid w:val="00366205"/>
    <w:rsid w:val="00367142"/>
    <w:rsid w:val="00367462"/>
    <w:rsid w:val="00367555"/>
    <w:rsid w:val="00367708"/>
    <w:rsid w:val="00367B96"/>
    <w:rsid w:val="00367B9F"/>
    <w:rsid w:val="003727C5"/>
    <w:rsid w:val="00373B4F"/>
    <w:rsid w:val="003753EB"/>
    <w:rsid w:val="0037694D"/>
    <w:rsid w:val="0037696F"/>
    <w:rsid w:val="003769C7"/>
    <w:rsid w:val="00377556"/>
    <w:rsid w:val="003779E0"/>
    <w:rsid w:val="0038008F"/>
    <w:rsid w:val="0038033A"/>
    <w:rsid w:val="00380906"/>
    <w:rsid w:val="00380F77"/>
    <w:rsid w:val="00381328"/>
    <w:rsid w:val="00381350"/>
    <w:rsid w:val="00381F21"/>
    <w:rsid w:val="0038213B"/>
    <w:rsid w:val="00382A9D"/>
    <w:rsid w:val="00384AB2"/>
    <w:rsid w:val="003854AB"/>
    <w:rsid w:val="00385B5F"/>
    <w:rsid w:val="00392372"/>
    <w:rsid w:val="00392564"/>
    <w:rsid w:val="0039288D"/>
    <w:rsid w:val="003929DD"/>
    <w:rsid w:val="00393074"/>
    <w:rsid w:val="003952A7"/>
    <w:rsid w:val="003955B3"/>
    <w:rsid w:val="00396422"/>
    <w:rsid w:val="00396AA5"/>
    <w:rsid w:val="00397A1E"/>
    <w:rsid w:val="003A046D"/>
    <w:rsid w:val="003A0783"/>
    <w:rsid w:val="003A10D3"/>
    <w:rsid w:val="003A1137"/>
    <w:rsid w:val="003A1DD5"/>
    <w:rsid w:val="003A2E2A"/>
    <w:rsid w:val="003A3791"/>
    <w:rsid w:val="003A3C92"/>
    <w:rsid w:val="003A4A6F"/>
    <w:rsid w:val="003A7446"/>
    <w:rsid w:val="003A77D1"/>
    <w:rsid w:val="003A797E"/>
    <w:rsid w:val="003A79B9"/>
    <w:rsid w:val="003B0B57"/>
    <w:rsid w:val="003B1871"/>
    <w:rsid w:val="003B1B8B"/>
    <w:rsid w:val="003B2B76"/>
    <w:rsid w:val="003B326B"/>
    <w:rsid w:val="003B429A"/>
    <w:rsid w:val="003B5733"/>
    <w:rsid w:val="003B5AAE"/>
    <w:rsid w:val="003B5C06"/>
    <w:rsid w:val="003B6AA0"/>
    <w:rsid w:val="003B752C"/>
    <w:rsid w:val="003B7938"/>
    <w:rsid w:val="003C08A5"/>
    <w:rsid w:val="003C0DA7"/>
    <w:rsid w:val="003C0EFE"/>
    <w:rsid w:val="003C1271"/>
    <w:rsid w:val="003C1B0D"/>
    <w:rsid w:val="003C2F35"/>
    <w:rsid w:val="003C3D9B"/>
    <w:rsid w:val="003C42CF"/>
    <w:rsid w:val="003C52DC"/>
    <w:rsid w:val="003C5873"/>
    <w:rsid w:val="003C71A5"/>
    <w:rsid w:val="003C7E3E"/>
    <w:rsid w:val="003D06E6"/>
    <w:rsid w:val="003D20AF"/>
    <w:rsid w:val="003D28AE"/>
    <w:rsid w:val="003D3282"/>
    <w:rsid w:val="003D41CD"/>
    <w:rsid w:val="003D429E"/>
    <w:rsid w:val="003D51A5"/>
    <w:rsid w:val="003D5331"/>
    <w:rsid w:val="003D54AD"/>
    <w:rsid w:val="003D708E"/>
    <w:rsid w:val="003E0A22"/>
    <w:rsid w:val="003E2562"/>
    <w:rsid w:val="003E2EF7"/>
    <w:rsid w:val="003E4C68"/>
    <w:rsid w:val="003E6FC9"/>
    <w:rsid w:val="003F0189"/>
    <w:rsid w:val="003F1BDC"/>
    <w:rsid w:val="003F2926"/>
    <w:rsid w:val="003F2A12"/>
    <w:rsid w:val="003F4C35"/>
    <w:rsid w:val="003F5505"/>
    <w:rsid w:val="003F56F2"/>
    <w:rsid w:val="003F70F7"/>
    <w:rsid w:val="003F7436"/>
    <w:rsid w:val="003F7B76"/>
    <w:rsid w:val="00400046"/>
    <w:rsid w:val="004007E3"/>
    <w:rsid w:val="00400C5B"/>
    <w:rsid w:val="00400D4D"/>
    <w:rsid w:val="00401BDF"/>
    <w:rsid w:val="0040372E"/>
    <w:rsid w:val="00403848"/>
    <w:rsid w:val="0040384E"/>
    <w:rsid w:val="004038BD"/>
    <w:rsid w:val="00404399"/>
    <w:rsid w:val="00404528"/>
    <w:rsid w:val="004059BA"/>
    <w:rsid w:val="00405C3C"/>
    <w:rsid w:val="00405F0B"/>
    <w:rsid w:val="0040648C"/>
    <w:rsid w:val="00406928"/>
    <w:rsid w:val="00406B31"/>
    <w:rsid w:val="00406BD8"/>
    <w:rsid w:val="00410435"/>
    <w:rsid w:val="00410D4B"/>
    <w:rsid w:val="00410FEA"/>
    <w:rsid w:val="00411104"/>
    <w:rsid w:val="00412140"/>
    <w:rsid w:val="00412358"/>
    <w:rsid w:val="00413449"/>
    <w:rsid w:val="004138E6"/>
    <w:rsid w:val="00414638"/>
    <w:rsid w:val="00414885"/>
    <w:rsid w:val="0041517E"/>
    <w:rsid w:val="00415D8B"/>
    <w:rsid w:val="00416280"/>
    <w:rsid w:val="00416B9F"/>
    <w:rsid w:val="0041762D"/>
    <w:rsid w:val="00417CA1"/>
    <w:rsid w:val="0042103E"/>
    <w:rsid w:val="00422095"/>
    <w:rsid w:val="00422464"/>
    <w:rsid w:val="00423054"/>
    <w:rsid w:val="00424232"/>
    <w:rsid w:val="00424B52"/>
    <w:rsid w:val="004256E9"/>
    <w:rsid w:val="00425FC5"/>
    <w:rsid w:val="004306CD"/>
    <w:rsid w:val="00432309"/>
    <w:rsid w:val="00432A28"/>
    <w:rsid w:val="00433033"/>
    <w:rsid w:val="00433E84"/>
    <w:rsid w:val="004343B3"/>
    <w:rsid w:val="004348F0"/>
    <w:rsid w:val="00435286"/>
    <w:rsid w:val="00436418"/>
    <w:rsid w:val="00437DC1"/>
    <w:rsid w:val="0044108D"/>
    <w:rsid w:val="00441864"/>
    <w:rsid w:val="004425FD"/>
    <w:rsid w:val="00442DFE"/>
    <w:rsid w:val="00442F25"/>
    <w:rsid w:val="004435DF"/>
    <w:rsid w:val="004438FA"/>
    <w:rsid w:val="004465CA"/>
    <w:rsid w:val="00446AAF"/>
    <w:rsid w:val="00450038"/>
    <w:rsid w:val="00450840"/>
    <w:rsid w:val="00450E38"/>
    <w:rsid w:val="00452188"/>
    <w:rsid w:val="004521EC"/>
    <w:rsid w:val="0045227C"/>
    <w:rsid w:val="00453A75"/>
    <w:rsid w:val="0045450B"/>
    <w:rsid w:val="004546E4"/>
    <w:rsid w:val="00455C8F"/>
    <w:rsid w:val="00455EDD"/>
    <w:rsid w:val="00456E8B"/>
    <w:rsid w:val="004574EC"/>
    <w:rsid w:val="00460052"/>
    <w:rsid w:val="00460F4B"/>
    <w:rsid w:val="00461AF8"/>
    <w:rsid w:val="00461E41"/>
    <w:rsid w:val="00462400"/>
    <w:rsid w:val="0046265A"/>
    <w:rsid w:val="00463277"/>
    <w:rsid w:val="00463EC1"/>
    <w:rsid w:val="004646ED"/>
    <w:rsid w:val="00465174"/>
    <w:rsid w:val="0046540E"/>
    <w:rsid w:val="00465A6D"/>
    <w:rsid w:val="00465D73"/>
    <w:rsid w:val="00466C53"/>
    <w:rsid w:val="0047015C"/>
    <w:rsid w:val="00470697"/>
    <w:rsid w:val="00471E7F"/>
    <w:rsid w:val="004726F1"/>
    <w:rsid w:val="0047382B"/>
    <w:rsid w:val="00474A08"/>
    <w:rsid w:val="00474B45"/>
    <w:rsid w:val="00475CE4"/>
    <w:rsid w:val="0047622B"/>
    <w:rsid w:val="0047710A"/>
    <w:rsid w:val="00477D62"/>
    <w:rsid w:val="004806E1"/>
    <w:rsid w:val="00480BDE"/>
    <w:rsid w:val="00480C7A"/>
    <w:rsid w:val="004811DF"/>
    <w:rsid w:val="00482B86"/>
    <w:rsid w:val="00483E95"/>
    <w:rsid w:val="0048436D"/>
    <w:rsid w:val="0048555D"/>
    <w:rsid w:val="004860A4"/>
    <w:rsid w:val="0048698F"/>
    <w:rsid w:val="0048701E"/>
    <w:rsid w:val="00487907"/>
    <w:rsid w:val="00490157"/>
    <w:rsid w:val="00490221"/>
    <w:rsid w:val="0049074E"/>
    <w:rsid w:val="004938B4"/>
    <w:rsid w:val="00494C5D"/>
    <w:rsid w:val="00495288"/>
    <w:rsid w:val="004954CF"/>
    <w:rsid w:val="0049598D"/>
    <w:rsid w:val="00496610"/>
    <w:rsid w:val="004967DB"/>
    <w:rsid w:val="004977E5"/>
    <w:rsid w:val="00497C68"/>
    <w:rsid w:val="004A0183"/>
    <w:rsid w:val="004A0652"/>
    <w:rsid w:val="004A0693"/>
    <w:rsid w:val="004A0AF2"/>
    <w:rsid w:val="004A1CC0"/>
    <w:rsid w:val="004A3749"/>
    <w:rsid w:val="004A4C81"/>
    <w:rsid w:val="004A57C3"/>
    <w:rsid w:val="004A5FE8"/>
    <w:rsid w:val="004A766A"/>
    <w:rsid w:val="004A7D50"/>
    <w:rsid w:val="004B02C4"/>
    <w:rsid w:val="004B1012"/>
    <w:rsid w:val="004B1E27"/>
    <w:rsid w:val="004B24C5"/>
    <w:rsid w:val="004B40D9"/>
    <w:rsid w:val="004B4B04"/>
    <w:rsid w:val="004B5B7F"/>
    <w:rsid w:val="004B6384"/>
    <w:rsid w:val="004B7602"/>
    <w:rsid w:val="004B7C65"/>
    <w:rsid w:val="004B7D70"/>
    <w:rsid w:val="004B7E73"/>
    <w:rsid w:val="004C0466"/>
    <w:rsid w:val="004C09AF"/>
    <w:rsid w:val="004C1F04"/>
    <w:rsid w:val="004C315F"/>
    <w:rsid w:val="004C3B2E"/>
    <w:rsid w:val="004C4433"/>
    <w:rsid w:val="004C45FB"/>
    <w:rsid w:val="004C5873"/>
    <w:rsid w:val="004C5B61"/>
    <w:rsid w:val="004C5FE6"/>
    <w:rsid w:val="004C667A"/>
    <w:rsid w:val="004C6779"/>
    <w:rsid w:val="004C7A29"/>
    <w:rsid w:val="004D01E2"/>
    <w:rsid w:val="004D03AF"/>
    <w:rsid w:val="004D10AA"/>
    <w:rsid w:val="004D2632"/>
    <w:rsid w:val="004D3CB2"/>
    <w:rsid w:val="004D4679"/>
    <w:rsid w:val="004D48FD"/>
    <w:rsid w:val="004D59B5"/>
    <w:rsid w:val="004D6339"/>
    <w:rsid w:val="004D69DD"/>
    <w:rsid w:val="004D73E5"/>
    <w:rsid w:val="004E035A"/>
    <w:rsid w:val="004E0593"/>
    <w:rsid w:val="004E0740"/>
    <w:rsid w:val="004E0B72"/>
    <w:rsid w:val="004E35A7"/>
    <w:rsid w:val="004E41EF"/>
    <w:rsid w:val="004E42F0"/>
    <w:rsid w:val="004E623E"/>
    <w:rsid w:val="004F0878"/>
    <w:rsid w:val="004F0A7A"/>
    <w:rsid w:val="004F0B10"/>
    <w:rsid w:val="004F261E"/>
    <w:rsid w:val="004F263E"/>
    <w:rsid w:val="004F28E6"/>
    <w:rsid w:val="004F3702"/>
    <w:rsid w:val="004F417E"/>
    <w:rsid w:val="004F4C9D"/>
    <w:rsid w:val="004F78E9"/>
    <w:rsid w:val="00500B5B"/>
    <w:rsid w:val="00503844"/>
    <w:rsid w:val="00503A1D"/>
    <w:rsid w:val="0050433E"/>
    <w:rsid w:val="00504FA7"/>
    <w:rsid w:val="0050522F"/>
    <w:rsid w:val="00505891"/>
    <w:rsid w:val="00505A11"/>
    <w:rsid w:val="0050706C"/>
    <w:rsid w:val="00510814"/>
    <w:rsid w:val="00510B83"/>
    <w:rsid w:val="0051141E"/>
    <w:rsid w:val="00511B4C"/>
    <w:rsid w:val="005137DE"/>
    <w:rsid w:val="00513E24"/>
    <w:rsid w:val="00514109"/>
    <w:rsid w:val="00514B4A"/>
    <w:rsid w:val="00516747"/>
    <w:rsid w:val="0051730E"/>
    <w:rsid w:val="00520519"/>
    <w:rsid w:val="00520F1E"/>
    <w:rsid w:val="00521A14"/>
    <w:rsid w:val="0052254D"/>
    <w:rsid w:val="005228B8"/>
    <w:rsid w:val="00523506"/>
    <w:rsid w:val="005236F7"/>
    <w:rsid w:val="00524384"/>
    <w:rsid w:val="005244F0"/>
    <w:rsid w:val="00524531"/>
    <w:rsid w:val="00524862"/>
    <w:rsid w:val="00524CD3"/>
    <w:rsid w:val="0052509C"/>
    <w:rsid w:val="00527FDD"/>
    <w:rsid w:val="00530A80"/>
    <w:rsid w:val="00531214"/>
    <w:rsid w:val="00535AE8"/>
    <w:rsid w:val="00535CEA"/>
    <w:rsid w:val="005360DD"/>
    <w:rsid w:val="00536994"/>
    <w:rsid w:val="00537FB3"/>
    <w:rsid w:val="005414DA"/>
    <w:rsid w:val="00542596"/>
    <w:rsid w:val="005428AF"/>
    <w:rsid w:val="00544AF9"/>
    <w:rsid w:val="00544D91"/>
    <w:rsid w:val="00544EFD"/>
    <w:rsid w:val="005454EC"/>
    <w:rsid w:val="0054579C"/>
    <w:rsid w:val="005478BC"/>
    <w:rsid w:val="005478F4"/>
    <w:rsid w:val="00547AE6"/>
    <w:rsid w:val="005507BE"/>
    <w:rsid w:val="00551B85"/>
    <w:rsid w:val="0055267F"/>
    <w:rsid w:val="00552D1C"/>
    <w:rsid w:val="00553010"/>
    <w:rsid w:val="00553472"/>
    <w:rsid w:val="0055347D"/>
    <w:rsid w:val="0055372B"/>
    <w:rsid w:val="00553750"/>
    <w:rsid w:val="0055451E"/>
    <w:rsid w:val="00554C90"/>
    <w:rsid w:val="00555705"/>
    <w:rsid w:val="005570A4"/>
    <w:rsid w:val="0056000D"/>
    <w:rsid w:val="00561DDC"/>
    <w:rsid w:val="00561E91"/>
    <w:rsid w:val="005627BE"/>
    <w:rsid w:val="005628A2"/>
    <w:rsid w:val="005632D1"/>
    <w:rsid w:val="005633D2"/>
    <w:rsid w:val="00563609"/>
    <w:rsid w:val="00564358"/>
    <w:rsid w:val="005644B1"/>
    <w:rsid w:val="00564CDE"/>
    <w:rsid w:val="00565F91"/>
    <w:rsid w:val="005661C8"/>
    <w:rsid w:val="00567009"/>
    <w:rsid w:val="005700DB"/>
    <w:rsid w:val="00570AA9"/>
    <w:rsid w:val="00570B39"/>
    <w:rsid w:val="00570C99"/>
    <w:rsid w:val="00571AAD"/>
    <w:rsid w:val="00571EAB"/>
    <w:rsid w:val="00572B9E"/>
    <w:rsid w:val="00573518"/>
    <w:rsid w:val="00573529"/>
    <w:rsid w:val="00574287"/>
    <w:rsid w:val="00574937"/>
    <w:rsid w:val="0057523A"/>
    <w:rsid w:val="00575574"/>
    <w:rsid w:val="00575DFC"/>
    <w:rsid w:val="00576E03"/>
    <w:rsid w:val="005800CD"/>
    <w:rsid w:val="00580F4F"/>
    <w:rsid w:val="00582B60"/>
    <w:rsid w:val="0058390B"/>
    <w:rsid w:val="005861D4"/>
    <w:rsid w:val="005869A1"/>
    <w:rsid w:val="00587A84"/>
    <w:rsid w:val="005914E9"/>
    <w:rsid w:val="00591FCE"/>
    <w:rsid w:val="00593C00"/>
    <w:rsid w:val="0059459A"/>
    <w:rsid w:val="00594876"/>
    <w:rsid w:val="00594D4F"/>
    <w:rsid w:val="00595141"/>
    <w:rsid w:val="0059630D"/>
    <w:rsid w:val="00596311"/>
    <w:rsid w:val="005963C6"/>
    <w:rsid w:val="00596893"/>
    <w:rsid w:val="005970F9"/>
    <w:rsid w:val="005974CD"/>
    <w:rsid w:val="00597FBD"/>
    <w:rsid w:val="005A0594"/>
    <w:rsid w:val="005A0E0F"/>
    <w:rsid w:val="005A2566"/>
    <w:rsid w:val="005A2ADD"/>
    <w:rsid w:val="005A3234"/>
    <w:rsid w:val="005A3A30"/>
    <w:rsid w:val="005A3BE1"/>
    <w:rsid w:val="005A42B7"/>
    <w:rsid w:val="005A69E4"/>
    <w:rsid w:val="005A6E4D"/>
    <w:rsid w:val="005B0B5E"/>
    <w:rsid w:val="005B176D"/>
    <w:rsid w:val="005B17A3"/>
    <w:rsid w:val="005B2536"/>
    <w:rsid w:val="005B25AF"/>
    <w:rsid w:val="005B4BF3"/>
    <w:rsid w:val="005B6DD1"/>
    <w:rsid w:val="005B6E0E"/>
    <w:rsid w:val="005B76CB"/>
    <w:rsid w:val="005B7998"/>
    <w:rsid w:val="005B7FDD"/>
    <w:rsid w:val="005C0346"/>
    <w:rsid w:val="005C16A0"/>
    <w:rsid w:val="005C1925"/>
    <w:rsid w:val="005C25D5"/>
    <w:rsid w:val="005C2658"/>
    <w:rsid w:val="005C2EC6"/>
    <w:rsid w:val="005C39DA"/>
    <w:rsid w:val="005C4914"/>
    <w:rsid w:val="005C5F81"/>
    <w:rsid w:val="005C6197"/>
    <w:rsid w:val="005C6E53"/>
    <w:rsid w:val="005C6ECC"/>
    <w:rsid w:val="005C7380"/>
    <w:rsid w:val="005C7AB1"/>
    <w:rsid w:val="005D032E"/>
    <w:rsid w:val="005D0331"/>
    <w:rsid w:val="005D0C51"/>
    <w:rsid w:val="005D160B"/>
    <w:rsid w:val="005D1FC6"/>
    <w:rsid w:val="005D2B96"/>
    <w:rsid w:val="005D2E8C"/>
    <w:rsid w:val="005D3EA4"/>
    <w:rsid w:val="005D4480"/>
    <w:rsid w:val="005D501E"/>
    <w:rsid w:val="005D5AF6"/>
    <w:rsid w:val="005D6424"/>
    <w:rsid w:val="005E08F2"/>
    <w:rsid w:val="005E146A"/>
    <w:rsid w:val="005E2106"/>
    <w:rsid w:val="005E2460"/>
    <w:rsid w:val="005E3034"/>
    <w:rsid w:val="005E3B2E"/>
    <w:rsid w:val="005E3C65"/>
    <w:rsid w:val="005E3E42"/>
    <w:rsid w:val="005E446F"/>
    <w:rsid w:val="005E58A5"/>
    <w:rsid w:val="005E70C2"/>
    <w:rsid w:val="005F012F"/>
    <w:rsid w:val="005F018B"/>
    <w:rsid w:val="005F07CE"/>
    <w:rsid w:val="005F11E9"/>
    <w:rsid w:val="005F13F0"/>
    <w:rsid w:val="005F1607"/>
    <w:rsid w:val="005F16AA"/>
    <w:rsid w:val="005F5654"/>
    <w:rsid w:val="005F7794"/>
    <w:rsid w:val="005F7CE2"/>
    <w:rsid w:val="006028C4"/>
    <w:rsid w:val="00602C90"/>
    <w:rsid w:val="00603F80"/>
    <w:rsid w:val="0060442C"/>
    <w:rsid w:val="0060488A"/>
    <w:rsid w:val="006050E2"/>
    <w:rsid w:val="0060612D"/>
    <w:rsid w:val="006065A0"/>
    <w:rsid w:val="00606BE8"/>
    <w:rsid w:val="00606D96"/>
    <w:rsid w:val="00606DFC"/>
    <w:rsid w:val="00606ED7"/>
    <w:rsid w:val="00606FC1"/>
    <w:rsid w:val="00607B15"/>
    <w:rsid w:val="00610A70"/>
    <w:rsid w:val="0061244B"/>
    <w:rsid w:val="0061276C"/>
    <w:rsid w:val="006135BB"/>
    <w:rsid w:val="0061373F"/>
    <w:rsid w:val="00613A2F"/>
    <w:rsid w:val="00613D97"/>
    <w:rsid w:val="006152F9"/>
    <w:rsid w:val="006167B7"/>
    <w:rsid w:val="006170EB"/>
    <w:rsid w:val="00617CBF"/>
    <w:rsid w:val="0062027E"/>
    <w:rsid w:val="00620DC8"/>
    <w:rsid w:val="00621F91"/>
    <w:rsid w:val="00623B12"/>
    <w:rsid w:val="00623EBB"/>
    <w:rsid w:val="006245CA"/>
    <w:rsid w:val="006252EB"/>
    <w:rsid w:val="00626A34"/>
    <w:rsid w:val="00627214"/>
    <w:rsid w:val="006273A1"/>
    <w:rsid w:val="006304C7"/>
    <w:rsid w:val="00632311"/>
    <w:rsid w:val="00632677"/>
    <w:rsid w:val="00633171"/>
    <w:rsid w:val="00633B33"/>
    <w:rsid w:val="006340DF"/>
    <w:rsid w:val="006344C3"/>
    <w:rsid w:val="0063507F"/>
    <w:rsid w:val="006357F1"/>
    <w:rsid w:val="006359D6"/>
    <w:rsid w:val="00635CCF"/>
    <w:rsid w:val="00635F94"/>
    <w:rsid w:val="0063671A"/>
    <w:rsid w:val="006374E1"/>
    <w:rsid w:val="00640F80"/>
    <w:rsid w:val="006415CB"/>
    <w:rsid w:val="00641D31"/>
    <w:rsid w:val="00642296"/>
    <w:rsid w:val="0064358E"/>
    <w:rsid w:val="006446F3"/>
    <w:rsid w:val="0064516F"/>
    <w:rsid w:val="00646809"/>
    <w:rsid w:val="006476D4"/>
    <w:rsid w:val="00650CCD"/>
    <w:rsid w:val="00652397"/>
    <w:rsid w:val="00652A42"/>
    <w:rsid w:val="00652A8F"/>
    <w:rsid w:val="00655490"/>
    <w:rsid w:val="00656D8A"/>
    <w:rsid w:val="00657E4D"/>
    <w:rsid w:val="00660DAC"/>
    <w:rsid w:val="006617B8"/>
    <w:rsid w:val="00662F50"/>
    <w:rsid w:val="00663127"/>
    <w:rsid w:val="00663B5E"/>
    <w:rsid w:val="00663FE2"/>
    <w:rsid w:val="00664768"/>
    <w:rsid w:val="006650EF"/>
    <w:rsid w:val="006656F3"/>
    <w:rsid w:val="006657FB"/>
    <w:rsid w:val="00665BD6"/>
    <w:rsid w:val="00666965"/>
    <w:rsid w:val="006673A9"/>
    <w:rsid w:val="006707F0"/>
    <w:rsid w:val="00670DB2"/>
    <w:rsid w:val="0067238C"/>
    <w:rsid w:val="00672C59"/>
    <w:rsid w:val="00673894"/>
    <w:rsid w:val="006742E0"/>
    <w:rsid w:val="00674C02"/>
    <w:rsid w:val="0067656D"/>
    <w:rsid w:val="00676D42"/>
    <w:rsid w:val="00680F21"/>
    <w:rsid w:val="006818CB"/>
    <w:rsid w:val="006819C0"/>
    <w:rsid w:val="0068249B"/>
    <w:rsid w:val="006841F4"/>
    <w:rsid w:val="00684846"/>
    <w:rsid w:val="006848AB"/>
    <w:rsid w:val="00684FAE"/>
    <w:rsid w:val="00685194"/>
    <w:rsid w:val="00687829"/>
    <w:rsid w:val="00687B54"/>
    <w:rsid w:val="00690E62"/>
    <w:rsid w:val="00691D03"/>
    <w:rsid w:val="00691F15"/>
    <w:rsid w:val="00692642"/>
    <w:rsid w:val="00692BD3"/>
    <w:rsid w:val="00692E57"/>
    <w:rsid w:val="00694858"/>
    <w:rsid w:val="00694ED0"/>
    <w:rsid w:val="00695761"/>
    <w:rsid w:val="00695B02"/>
    <w:rsid w:val="00696937"/>
    <w:rsid w:val="0069728F"/>
    <w:rsid w:val="006A011A"/>
    <w:rsid w:val="006A0244"/>
    <w:rsid w:val="006A112C"/>
    <w:rsid w:val="006A194B"/>
    <w:rsid w:val="006A21BB"/>
    <w:rsid w:val="006A2923"/>
    <w:rsid w:val="006A3160"/>
    <w:rsid w:val="006A36F2"/>
    <w:rsid w:val="006A3CC0"/>
    <w:rsid w:val="006A4C35"/>
    <w:rsid w:val="006A5048"/>
    <w:rsid w:val="006A58A3"/>
    <w:rsid w:val="006A6771"/>
    <w:rsid w:val="006A699F"/>
    <w:rsid w:val="006A7030"/>
    <w:rsid w:val="006A70C0"/>
    <w:rsid w:val="006A773D"/>
    <w:rsid w:val="006B02C1"/>
    <w:rsid w:val="006B0699"/>
    <w:rsid w:val="006B0F21"/>
    <w:rsid w:val="006B1B51"/>
    <w:rsid w:val="006B22B1"/>
    <w:rsid w:val="006B2636"/>
    <w:rsid w:val="006B2B5A"/>
    <w:rsid w:val="006B38CA"/>
    <w:rsid w:val="006B4002"/>
    <w:rsid w:val="006B4937"/>
    <w:rsid w:val="006B51D0"/>
    <w:rsid w:val="006B55E1"/>
    <w:rsid w:val="006C1783"/>
    <w:rsid w:val="006C1EC2"/>
    <w:rsid w:val="006C1EE6"/>
    <w:rsid w:val="006C21B8"/>
    <w:rsid w:val="006C2A0E"/>
    <w:rsid w:val="006C2FAD"/>
    <w:rsid w:val="006C356D"/>
    <w:rsid w:val="006C5E97"/>
    <w:rsid w:val="006C6200"/>
    <w:rsid w:val="006C69AC"/>
    <w:rsid w:val="006C72C4"/>
    <w:rsid w:val="006D0491"/>
    <w:rsid w:val="006D0650"/>
    <w:rsid w:val="006D22E1"/>
    <w:rsid w:val="006D709A"/>
    <w:rsid w:val="006D70E7"/>
    <w:rsid w:val="006D7FC4"/>
    <w:rsid w:val="006E082D"/>
    <w:rsid w:val="006E144C"/>
    <w:rsid w:val="006E219F"/>
    <w:rsid w:val="006E2235"/>
    <w:rsid w:val="006E2523"/>
    <w:rsid w:val="006E273E"/>
    <w:rsid w:val="006E32DA"/>
    <w:rsid w:val="006E35E8"/>
    <w:rsid w:val="006E3FB3"/>
    <w:rsid w:val="006E5264"/>
    <w:rsid w:val="006E6862"/>
    <w:rsid w:val="006F057B"/>
    <w:rsid w:val="006F0B66"/>
    <w:rsid w:val="006F26D2"/>
    <w:rsid w:val="006F2D7B"/>
    <w:rsid w:val="006F352C"/>
    <w:rsid w:val="006F3F74"/>
    <w:rsid w:val="006F4DCE"/>
    <w:rsid w:val="006F5C81"/>
    <w:rsid w:val="006F62BF"/>
    <w:rsid w:val="006F70BE"/>
    <w:rsid w:val="006F771E"/>
    <w:rsid w:val="007006DB"/>
    <w:rsid w:val="00700789"/>
    <w:rsid w:val="00701227"/>
    <w:rsid w:val="00703E06"/>
    <w:rsid w:val="00706579"/>
    <w:rsid w:val="0070673A"/>
    <w:rsid w:val="00706D9E"/>
    <w:rsid w:val="0070717F"/>
    <w:rsid w:val="007103FF"/>
    <w:rsid w:val="00710980"/>
    <w:rsid w:val="007115C7"/>
    <w:rsid w:val="0071186F"/>
    <w:rsid w:val="00711E1A"/>
    <w:rsid w:val="007137E0"/>
    <w:rsid w:val="00713A51"/>
    <w:rsid w:val="00713FDF"/>
    <w:rsid w:val="007141F6"/>
    <w:rsid w:val="0071453C"/>
    <w:rsid w:val="00715364"/>
    <w:rsid w:val="00716535"/>
    <w:rsid w:val="007167DF"/>
    <w:rsid w:val="00716B1D"/>
    <w:rsid w:val="00716C29"/>
    <w:rsid w:val="00717D4B"/>
    <w:rsid w:val="007215FA"/>
    <w:rsid w:val="00721C39"/>
    <w:rsid w:val="0072206D"/>
    <w:rsid w:val="00722C67"/>
    <w:rsid w:val="00723401"/>
    <w:rsid w:val="00723595"/>
    <w:rsid w:val="00724332"/>
    <w:rsid w:val="007261FA"/>
    <w:rsid w:val="00726AB8"/>
    <w:rsid w:val="00726D14"/>
    <w:rsid w:val="00727CE0"/>
    <w:rsid w:val="00730A5F"/>
    <w:rsid w:val="00731184"/>
    <w:rsid w:val="00733DCF"/>
    <w:rsid w:val="00733F9A"/>
    <w:rsid w:val="00734043"/>
    <w:rsid w:val="00734EFF"/>
    <w:rsid w:val="00735084"/>
    <w:rsid w:val="00735194"/>
    <w:rsid w:val="0073538F"/>
    <w:rsid w:val="0073539F"/>
    <w:rsid w:val="00736D30"/>
    <w:rsid w:val="0073759E"/>
    <w:rsid w:val="00737873"/>
    <w:rsid w:val="0074002B"/>
    <w:rsid w:val="00741AF4"/>
    <w:rsid w:val="00742423"/>
    <w:rsid w:val="00742B27"/>
    <w:rsid w:val="007430E3"/>
    <w:rsid w:val="00743679"/>
    <w:rsid w:val="00743DD2"/>
    <w:rsid w:val="00744AAF"/>
    <w:rsid w:val="0074577D"/>
    <w:rsid w:val="007461ED"/>
    <w:rsid w:val="00746A19"/>
    <w:rsid w:val="00746FC9"/>
    <w:rsid w:val="00747F87"/>
    <w:rsid w:val="00750082"/>
    <w:rsid w:val="0075024A"/>
    <w:rsid w:val="00750782"/>
    <w:rsid w:val="00751212"/>
    <w:rsid w:val="00751797"/>
    <w:rsid w:val="00751C1F"/>
    <w:rsid w:val="00751EF4"/>
    <w:rsid w:val="00753068"/>
    <w:rsid w:val="0075490D"/>
    <w:rsid w:val="00755627"/>
    <w:rsid w:val="007560B3"/>
    <w:rsid w:val="00757056"/>
    <w:rsid w:val="00760610"/>
    <w:rsid w:val="00760EDA"/>
    <w:rsid w:val="007625E6"/>
    <w:rsid w:val="0076262B"/>
    <w:rsid w:val="0076395D"/>
    <w:rsid w:val="007641CF"/>
    <w:rsid w:val="007655DE"/>
    <w:rsid w:val="00766DE8"/>
    <w:rsid w:val="00770178"/>
    <w:rsid w:val="00770598"/>
    <w:rsid w:val="00771DD4"/>
    <w:rsid w:val="00771FB0"/>
    <w:rsid w:val="0077432E"/>
    <w:rsid w:val="007743C0"/>
    <w:rsid w:val="007749D0"/>
    <w:rsid w:val="00775B7B"/>
    <w:rsid w:val="00777852"/>
    <w:rsid w:val="00777C3A"/>
    <w:rsid w:val="0078114C"/>
    <w:rsid w:val="00781334"/>
    <w:rsid w:val="00781CEF"/>
    <w:rsid w:val="007823D9"/>
    <w:rsid w:val="0078398E"/>
    <w:rsid w:val="00783C14"/>
    <w:rsid w:val="007840E3"/>
    <w:rsid w:val="007844EB"/>
    <w:rsid w:val="0078519B"/>
    <w:rsid w:val="00786363"/>
    <w:rsid w:val="0079053E"/>
    <w:rsid w:val="007905D9"/>
    <w:rsid w:val="00790E5F"/>
    <w:rsid w:val="00792BBE"/>
    <w:rsid w:val="00792CC0"/>
    <w:rsid w:val="00792CE8"/>
    <w:rsid w:val="007930CE"/>
    <w:rsid w:val="00793E5A"/>
    <w:rsid w:val="00794483"/>
    <w:rsid w:val="00794E6F"/>
    <w:rsid w:val="00795B27"/>
    <w:rsid w:val="00795C7A"/>
    <w:rsid w:val="007961D1"/>
    <w:rsid w:val="00796ABF"/>
    <w:rsid w:val="00797CF4"/>
    <w:rsid w:val="007A11FB"/>
    <w:rsid w:val="007A1B38"/>
    <w:rsid w:val="007A4F13"/>
    <w:rsid w:val="007A629E"/>
    <w:rsid w:val="007A6CEF"/>
    <w:rsid w:val="007A6EC6"/>
    <w:rsid w:val="007B0FF0"/>
    <w:rsid w:val="007B1F9A"/>
    <w:rsid w:val="007B2B15"/>
    <w:rsid w:val="007B3269"/>
    <w:rsid w:val="007B4628"/>
    <w:rsid w:val="007B6743"/>
    <w:rsid w:val="007B692F"/>
    <w:rsid w:val="007B793C"/>
    <w:rsid w:val="007B7E8B"/>
    <w:rsid w:val="007C0BC8"/>
    <w:rsid w:val="007C1C41"/>
    <w:rsid w:val="007C30DF"/>
    <w:rsid w:val="007C38BF"/>
    <w:rsid w:val="007C3AA1"/>
    <w:rsid w:val="007C4BF7"/>
    <w:rsid w:val="007C4DBA"/>
    <w:rsid w:val="007C519D"/>
    <w:rsid w:val="007C649B"/>
    <w:rsid w:val="007C6718"/>
    <w:rsid w:val="007D04AC"/>
    <w:rsid w:val="007D0619"/>
    <w:rsid w:val="007D0D1B"/>
    <w:rsid w:val="007D0D57"/>
    <w:rsid w:val="007D0F17"/>
    <w:rsid w:val="007D1201"/>
    <w:rsid w:val="007D1C0E"/>
    <w:rsid w:val="007D1C4E"/>
    <w:rsid w:val="007D34C5"/>
    <w:rsid w:val="007D35EF"/>
    <w:rsid w:val="007D44AB"/>
    <w:rsid w:val="007D65B4"/>
    <w:rsid w:val="007E0B9A"/>
    <w:rsid w:val="007E3953"/>
    <w:rsid w:val="007E4E66"/>
    <w:rsid w:val="007E5215"/>
    <w:rsid w:val="007E5EA3"/>
    <w:rsid w:val="007E6A20"/>
    <w:rsid w:val="007E714D"/>
    <w:rsid w:val="007F1B0D"/>
    <w:rsid w:val="007F2123"/>
    <w:rsid w:val="007F2C74"/>
    <w:rsid w:val="007F32C3"/>
    <w:rsid w:val="007F3813"/>
    <w:rsid w:val="007F4D8D"/>
    <w:rsid w:val="007F5257"/>
    <w:rsid w:val="007F6AAF"/>
    <w:rsid w:val="007F6E1E"/>
    <w:rsid w:val="007F7C45"/>
    <w:rsid w:val="008032CF"/>
    <w:rsid w:val="00803B15"/>
    <w:rsid w:val="0080451D"/>
    <w:rsid w:val="00804763"/>
    <w:rsid w:val="00804FBB"/>
    <w:rsid w:val="00805111"/>
    <w:rsid w:val="00805857"/>
    <w:rsid w:val="00805A20"/>
    <w:rsid w:val="00805D3F"/>
    <w:rsid w:val="008073A9"/>
    <w:rsid w:val="00807B4A"/>
    <w:rsid w:val="00807BE9"/>
    <w:rsid w:val="00807D20"/>
    <w:rsid w:val="00810280"/>
    <w:rsid w:val="008109E4"/>
    <w:rsid w:val="0081232E"/>
    <w:rsid w:val="00812600"/>
    <w:rsid w:val="00813172"/>
    <w:rsid w:val="00816C60"/>
    <w:rsid w:val="00820920"/>
    <w:rsid w:val="00820D3F"/>
    <w:rsid w:val="00822702"/>
    <w:rsid w:val="00824D72"/>
    <w:rsid w:val="0082744D"/>
    <w:rsid w:val="00827BD0"/>
    <w:rsid w:val="00830810"/>
    <w:rsid w:val="00830E46"/>
    <w:rsid w:val="00831B3B"/>
    <w:rsid w:val="00831E14"/>
    <w:rsid w:val="00831EAF"/>
    <w:rsid w:val="00831FAE"/>
    <w:rsid w:val="0083203A"/>
    <w:rsid w:val="00832B42"/>
    <w:rsid w:val="00834B39"/>
    <w:rsid w:val="0083579F"/>
    <w:rsid w:val="0083596F"/>
    <w:rsid w:val="00835DA2"/>
    <w:rsid w:val="008371DC"/>
    <w:rsid w:val="008379DC"/>
    <w:rsid w:val="008401A8"/>
    <w:rsid w:val="0084022E"/>
    <w:rsid w:val="0084080C"/>
    <w:rsid w:val="00840AAB"/>
    <w:rsid w:val="008411BC"/>
    <w:rsid w:val="00841521"/>
    <w:rsid w:val="00841C0F"/>
    <w:rsid w:val="00842371"/>
    <w:rsid w:val="008426CF"/>
    <w:rsid w:val="008433EE"/>
    <w:rsid w:val="00844394"/>
    <w:rsid w:val="00845250"/>
    <w:rsid w:val="00846702"/>
    <w:rsid w:val="008471B8"/>
    <w:rsid w:val="0084748B"/>
    <w:rsid w:val="0085029E"/>
    <w:rsid w:val="00850DFB"/>
    <w:rsid w:val="00850FEE"/>
    <w:rsid w:val="0085286B"/>
    <w:rsid w:val="008532B1"/>
    <w:rsid w:val="008532E1"/>
    <w:rsid w:val="00853630"/>
    <w:rsid w:val="00853955"/>
    <w:rsid w:val="00853C72"/>
    <w:rsid w:val="00854109"/>
    <w:rsid w:val="00854E22"/>
    <w:rsid w:val="008556C0"/>
    <w:rsid w:val="00857D9D"/>
    <w:rsid w:val="0086025D"/>
    <w:rsid w:val="0086166C"/>
    <w:rsid w:val="00861774"/>
    <w:rsid w:val="0086272C"/>
    <w:rsid w:val="0086348B"/>
    <w:rsid w:val="008635CD"/>
    <w:rsid w:val="00865063"/>
    <w:rsid w:val="008679A5"/>
    <w:rsid w:val="00870239"/>
    <w:rsid w:val="0087094B"/>
    <w:rsid w:val="00870C81"/>
    <w:rsid w:val="00871054"/>
    <w:rsid w:val="008729A7"/>
    <w:rsid w:val="008737B1"/>
    <w:rsid w:val="00873DF2"/>
    <w:rsid w:val="00874ACD"/>
    <w:rsid w:val="00875144"/>
    <w:rsid w:val="00875246"/>
    <w:rsid w:val="00875C24"/>
    <w:rsid w:val="00875F6D"/>
    <w:rsid w:val="00876814"/>
    <w:rsid w:val="00876B12"/>
    <w:rsid w:val="00877194"/>
    <w:rsid w:val="008775F4"/>
    <w:rsid w:val="00877B53"/>
    <w:rsid w:val="00877E93"/>
    <w:rsid w:val="0088117E"/>
    <w:rsid w:val="00881423"/>
    <w:rsid w:val="0088304B"/>
    <w:rsid w:val="0088409F"/>
    <w:rsid w:val="0088486A"/>
    <w:rsid w:val="00884E4A"/>
    <w:rsid w:val="0088594C"/>
    <w:rsid w:val="00886058"/>
    <w:rsid w:val="00886E0B"/>
    <w:rsid w:val="00887535"/>
    <w:rsid w:val="008901BA"/>
    <w:rsid w:val="00890D6C"/>
    <w:rsid w:val="00890FB4"/>
    <w:rsid w:val="00891766"/>
    <w:rsid w:val="008922C6"/>
    <w:rsid w:val="00893F62"/>
    <w:rsid w:val="00894FC6"/>
    <w:rsid w:val="008951AE"/>
    <w:rsid w:val="008951E1"/>
    <w:rsid w:val="00895447"/>
    <w:rsid w:val="0089579C"/>
    <w:rsid w:val="00895CCF"/>
    <w:rsid w:val="008A0B4C"/>
    <w:rsid w:val="008A0C5A"/>
    <w:rsid w:val="008A16CC"/>
    <w:rsid w:val="008A1AF9"/>
    <w:rsid w:val="008A2638"/>
    <w:rsid w:val="008A2E49"/>
    <w:rsid w:val="008A313B"/>
    <w:rsid w:val="008A3C08"/>
    <w:rsid w:val="008A3D59"/>
    <w:rsid w:val="008A46E9"/>
    <w:rsid w:val="008A4C77"/>
    <w:rsid w:val="008A4CCC"/>
    <w:rsid w:val="008A4F4E"/>
    <w:rsid w:val="008A5295"/>
    <w:rsid w:val="008A630A"/>
    <w:rsid w:val="008A69C8"/>
    <w:rsid w:val="008A6A78"/>
    <w:rsid w:val="008A6C5C"/>
    <w:rsid w:val="008A70D3"/>
    <w:rsid w:val="008A737F"/>
    <w:rsid w:val="008B0EF8"/>
    <w:rsid w:val="008B1125"/>
    <w:rsid w:val="008B1250"/>
    <w:rsid w:val="008B1EA5"/>
    <w:rsid w:val="008B25B5"/>
    <w:rsid w:val="008B3F6B"/>
    <w:rsid w:val="008B4032"/>
    <w:rsid w:val="008B40AA"/>
    <w:rsid w:val="008B53FB"/>
    <w:rsid w:val="008B579E"/>
    <w:rsid w:val="008B58C8"/>
    <w:rsid w:val="008B5C64"/>
    <w:rsid w:val="008B61D6"/>
    <w:rsid w:val="008B6397"/>
    <w:rsid w:val="008B6F9F"/>
    <w:rsid w:val="008B7110"/>
    <w:rsid w:val="008C0D9D"/>
    <w:rsid w:val="008C0F2E"/>
    <w:rsid w:val="008C1B15"/>
    <w:rsid w:val="008C2B82"/>
    <w:rsid w:val="008C2D4F"/>
    <w:rsid w:val="008C52D3"/>
    <w:rsid w:val="008C575A"/>
    <w:rsid w:val="008C5A39"/>
    <w:rsid w:val="008C5F44"/>
    <w:rsid w:val="008C6722"/>
    <w:rsid w:val="008C6ED3"/>
    <w:rsid w:val="008C7B0F"/>
    <w:rsid w:val="008D0455"/>
    <w:rsid w:val="008D0D75"/>
    <w:rsid w:val="008D1BBA"/>
    <w:rsid w:val="008D25BC"/>
    <w:rsid w:val="008D3914"/>
    <w:rsid w:val="008D4477"/>
    <w:rsid w:val="008D48D5"/>
    <w:rsid w:val="008D4B93"/>
    <w:rsid w:val="008D4EBC"/>
    <w:rsid w:val="008D4EEE"/>
    <w:rsid w:val="008D562C"/>
    <w:rsid w:val="008D568E"/>
    <w:rsid w:val="008D7BC4"/>
    <w:rsid w:val="008E0F81"/>
    <w:rsid w:val="008E2612"/>
    <w:rsid w:val="008E311A"/>
    <w:rsid w:val="008E3858"/>
    <w:rsid w:val="008E64F8"/>
    <w:rsid w:val="008E66A2"/>
    <w:rsid w:val="008E66E8"/>
    <w:rsid w:val="008E69AA"/>
    <w:rsid w:val="008E7013"/>
    <w:rsid w:val="008E710D"/>
    <w:rsid w:val="008E7280"/>
    <w:rsid w:val="008E731C"/>
    <w:rsid w:val="008E75A3"/>
    <w:rsid w:val="008E76C9"/>
    <w:rsid w:val="008E7A3D"/>
    <w:rsid w:val="008E7FB6"/>
    <w:rsid w:val="008F0566"/>
    <w:rsid w:val="008F1823"/>
    <w:rsid w:val="008F2C41"/>
    <w:rsid w:val="008F2D11"/>
    <w:rsid w:val="008F3976"/>
    <w:rsid w:val="008F3CA4"/>
    <w:rsid w:val="008F46CE"/>
    <w:rsid w:val="008F4F1A"/>
    <w:rsid w:val="008F5BF8"/>
    <w:rsid w:val="008F6E81"/>
    <w:rsid w:val="009001A9"/>
    <w:rsid w:val="00900ACE"/>
    <w:rsid w:val="009011D9"/>
    <w:rsid w:val="00901CCB"/>
    <w:rsid w:val="00901DED"/>
    <w:rsid w:val="009024A4"/>
    <w:rsid w:val="009025BF"/>
    <w:rsid w:val="00903479"/>
    <w:rsid w:val="00904C82"/>
    <w:rsid w:val="00904E74"/>
    <w:rsid w:val="0090634D"/>
    <w:rsid w:val="0090724C"/>
    <w:rsid w:val="00907EFA"/>
    <w:rsid w:val="0091050E"/>
    <w:rsid w:val="009108B3"/>
    <w:rsid w:val="009111B1"/>
    <w:rsid w:val="00911D6C"/>
    <w:rsid w:val="00913136"/>
    <w:rsid w:val="00914F3F"/>
    <w:rsid w:val="009153C4"/>
    <w:rsid w:val="00915ADF"/>
    <w:rsid w:val="00915F2F"/>
    <w:rsid w:val="00917461"/>
    <w:rsid w:val="009225A4"/>
    <w:rsid w:val="00922F5B"/>
    <w:rsid w:val="009231BC"/>
    <w:rsid w:val="009235C1"/>
    <w:rsid w:val="00923A80"/>
    <w:rsid w:val="00923DC6"/>
    <w:rsid w:val="009247FC"/>
    <w:rsid w:val="00924CA6"/>
    <w:rsid w:val="009254FD"/>
    <w:rsid w:val="00925CD6"/>
    <w:rsid w:val="00927090"/>
    <w:rsid w:val="009273B8"/>
    <w:rsid w:val="009278D4"/>
    <w:rsid w:val="00927EEB"/>
    <w:rsid w:val="009301DC"/>
    <w:rsid w:val="00930AB8"/>
    <w:rsid w:val="00930D3B"/>
    <w:rsid w:val="00931257"/>
    <w:rsid w:val="009312BB"/>
    <w:rsid w:val="009315A4"/>
    <w:rsid w:val="00931F8A"/>
    <w:rsid w:val="009328F3"/>
    <w:rsid w:val="00933433"/>
    <w:rsid w:val="00933580"/>
    <w:rsid w:val="009339DA"/>
    <w:rsid w:val="00934425"/>
    <w:rsid w:val="00935358"/>
    <w:rsid w:val="009353FA"/>
    <w:rsid w:val="00936DC8"/>
    <w:rsid w:val="00936FB8"/>
    <w:rsid w:val="00937568"/>
    <w:rsid w:val="00940040"/>
    <w:rsid w:val="009419A4"/>
    <w:rsid w:val="009422F7"/>
    <w:rsid w:val="009471D4"/>
    <w:rsid w:val="00947BDB"/>
    <w:rsid w:val="00947D69"/>
    <w:rsid w:val="00950BE3"/>
    <w:rsid w:val="009526F9"/>
    <w:rsid w:val="0095290F"/>
    <w:rsid w:val="00954713"/>
    <w:rsid w:val="00954AF7"/>
    <w:rsid w:val="00955216"/>
    <w:rsid w:val="00956C68"/>
    <w:rsid w:val="00956CF1"/>
    <w:rsid w:val="00956CFA"/>
    <w:rsid w:val="00957F28"/>
    <w:rsid w:val="00957F54"/>
    <w:rsid w:val="00960746"/>
    <w:rsid w:val="00960BFB"/>
    <w:rsid w:val="00961CB3"/>
    <w:rsid w:val="00962770"/>
    <w:rsid w:val="009628A1"/>
    <w:rsid w:val="00962D16"/>
    <w:rsid w:val="009672F6"/>
    <w:rsid w:val="00967C0A"/>
    <w:rsid w:val="00971CD3"/>
    <w:rsid w:val="00972605"/>
    <w:rsid w:val="00972C26"/>
    <w:rsid w:val="00972D54"/>
    <w:rsid w:val="009747DF"/>
    <w:rsid w:val="00974A4D"/>
    <w:rsid w:val="00975188"/>
    <w:rsid w:val="00975419"/>
    <w:rsid w:val="009760EC"/>
    <w:rsid w:val="00976504"/>
    <w:rsid w:val="00976D38"/>
    <w:rsid w:val="0097760A"/>
    <w:rsid w:val="00977D67"/>
    <w:rsid w:val="00980471"/>
    <w:rsid w:val="0098057D"/>
    <w:rsid w:val="00981F00"/>
    <w:rsid w:val="00982793"/>
    <w:rsid w:val="00982C1A"/>
    <w:rsid w:val="0098403B"/>
    <w:rsid w:val="00984F02"/>
    <w:rsid w:val="0098524A"/>
    <w:rsid w:val="00985C82"/>
    <w:rsid w:val="00985DA3"/>
    <w:rsid w:val="00986D7F"/>
    <w:rsid w:val="00986DF4"/>
    <w:rsid w:val="009900B4"/>
    <w:rsid w:val="009923A1"/>
    <w:rsid w:val="00992B0A"/>
    <w:rsid w:val="009938FE"/>
    <w:rsid w:val="00993DBB"/>
    <w:rsid w:val="00994402"/>
    <w:rsid w:val="00994A0F"/>
    <w:rsid w:val="00995248"/>
    <w:rsid w:val="00995BFE"/>
    <w:rsid w:val="009A0CB3"/>
    <w:rsid w:val="009A1C1B"/>
    <w:rsid w:val="009A2E69"/>
    <w:rsid w:val="009A3B2E"/>
    <w:rsid w:val="009A5C1D"/>
    <w:rsid w:val="009A6065"/>
    <w:rsid w:val="009A646C"/>
    <w:rsid w:val="009A7A6E"/>
    <w:rsid w:val="009B0527"/>
    <w:rsid w:val="009B05E3"/>
    <w:rsid w:val="009B09DB"/>
    <w:rsid w:val="009B0D8E"/>
    <w:rsid w:val="009B162F"/>
    <w:rsid w:val="009B37CE"/>
    <w:rsid w:val="009B3D70"/>
    <w:rsid w:val="009B3E02"/>
    <w:rsid w:val="009B4ED6"/>
    <w:rsid w:val="009B5164"/>
    <w:rsid w:val="009B653F"/>
    <w:rsid w:val="009B68A1"/>
    <w:rsid w:val="009B69BD"/>
    <w:rsid w:val="009B6C17"/>
    <w:rsid w:val="009B77D4"/>
    <w:rsid w:val="009B794F"/>
    <w:rsid w:val="009C097B"/>
    <w:rsid w:val="009C372F"/>
    <w:rsid w:val="009C3BE3"/>
    <w:rsid w:val="009C447B"/>
    <w:rsid w:val="009C475F"/>
    <w:rsid w:val="009C4A5D"/>
    <w:rsid w:val="009C60B9"/>
    <w:rsid w:val="009C65E6"/>
    <w:rsid w:val="009C7186"/>
    <w:rsid w:val="009D1354"/>
    <w:rsid w:val="009D18AB"/>
    <w:rsid w:val="009D213A"/>
    <w:rsid w:val="009D2646"/>
    <w:rsid w:val="009D3083"/>
    <w:rsid w:val="009D3AAD"/>
    <w:rsid w:val="009D42CA"/>
    <w:rsid w:val="009D552E"/>
    <w:rsid w:val="009D55F1"/>
    <w:rsid w:val="009D71F8"/>
    <w:rsid w:val="009D7202"/>
    <w:rsid w:val="009E0C12"/>
    <w:rsid w:val="009E19C8"/>
    <w:rsid w:val="009E1AC2"/>
    <w:rsid w:val="009E2E82"/>
    <w:rsid w:val="009E3B43"/>
    <w:rsid w:val="009E4832"/>
    <w:rsid w:val="009E5218"/>
    <w:rsid w:val="009E54C5"/>
    <w:rsid w:val="009E64DF"/>
    <w:rsid w:val="009E72B0"/>
    <w:rsid w:val="009F0715"/>
    <w:rsid w:val="009F16D4"/>
    <w:rsid w:val="009F1CBC"/>
    <w:rsid w:val="009F25C5"/>
    <w:rsid w:val="009F2BCA"/>
    <w:rsid w:val="009F2BCF"/>
    <w:rsid w:val="009F2BEA"/>
    <w:rsid w:val="009F2D50"/>
    <w:rsid w:val="009F30BD"/>
    <w:rsid w:val="009F36D7"/>
    <w:rsid w:val="009F38AA"/>
    <w:rsid w:val="009F3E4A"/>
    <w:rsid w:val="009F574D"/>
    <w:rsid w:val="009F5B9F"/>
    <w:rsid w:val="009F7A49"/>
    <w:rsid w:val="00A0089B"/>
    <w:rsid w:val="00A01E30"/>
    <w:rsid w:val="00A02B3B"/>
    <w:rsid w:val="00A05B67"/>
    <w:rsid w:val="00A0655E"/>
    <w:rsid w:val="00A07C5F"/>
    <w:rsid w:val="00A11BE0"/>
    <w:rsid w:val="00A137E4"/>
    <w:rsid w:val="00A145DF"/>
    <w:rsid w:val="00A14944"/>
    <w:rsid w:val="00A21B56"/>
    <w:rsid w:val="00A22386"/>
    <w:rsid w:val="00A22822"/>
    <w:rsid w:val="00A2289D"/>
    <w:rsid w:val="00A23BBC"/>
    <w:rsid w:val="00A24582"/>
    <w:rsid w:val="00A2469A"/>
    <w:rsid w:val="00A24B44"/>
    <w:rsid w:val="00A25AE2"/>
    <w:rsid w:val="00A26023"/>
    <w:rsid w:val="00A2666A"/>
    <w:rsid w:val="00A3213F"/>
    <w:rsid w:val="00A322DD"/>
    <w:rsid w:val="00A327F2"/>
    <w:rsid w:val="00A32AEC"/>
    <w:rsid w:val="00A33A53"/>
    <w:rsid w:val="00A34592"/>
    <w:rsid w:val="00A34A9D"/>
    <w:rsid w:val="00A3584A"/>
    <w:rsid w:val="00A36255"/>
    <w:rsid w:val="00A377BF"/>
    <w:rsid w:val="00A401A5"/>
    <w:rsid w:val="00A41280"/>
    <w:rsid w:val="00A44CA1"/>
    <w:rsid w:val="00A44D17"/>
    <w:rsid w:val="00A45668"/>
    <w:rsid w:val="00A459F3"/>
    <w:rsid w:val="00A513CA"/>
    <w:rsid w:val="00A51793"/>
    <w:rsid w:val="00A51D36"/>
    <w:rsid w:val="00A523D9"/>
    <w:rsid w:val="00A52B3A"/>
    <w:rsid w:val="00A530C1"/>
    <w:rsid w:val="00A53E19"/>
    <w:rsid w:val="00A54549"/>
    <w:rsid w:val="00A54F36"/>
    <w:rsid w:val="00A5549A"/>
    <w:rsid w:val="00A55654"/>
    <w:rsid w:val="00A578F3"/>
    <w:rsid w:val="00A57C2A"/>
    <w:rsid w:val="00A60E2A"/>
    <w:rsid w:val="00A61A20"/>
    <w:rsid w:val="00A623ED"/>
    <w:rsid w:val="00A63E2F"/>
    <w:rsid w:val="00A6635D"/>
    <w:rsid w:val="00A6668E"/>
    <w:rsid w:val="00A674BE"/>
    <w:rsid w:val="00A67953"/>
    <w:rsid w:val="00A701EE"/>
    <w:rsid w:val="00A70291"/>
    <w:rsid w:val="00A703B9"/>
    <w:rsid w:val="00A70C5D"/>
    <w:rsid w:val="00A70DFF"/>
    <w:rsid w:val="00A7277F"/>
    <w:rsid w:val="00A7321A"/>
    <w:rsid w:val="00A734B5"/>
    <w:rsid w:val="00A73A01"/>
    <w:rsid w:val="00A749B8"/>
    <w:rsid w:val="00A74B4B"/>
    <w:rsid w:val="00A74D02"/>
    <w:rsid w:val="00A75868"/>
    <w:rsid w:val="00A75DBD"/>
    <w:rsid w:val="00A76ED7"/>
    <w:rsid w:val="00A773AE"/>
    <w:rsid w:val="00A80673"/>
    <w:rsid w:val="00A81767"/>
    <w:rsid w:val="00A81C28"/>
    <w:rsid w:val="00A81E6F"/>
    <w:rsid w:val="00A824C3"/>
    <w:rsid w:val="00A844E8"/>
    <w:rsid w:val="00A8493C"/>
    <w:rsid w:val="00A84ADF"/>
    <w:rsid w:val="00A856DC"/>
    <w:rsid w:val="00A861AF"/>
    <w:rsid w:val="00A8670D"/>
    <w:rsid w:val="00A86844"/>
    <w:rsid w:val="00A87097"/>
    <w:rsid w:val="00A870DA"/>
    <w:rsid w:val="00A8729E"/>
    <w:rsid w:val="00A8754A"/>
    <w:rsid w:val="00A87947"/>
    <w:rsid w:val="00A879EE"/>
    <w:rsid w:val="00A911F9"/>
    <w:rsid w:val="00A91A7F"/>
    <w:rsid w:val="00A91C5C"/>
    <w:rsid w:val="00A924AD"/>
    <w:rsid w:val="00A92563"/>
    <w:rsid w:val="00A925C6"/>
    <w:rsid w:val="00A92879"/>
    <w:rsid w:val="00A9309A"/>
    <w:rsid w:val="00A931EF"/>
    <w:rsid w:val="00A93413"/>
    <w:rsid w:val="00A9383A"/>
    <w:rsid w:val="00A93A63"/>
    <w:rsid w:val="00A93DA8"/>
    <w:rsid w:val="00A94B51"/>
    <w:rsid w:val="00A95DDF"/>
    <w:rsid w:val="00A96D1E"/>
    <w:rsid w:val="00A974C7"/>
    <w:rsid w:val="00AA07F6"/>
    <w:rsid w:val="00AA2B13"/>
    <w:rsid w:val="00AA305D"/>
    <w:rsid w:val="00AA58CF"/>
    <w:rsid w:val="00AA59E7"/>
    <w:rsid w:val="00AA65AB"/>
    <w:rsid w:val="00AA755C"/>
    <w:rsid w:val="00AA787D"/>
    <w:rsid w:val="00AB03A9"/>
    <w:rsid w:val="00AB0550"/>
    <w:rsid w:val="00AB1E47"/>
    <w:rsid w:val="00AB2036"/>
    <w:rsid w:val="00AB2FAD"/>
    <w:rsid w:val="00AB2FB2"/>
    <w:rsid w:val="00AB394F"/>
    <w:rsid w:val="00AB6E7B"/>
    <w:rsid w:val="00AC17DE"/>
    <w:rsid w:val="00AC1E05"/>
    <w:rsid w:val="00AC26E4"/>
    <w:rsid w:val="00AC2E03"/>
    <w:rsid w:val="00AC3446"/>
    <w:rsid w:val="00AC4AC4"/>
    <w:rsid w:val="00AC55A3"/>
    <w:rsid w:val="00AC5CFF"/>
    <w:rsid w:val="00AC6681"/>
    <w:rsid w:val="00AC69AA"/>
    <w:rsid w:val="00AC7862"/>
    <w:rsid w:val="00AC7A97"/>
    <w:rsid w:val="00AD01A3"/>
    <w:rsid w:val="00AD0EE6"/>
    <w:rsid w:val="00AD1CCC"/>
    <w:rsid w:val="00AD3762"/>
    <w:rsid w:val="00AD470A"/>
    <w:rsid w:val="00AD49F4"/>
    <w:rsid w:val="00AD5112"/>
    <w:rsid w:val="00AD5699"/>
    <w:rsid w:val="00AD5726"/>
    <w:rsid w:val="00AD5890"/>
    <w:rsid w:val="00AD63D8"/>
    <w:rsid w:val="00AD7003"/>
    <w:rsid w:val="00AD767C"/>
    <w:rsid w:val="00AE0ACE"/>
    <w:rsid w:val="00AE250B"/>
    <w:rsid w:val="00AE30C1"/>
    <w:rsid w:val="00AE35FE"/>
    <w:rsid w:val="00AE506B"/>
    <w:rsid w:val="00AE55D0"/>
    <w:rsid w:val="00AE62CC"/>
    <w:rsid w:val="00AE6422"/>
    <w:rsid w:val="00AE65B6"/>
    <w:rsid w:val="00AE71B1"/>
    <w:rsid w:val="00AE7740"/>
    <w:rsid w:val="00AF0305"/>
    <w:rsid w:val="00AF1326"/>
    <w:rsid w:val="00AF175C"/>
    <w:rsid w:val="00AF1A70"/>
    <w:rsid w:val="00AF1D40"/>
    <w:rsid w:val="00AF2AF9"/>
    <w:rsid w:val="00AF53C8"/>
    <w:rsid w:val="00AF6069"/>
    <w:rsid w:val="00AF690C"/>
    <w:rsid w:val="00AF6A8B"/>
    <w:rsid w:val="00AF7A4C"/>
    <w:rsid w:val="00B0094C"/>
    <w:rsid w:val="00B00B8D"/>
    <w:rsid w:val="00B0235B"/>
    <w:rsid w:val="00B039D3"/>
    <w:rsid w:val="00B03AF8"/>
    <w:rsid w:val="00B045E0"/>
    <w:rsid w:val="00B06B54"/>
    <w:rsid w:val="00B06E1E"/>
    <w:rsid w:val="00B07965"/>
    <w:rsid w:val="00B07F76"/>
    <w:rsid w:val="00B10765"/>
    <w:rsid w:val="00B11003"/>
    <w:rsid w:val="00B11C5E"/>
    <w:rsid w:val="00B126D9"/>
    <w:rsid w:val="00B14943"/>
    <w:rsid w:val="00B1496C"/>
    <w:rsid w:val="00B224BF"/>
    <w:rsid w:val="00B229CC"/>
    <w:rsid w:val="00B22A98"/>
    <w:rsid w:val="00B23C38"/>
    <w:rsid w:val="00B23E6D"/>
    <w:rsid w:val="00B23FCF"/>
    <w:rsid w:val="00B2669E"/>
    <w:rsid w:val="00B27285"/>
    <w:rsid w:val="00B27C47"/>
    <w:rsid w:val="00B307E3"/>
    <w:rsid w:val="00B308A1"/>
    <w:rsid w:val="00B32CE2"/>
    <w:rsid w:val="00B3665D"/>
    <w:rsid w:val="00B3701B"/>
    <w:rsid w:val="00B376A6"/>
    <w:rsid w:val="00B407BE"/>
    <w:rsid w:val="00B40BC2"/>
    <w:rsid w:val="00B42303"/>
    <w:rsid w:val="00B429AC"/>
    <w:rsid w:val="00B42A7C"/>
    <w:rsid w:val="00B42F10"/>
    <w:rsid w:val="00B43591"/>
    <w:rsid w:val="00B43929"/>
    <w:rsid w:val="00B44799"/>
    <w:rsid w:val="00B45EB8"/>
    <w:rsid w:val="00B460FD"/>
    <w:rsid w:val="00B471DA"/>
    <w:rsid w:val="00B47687"/>
    <w:rsid w:val="00B50403"/>
    <w:rsid w:val="00B512C1"/>
    <w:rsid w:val="00B51CCB"/>
    <w:rsid w:val="00B53964"/>
    <w:rsid w:val="00B5406D"/>
    <w:rsid w:val="00B5502A"/>
    <w:rsid w:val="00B56F49"/>
    <w:rsid w:val="00B57854"/>
    <w:rsid w:val="00B57E21"/>
    <w:rsid w:val="00B57F23"/>
    <w:rsid w:val="00B603A6"/>
    <w:rsid w:val="00B61105"/>
    <w:rsid w:val="00B614C1"/>
    <w:rsid w:val="00B616D8"/>
    <w:rsid w:val="00B618E7"/>
    <w:rsid w:val="00B6224C"/>
    <w:rsid w:val="00B62683"/>
    <w:rsid w:val="00B62F89"/>
    <w:rsid w:val="00B6335A"/>
    <w:rsid w:val="00B641D5"/>
    <w:rsid w:val="00B6427D"/>
    <w:rsid w:val="00B648DB"/>
    <w:rsid w:val="00B65982"/>
    <w:rsid w:val="00B65AAD"/>
    <w:rsid w:val="00B66542"/>
    <w:rsid w:val="00B669F4"/>
    <w:rsid w:val="00B67258"/>
    <w:rsid w:val="00B70AEF"/>
    <w:rsid w:val="00B70D7D"/>
    <w:rsid w:val="00B72649"/>
    <w:rsid w:val="00B7394C"/>
    <w:rsid w:val="00B73DF4"/>
    <w:rsid w:val="00B74437"/>
    <w:rsid w:val="00B74EC2"/>
    <w:rsid w:val="00B75AF5"/>
    <w:rsid w:val="00B764CF"/>
    <w:rsid w:val="00B76797"/>
    <w:rsid w:val="00B76A14"/>
    <w:rsid w:val="00B77B4E"/>
    <w:rsid w:val="00B77F80"/>
    <w:rsid w:val="00B77FBE"/>
    <w:rsid w:val="00B8056A"/>
    <w:rsid w:val="00B81331"/>
    <w:rsid w:val="00B829EC"/>
    <w:rsid w:val="00B87E35"/>
    <w:rsid w:val="00B902D7"/>
    <w:rsid w:val="00B928F4"/>
    <w:rsid w:val="00B93F96"/>
    <w:rsid w:val="00B9401B"/>
    <w:rsid w:val="00B95011"/>
    <w:rsid w:val="00B97163"/>
    <w:rsid w:val="00BA2614"/>
    <w:rsid w:val="00BA3C6B"/>
    <w:rsid w:val="00BA459F"/>
    <w:rsid w:val="00BA5801"/>
    <w:rsid w:val="00BA58B0"/>
    <w:rsid w:val="00BA66E6"/>
    <w:rsid w:val="00BA6B01"/>
    <w:rsid w:val="00BA7B87"/>
    <w:rsid w:val="00BB0138"/>
    <w:rsid w:val="00BB02E7"/>
    <w:rsid w:val="00BB1337"/>
    <w:rsid w:val="00BB1B02"/>
    <w:rsid w:val="00BB1DD4"/>
    <w:rsid w:val="00BB21B4"/>
    <w:rsid w:val="00BB2A0E"/>
    <w:rsid w:val="00BB33DD"/>
    <w:rsid w:val="00BB39EA"/>
    <w:rsid w:val="00BB3BF2"/>
    <w:rsid w:val="00BB4286"/>
    <w:rsid w:val="00BB5CD3"/>
    <w:rsid w:val="00BB6489"/>
    <w:rsid w:val="00BB6866"/>
    <w:rsid w:val="00BB700E"/>
    <w:rsid w:val="00BB74EB"/>
    <w:rsid w:val="00BB7806"/>
    <w:rsid w:val="00BC006D"/>
    <w:rsid w:val="00BC0260"/>
    <w:rsid w:val="00BC086C"/>
    <w:rsid w:val="00BC0A43"/>
    <w:rsid w:val="00BC1DBF"/>
    <w:rsid w:val="00BC407A"/>
    <w:rsid w:val="00BC447F"/>
    <w:rsid w:val="00BC4C41"/>
    <w:rsid w:val="00BC51A5"/>
    <w:rsid w:val="00BC5284"/>
    <w:rsid w:val="00BC7251"/>
    <w:rsid w:val="00BC733E"/>
    <w:rsid w:val="00BC7C23"/>
    <w:rsid w:val="00BD03B8"/>
    <w:rsid w:val="00BD07CD"/>
    <w:rsid w:val="00BD1A3A"/>
    <w:rsid w:val="00BD1F5F"/>
    <w:rsid w:val="00BD2651"/>
    <w:rsid w:val="00BD467E"/>
    <w:rsid w:val="00BD4C98"/>
    <w:rsid w:val="00BD5ECE"/>
    <w:rsid w:val="00BD66D7"/>
    <w:rsid w:val="00BD7021"/>
    <w:rsid w:val="00BE0261"/>
    <w:rsid w:val="00BE0FC7"/>
    <w:rsid w:val="00BE1162"/>
    <w:rsid w:val="00BE13A6"/>
    <w:rsid w:val="00BE14C5"/>
    <w:rsid w:val="00BE1656"/>
    <w:rsid w:val="00BE1E66"/>
    <w:rsid w:val="00BE3841"/>
    <w:rsid w:val="00BE4533"/>
    <w:rsid w:val="00BE4F03"/>
    <w:rsid w:val="00BE5E94"/>
    <w:rsid w:val="00BE601B"/>
    <w:rsid w:val="00BF0598"/>
    <w:rsid w:val="00BF0860"/>
    <w:rsid w:val="00BF1400"/>
    <w:rsid w:val="00BF1834"/>
    <w:rsid w:val="00BF2CD7"/>
    <w:rsid w:val="00BF4470"/>
    <w:rsid w:val="00BF4F00"/>
    <w:rsid w:val="00BF5C7E"/>
    <w:rsid w:val="00BF6F7E"/>
    <w:rsid w:val="00BF721C"/>
    <w:rsid w:val="00C00578"/>
    <w:rsid w:val="00C00A66"/>
    <w:rsid w:val="00C00B62"/>
    <w:rsid w:val="00C0184A"/>
    <w:rsid w:val="00C02AF3"/>
    <w:rsid w:val="00C02BEB"/>
    <w:rsid w:val="00C039AD"/>
    <w:rsid w:val="00C0444F"/>
    <w:rsid w:val="00C04E7A"/>
    <w:rsid w:val="00C053C1"/>
    <w:rsid w:val="00C1076E"/>
    <w:rsid w:val="00C119FC"/>
    <w:rsid w:val="00C11A48"/>
    <w:rsid w:val="00C12721"/>
    <w:rsid w:val="00C14118"/>
    <w:rsid w:val="00C14FC5"/>
    <w:rsid w:val="00C158B0"/>
    <w:rsid w:val="00C20202"/>
    <w:rsid w:val="00C20F96"/>
    <w:rsid w:val="00C214A3"/>
    <w:rsid w:val="00C220C3"/>
    <w:rsid w:val="00C2257E"/>
    <w:rsid w:val="00C225CC"/>
    <w:rsid w:val="00C22724"/>
    <w:rsid w:val="00C23202"/>
    <w:rsid w:val="00C24185"/>
    <w:rsid w:val="00C25DC4"/>
    <w:rsid w:val="00C267F9"/>
    <w:rsid w:val="00C26982"/>
    <w:rsid w:val="00C270FB"/>
    <w:rsid w:val="00C27113"/>
    <w:rsid w:val="00C3184A"/>
    <w:rsid w:val="00C31906"/>
    <w:rsid w:val="00C3527B"/>
    <w:rsid w:val="00C36814"/>
    <w:rsid w:val="00C36D61"/>
    <w:rsid w:val="00C37975"/>
    <w:rsid w:val="00C37F07"/>
    <w:rsid w:val="00C40AAE"/>
    <w:rsid w:val="00C40BCC"/>
    <w:rsid w:val="00C4108A"/>
    <w:rsid w:val="00C42722"/>
    <w:rsid w:val="00C42C32"/>
    <w:rsid w:val="00C42E7D"/>
    <w:rsid w:val="00C44032"/>
    <w:rsid w:val="00C443B8"/>
    <w:rsid w:val="00C44537"/>
    <w:rsid w:val="00C462DA"/>
    <w:rsid w:val="00C464C5"/>
    <w:rsid w:val="00C464FE"/>
    <w:rsid w:val="00C47F52"/>
    <w:rsid w:val="00C47FD2"/>
    <w:rsid w:val="00C519E5"/>
    <w:rsid w:val="00C51FCA"/>
    <w:rsid w:val="00C520E1"/>
    <w:rsid w:val="00C52D4A"/>
    <w:rsid w:val="00C530ED"/>
    <w:rsid w:val="00C54F7B"/>
    <w:rsid w:val="00C5540D"/>
    <w:rsid w:val="00C563C1"/>
    <w:rsid w:val="00C5685A"/>
    <w:rsid w:val="00C60863"/>
    <w:rsid w:val="00C62691"/>
    <w:rsid w:val="00C64042"/>
    <w:rsid w:val="00C642A4"/>
    <w:rsid w:val="00C64BDC"/>
    <w:rsid w:val="00C6569F"/>
    <w:rsid w:val="00C66EAD"/>
    <w:rsid w:val="00C7091D"/>
    <w:rsid w:val="00C70AB2"/>
    <w:rsid w:val="00C72147"/>
    <w:rsid w:val="00C7246A"/>
    <w:rsid w:val="00C72F31"/>
    <w:rsid w:val="00C730AC"/>
    <w:rsid w:val="00C732FF"/>
    <w:rsid w:val="00C74DD5"/>
    <w:rsid w:val="00C74EBE"/>
    <w:rsid w:val="00C7510E"/>
    <w:rsid w:val="00C752BE"/>
    <w:rsid w:val="00C75673"/>
    <w:rsid w:val="00C75E30"/>
    <w:rsid w:val="00C75F36"/>
    <w:rsid w:val="00C76457"/>
    <w:rsid w:val="00C7673F"/>
    <w:rsid w:val="00C77BCF"/>
    <w:rsid w:val="00C80C01"/>
    <w:rsid w:val="00C80D60"/>
    <w:rsid w:val="00C838A9"/>
    <w:rsid w:val="00C83991"/>
    <w:rsid w:val="00C86F84"/>
    <w:rsid w:val="00C903B5"/>
    <w:rsid w:val="00C904C9"/>
    <w:rsid w:val="00C90C26"/>
    <w:rsid w:val="00C90DE6"/>
    <w:rsid w:val="00C92BDC"/>
    <w:rsid w:val="00C9488F"/>
    <w:rsid w:val="00C9513A"/>
    <w:rsid w:val="00C955A4"/>
    <w:rsid w:val="00C959A0"/>
    <w:rsid w:val="00C96512"/>
    <w:rsid w:val="00C96642"/>
    <w:rsid w:val="00C97F60"/>
    <w:rsid w:val="00CA05B1"/>
    <w:rsid w:val="00CA1A2B"/>
    <w:rsid w:val="00CA288D"/>
    <w:rsid w:val="00CA36B5"/>
    <w:rsid w:val="00CA3DFB"/>
    <w:rsid w:val="00CA4A00"/>
    <w:rsid w:val="00CA4E32"/>
    <w:rsid w:val="00CA5CB2"/>
    <w:rsid w:val="00CA65EC"/>
    <w:rsid w:val="00CA6711"/>
    <w:rsid w:val="00CA758E"/>
    <w:rsid w:val="00CA7B4B"/>
    <w:rsid w:val="00CA7DCA"/>
    <w:rsid w:val="00CB2055"/>
    <w:rsid w:val="00CB329C"/>
    <w:rsid w:val="00CB3489"/>
    <w:rsid w:val="00CB38E7"/>
    <w:rsid w:val="00CB3939"/>
    <w:rsid w:val="00CB396C"/>
    <w:rsid w:val="00CB3ABF"/>
    <w:rsid w:val="00CB3F65"/>
    <w:rsid w:val="00CB4088"/>
    <w:rsid w:val="00CB5A06"/>
    <w:rsid w:val="00CB5BDD"/>
    <w:rsid w:val="00CB62A4"/>
    <w:rsid w:val="00CB6B80"/>
    <w:rsid w:val="00CB73C3"/>
    <w:rsid w:val="00CB7603"/>
    <w:rsid w:val="00CC0FEB"/>
    <w:rsid w:val="00CC15CB"/>
    <w:rsid w:val="00CC1D52"/>
    <w:rsid w:val="00CC1DB3"/>
    <w:rsid w:val="00CC25DA"/>
    <w:rsid w:val="00CC28E8"/>
    <w:rsid w:val="00CC3934"/>
    <w:rsid w:val="00CC5FC2"/>
    <w:rsid w:val="00CC652A"/>
    <w:rsid w:val="00CD0396"/>
    <w:rsid w:val="00CD1548"/>
    <w:rsid w:val="00CD17C4"/>
    <w:rsid w:val="00CD28D1"/>
    <w:rsid w:val="00CD308F"/>
    <w:rsid w:val="00CD3243"/>
    <w:rsid w:val="00CD564E"/>
    <w:rsid w:val="00CD56CF"/>
    <w:rsid w:val="00CD7B07"/>
    <w:rsid w:val="00CE0473"/>
    <w:rsid w:val="00CE05D6"/>
    <w:rsid w:val="00CE2045"/>
    <w:rsid w:val="00CE2493"/>
    <w:rsid w:val="00CE3996"/>
    <w:rsid w:val="00CE3CFA"/>
    <w:rsid w:val="00CE3F5F"/>
    <w:rsid w:val="00CE45AE"/>
    <w:rsid w:val="00CE4910"/>
    <w:rsid w:val="00CE5275"/>
    <w:rsid w:val="00CE5977"/>
    <w:rsid w:val="00CE5EF2"/>
    <w:rsid w:val="00CE7C32"/>
    <w:rsid w:val="00CE7F6F"/>
    <w:rsid w:val="00CF1210"/>
    <w:rsid w:val="00CF1ED7"/>
    <w:rsid w:val="00CF229B"/>
    <w:rsid w:val="00CF28FE"/>
    <w:rsid w:val="00CF2C63"/>
    <w:rsid w:val="00CF306E"/>
    <w:rsid w:val="00CF3273"/>
    <w:rsid w:val="00CF47FA"/>
    <w:rsid w:val="00CF4992"/>
    <w:rsid w:val="00CF59FA"/>
    <w:rsid w:val="00CF5AC7"/>
    <w:rsid w:val="00CF625E"/>
    <w:rsid w:val="00CF7070"/>
    <w:rsid w:val="00D004ED"/>
    <w:rsid w:val="00D00FAE"/>
    <w:rsid w:val="00D01FC3"/>
    <w:rsid w:val="00D02678"/>
    <w:rsid w:val="00D02811"/>
    <w:rsid w:val="00D02A8A"/>
    <w:rsid w:val="00D03F29"/>
    <w:rsid w:val="00D04304"/>
    <w:rsid w:val="00D04AA5"/>
    <w:rsid w:val="00D065E0"/>
    <w:rsid w:val="00D06EF9"/>
    <w:rsid w:val="00D07430"/>
    <w:rsid w:val="00D0782F"/>
    <w:rsid w:val="00D11473"/>
    <w:rsid w:val="00D11EFB"/>
    <w:rsid w:val="00D12175"/>
    <w:rsid w:val="00D124D7"/>
    <w:rsid w:val="00D12532"/>
    <w:rsid w:val="00D12AA0"/>
    <w:rsid w:val="00D141F3"/>
    <w:rsid w:val="00D1444E"/>
    <w:rsid w:val="00D21F29"/>
    <w:rsid w:val="00D22D75"/>
    <w:rsid w:val="00D235CC"/>
    <w:rsid w:val="00D24714"/>
    <w:rsid w:val="00D25480"/>
    <w:rsid w:val="00D2756F"/>
    <w:rsid w:val="00D27B44"/>
    <w:rsid w:val="00D27DA9"/>
    <w:rsid w:val="00D32C53"/>
    <w:rsid w:val="00D32D19"/>
    <w:rsid w:val="00D334A9"/>
    <w:rsid w:val="00D34095"/>
    <w:rsid w:val="00D34333"/>
    <w:rsid w:val="00D343B5"/>
    <w:rsid w:val="00D3447C"/>
    <w:rsid w:val="00D345E9"/>
    <w:rsid w:val="00D353DD"/>
    <w:rsid w:val="00D36C6A"/>
    <w:rsid w:val="00D36CA0"/>
    <w:rsid w:val="00D36CBB"/>
    <w:rsid w:val="00D408DA"/>
    <w:rsid w:val="00D424C7"/>
    <w:rsid w:val="00D42603"/>
    <w:rsid w:val="00D42687"/>
    <w:rsid w:val="00D42991"/>
    <w:rsid w:val="00D42A51"/>
    <w:rsid w:val="00D43991"/>
    <w:rsid w:val="00D44475"/>
    <w:rsid w:val="00D45D16"/>
    <w:rsid w:val="00D46609"/>
    <w:rsid w:val="00D468E6"/>
    <w:rsid w:val="00D479C7"/>
    <w:rsid w:val="00D47A9C"/>
    <w:rsid w:val="00D47D4E"/>
    <w:rsid w:val="00D508F8"/>
    <w:rsid w:val="00D522D7"/>
    <w:rsid w:val="00D54866"/>
    <w:rsid w:val="00D55CF5"/>
    <w:rsid w:val="00D56AE6"/>
    <w:rsid w:val="00D57D96"/>
    <w:rsid w:val="00D60320"/>
    <w:rsid w:val="00D60579"/>
    <w:rsid w:val="00D61ABE"/>
    <w:rsid w:val="00D61B32"/>
    <w:rsid w:val="00D61BF2"/>
    <w:rsid w:val="00D6408C"/>
    <w:rsid w:val="00D64DE8"/>
    <w:rsid w:val="00D6534D"/>
    <w:rsid w:val="00D657FC"/>
    <w:rsid w:val="00D67083"/>
    <w:rsid w:val="00D703B8"/>
    <w:rsid w:val="00D70589"/>
    <w:rsid w:val="00D71044"/>
    <w:rsid w:val="00D719A5"/>
    <w:rsid w:val="00D7247D"/>
    <w:rsid w:val="00D74936"/>
    <w:rsid w:val="00D75056"/>
    <w:rsid w:val="00D77EE9"/>
    <w:rsid w:val="00D80370"/>
    <w:rsid w:val="00D80BCF"/>
    <w:rsid w:val="00D822BA"/>
    <w:rsid w:val="00D82A82"/>
    <w:rsid w:val="00D85118"/>
    <w:rsid w:val="00D85F9C"/>
    <w:rsid w:val="00D8766E"/>
    <w:rsid w:val="00D90FCE"/>
    <w:rsid w:val="00D938A7"/>
    <w:rsid w:val="00D93BF7"/>
    <w:rsid w:val="00D93E00"/>
    <w:rsid w:val="00D96206"/>
    <w:rsid w:val="00D96B76"/>
    <w:rsid w:val="00D977F0"/>
    <w:rsid w:val="00D97F5B"/>
    <w:rsid w:val="00DA247F"/>
    <w:rsid w:val="00DA4090"/>
    <w:rsid w:val="00DA4D95"/>
    <w:rsid w:val="00DA5507"/>
    <w:rsid w:val="00DB1A08"/>
    <w:rsid w:val="00DB2079"/>
    <w:rsid w:val="00DB36B7"/>
    <w:rsid w:val="00DB38E3"/>
    <w:rsid w:val="00DB3DF7"/>
    <w:rsid w:val="00DB42C6"/>
    <w:rsid w:val="00DB5060"/>
    <w:rsid w:val="00DB5AAB"/>
    <w:rsid w:val="00DB5B82"/>
    <w:rsid w:val="00DB5C54"/>
    <w:rsid w:val="00DB5FC5"/>
    <w:rsid w:val="00DB652A"/>
    <w:rsid w:val="00DB6852"/>
    <w:rsid w:val="00DB6EB5"/>
    <w:rsid w:val="00DB7773"/>
    <w:rsid w:val="00DC048A"/>
    <w:rsid w:val="00DC0A98"/>
    <w:rsid w:val="00DC15AA"/>
    <w:rsid w:val="00DC1E41"/>
    <w:rsid w:val="00DC209C"/>
    <w:rsid w:val="00DC271F"/>
    <w:rsid w:val="00DC2819"/>
    <w:rsid w:val="00DC335F"/>
    <w:rsid w:val="00DC3DE1"/>
    <w:rsid w:val="00DC4649"/>
    <w:rsid w:val="00DC5060"/>
    <w:rsid w:val="00DC5E24"/>
    <w:rsid w:val="00DC5EB9"/>
    <w:rsid w:val="00DD0976"/>
    <w:rsid w:val="00DD1831"/>
    <w:rsid w:val="00DD310D"/>
    <w:rsid w:val="00DD3585"/>
    <w:rsid w:val="00DD5BED"/>
    <w:rsid w:val="00DD67BC"/>
    <w:rsid w:val="00DD7085"/>
    <w:rsid w:val="00DD79B9"/>
    <w:rsid w:val="00DD7A82"/>
    <w:rsid w:val="00DE1164"/>
    <w:rsid w:val="00DE139A"/>
    <w:rsid w:val="00DE2844"/>
    <w:rsid w:val="00DE2A83"/>
    <w:rsid w:val="00DE2A95"/>
    <w:rsid w:val="00DE389F"/>
    <w:rsid w:val="00DE6C52"/>
    <w:rsid w:val="00DE6DB9"/>
    <w:rsid w:val="00DE7003"/>
    <w:rsid w:val="00DE7083"/>
    <w:rsid w:val="00DE763A"/>
    <w:rsid w:val="00DE773D"/>
    <w:rsid w:val="00DE7AF3"/>
    <w:rsid w:val="00DF0232"/>
    <w:rsid w:val="00DF22D7"/>
    <w:rsid w:val="00DF34EB"/>
    <w:rsid w:val="00DF7050"/>
    <w:rsid w:val="00DF7ED4"/>
    <w:rsid w:val="00E022B7"/>
    <w:rsid w:val="00E0353D"/>
    <w:rsid w:val="00E0498A"/>
    <w:rsid w:val="00E04C16"/>
    <w:rsid w:val="00E054F1"/>
    <w:rsid w:val="00E056A6"/>
    <w:rsid w:val="00E061E9"/>
    <w:rsid w:val="00E06F57"/>
    <w:rsid w:val="00E07DA8"/>
    <w:rsid w:val="00E119D9"/>
    <w:rsid w:val="00E11DEA"/>
    <w:rsid w:val="00E13C5F"/>
    <w:rsid w:val="00E141E6"/>
    <w:rsid w:val="00E1467B"/>
    <w:rsid w:val="00E1529F"/>
    <w:rsid w:val="00E1581D"/>
    <w:rsid w:val="00E15B91"/>
    <w:rsid w:val="00E15E91"/>
    <w:rsid w:val="00E17274"/>
    <w:rsid w:val="00E17BC7"/>
    <w:rsid w:val="00E205FB"/>
    <w:rsid w:val="00E20D69"/>
    <w:rsid w:val="00E20DA0"/>
    <w:rsid w:val="00E225F2"/>
    <w:rsid w:val="00E22A14"/>
    <w:rsid w:val="00E231B5"/>
    <w:rsid w:val="00E23CF1"/>
    <w:rsid w:val="00E24974"/>
    <w:rsid w:val="00E249ED"/>
    <w:rsid w:val="00E25646"/>
    <w:rsid w:val="00E25AE4"/>
    <w:rsid w:val="00E25DD0"/>
    <w:rsid w:val="00E25F2D"/>
    <w:rsid w:val="00E25FF4"/>
    <w:rsid w:val="00E260B4"/>
    <w:rsid w:val="00E27E5B"/>
    <w:rsid w:val="00E30886"/>
    <w:rsid w:val="00E31137"/>
    <w:rsid w:val="00E3242F"/>
    <w:rsid w:val="00E328DB"/>
    <w:rsid w:val="00E33278"/>
    <w:rsid w:val="00E35F96"/>
    <w:rsid w:val="00E36D60"/>
    <w:rsid w:val="00E425DA"/>
    <w:rsid w:val="00E425E4"/>
    <w:rsid w:val="00E45080"/>
    <w:rsid w:val="00E471BA"/>
    <w:rsid w:val="00E522F5"/>
    <w:rsid w:val="00E523EF"/>
    <w:rsid w:val="00E53C19"/>
    <w:rsid w:val="00E54975"/>
    <w:rsid w:val="00E55044"/>
    <w:rsid w:val="00E550EC"/>
    <w:rsid w:val="00E55EB2"/>
    <w:rsid w:val="00E60028"/>
    <w:rsid w:val="00E60152"/>
    <w:rsid w:val="00E60769"/>
    <w:rsid w:val="00E61580"/>
    <w:rsid w:val="00E62A6B"/>
    <w:rsid w:val="00E62BA9"/>
    <w:rsid w:val="00E63434"/>
    <w:rsid w:val="00E63712"/>
    <w:rsid w:val="00E63A6A"/>
    <w:rsid w:val="00E64403"/>
    <w:rsid w:val="00E65C85"/>
    <w:rsid w:val="00E665F8"/>
    <w:rsid w:val="00E66EF5"/>
    <w:rsid w:val="00E6756A"/>
    <w:rsid w:val="00E67CEF"/>
    <w:rsid w:val="00E70287"/>
    <w:rsid w:val="00E72353"/>
    <w:rsid w:val="00E7333F"/>
    <w:rsid w:val="00E7403D"/>
    <w:rsid w:val="00E75A8A"/>
    <w:rsid w:val="00E76CA1"/>
    <w:rsid w:val="00E77455"/>
    <w:rsid w:val="00E804F6"/>
    <w:rsid w:val="00E82397"/>
    <w:rsid w:val="00E8295F"/>
    <w:rsid w:val="00E82E43"/>
    <w:rsid w:val="00E8374F"/>
    <w:rsid w:val="00E83BC5"/>
    <w:rsid w:val="00E84622"/>
    <w:rsid w:val="00E84CF1"/>
    <w:rsid w:val="00E84E02"/>
    <w:rsid w:val="00E879B3"/>
    <w:rsid w:val="00E87A5F"/>
    <w:rsid w:val="00E907E0"/>
    <w:rsid w:val="00E916DE"/>
    <w:rsid w:val="00E92094"/>
    <w:rsid w:val="00E9258A"/>
    <w:rsid w:val="00E930B7"/>
    <w:rsid w:val="00E93718"/>
    <w:rsid w:val="00E95A1E"/>
    <w:rsid w:val="00E96AC0"/>
    <w:rsid w:val="00EA05AF"/>
    <w:rsid w:val="00EA1B8A"/>
    <w:rsid w:val="00EA2254"/>
    <w:rsid w:val="00EA2B42"/>
    <w:rsid w:val="00EA3A1F"/>
    <w:rsid w:val="00EA40A5"/>
    <w:rsid w:val="00EA47AB"/>
    <w:rsid w:val="00EA56E4"/>
    <w:rsid w:val="00EA582A"/>
    <w:rsid w:val="00EA6623"/>
    <w:rsid w:val="00EA6A76"/>
    <w:rsid w:val="00EA6C53"/>
    <w:rsid w:val="00EA7526"/>
    <w:rsid w:val="00EB0584"/>
    <w:rsid w:val="00EB0C3A"/>
    <w:rsid w:val="00EB1102"/>
    <w:rsid w:val="00EB1EC2"/>
    <w:rsid w:val="00EB2569"/>
    <w:rsid w:val="00EB281E"/>
    <w:rsid w:val="00EB2D1E"/>
    <w:rsid w:val="00EB4012"/>
    <w:rsid w:val="00EB6400"/>
    <w:rsid w:val="00EB6C3B"/>
    <w:rsid w:val="00EB709B"/>
    <w:rsid w:val="00EC083B"/>
    <w:rsid w:val="00EC0F9A"/>
    <w:rsid w:val="00EC101E"/>
    <w:rsid w:val="00EC149C"/>
    <w:rsid w:val="00EC197F"/>
    <w:rsid w:val="00EC1E7F"/>
    <w:rsid w:val="00EC2915"/>
    <w:rsid w:val="00EC4100"/>
    <w:rsid w:val="00EC4B51"/>
    <w:rsid w:val="00EC52A6"/>
    <w:rsid w:val="00EC5F5A"/>
    <w:rsid w:val="00EC6D1D"/>
    <w:rsid w:val="00ED1512"/>
    <w:rsid w:val="00ED1911"/>
    <w:rsid w:val="00ED194F"/>
    <w:rsid w:val="00ED1E8B"/>
    <w:rsid w:val="00ED27EB"/>
    <w:rsid w:val="00ED41D6"/>
    <w:rsid w:val="00ED4751"/>
    <w:rsid w:val="00ED7079"/>
    <w:rsid w:val="00ED713D"/>
    <w:rsid w:val="00EE04CE"/>
    <w:rsid w:val="00EE0762"/>
    <w:rsid w:val="00EE1BA5"/>
    <w:rsid w:val="00EE31FD"/>
    <w:rsid w:val="00EE33D1"/>
    <w:rsid w:val="00EE579C"/>
    <w:rsid w:val="00EE659C"/>
    <w:rsid w:val="00EE743C"/>
    <w:rsid w:val="00EE7CA1"/>
    <w:rsid w:val="00EF0721"/>
    <w:rsid w:val="00EF0944"/>
    <w:rsid w:val="00EF1825"/>
    <w:rsid w:val="00EF1C4C"/>
    <w:rsid w:val="00EF438D"/>
    <w:rsid w:val="00EF45BC"/>
    <w:rsid w:val="00EF52CF"/>
    <w:rsid w:val="00EF5C0B"/>
    <w:rsid w:val="00EF5E71"/>
    <w:rsid w:val="00EF61CA"/>
    <w:rsid w:val="00EF66C6"/>
    <w:rsid w:val="00EF6A6C"/>
    <w:rsid w:val="00EF71C9"/>
    <w:rsid w:val="00EF7825"/>
    <w:rsid w:val="00EF787F"/>
    <w:rsid w:val="00F0147A"/>
    <w:rsid w:val="00F0184D"/>
    <w:rsid w:val="00F0228C"/>
    <w:rsid w:val="00F0231E"/>
    <w:rsid w:val="00F034CF"/>
    <w:rsid w:val="00F03ACC"/>
    <w:rsid w:val="00F0487D"/>
    <w:rsid w:val="00F053B9"/>
    <w:rsid w:val="00F05CE5"/>
    <w:rsid w:val="00F06130"/>
    <w:rsid w:val="00F06BAE"/>
    <w:rsid w:val="00F07547"/>
    <w:rsid w:val="00F1093E"/>
    <w:rsid w:val="00F11132"/>
    <w:rsid w:val="00F11BB9"/>
    <w:rsid w:val="00F1274E"/>
    <w:rsid w:val="00F127B4"/>
    <w:rsid w:val="00F12946"/>
    <w:rsid w:val="00F1362F"/>
    <w:rsid w:val="00F13726"/>
    <w:rsid w:val="00F13D27"/>
    <w:rsid w:val="00F1414F"/>
    <w:rsid w:val="00F14328"/>
    <w:rsid w:val="00F14628"/>
    <w:rsid w:val="00F15024"/>
    <w:rsid w:val="00F163AB"/>
    <w:rsid w:val="00F16576"/>
    <w:rsid w:val="00F17B07"/>
    <w:rsid w:val="00F17E21"/>
    <w:rsid w:val="00F20459"/>
    <w:rsid w:val="00F20521"/>
    <w:rsid w:val="00F20B7D"/>
    <w:rsid w:val="00F20E70"/>
    <w:rsid w:val="00F213EA"/>
    <w:rsid w:val="00F21627"/>
    <w:rsid w:val="00F21799"/>
    <w:rsid w:val="00F225B7"/>
    <w:rsid w:val="00F229A4"/>
    <w:rsid w:val="00F2469D"/>
    <w:rsid w:val="00F24DE8"/>
    <w:rsid w:val="00F25180"/>
    <w:rsid w:val="00F255B9"/>
    <w:rsid w:val="00F25796"/>
    <w:rsid w:val="00F25CF7"/>
    <w:rsid w:val="00F25F72"/>
    <w:rsid w:val="00F26B85"/>
    <w:rsid w:val="00F2797D"/>
    <w:rsid w:val="00F27FA9"/>
    <w:rsid w:val="00F30A70"/>
    <w:rsid w:val="00F31A22"/>
    <w:rsid w:val="00F31C30"/>
    <w:rsid w:val="00F3239E"/>
    <w:rsid w:val="00F323DC"/>
    <w:rsid w:val="00F3272C"/>
    <w:rsid w:val="00F32B71"/>
    <w:rsid w:val="00F33531"/>
    <w:rsid w:val="00F339AB"/>
    <w:rsid w:val="00F33B08"/>
    <w:rsid w:val="00F35893"/>
    <w:rsid w:val="00F367AC"/>
    <w:rsid w:val="00F36AAD"/>
    <w:rsid w:val="00F403E6"/>
    <w:rsid w:val="00F40526"/>
    <w:rsid w:val="00F4190E"/>
    <w:rsid w:val="00F4206B"/>
    <w:rsid w:val="00F420A1"/>
    <w:rsid w:val="00F43461"/>
    <w:rsid w:val="00F444E3"/>
    <w:rsid w:val="00F4455F"/>
    <w:rsid w:val="00F4509B"/>
    <w:rsid w:val="00F45253"/>
    <w:rsid w:val="00F4576A"/>
    <w:rsid w:val="00F45DBE"/>
    <w:rsid w:val="00F45FB4"/>
    <w:rsid w:val="00F4623C"/>
    <w:rsid w:val="00F468D6"/>
    <w:rsid w:val="00F5172F"/>
    <w:rsid w:val="00F51B7D"/>
    <w:rsid w:val="00F54775"/>
    <w:rsid w:val="00F56C9F"/>
    <w:rsid w:val="00F56D88"/>
    <w:rsid w:val="00F57799"/>
    <w:rsid w:val="00F5795D"/>
    <w:rsid w:val="00F57AB1"/>
    <w:rsid w:val="00F614AA"/>
    <w:rsid w:val="00F6362D"/>
    <w:rsid w:val="00F66D6C"/>
    <w:rsid w:val="00F66F02"/>
    <w:rsid w:val="00F67248"/>
    <w:rsid w:val="00F675BC"/>
    <w:rsid w:val="00F67619"/>
    <w:rsid w:val="00F7188D"/>
    <w:rsid w:val="00F73FB9"/>
    <w:rsid w:val="00F7411C"/>
    <w:rsid w:val="00F74386"/>
    <w:rsid w:val="00F7494B"/>
    <w:rsid w:val="00F74A78"/>
    <w:rsid w:val="00F75E43"/>
    <w:rsid w:val="00F76445"/>
    <w:rsid w:val="00F76649"/>
    <w:rsid w:val="00F76D9E"/>
    <w:rsid w:val="00F771A0"/>
    <w:rsid w:val="00F806E4"/>
    <w:rsid w:val="00F815AF"/>
    <w:rsid w:val="00F817C8"/>
    <w:rsid w:val="00F82771"/>
    <w:rsid w:val="00F8314A"/>
    <w:rsid w:val="00F83C53"/>
    <w:rsid w:val="00F84A9F"/>
    <w:rsid w:val="00F85AE8"/>
    <w:rsid w:val="00F86578"/>
    <w:rsid w:val="00F869D4"/>
    <w:rsid w:val="00F87DBF"/>
    <w:rsid w:val="00F90746"/>
    <w:rsid w:val="00F90FFB"/>
    <w:rsid w:val="00F92210"/>
    <w:rsid w:val="00F94BE7"/>
    <w:rsid w:val="00F95695"/>
    <w:rsid w:val="00F9598E"/>
    <w:rsid w:val="00F96936"/>
    <w:rsid w:val="00F96FCB"/>
    <w:rsid w:val="00F96FDA"/>
    <w:rsid w:val="00F97124"/>
    <w:rsid w:val="00FA06E8"/>
    <w:rsid w:val="00FA0F8B"/>
    <w:rsid w:val="00FA1039"/>
    <w:rsid w:val="00FA16FF"/>
    <w:rsid w:val="00FA18F7"/>
    <w:rsid w:val="00FA1E16"/>
    <w:rsid w:val="00FA1F79"/>
    <w:rsid w:val="00FA2945"/>
    <w:rsid w:val="00FA2EB6"/>
    <w:rsid w:val="00FA3D3D"/>
    <w:rsid w:val="00FA65C5"/>
    <w:rsid w:val="00FA6878"/>
    <w:rsid w:val="00FA7755"/>
    <w:rsid w:val="00FA789F"/>
    <w:rsid w:val="00FB123B"/>
    <w:rsid w:val="00FB3D01"/>
    <w:rsid w:val="00FB4393"/>
    <w:rsid w:val="00FB5712"/>
    <w:rsid w:val="00FB679F"/>
    <w:rsid w:val="00FB6D3A"/>
    <w:rsid w:val="00FC0332"/>
    <w:rsid w:val="00FC088C"/>
    <w:rsid w:val="00FC12C1"/>
    <w:rsid w:val="00FC1352"/>
    <w:rsid w:val="00FC27A1"/>
    <w:rsid w:val="00FC2987"/>
    <w:rsid w:val="00FC30AF"/>
    <w:rsid w:val="00FC3233"/>
    <w:rsid w:val="00FC465D"/>
    <w:rsid w:val="00FC57B3"/>
    <w:rsid w:val="00FC69CD"/>
    <w:rsid w:val="00FC73D9"/>
    <w:rsid w:val="00FD2D61"/>
    <w:rsid w:val="00FD3F85"/>
    <w:rsid w:val="00FD40FA"/>
    <w:rsid w:val="00FD46A5"/>
    <w:rsid w:val="00FD48D0"/>
    <w:rsid w:val="00FD600F"/>
    <w:rsid w:val="00FD6947"/>
    <w:rsid w:val="00FD7584"/>
    <w:rsid w:val="00FE00C2"/>
    <w:rsid w:val="00FE1B44"/>
    <w:rsid w:val="00FE3D02"/>
    <w:rsid w:val="00FE3E27"/>
    <w:rsid w:val="00FE4010"/>
    <w:rsid w:val="00FE7495"/>
    <w:rsid w:val="00FE794C"/>
    <w:rsid w:val="00FE7984"/>
    <w:rsid w:val="00FF00A0"/>
    <w:rsid w:val="00FF03BE"/>
    <w:rsid w:val="00FF0626"/>
    <w:rsid w:val="00FF13C4"/>
    <w:rsid w:val="00FF1445"/>
    <w:rsid w:val="00FF1945"/>
    <w:rsid w:val="00FF1B92"/>
    <w:rsid w:val="00FF22EA"/>
    <w:rsid w:val="00FF31AF"/>
    <w:rsid w:val="00FF4126"/>
    <w:rsid w:val="00FF4242"/>
    <w:rsid w:val="00FF4360"/>
    <w:rsid w:val="00FF53BF"/>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none [3215]" stroke="f">
      <v:fill color="none [321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lsdException w:name="annotation text" w:locked="0" w:semiHidden="1"/>
    <w:lsdException w:name="header" w:locked="0"/>
    <w:lsdException w:name="footer" w:locked="0"/>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245C0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Short)"/>
    <w:basedOn w:val="Normal"/>
    <w:next w:val="PwCNormal"/>
    <w:qFormat/>
    <w:rsid w:val="00BE4F03"/>
    <w:pPr>
      <w:keepNext/>
      <w:keepLines/>
      <w:pageBreakBefore/>
      <w:numPr>
        <w:ilvl w:val="1"/>
        <w:numId w:val="27"/>
      </w:numPr>
      <w:spacing w:after="480" w:line="600" w:lineRule="atLeast"/>
      <w:outlineLvl w:val="0"/>
    </w:pPr>
    <w:rPr>
      <w:rFonts w:asciiTheme="majorHAnsi" w:hAnsiTheme="majorHAnsi"/>
      <w:b/>
      <w:bCs/>
      <w:i/>
      <w:iCs/>
      <w:color w:val="000000" w:themeColor="text1"/>
      <w:sz w:val="56"/>
      <w:szCs w:val="36"/>
    </w:rPr>
  </w:style>
  <w:style w:type="paragraph" w:styleId="Heading2">
    <w:name w:val="heading 2"/>
    <w:basedOn w:val="Heading1"/>
    <w:next w:val="PwCNormal"/>
    <w:qFormat/>
    <w:rsid w:val="00142AFF"/>
    <w:pPr>
      <w:pageBreakBefore w:val="0"/>
      <w:numPr>
        <w:ilvl w:val="2"/>
      </w:numPr>
      <w:spacing w:before="240" w:after="200" w:line="240" w:lineRule="auto"/>
      <w:outlineLvl w:val="1"/>
    </w:pPr>
    <w:rPr>
      <w:bCs w:val="0"/>
      <w:color w:val="A32020" w:themeColor="text2"/>
      <w:sz w:val="32"/>
    </w:rPr>
  </w:style>
  <w:style w:type="paragraph" w:styleId="Heading3">
    <w:name w:val="heading 3"/>
    <w:basedOn w:val="Heading2"/>
    <w:next w:val="PwCNormal"/>
    <w:qFormat/>
    <w:rsid w:val="00CE5EF2"/>
    <w:pPr>
      <w:numPr>
        <w:ilvl w:val="3"/>
      </w:numPr>
      <w:spacing w:before="0" w:after="240"/>
      <w:outlineLvl w:val="2"/>
    </w:pPr>
    <w:rPr>
      <w:b w:val="0"/>
      <w:sz w:val="28"/>
      <w:szCs w:val="28"/>
    </w:rPr>
  </w:style>
  <w:style w:type="paragraph" w:styleId="Heading4">
    <w:name w:val="heading 4"/>
    <w:basedOn w:val="Majorheading"/>
    <w:next w:val="PwCNormal"/>
    <w:qFormat/>
    <w:rsid w:val="00BE4F03"/>
    <w:pPr>
      <w:numPr>
        <w:ilvl w:val="6"/>
        <w:numId w:val="27"/>
      </w:numPr>
      <w:outlineLvl w:val="3"/>
    </w:pPr>
    <w:rPr>
      <w:sz w:val="32"/>
      <w:szCs w:val="21"/>
    </w:rPr>
  </w:style>
  <w:style w:type="paragraph" w:styleId="Heading5">
    <w:name w:val="heading 5"/>
    <w:basedOn w:val="Heading1"/>
    <w:next w:val="PwC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aliases w:val="Chapter Heading (Long)"/>
    <w:basedOn w:val="Normal"/>
    <w:next w:val="PwCNormal"/>
    <w:qFormat/>
    <w:rsid w:val="00BC0A43"/>
    <w:pPr>
      <w:spacing w:line="720" w:lineRule="atLeast"/>
      <w:outlineLvl w:val="5"/>
    </w:pPr>
    <w:rPr>
      <w:rFonts w:asciiTheme="majorHAnsi" w:hAnsiTheme="majorHAnsi"/>
      <w:b/>
      <w:bCs/>
      <w:i/>
      <w:sz w:val="56"/>
      <w:szCs w:val="72"/>
    </w:rPr>
  </w:style>
  <w:style w:type="paragraph" w:styleId="Heading7">
    <w:name w:val="heading 7"/>
    <w:aliases w:val="Appendix Heading (Long)"/>
    <w:basedOn w:val="Heading6"/>
    <w:next w:val="PwCNormal"/>
    <w:qFormat/>
    <w:rsid w:val="008D4477"/>
    <w:pPr>
      <w:outlineLvl w:val="6"/>
    </w:pPr>
    <w:rPr>
      <w:bCs w:val="0"/>
    </w:rPr>
  </w:style>
  <w:style w:type="paragraph" w:styleId="Heading8">
    <w:name w:val="heading 8"/>
    <w:aliases w:val="Appendix Heading (Short)"/>
    <w:basedOn w:val="Heading1"/>
    <w:next w:val="PwCNormal"/>
    <w:qFormat/>
    <w:rsid w:val="00AE506B"/>
    <w:pPr>
      <w:pageBreakBefore w:val="0"/>
      <w:numPr>
        <w:ilvl w:val="4"/>
      </w:numPr>
      <w:outlineLvl w:val="7"/>
    </w:pPr>
    <w:rPr>
      <w:bCs w:val="0"/>
    </w:rPr>
  </w:style>
  <w:style w:type="paragraph" w:styleId="Heading9">
    <w:name w:val="heading 9"/>
    <w:basedOn w:val="Heading4"/>
    <w:next w:val="PwCNormal"/>
    <w:qFormat/>
    <w:rsid w:val="005C6E53"/>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1"/>
    <w:next w:val="PwCNormal"/>
    <w:unhideWhenUsed/>
    <w:rsid w:val="005E2460"/>
    <w:pPr>
      <w:numPr>
        <w:ilvl w:val="0"/>
        <w:numId w:val="0"/>
      </w:numPr>
      <w:spacing w:after="600"/>
    </w:pPr>
    <w:rPr>
      <w:color w:val="auto"/>
    </w:rPr>
  </w:style>
  <w:style w:type="paragraph" w:customStyle="1" w:styleId="CoverOutcomeTitle">
    <w:name w:val="Cover Outcome Title"/>
    <w:basedOn w:val="KeySentenceInside"/>
    <w:next w:val="CoverOutcomeSubtitle"/>
    <w:rsid w:val="00F323DC"/>
    <w:pPr>
      <w:framePr w:w="2154" w:wrap="notBeside" w:vAnchor="page" w:hAnchor="page" w:x="928" w:y="8427"/>
      <w:spacing w:before="200"/>
      <w:ind w:left="113"/>
    </w:pPr>
    <w:rPr>
      <w:rFonts w:asciiTheme="majorHAnsi" w:hAnsiTheme="majorHAnsi"/>
      <w:color w:val="auto"/>
      <w:sz w:val="19"/>
      <w:lang w:val="en-GB"/>
    </w:rPr>
  </w:style>
  <w:style w:type="paragraph" w:customStyle="1" w:styleId="CoverOutcomeSubtitle">
    <w:name w:val="Cover Outcome Subtitle"/>
    <w:basedOn w:val="CoverOutcomeTitle"/>
    <w:rsid w:val="006C1EC2"/>
    <w:pPr>
      <w:framePr w:wrap="notBeside"/>
      <w:spacing w:before="180"/>
    </w:pPr>
    <w:rPr>
      <w:bCs/>
      <w:szCs w:val="64"/>
    </w:rPr>
  </w:style>
  <w:style w:type="paragraph" w:customStyle="1" w:styleId="AppendixNumberLong">
    <w:name w:val="Appendix Number (Long)"/>
    <w:basedOn w:val="Heading7"/>
    <w:next w:val="Heading7"/>
    <w:rsid w:val="00BE4F03"/>
    <w:pPr>
      <w:keepNext/>
      <w:keepLines/>
      <w:pageBreakBefore/>
      <w:numPr>
        <w:ilvl w:val="5"/>
        <w:numId w:val="27"/>
      </w:numPr>
    </w:pPr>
    <w:rPr>
      <w:color w:val="000000" w:themeColor="text1"/>
    </w:rPr>
  </w:style>
  <w:style w:type="paragraph" w:customStyle="1" w:styleId="ChapterNumberLong">
    <w:name w:val="Chapter Number (Long)"/>
    <w:basedOn w:val="Heading6"/>
    <w:next w:val="Heading6"/>
    <w:rsid w:val="00BE4F03"/>
    <w:pPr>
      <w:pageBreakBefore/>
      <w:numPr>
        <w:numId w:val="27"/>
      </w:numPr>
    </w:pPr>
  </w:style>
  <w:style w:type="paragraph" w:customStyle="1" w:styleId="Footer-Even">
    <w:name w:val="Footer - Even"/>
    <w:basedOn w:val="Footer"/>
    <w:rsid w:val="00B51CCB"/>
  </w:style>
  <w:style w:type="paragraph" w:customStyle="1" w:styleId="URL">
    <w:name w:val="URL"/>
    <w:basedOn w:val="PwCNormal"/>
    <w:next w:val="PwCNormal"/>
    <w:rsid w:val="008E7A3D"/>
    <w:pPr>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B51CCB"/>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6650EF"/>
    <w:pPr>
      <w:framePr w:w="2296" w:wrap="notBeside" w:vAnchor="text" w:hAnchor="margin" w:x="-2521" w:y="1" w:anchorLock="1"/>
    </w:pPr>
  </w:style>
  <w:style w:type="paragraph" w:customStyle="1" w:styleId="ChapterNumberedList1">
    <w:name w:val="Chapter Numbered List 1"/>
    <w:basedOn w:val="PwCNormal"/>
    <w:rsid w:val="00BE4F03"/>
    <w:pPr>
      <w:numPr>
        <w:ilvl w:val="7"/>
        <w:numId w:val="27"/>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aliases w:val="n"/>
    <w:basedOn w:val="Normal"/>
    <w:link w:val="PwCNormalChar"/>
    <w:qFormat/>
    <w:rsid w:val="00126AFF"/>
    <w:pPr>
      <w:numPr>
        <w:numId w:val="9"/>
      </w:numPr>
      <w:spacing w:after="240"/>
    </w:pPr>
  </w:style>
  <w:style w:type="paragraph" w:customStyle="1" w:styleId="CoverDate">
    <w:name w:val="Cover Date"/>
    <w:basedOn w:val="CoverOutcome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aliases w:val="n Char Char,n Char"/>
    <w:basedOn w:val="DefaultParagraphFont"/>
    <w:link w:val="PwCNormal"/>
    <w:rsid w:val="00126AFF"/>
    <w:rPr>
      <w:rFonts w:cs="Arial"/>
      <w:snapToGrid w:val="0"/>
      <w:lang w:eastAsia="en-US"/>
    </w:rPr>
  </w:style>
  <w:style w:type="paragraph" w:styleId="TOC1">
    <w:name w:val="toc 1"/>
    <w:basedOn w:val="Normal"/>
    <w:next w:val="PwCNormal"/>
    <w:uiPriority w:val="39"/>
    <w:rsid w:val="001D29AE"/>
    <w:pPr>
      <w:numPr>
        <w:numId w:val="24"/>
      </w:numPr>
      <w:tabs>
        <w:tab w:val="left" w:pos="567"/>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link w:val="TableTextNormalChar"/>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6"/>
    <w:next w:val="Normal"/>
    <w:uiPriority w:val="99"/>
    <w:qFormat/>
    <w:rsid w:val="0071186F"/>
    <w:pPr>
      <w:keepNext/>
      <w:keepLines/>
      <w:numPr>
        <w:numId w:val="12"/>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F03ACC"/>
    <w:pPr>
      <w:spacing w:after="140"/>
    </w:pPr>
    <w:rPr>
      <w:rFonts w:ascii="Arial" w:hAnsi="Arial"/>
      <w:sz w:val="15"/>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1"/>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rsid w:val="005F07CE"/>
    <w:pPr>
      <w:tabs>
        <w:tab w:val="left" w:pos="284"/>
      </w:tabs>
      <w:spacing w:before="80" w:after="80"/>
      <w:ind w:left="227" w:hanging="227"/>
    </w:pPr>
    <w:rPr>
      <w:sz w:val="14"/>
    </w:rPr>
  </w:style>
  <w:style w:type="character" w:styleId="FootnoteReference">
    <w:name w:val="footnote reference"/>
    <w:basedOn w:val="DefaultParagraphFont"/>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qFormat/>
    <w:rsid w:val="009231BC"/>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CVText"/>
    <w:next w:val="CVRoleTitle"/>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779E0"/>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pageBreakBefore w:val="0"/>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7D1C0E"/>
    <w:pPr>
      <w:spacing w:after="120"/>
    </w:pPr>
  </w:style>
  <w:style w:type="character" w:customStyle="1" w:styleId="BodyTextChar">
    <w:name w:val="Body Text Char"/>
    <w:basedOn w:val="DefaultParagraphFont"/>
    <w:link w:val="BodyText"/>
    <w:semiHidden/>
    <w:rsid w:val="007D1C0E"/>
    <w:rPr>
      <w:rFonts w:ascii="Georgia" w:hAnsi="Georgia" w:cs="Arial"/>
      <w:snapToGrid w:val="0"/>
      <w:sz w:val="2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ascii="Georgia" w:hAnsi="Georgia" w:cs="Arial"/>
      <w:snapToGrid w:val="0"/>
      <w:sz w:val="2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semiHidden/>
    <w:rsid w:val="007D1C0E"/>
    <w:rPr>
      <w:rFonts w:ascii="Georgia" w:hAnsi="Georgia"/>
      <w:sz w:val="16"/>
      <w:szCs w:val="16"/>
    </w:rPr>
  </w:style>
  <w:style w:type="paragraph" w:styleId="CommentText">
    <w:name w:val="annotation text"/>
    <w:basedOn w:val="Normal"/>
    <w:link w:val="CommentTextChar"/>
    <w:semiHidden/>
    <w:rsid w:val="007D1C0E"/>
  </w:style>
  <w:style w:type="character" w:customStyle="1" w:styleId="CommentTextChar">
    <w:name w:val="Comment Text Char"/>
    <w:basedOn w:val="DefaultParagraphFont"/>
    <w:link w:val="CommentText"/>
    <w:semiHidden/>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semiHidden/>
    <w:rsid w:val="007D1C0E"/>
    <w:rPr>
      <w:color w:val="0000FF"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qFormat/>
    <w:locked/>
    <w:rsid w:val="00805111"/>
    <w:pPr>
      <w:numPr>
        <w:numId w:val="5"/>
      </w:numPr>
      <w:spacing w:before="240"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semiHidden/>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6"/>
    <w:next w:val="Normal"/>
    <w:uiPriority w:val="39"/>
    <w:semiHidden/>
    <w:unhideWhenUsed/>
    <w:qFormat/>
    <w:rsid w:val="007D1C0E"/>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BE1656"/>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Title">
    <w:name w:val="Cover Title"/>
    <w:basedOn w:val="PwCNormal"/>
    <w:rsid w:val="008E7A3D"/>
    <w:pPr>
      <w:spacing w:after="0" w:line="960" w:lineRule="atLeast"/>
    </w:pPr>
    <w:rPr>
      <w:b/>
      <w:i/>
      <w:sz w:val="88"/>
      <w:szCs w:val="88"/>
      <w:lang w:val="en-GB"/>
    </w:rPr>
  </w:style>
  <w:style w:type="paragraph" w:customStyle="1" w:styleId="CoverSubtitle">
    <w:name w:val="Cover Subtitle"/>
    <w:basedOn w:val="CoverTitle"/>
    <w:rsid w:val="008E7A3D"/>
    <w:pPr>
      <w:spacing w:before="360"/>
    </w:pPr>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1"/>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7167DF"/>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basedOn w:val="PwCNormal"/>
    <w:rsid w:val="00BE4F03"/>
    <w:pPr>
      <w:numPr>
        <w:numId w:val="26"/>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BE4F03"/>
    <w:pPr>
      <w:numPr>
        <w:numId w:val="23"/>
      </w:numPr>
    </w:pPr>
  </w:style>
  <w:style w:type="paragraph" w:customStyle="1" w:styleId="FirstPagePanelFrame-Contents">
    <w:name w:val="First Page Panel Frame - Contents"/>
    <w:basedOn w:val="FirstPagePanelFrame"/>
    <w:rsid w:val="00BE1656"/>
    <w:pPr>
      <w:framePr w:wrap="notBeside"/>
    </w:pPr>
  </w:style>
  <w:style w:type="numbering" w:customStyle="1" w:styleId="ChapterNumberingList">
    <w:name w:val="Chapter Numbering List"/>
    <w:uiPriority w:val="99"/>
    <w:rsid w:val="00BE4F03"/>
    <w:pPr>
      <w:numPr>
        <w:numId w:val="25"/>
      </w:numPr>
    </w:pPr>
  </w:style>
  <w:style w:type="character" w:customStyle="1" w:styleId="TableTextNormalChar">
    <w:name w:val="Table Text Normal Char"/>
    <w:basedOn w:val="DefaultParagraphFont"/>
    <w:link w:val="TableTextNormal"/>
    <w:locked/>
    <w:rsid w:val="00EA2B42"/>
    <w:rPr>
      <w:rFonts w:cs="Arial"/>
      <w:snapToGrid w:val="0"/>
      <w:lang w:eastAsia="en-US"/>
    </w:rPr>
  </w:style>
  <w:style w:type="table" w:customStyle="1" w:styleId="PwCTableText">
    <w:name w:val="PwC Table Text"/>
    <w:basedOn w:val="TableNormal"/>
    <w:uiPriority w:val="99"/>
    <w:qFormat/>
    <w:rsid w:val="00142AFF"/>
    <w:pPr>
      <w:spacing w:before="60" w:after="60"/>
    </w:pPr>
    <w:rPr>
      <w:rFonts w:eastAsiaTheme="minorEastAsia" w:cstheme="minorBidi"/>
      <w:szCs w:val="22"/>
      <w:lang w:val="en-US" w:eastAsia="en-US"/>
    </w:rPr>
    <w:tblPr>
      <w:tblBorders>
        <w:insideH w:val="dotted" w:sz="6" w:space="0" w:color="A32020" w:themeColor="accent1"/>
      </w:tblBorders>
    </w:tblPr>
    <w:tblStylePr w:type="firstRow">
      <w:rPr>
        <w:rFonts w:asciiTheme="majorHAnsi" w:hAnsiTheme="majorHAnsi"/>
        <w:b/>
        <w:color w:val="A32020" w:themeColor="text2"/>
        <w:sz w:val="22"/>
      </w:rPr>
      <w:tblPr/>
      <w:tcPr>
        <w:tcBorders>
          <w:top w:val="single" w:sz="6" w:space="0" w:color="A32020" w:themeColor="accent1"/>
          <w:left w:val="nil"/>
          <w:bottom w:val="single" w:sz="6" w:space="0" w:color="A32020" w:themeColor="accent1"/>
          <w:right w:val="nil"/>
          <w:insideH w:val="nil"/>
          <w:insideV w:val="nil"/>
          <w:tl2br w:val="nil"/>
          <w:tr2bl w:val="nil"/>
        </w:tcBorders>
      </w:tcPr>
    </w:tblStylePr>
  </w:style>
  <w:style w:type="paragraph" w:customStyle="1" w:styleId="Default">
    <w:name w:val="Default"/>
    <w:rsid w:val="009B794F"/>
    <w:pPr>
      <w:autoSpaceDE w:val="0"/>
      <w:autoSpaceDN w:val="0"/>
      <w:adjustRightInd w:val="0"/>
    </w:pPr>
    <w:rPr>
      <w:rFonts w:cs="Georgia"/>
      <w:color w:val="000000"/>
      <w:sz w:val="24"/>
      <w:szCs w:val="24"/>
    </w:rPr>
  </w:style>
  <w:style w:type="paragraph" w:styleId="Revision">
    <w:name w:val="Revision"/>
    <w:hidden/>
    <w:uiPriority w:val="99"/>
    <w:semiHidden/>
    <w:rsid w:val="00B641D5"/>
    <w:rPr>
      <w:rFonts w:cs="Arial"/>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lsdException w:name="annotation text" w:locked="0" w:semiHidden="1"/>
    <w:lsdException w:name="header" w:locked="0"/>
    <w:lsdException w:name="footer" w:locked="0"/>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245C0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Short)"/>
    <w:basedOn w:val="Normal"/>
    <w:next w:val="PwCNormal"/>
    <w:qFormat/>
    <w:rsid w:val="00BE4F03"/>
    <w:pPr>
      <w:keepNext/>
      <w:keepLines/>
      <w:pageBreakBefore/>
      <w:numPr>
        <w:ilvl w:val="1"/>
        <w:numId w:val="27"/>
      </w:numPr>
      <w:spacing w:after="480" w:line="600" w:lineRule="atLeast"/>
      <w:outlineLvl w:val="0"/>
    </w:pPr>
    <w:rPr>
      <w:rFonts w:asciiTheme="majorHAnsi" w:hAnsiTheme="majorHAnsi"/>
      <w:b/>
      <w:bCs/>
      <w:i/>
      <w:iCs/>
      <w:color w:val="000000" w:themeColor="text1"/>
      <w:sz w:val="56"/>
      <w:szCs w:val="36"/>
    </w:rPr>
  </w:style>
  <w:style w:type="paragraph" w:styleId="Heading2">
    <w:name w:val="heading 2"/>
    <w:basedOn w:val="Heading1"/>
    <w:next w:val="PwCNormal"/>
    <w:qFormat/>
    <w:rsid w:val="00142AFF"/>
    <w:pPr>
      <w:pageBreakBefore w:val="0"/>
      <w:numPr>
        <w:ilvl w:val="2"/>
      </w:numPr>
      <w:spacing w:before="240" w:after="200" w:line="240" w:lineRule="auto"/>
      <w:outlineLvl w:val="1"/>
    </w:pPr>
    <w:rPr>
      <w:bCs w:val="0"/>
      <w:color w:val="A32020" w:themeColor="text2"/>
      <w:sz w:val="32"/>
    </w:rPr>
  </w:style>
  <w:style w:type="paragraph" w:styleId="Heading3">
    <w:name w:val="heading 3"/>
    <w:basedOn w:val="Heading2"/>
    <w:next w:val="PwCNormal"/>
    <w:qFormat/>
    <w:rsid w:val="00CE5EF2"/>
    <w:pPr>
      <w:numPr>
        <w:ilvl w:val="3"/>
      </w:numPr>
      <w:spacing w:before="0" w:after="240"/>
      <w:outlineLvl w:val="2"/>
    </w:pPr>
    <w:rPr>
      <w:b w:val="0"/>
      <w:sz w:val="28"/>
      <w:szCs w:val="28"/>
    </w:rPr>
  </w:style>
  <w:style w:type="paragraph" w:styleId="Heading4">
    <w:name w:val="heading 4"/>
    <w:basedOn w:val="Majorheading"/>
    <w:next w:val="PwCNormal"/>
    <w:qFormat/>
    <w:rsid w:val="00BE4F03"/>
    <w:pPr>
      <w:numPr>
        <w:ilvl w:val="6"/>
        <w:numId w:val="27"/>
      </w:numPr>
      <w:outlineLvl w:val="3"/>
    </w:pPr>
    <w:rPr>
      <w:sz w:val="32"/>
      <w:szCs w:val="21"/>
    </w:rPr>
  </w:style>
  <w:style w:type="paragraph" w:styleId="Heading5">
    <w:name w:val="heading 5"/>
    <w:basedOn w:val="Heading1"/>
    <w:next w:val="PwC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aliases w:val="Chapter Heading (Long)"/>
    <w:basedOn w:val="Normal"/>
    <w:next w:val="PwCNormal"/>
    <w:qFormat/>
    <w:rsid w:val="00BC0A43"/>
    <w:pPr>
      <w:spacing w:line="720" w:lineRule="atLeast"/>
      <w:outlineLvl w:val="5"/>
    </w:pPr>
    <w:rPr>
      <w:rFonts w:asciiTheme="majorHAnsi" w:hAnsiTheme="majorHAnsi"/>
      <w:b/>
      <w:bCs/>
      <w:i/>
      <w:sz w:val="56"/>
      <w:szCs w:val="72"/>
    </w:rPr>
  </w:style>
  <w:style w:type="paragraph" w:styleId="Heading7">
    <w:name w:val="heading 7"/>
    <w:aliases w:val="Appendix Heading (Long)"/>
    <w:basedOn w:val="Heading6"/>
    <w:next w:val="PwCNormal"/>
    <w:qFormat/>
    <w:rsid w:val="008D4477"/>
    <w:pPr>
      <w:outlineLvl w:val="6"/>
    </w:pPr>
    <w:rPr>
      <w:bCs w:val="0"/>
    </w:rPr>
  </w:style>
  <w:style w:type="paragraph" w:styleId="Heading8">
    <w:name w:val="heading 8"/>
    <w:aliases w:val="Appendix Heading (Short)"/>
    <w:basedOn w:val="Heading1"/>
    <w:next w:val="PwCNormal"/>
    <w:qFormat/>
    <w:rsid w:val="00AE506B"/>
    <w:pPr>
      <w:pageBreakBefore w:val="0"/>
      <w:numPr>
        <w:ilvl w:val="4"/>
      </w:numPr>
      <w:outlineLvl w:val="7"/>
    </w:pPr>
    <w:rPr>
      <w:bCs w:val="0"/>
    </w:rPr>
  </w:style>
  <w:style w:type="paragraph" w:styleId="Heading9">
    <w:name w:val="heading 9"/>
    <w:basedOn w:val="Heading4"/>
    <w:next w:val="PwCNormal"/>
    <w:qFormat/>
    <w:rsid w:val="005C6E53"/>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1"/>
    <w:next w:val="PwCNormal"/>
    <w:unhideWhenUsed/>
    <w:rsid w:val="005E2460"/>
    <w:pPr>
      <w:numPr>
        <w:ilvl w:val="0"/>
        <w:numId w:val="0"/>
      </w:numPr>
      <w:spacing w:after="600"/>
    </w:pPr>
    <w:rPr>
      <w:color w:val="auto"/>
    </w:rPr>
  </w:style>
  <w:style w:type="paragraph" w:customStyle="1" w:styleId="CoverOutcomeTitle">
    <w:name w:val="Cover Outcome Title"/>
    <w:basedOn w:val="KeySentenceInside"/>
    <w:next w:val="CoverOutcomeSubtitle"/>
    <w:rsid w:val="00F323DC"/>
    <w:pPr>
      <w:framePr w:w="2154" w:wrap="notBeside" w:vAnchor="page" w:hAnchor="page" w:x="928" w:y="8427"/>
      <w:spacing w:before="200"/>
      <w:ind w:left="113"/>
    </w:pPr>
    <w:rPr>
      <w:rFonts w:asciiTheme="majorHAnsi" w:hAnsiTheme="majorHAnsi"/>
      <w:color w:val="auto"/>
      <w:sz w:val="19"/>
      <w:lang w:val="en-GB"/>
    </w:rPr>
  </w:style>
  <w:style w:type="paragraph" w:customStyle="1" w:styleId="CoverOutcomeSubtitle">
    <w:name w:val="Cover Outcome Subtitle"/>
    <w:basedOn w:val="CoverOutcomeTitle"/>
    <w:rsid w:val="006C1EC2"/>
    <w:pPr>
      <w:framePr w:wrap="notBeside"/>
      <w:spacing w:before="180"/>
    </w:pPr>
    <w:rPr>
      <w:bCs/>
      <w:szCs w:val="64"/>
    </w:rPr>
  </w:style>
  <w:style w:type="paragraph" w:customStyle="1" w:styleId="AppendixNumberLong">
    <w:name w:val="Appendix Number (Long)"/>
    <w:basedOn w:val="Heading7"/>
    <w:next w:val="Heading7"/>
    <w:rsid w:val="00BE4F03"/>
    <w:pPr>
      <w:keepNext/>
      <w:keepLines/>
      <w:pageBreakBefore/>
      <w:numPr>
        <w:ilvl w:val="5"/>
        <w:numId w:val="27"/>
      </w:numPr>
    </w:pPr>
    <w:rPr>
      <w:color w:val="000000" w:themeColor="text1"/>
    </w:rPr>
  </w:style>
  <w:style w:type="paragraph" w:customStyle="1" w:styleId="ChapterNumberLong">
    <w:name w:val="Chapter Number (Long)"/>
    <w:basedOn w:val="Heading6"/>
    <w:next w:val="Heading6"/>
    <w:rsid w:val="00BE4F03"/>
    <w:pPr>
      <w:pageBreakBefore/>
      <w:numPr>
        <w:numId w:val="27"/>
      </w:numPr>
    </w:pPr>
  </w:style>
  <w:style w:type="paragraph" w:customStyle="1" w:styleId="Footer-Even">
    <w:name w:val="Footer - Even"/>
    <w:basedOn w:val="Footer"/>
    <w:rsid w:val="00B51CCB"/>
  </w:style>
  <w:style w:type="paragraph" w:customStyle="1" w:styleId="URL">
    <w:name w:val="URL"/>
    <w:basedOn w:val="PwCNormal"/>
    <w:next w:val="PwCNormal"/>
    <w:rsid w:val="008E7A3D"/>
    <w:pPr>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B51CCB"/>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6650EF"/>
    <w:pPr>
      <w:framePr w:w="2296" w:wrap="notBeside" w:vAnchor="text" w:hAnchor="margin" w:x="-2521" w:y="1" w:anchorLock="1"/>
    </w:pPr>
  </w:style>
  <w:style w:type="paragraph" w:customStyle="1" w:styleId="ChapterNumberedList1">
    <w:name w:val="Chapter Numbered List 1"/>
    <w:basedOn w:val="PwCNormal"/>
    <w:rsid w:val="00BE4F03"/>
    <w:pPr>
      <w:numPr>
        <w:ilvl w:val="7"/>
        <w:numId w:val="27"/>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aliases w:val="n"/>
    <w:basedOn w:val="Normal"/>
    <w:link w:val="PwCNormalChar"/>
    <w:qFormat/>
    <w:rsid w:val="00126AFF"/>
    <w:pPr>
      <w:numPr>
        <w:numId w:val="9"/>
      </w:numPr>
      <w:spacing w:after="240"/>
    </w:pPr>
  </w:style>
  <w:style w:type="paragraph" w:customStyle="1" w:styleId="CoverDate">
    <w:name w:val="Cover Date"/>
    <w:basedOn w:val="CoverOutcome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aliases w:val="n Char Char,n Char"/>
    <w:basedOn w:val="DefaultParagraphFont"/>
    <w:link w:val="PwCNormal"/>
    <w:rsid w:val="00126AFF"/>
    <w:rPr>
      <w:rFonts w:cs="Arial"/>
      <w:snapToGrid w:val="0"/>
      <w:lang w:eastAsia="en-US"/>
    </w:rPr>
  </w:style>
  <w:style w:type="paragraph" w:styleId="TOC1">
    <w:name w:val="toc 1"/>
    <w:basedOn w:val="Normal"/>
    <w:next w:val="PwCNormal"/>
    <w:uiPriority w:val="39"/>
    <w:rsid w:val="001D29AE"/>
    <w:pPr>
      <w:numPr>
        <w:numId w:val="24"/>
      </w:numPr>
      <w:tabs>
        <w:tab w:val="left" w:pos="567"/>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link w:val="TableTextNormalChar"/>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6"/>
    <w:next w:val="Normal"/>
    <w:uiPriority w:val="99"/>
    <w:qFormat/>
    <w:rsid w:val="0071186F"/>
    <w:pPr>
      <w:keepNext/>
      <w:keepLines/>
      <w:numPr>
        <w:numId w:val="12"/>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F03ACC"/>
    <w:pPr>
      <w:spacing w:after="140"/>
    </w:pPr>
    <w:rPr>
      <w:rFonts w:ascii="Arial" w:hAnsi="Arial"/>
      <w:sz w:val="15"/>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1"/>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rsid w:val="005F07CE"/>
    <w:pPr>
      <w:tabs>
        <w:tab w:val="left" w:pos="284"/>
      </w:tabs>
      <w:spacing w:before="80" w:after="80"/>
      <w:ind w:left="227" w:hanging="227"/>
    </w:pPr>
    <w:rPr>
      <w:sz w:val="14"/>
    </w:rPr>
  </w:style>
  <w:style w:type="character" w:styleId="FootnoteReference">
    <w:name w:val="footnote reference"/>
    <w:basedOn w:val="DefaultParagraphFont"/>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qFormat/>
    <w:rsid w:val="009231BC"/>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CVText"/>
    <w:next w:val="CVRoleTitle"/>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779E0"/>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pageBreakBefore w:val="0"/>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7D1C0E"/>
    <w:pPr>
      <w:spacing w:after="120"/>
    </w:pPr>
  </w:style>
  <w:style w:type="character" w:customStyle="1" w:styleId="BodyTextChar">
    <w:name w:val="Body Text Char"/>
    <w:basedOn w:val="DefaultParagraphFont"/>
    <w:link w:val="BodyText"/>
    <w:semiHidden/>
    <w:rsid w:val="007D1C0E"/>
    <w:rPr>
      <w:rFonts w:ascii="Georgia" w:hAnsi="Georgia" w:cs="Arial"/>
      <w:snapToGrid w:val="0"/>
      <w:sz w:val="2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ascii="Georgia" w:hAnsi="Georgia" w:cs="Arial"/>
      <w:snapToGrid w:val="0"/>
      <w:sz w:val="2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semiHidden/>
    <w:rsid w:val="007D1C0E"/>
    <w:rPr>
      <w:rFonts w:ascii="Georgia" w:hAnsi="Georgia"/>
      <w:sz w:val="16"/>
      <w:szCs w:val="16"/>
    </w:rPr>
  </w:style>
  <w:style w:type="paragraph" w:styleId="CommentText">
    <w:name w:val="annotation text"/>
    <w:basedOn w:val="Normal"/>
    <w:link w:val="CommentTextChar"/>
    <w:semiHidden/>
    <w:rsid w:val="007D1C0E"/>
  </w:style>
  <w:style w:type="character" w:customStyle="1" w:styleId="CommentTextChar">
    <w:name w:val="Comment Text Char"/>
    <w:basedOn w:val="DefaultParagraphFont"/>
    <w:link w:val="CommentText"/>
    <w:semiHidden/>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semiHidden/>
    <w:rsid w:val="007D1C0E"/>
    <w:rPr>
      <w:color w:val="0000FF"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qFormat/>
    <w:locked/>
    <w:rsid w:val="00805111"/>
    <w:pPr>
      <w:numPr>
        <w:numId w:val="5"/>
      </w:numPr>
      <w:spacing w:before="240"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semiHidden/>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6"/>
    <w:next w:val="Normal"/>
    <w:uiPriority w:val="39"/>
    <w:semiHidden/>
    <w:unhideWhenUsed/>
    <w:qFormat/>
    <w:rsid w:val="007D1C0E"/>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BE1656"/>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Title">
    <w:name w:val="Cover Title"/>
    <w:basedOn w:val="PwCNormal"/>
    <w:rsid w:val="008E7A3D"/>
    <w:pPr>
      <w:spacing w:after="0" w:line="960" w:lineRule="atLeast"/>
    </w:pPr>
    <w:rPr>
      <w:b/>
      <w:i/>
      <w:sz w:val="88"/>
      <w:szCs w:val="88"/>
      <w:lang w:val="en-GB"/>
    </w:rPr>
  </w:style>
  <w:style w:type="paragraph" w:customStyle="1" w:styleId="CoverSubtitle">
    <w:name w:val="Cover Subtitle"/>
    <w:basedOn w:val="CoverTitle"/>
    <w:rsid w:val="008E7A3D"/>
    <w:pPr>
      <w:spacing w:before="360"/>
    </w:pPr>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1"/>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7167DF"/>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basedOn w:val="PwCNormal"/>
    <w:rsid w:val="00BE4F03"/>
    <w:pPr>
      <w:numPr>
        <w:numId w:val="26"/>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BE4F03"/>
    <w:pPr>
      <w:numPr>
        <w:numId w:val="23"/>
      </w:numPr>
    </w:pPr>
  </w:style>
  <w:style w:type="paragraph" w:customStyle="1" w:styleId="FirstPagePanelFrame-Contents">
    <w:name w:val="First Page Panel Frame - Contents"/>
    <w:basedOn w:val="FirstPagePanelFrame"/>
    <w:rsid w:val="00BE1656"/>
    <w:pPr>
      <w:framePr w:wrap="notBeside"/>
    </w:pPr>
  </w:style>
  <w:style w:type="numbering" w:customStyle="1" w:styleId="ChapterNumberingList">
    <w:name w:val="Chapter Numbering List"/>
    <w:uiPriority w:val="99"/>
    <w:rsid w:val="00BE4F03"/>
    <w:pPr>
      <w:numPr>
        <w:numId w:val="25"/>
      </w:numPr>
    </w:pPr>
  </w:style>
  <w:style w:type="character" w:customStyle="1" w:styleId="TableTextNormalChar">
    <w:name w:val="Table Text Normal Char"/>
    <w:basedOn w:val="DefaultParagraphFont"/>
    <w:link w:val="TableTextNormal"/>
    <w:locked/>
    <w:rsid w:val="00EA2B42"/>
    <w:rPr>
      <w:rFonts w:cs="Arial"/>
      <w:snapToGrid w:val="0"/>
      <w:lang w:eastAsia="en-US"/>
    </w:rPr>
  </w:style>
  <w:style w:type="table" w:customStyle="1" w:styleId="PwCTableText">
    <w:name w:val="PwC Table Text"/>
    <w:basedOn w:val="TableNormal"/>
    <w:uiPriority w:val="99"/>
    <w:qFormat/>
    <w:rsid w:val="00142AFF"/>
    <w:pPr>
      <w:spacing w:before="60" w:after="60"/>
    </w:pPr>
    <w:rPr>
      <w:rFonts w:eastAsiaTheme="minorEastAsia" w:cstheme="minorBidi"/>
      <w:szCs w:val="22"/>
      <w:lang w:val="en-US" w:eastAsia="en-US"/>
    </w:rPr>
    <w:tblPr>
      <w:tblBorders>
        <w:insideH w:val="dotted" w:sz="6" w:space="0" w:color="A32020" w:themeColor="accent1"/>
      </w:tblBorders>
    </w:tblPr>
    <w:tblStylePr w:type="firstRow">
      <w:rPr>
        <w:rFonts w:asciiTheme="majorHAnsi" w:hAnsiTheme="majorHAnsi"/>
        <w:b/>
        <w:color w:val="A32020" w:themeColor="text2"/>
        <w:sz w:val="22"/>
      </w:rPr>
      <w:tblPr/>
      <w:tcPr>
        <w:tcBorders>
          <w:top w:val="single" w:sz="6" w:space="0" w:color="A32020" w:themeColor="accent1"/>
          <w:left w:val="nil"/>
          <w:bottom w:val="single" w:sz="6" w:space="0" w:color="A32020" w:themeColor="accent1"/>
          <w:right w:val="nil"/>
          <w:insideH w:val="nil"/>
          <w:insideV w:val="nil"/>
          <w:tl2br w:val="nil"/>
          <w:tr2bl w:val="nil"/>
        </w:tcBorders>
      </w:tcPr>
    </w:tblStylePr>
  </w:style>
  <w:style w:type="paragraph" w:customStyle="1" w:styleId="Default">
    <w:name w:val="Default"/>
    <w:rsid w:val="009B794F"/>
    <w:pPr>
      <w:autoSpaceDE w:val="0"/>
      <w:autoSpaceDN w:val="0"/>
      <w:adjustRightInd w:val="0"/>
    </w:pPr>
    <w:rPr>
      <w:rFonts w:cs="Georgia"/>
      <w:color w:val="000000"/>
      <w:sz w:val="24"/>
      <w:szCs w:val="24"/>
    </w:rPr>
  </w:style>
  <w:style w:type="paragraph" w:styleId="Revision">
    <w:name w:val="Revision"/>
    <w:hidden/>
    <w:uiPriority w:val="99"/>
    <w:semiHidden/>
    <w:rsid w:val="00B641D5"/>
    <w:rPr>
      <w:rFonts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117" Type="http://schemas.openxmlformats.org/officeDocument/2006/relationships/footer" Target="footer9.xml"/><Relationship Id="rId21" Type="http://schemas.openxmlformats.org/officeDocument/2006/relationships/image" Target="media/image4.emf"/><Relationship Id="rId42" Type="http://schemas.openxmlformats.org/officeDocument/2006/relationships/image" Target="media/image25.emf"/><Relationship Id="rId47" Type="http://schemas.openxmlformats.org/officeDocument/2006/relationships/image" Target="media/image30.emf"/><Relationship Id="rId63" Type="http://schemas.openxmlformats.org/officeDocument/2006/relationships/image" Target="media/image46.emf"/><Relationship Id="rId68" Type="http://schemas.openxmlformats.org/officeDocument/2006/relationships/image" Target="media/image51.emf"/><Relationship Id="rId84" Type="http://schemas.openxmlformats.org/officeDocument/2006/relationships/image" Target="media/image67.emf"/><Relationship Id="rId89" Type="http://schemas.openxmlformats.org/officeDocument/2006/relationships/image" Target="media/image72.emf"/><Relationship Id="rId112" Type="http://schemas.openxmlformats.org/officeDocument/2006/relationships/header" Target="header9.xml"/><Relationship Id="rId16" Type="http://schemas.openxmlformats.org/officeDocument/2006/relationships/footer" Target="footer3.xml"/><Relationship Id="rId107" Type="http://schemas.openxmlformats.org/officeDocument/2006/relationships/image" Target="media/image90.emf"/><Relationship Id="rId11" Type="http://schemas.openxmlformats.org/officeDocument/2006/relationships/header" Target="header3.xml"/><Relationship Id="rId32" Type="http://schemas.openxmlformats.org/officeDocument/2006/relationships/image" Target="media/image15.emf"/><Relationship Id="rId37" Type="http://schemas.openxmlformats.org/officeDocument/2006/relationships/image" Target="media/image20.emf"/><Relationship Id="rId53" Type="http://schemas.openxmlformats.org/officeDocument/2006/relationships/image" Target="media/image36.emf"/><Relationship Id="rId58" Type="http://schemas.openxmlformats.org/officeDocument/2006/relationships/image" Target="media/image41.emf"/><Relationship Id="rId74" Type="http://schemas.openxmlformats.org/officeDocument/2006/relationships/image" Target="media/image57.emf"/><Relationship Id="rId79" Type="http://schemas.openxmlformats.org/officeDocument/2006/relationships/image" Target="media/image62.emf"/><Relationship Id="rId102" Type="http://schemas.openxmlformats.org/officeDocument/2006/relationships/image" Target="media/image85.emf"/><Relationship Id="rId123" Type="http://schemas.openxmlformats.org/officeDocument/2006/relationships/footer" Target="footer12.xml"/><Relationship Id="rId5" Type="http://schemas.openxmlformats.org/officeDocument/2006/relationships/settings" Target="settings.xml"/><Relationship Id="rId90" Type="http://schemas.openxmlformats.org/officeDocument/2006/relationships/image" Target="media/image73.emf"/><Relationship Id="rId95" Type="http://schemas.openxmlformats.org/officeDocument/2006/relationships/image" Target="media/image78.emf"/><Relationship Id="rId19" Type="http://schemas.openxmlformats.org/officeDocument/2006/relationships/image" Target="media/image2.emf"/><Relationship Id="rId14" Type="http://schemas.openxmlformats.org/officeDocument/2006/relationships/header" Target="header5.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image" Target="media/image31.emf"/><Relationship Id="rId56" Type="http://schemas.openxmlformats.org/officeDocument/2006/relationships/image" Target="media/image39.emf"/><Relationship Id="rId64" Type="http://schemas.openxmlformats.org/officeDocument/2006/relationships/image" Target="media/image47.emf"/><Relationship Id="rId69" Type="http://schemas.openxmlformats.org/officeDocument/2006/relationships/image" Target="media/image52.emf"/><Relationship Id="rId77" Type="http://schemas.openxmlformats.org/officeDocument/2006/relationships/image" Target="media/image60.emf"/><Relationship Id="rId100" Type="http://schemas.openxmlformats.org/officeDocument/2006/relationships/image" Target="media/image83.emf"/><Relationship Id="rId105" Type="http://schemas.openxmlformats.org/officeDocument/2006/relationships/image" Target="media/image88.emf"/><Relationship Id="rId113" Type="http://schemas.openxmlformats.org/officeDocument/2006/relationships/footer" Target="footer7.xml"/><Relationship Id="rId118" Type="http://schemas.openxmlformats.org/officeDocument/2006/relationships/header" Target="header12.xm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4.emf"/><Relationship Id="rId72" Type="http://schemas.openxmlformats.org/officeDocument/2006/relationships/image" Target="media/image55.emf"/><Relationship Id="rId80" Type="http://schemas.openxmlformats.org/officeDocument/2006/relationships/image" Target="media/image63.emf"/><Relationship Id="rId85" Type="http://schemas.openxmlformats.org/officeDocument/2006/relationships/image" Target="media/image68.emf"/><Relationship Id="rId93" Type="http://schemas.openxmlformats.org/officeDocument/2006/relationships/image" Target="media/image76.emf"/><Relationship Id="rId98" Type="http://schemas.openxmlformats.org/officeDocument/2006/relationships/image" Target="media/image81.emf"/><Relationship Id="rId121"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image" Target="media/image42.emf"/><Relationship Id="rId67" Type="http://schemas.openxmlformats.org/officeDocument/2006/relationships/image" Target="media/image50.emf"/><Relationship Id="rId103" Type="http://schemas.openxmlformats.org/officeDocument/2006/relationships/image" Target="media/image86.emf"/><Relationship Id="rId108" Type="http://schemas.openxmlformats.org/officeDocument/2006/relationships/header" Target="header7.xml"/><Relationship Id="rId116" Type="http://schemas.openxmlformats.org/officeDocument/2006/relationships/footer" Target="footer8.xml"/><Relationship Id="rId124" Type="http://schemas.openxmlformats.org/officeDocument/2006/relationships/header" Target="header15.xml"/><Relationship Id="rId20" Type="http://schemas.openxmlformats.org/officeDocument/2006/relationships/image" Target="media/image3.emf"/><Relationship Id="rId41" Type="http://schemas.openxmlformats.org/officeDocument/2006/relationships/image" Target="media/image24.emf"/><Relationship Id="rId54" Type="http://schemas.openxmlformats.org/officeDocument/2006/relationships/image" Target="media/image37.emf"/><Relationship Id="rId62" Type="http://schemas.openxmlformats.org/officeDocument/2006/relationships/image" Target="media/image45.emf"/><Relationship Id="rId70" Type="http://schemas.openxmlformats.org/officeDocument/2006/relationships/image" Target="media/image53.emf"/><Relationship Id="rId75" Type="http://schemas.openxmlformats.org/officeDocument/2006/relationships/image" Target="media/image58.emf"/><Relationship Id="rId83" Type="http://schemas.openxmlformats.org/officeDocument/2006/relationships/image" Target="media/image66.emf"/><Relationship Id="rId88" Type="http://schemas.openxmlformats.org/officeDocument/2006/relationships/image" Target="media/image71.emf"/><Relationship Id="rId91" Type="http://schemas.openxmlformats.org/officeDocument/2006/relationships/image" Target="media/image74.emf"/><Relationship Id="rId96" Type="http://schemas.openxmlformats.org/officeDocument/2006/relationships/image" Target="media/image79.emf"/><Relationship Id="rId11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2.emf"/><Relationship Id="rId57" Type="http://schemas.openxmlformats.org/officeDocument/2006/relationships/image" Target="media/image40.emf"/><Relationship Id="rId106" Type="http://schemas.openxmlformats.org/officeDocument/2006/relationships/image" Target="media/image89.emf"/><Relationship Id="rId114" Type="http://schemas.openxmlformats.org/officeDocument/2006/relationships/header" Target="header10.xml"/><Relationship Id="rId119" Type="http://schemas.openxmlformats.org/officeDocument/2006/relationships/footer" Target="footer10.xml"/><Relationship Id="rId12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5.emf"/><Relationship Id="rId60" Type="http://schemas.openxmlformats.org/officeDocument/2006/relationships/image" Target="media/image43.emf"/><Relationship Id="rId65" Type="http://schemas.openxmlformats.org/officeDocument/2006/relationships/image" Target="media/image48.emf"/><Relationship Id="rId73" Type="http://schemas.openxmlformats.org/officeDocument/2006/relationships/image" Target="media/image56.emf"/><Relationship Id="rId78" Type="http://schemas.openxmlformats.org/officeDocument/2006/relationships/image" Target="media/image61.emf"/><Relationship Id="rId81" Type="http://schemas.openxmlformats.org/officeDocument/2006/relationships/image" Target="media/image64.emf"/><Relationship Id="rId86" Type="http://schemas.openxmlformats.org/officeDocument/2006/relationships/image" Target="media/image69.emf"/><Relationship Id="rId94" Type="http://schemas.openxmlformats.org/officeDocument/2006/relationships/image" Target="media/image77.emf"/><Relationship Id="rId99" Type="http://schemas.openxmlformats.org/officeDocument/2006/relationships/image" Target="media/image82.emf"/><Relationship Id="rId101" Type="http://schemas.openxmlformats.org/officeDocument/2006/relationships/image" Target="media/image84.emf"/><Relationship Id="rId122"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9" Type="http://schemas.openxmlformats.org/officeDocument/2006/relationships/image" Target="media/image22.emf"/><Relationship Id="rId109" Type="http://schemas.openxmlformats.org/officeDocument/2006/relationships/header" Target="header8.xml"/><Relationship Id="rId34" Type="http://schemas.openxmlformats.org/officeDocument/2006/relationships/image" Target="media/image17.emf"/><Relationship Id="rId50" Type="http://schemas.openxmlformats.org/officeDocument/2006/relationships/image" Target="media/image33.emf"/><Relationship Id="rId55" Type="http://schemas.openxmlformats.org/officeDocument/2006/relationships/image" Target="media/image38.emf"/><Relationship Id="rId76" Type="http://schemas.openxmlformats.org/officeDocument/2006/relationships/image" Target="media/image59.emf"/><Relationship Id="rId97" Type="http://schemas.openxmlformats.org/officeDocument/2006/relationships/image" Target="media/image80.emf"/><Relationship Id="rId104" Type="http://schemas.openxmlformats.org/officeDocument/2006/relationships/image" Target="media/image87.emf"/><Relationship Id="rId120" Type="http://schemas.openxmlformats.org/officeDocument/2006/relationships/header" Target="header13.xml"/><Relationship Id="rId125" Type="http://schemas.openxmlformats.org/officeDocument/2006/relationships/footer" Target="footer13.xml"/><Relationship Id="rId7" Type="http://schemas.openxmlformats.org/officeDocument/2006/relationships/footnotes" Target="footnotes.xml"/><Relationship Id="rId71" Type="http://schemas.openxmlformats.org/officeDocument/2006/relationships/image" Target="media/image54.emf"/><Relationship Id="rId92" Type="http://schemas.openxmlformats.org/officeDocument/2006/relationships/image" Target="media/image75.emf"/><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image" Target="media/image7.emf"/><Relationship Id="rId40" Type="http://schemas.openxmlformats.org/officeDocument/2006/relationships/image" Target="media/image23.emf"/><Relationship Id="rId45" Type="http://schemas.openxmlformats.org/officeDocument/2006/relationships/image" Target="media/image28.emf"/><Relationship Id="rId66" Type="http://schemas.openxmlformats.org/officeDocument/2006/relationships/image" Target="media/image49.emf"/><Relationship Id="rId87" Type="http://schemas.openxmlformats.org/officeDocument/2006/relationships/image" Target="media/image70.emf"/><Relationship Id="rId110" Type="http://schemas.openxmlformats.org/officeDocument/2006/relationships/footer" Target="footer5.xml"/><Relationship Id="rId115" Type="http://schemas.openxmlformats.org/officeDocument/2006/relationships/header" Target="header11.xml"/><Relationship Id="rId61" Type="http://schemas.openxmlformats.org/officeDocument/2006/relationships/image" Target="media/image44.emf"/><Relationship Id="rId82" Type="http://schemas.openxmlformats.org/officeDocument/2006/relationships/image" Target="media/image65.em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20clarke\AppData\Roaming\Microsoft\Templates\PwCWL_Report%20Georgia.dotm" TargetMode="External"/></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968C6D"/>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CB18-13F4-4EAB-89CE-9C71EBD5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13</TotalTime>
  <Pages>149</Pages>
  <Words>43254</Words>
  <Characters>240104</Characters>
  <Application>Microsoft Office Word</Application>
  <DocSecurity>0</DocSecurity>
  <Lines>4617</Lines>
  <Paragraphs>2507</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280851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Joe Portelli</dc:creator>
  <cp:lastModifiedBy>Pirani Matthew</cp:lastModifiedBy>
  <cp:revision>5</cp:revision>
  <cp:lastPrinted>2015-02-04T00:19:00Z</cp:lastPrinted>
  <dcterms:created xsi:type="dcterms:W3CDTF">2015-02-15T22:33:00Z</dcterms:created>
  <dcterms:modified xsi:type="dcterms:W3CDTF">2015-02-25T04:00:00Z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1</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2013_08_08</vt:lpwstr>
  </property>
  <property fmtid="{D5CDD505-2E9C-101B-9397-08002B2CF9AE}" pid="22" name="AP report or proposal">
    <vt:bool>true</vt:bool>
  </property>
  <property fmtid="{D5CDD505-2E9C-101B-9397-08002B2CF9AE}" pid="23" name="VersionNo">
    <vt:lpwstr>9</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ies>
</file>