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6A90" w:rsidRDefault="00FE38A0" w:rsidP="00786A90">
      <w:pPr>
        <w:pStyle w:val="Frontpagehead"/>
        <w:ind w:left="425" w:right="4292"/>
        <w:rPr>
          <w:color w:val="00338D"/>
        </w:rPr>
      </w:pPr>
      <w:bookmarkStart w:id="0" w:name="_GoBack"/>
      <w:bookmarkEnd w:id="0"/>
      <w:r w:rsidRPr="002D157D">
        <w:rPr>
          <w:noProof/>
          <w:color w:val="000000" w:themeColor="text1"/>
          <w:lang w:eastAsia="en-AU"/>
        </w:rPr>
        <w:drawing>
          <wp:inline distT="0" distB="0" distL="0" distR="0">
            <wp:extent cx="5885815" cy="2247900"/>
            <wp:effectExtent l="0" t="0" r="635" b="0"/>
            <wp:docPr id="7" name="Picture 3" descr="KPMG Title page banner " title="KPMG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3" descr="Cover 1.png" title="KPMG cover page"/>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a:stretch/>
                  </pic:blipFill>
                  <pic:spPr bwMode="auto">
                    <a:xfrm>
                      <a:off x="0" y="0"/>
                      <a:ext cx="5897648" cy="2252419"/>
                    </a:xfrm>
                    <a:prstGeom prst="rect">
                      <a:avLst/>
                    </a:prstGeom>
                    <a:noFill/>
                    <a:ln>
                      <a:noFill/>
                    </a:ln>
                    <a:extLst>
                      <a:ext uri="{53640926-AAD7-44D8-BBD7-CCE9431645EC}">
                        <a14:shadowObscured xmlns:a14="http://schemas.microsoft.com/office/drawing/2010/main"/>
                      </a:ext>
                    </a:extLst>
                  </pic:spPr>
                </pic:pic>
              </a:graphicData>
            </a:graphic>
          </wp:inline>
        </w:drawing>
      </w:r>
    </w:p>
    <w:p w:rsidR="004826B6" w:rsidRPr="00786A90" w:rsidRDefault="004826B6" w:rsidP="00786A90">
      <w:pPr>
        <w:pStyle w:val="Frontpagehead"/>
        <w:spacing w:before="600"/>
        <w:ind w:left="425" w:right="4292"/>
        <w:rPr>
          <w:color w:val="000000" w:themeColor="text1"/>
        </w:rPr>
      </w:pPr>
      <w:r w:rsidRPr="00786A90">
        <w:rPr>
          <w:color w:val="00338D"/>
        </w:rPr>
        <w:t>Round 18 Independent Financial Review of the National Hospital Cost Data Collection</w:t>
      </w:r>
    </w:p>
    <w:p w:rsidR="004826B6" w:rsidRPr="00786A90" w:rsidRDefault="004826B6" w:rsidP="004826B6">
      <w:pPr>
        <w:pStyle w:val="Frontpagesubhead"/>
        <w:spacing w:before="480"/>
        <w:ind w:left="425" w:right="5143"/>
        <w:jc w:val="left"/>
        <w:rPr>
          <w:color w:val="00338D"/>
          <w:sz w:val="22"/>
        </w:rPr>
      </w:pPr>
      <w:r w:rsidRPr="00786A90">
        <w:rPr>
          <w:color w:val="00338D"/>
          <w:sz w:val="22"/>
        </w:rPr>
        <w:t>Independent Hospital Pricing Authority</w:t>
      </w:r>
    </w:p>
    <w:p w:rsidR="004826B6" w:rsidRPr="00786A90" w:rsidRDefault="00EE4F02" w:rsidP="004826B6">
      <w:pPr>
        <w:pStyle w:val="Frontpagesubhead"/>
        <w:spacing w:before="600"/>
        <w:ind w:left="425"/>
        <w:jc w:val="left"/>
        <w:rPr>
          <w:color w:val="00338D"/>
        </w:rPr>
      </w:pPr>
      <w:r>
        <w:rPr>
          <w:color w:val="00338D"/>
        </w:rPr>
        <w:t>March</w:t>
      </w:r>
      <w:r w:rsidR="004826B6" w:rsidRPr="00786A90">
        <w:rPr>
          <w:color w:val="00338D"/>
        </w:rPr>
        <w:t xml:space="preserve"> 2016</w:t>
      </w:r>
    </w:p>
    <w:p w:rsidR="004826B6" w:rsidRPr="00786A90" w:rsidRDefault="004826B6" w:rsidP="004826B6">
      <w:pPr>
        <w:pStyle w:val="Frontpagesubhead"/>
        <w:spacing w:before="360"/>
        <w:ind w:left="425"/>
        <w:jc w:val="left"/>
        <w:rPr>
          <w:color w:val="00338D"/>
        </w:rPr>
      </w:pPr>
      <w:r w:rsidRPr="00786A90">
        <w:rPr>
          <w:color w:val="00338D"/>
        </w:rPr>
        <w:t>ADVISORY</w:t>
      </w:r>
    </w:p>
    <w:p w:rsidR="004826B6" w:rsidRPr="00786A90" w:rsidRDefault="004826B6" w:rsidP="004875C1">
      <w:pPr>
        <w:pStyle w:val="Signature"/>
        <w:spacing w:line="260" w:lineRule="atLeast"/>
        <w:rPr>
          <w:color w:val="00338D"/>
        </w:rPr>
        <w:sectPr w:rsidR="004826B6" w:rsidRPr="00786A90" w:rsidSect="002D157D">
          <w:headerReference w:type="even" r:id="rId9"/>
          <w:footerReference w:type="even" r:id="rId10"/>
          <w:headerReference w:type="first" r:id="rId11"/>
          <w:footerReference w:type="first" r:id="rId12"/>
          <w:pgSz w:w="11907" w:h="16840" w:code="9"/>
          <w:pgMar w:top="993" w:right="1043" w:bottom="805" w:left="1043" w:header="709" w:footer="709" w:gutter="0"/>
          <w:pgNumType w:start="0"/>
          <w:cols w:space="720"/>
          <w:docGrid w:linePitch="272"/>
        </w:sectPr>
      </w:pPr>
    </w:p>
    <w:p w:rsidR="00F41476" w:rsidRPr="00975E6B" w:rsidRDefault="00F41476" w:rsidP="00F41476">
      <w:pPr>
        <w:pStyle w:val="BodyText"/>
        <w:pBdr>
          <w:top w:val="single" w:sz="4" w:space="1" w:color="auto"/>
          <w:left w:val="single" w:sz="4" w:space="4" w:color="auto"/>
          <w:bottom w:val="single" w:sz="4" w:space="1" w:color="auto"/>
          <w:right w:val="single" w:sz="4" w:space="4" w:color="auto"/>
        </w:pBdr>
        <w:spacing w:before="80" w:after="80"/>
        <w:jc w:val="left"/>
        <w:rPr>
          <w:i/>
          <w:iCs/>
        </w:rPr>
      </w:pPr>
      <w:bookmarkStart w:id="2" w:name="PropCoverLetterSection"/>
      <w:bookmarkEnd w:id="2"/>
      <w:r w:rsidRPr="00975E6B">
        <w:rPr>
          <w:i/>
          <w:lang w:eastAsia="en-AU"/>
        </w:rPr>
        <w:lastRenderedPageBreak/>
        <w:t xml:space="preserve">This report has been prepared as outlined in the </w:t>
      </w:r>
      <w:r w:rsidR="0094577C" w:rsidRPr="00975E6B">
        <w:rPr>
          <w:i/>
          <w:lang w:eastAsia="en-AU"/>
        </w:rPr>
        <w:t>Overview and scope</w:t>
      </w:r>
      <w:r w:rsidRPr="00975E6B">
        <w:rPr>
          <w:i/>
          <w:lang w:eastAsia="en-AU"/>
        </w:rPr>
        <w:t xml:space="preserve"> Section</w:t>
      </w:r>
      <w:r w:rsidR="001D312E" w:rsidRPr="00975E6B">
        <w:rPr>
          <w:i/>
          <w:lang w:eastAsia="en-AU"/>
        </w:rPr>
        <w:t xml:space="preserve">. </w:t>
      </w:r>
      <w:r w:rsidRPr="00975E6B">
        <w:rPr>
          <w:i/>
          <w:lang w:eastAsia="en-AU"/>
        </w:rPr>
        <w:t>The services provided in connection with this engagement comprise an advisory engagement which is not subject to Australian Auditing Standards or Australian Standards on Review or Assurance Engagements, and consequently no opinions or conclusions intended to convey assurance have been expressed.</w:t>
      </w:r>
      <w:r w:rsidRPr="00975E6B" w:rsidDel="00604D89">
        <w:rPr>
          <w:i/>
          <w:iCs/>
        </w:rPr>
        <w:t xml:space="preserve"> </w:t>
      </w:r>
    </w:p>
    <w:p w:rsidR="00F41476" w:rsidRPr="00975E6B" w:rsidRDefault="00F41476" w:rsidP="00F41476">
      <w:pPr>
        <w:pStyle w:val="BodyText"/>
        <w:pBdr>
          <w:top w:val="single" w:sz="4" w:space="1" w:color="auto"/>
          <w:left w:val="single" w:sz="4" w:space="4" w:color="auto"/>
          <w:bottom w:val="single" w:sz="4" w:space="1" w:color="auto"/>
          <w:right w:val="single" w:sz="4" w:space="4" w:color="auto"/>
        </w:pBdr>
        <w:spacing w:before="80" w:after="80"/>
        <w:jc w:val="left"/>
        <w:rPr>
          <w:i/>
          <w:iCs/>
        </w:rPr>
      </w:pPr>
      <w:r w:rsidRPr="00975E6B">
        <w:rPr>
          <w:i/>
          <w:iCs/>
        </w:rPr>
        <w:t xml:space="preserve">No warranty of completeness, accuracy or reliability is given in relation to the statements and representations made by, and the information and documentation provided by, </w:t>
      </w:r>
      <w:r w:rsidR="00DE0D12" w:rsidRPr="00975E6B">
        <w:rPr>
          <w:i/>
          <w:iCs/>
        </w:rPr>
        <w:t>Independent Hospital Pricing Authority’s</w:t>
      </w:r>
      <w:r w:rsidRPr="00975E6B">
        <w:rPr>
          <w:i/>
          <w:iCs/>
        </w:rPr>
        <w:t xml:space="preserve"> management and stakeholders consulted as part of the process.</w:t>
      </w:r>
    </w:p>
    <w:p w:rsidR="00F41476" w:rsidRPr="00975E6B" w:rsidRDefault="00F41476" w:rsidP="00F41476">
      <w:pPr>
        <w:pStyle w:val="BodyText"/>
        <w:pBdr>
          <w:top w:val="single" w:sz="4" w:space="1" w:color="auto"/>
          <w:left w:val="single" w:sz="4" w:space="4" w:color="auto"/>
          <w:bottom w:val="single" w:sz="4" w:space="1" w:color="auto"/>
          <w:right w:val="single" w:sz="4" w:space="4" w:color="auto"/>
        </w:pBdr>
        <w:spacing w:before="80" w:after="80"/>
        <w:jc w:val="left"/>
        <w:rPr>
          <w:i/>
          <w:iCs/>
        </w:rPr>
      </w:pPr>
      <w:r w:rsidRPr="00975E6B">
        <w:rPr>
          <w:i/>
          <w:iCs/>
        </w:rPr>
        <w:t>KPMG have indicated within this report the sources of the information provided</w:t>
      </w:r>
      <w:r w:rsidR="001D312E" w:rsidRPr="00975E6B">
        <w:rPr>
          <w:i/>
          <w:iCs/>
        </w:rPr>
        <w:t xml:space="preserve">. </w:t>
      </w:r>
      <w:r w:rsidRPr="00975E6B">
        <w:rPr>
          <w:i/>
          <w:iCs/>
        </w:rPr>
        <w:t>We have not sought to independently verify those sources unless otherwise noted within the report.</w:t>
      </w:r>
    </w:p>
    <w:p w:rsidR="00F41476" w:rsidRPr="00975E6B" w:rsidRDefault="00F41476" w:rsidP="00A8556B">
      <w:pPr>
        <w:pStyle w:val="BodyText"/>
        <w:pBdr>
          <w:top w:val="single" w:sz="4" w:space="1" w:color="auto"/>
          <w:left w:val="single" w:sz="4" w:space="4" w:color="auto"/>
          <w:bottom w:val="single" w:sz="4" w:space="1" w:color="auto"/>
          <w:right w:val="single" w:sz="4" w:space="4" w:color="auto"/>
        </w:pBdr>
        <w:tabs>
          <w:tab w:val="left" w:pos="6180"/>
        </w:tabs>
        <w:spacing w:before="80" w:after="80"/>
        <w:jc w:val="left"/>
        <w:rPr>
          <w:i/>
          <w:iCs/>
        </w:rPr>
      </w:pPr>
      <w:r w:rsidRPr="00975E6B">
        <w:rPr>
          <w:i/>
          <w:iCs/>
        </w:rPr>
        <w:t>The findings in this report have been formed on the above basis.</w:t>
      </w:r>
      <w:r w:rsidR="00A8556B" w:rsidRPr="00975E6B">
        <w:rPr>
          <w:i/>
          <w:iCs/>
        </w:rPr>
        <w:tab/>
      </w:r>
    </w:p>
    <w:p w:rsidR="00F41476" w:rsidRPr="00975E6B" w:rsidRDefault="00F41476" w:rsidP="00F41476">
      <w:pPr>
        <w:pStyle w:val="BodyText"/>
        <w:pBdr>
          <w:top w:val="single" w:sz="4" w:space="1" w:color="auto"/>
          <w:left w:val="single" w:sz="4" w:space="4" w:color="auto"/>
          <w:bottom w:val="single" w:sz="4" w:space="1" w:color="auto"/>
          <w:right w:val="single" w:sz="4" w:space="4" w:color="auto"/>
        </w:pBdr>
        <w:spacing w:before="80" w:after="80"/>
        <w:jc w:val="left"/>
        <w:rPr>
          <w:i/>
          <w:iCs/>
        </w:rPr>
      </w:pPr>
      <w:r w:rsidRPr="00975E6B">
        <w:rPr>
          <w:i/>
          <w:iCs/>
        </w:rPr>
        <w:t xml:space="preserve">This report has been prepared at the request of </w:t>
      </w:r>
      <w:r w:rsidR="00DE0D12" w:rsidRPr="00975E6B">
        <w:rPr>
          <w:i/>
          <w:iCs/>
        </w:rPr>
        <w:t>Independent Hospital Pricing Authority</w:t>
      </w:r>
      <w:r w:rsidRPr="00975E6B">
        <w:rPr>
          <w:i/>
          <w:iCs/>
        </w:rPr>
        <w:t xml:space="preserve"> in accordance with the terms of KPMG’s contract dated </w:t>
      </w:r>
      <w:r w:rsidR="00DB7BB1" w:rsidRPr="00975E6B">
        <w:rPr>
          <w:i/>
          <w:iCs/>
        </w:rPr>
        <w:t>1 July 2015</w:t>
      </w:r>
      <w:r w:rsidRPr="00975E6B">
        <w:rPr>
          <w:i/>
          <w:iCs/>
        </w:rPr>
        <w:t xml:space="preserve">. Other than our responsibility to </w:t>
      </w:r>
      <w:r w:rsidR="00DE0D12" w:rsidRPr="00975E6B">
        <w:rPr>
          <w:i/>
          <w:iCs/>
        </w:rPr>
        <w:t>Independent Hospital Pricing Authority</w:t>
      </w:r>
      <w:r w:rsidRPr="00975E6B">
        <w:rPr>
          <w:i/>
          <w:iCs/>
        </w:rPr>
        <w:t>, neither KPMG nor any member or employee of KPMG undertakes responsibility arising in any way from reliance placed by a third party on this report</w:t>
      </w:r>
      <w:r w:rsidR="001D312E" w:rsidRPr="00975E6B">
        <w:rPr>
          <w:i/>
          <w:iCs/>
        </w:rPr>
        <w:t xml:space="preserve">. </w:t>
      </w:r>
      <w:r w:rsidRPr="00975E6B">
        <w:rPr>
          <w:i/>
          <w:iCs/>
        </w:rPr>
        <w:t>Any reliance placed is that party’s sole responsibility.</w:t>
      </w:r>
    </w:p>
    <w:p w:rsidR="00F41476" w:rsidRPr="00975E6B" w:rsidRDefault="00F41476" w:rsidP="00F41476"/>
    <w:p w:rsidR="00F41476" w:rsidRPr="00975E6B" w:rsidRDefault="00F41476">
      <w:pPr>
        <w:spacing w:line="240" w:lineRule="auto"/>
        <w:rPr>
          <w:color w:val="1F497D"/>
          <w:sz w:val="36"/>
          <w:szCs w:val="36"/>
        </w:rPr>
      </w:pPr>
      <w:r w:rsidRPr="00975E6B">
        <w:rPr>
          <w:sz w:val="36"/>
          <w:szCs w:val="36"/>
        </w:rPr>
        <w:br w:type="page"/>
      </w:r>
    </w:p>
    <w:p w:rsidR="000E67E6" w:rsidRPr="00975E6B" w:rsidRDefault="00F36B11" w:rsidP="00F36B11">
      <w:pPr>
        <w:pStyle w:val="Contentsheading"/>
        <w:spacing w:after="120"/>
        <w:rPr>
          <w:sz w:val="36"/>
          <w:szCs w:val="36"/>
        </w:rPr>
      </w:pPr>
      <w:r w:rsidRPr="00975E6B">
        <w:rPr>
          <w:sz w:val="36"/>
          <w:szCs w:val="36"/>
        </w:rPr>
        <w:lastRenderedPageBreak/>
        <w:t>Contents</w:t>
      </w:r>
    </w:p>
    <w:p w:rsidR="00A53DB4" w:rsidRDefault="002D3C58">
      <w:pPr>
        <w:pStyle w:val="TOC1"/>
        <w:rPr>
          <w:rFonts w:asciiTheme="minorHAnsi" w:eastAsiaTheme="minorEastAsia" w:hAnsiTheme="minorHAnsi" w:cstheme="minorBidi"/>
          <w:color w:val="auto"/>
          <w:szCs w:val="22"/>
          <w:lang w:eastAsia="en-AU"/>
        </w:rPr>
      </w:pPr>
      <w:r w:rsidRPr="00975E6B">
        <w:fldChar w:fldCharType="begin"/>
      </w:r>
      <w:r w:rsidRPr="00975E6B">
        <w:instrText xml:space="preserve"> TOC \h \z \t "Heading 1,1,Heading 2,2,HeadingLevel1NoNumber,1,Appendix Title,1,Appendix heading,1,Appendix Heading 2,2,Style Heading 1 + Justified,1,Style Heading 2headlineh2 headlineh2h2 main headingB Sub/Bold...,2" </w:instrText>
      </w:r>
      <w:r w:rsidRPr="00975E6B">
        <w:fldChar w:fldCharType="separate"/>
      </w:r>
      <w:hyperlink w:anchor="_Toc444523634" w:history="1">
        <w:r w:rsidR="00A53DB4" w:rsidRPr="00B841D0">
          <w:rPr>
            <w:rStyle w:val="Hyperlink"/>
          </w:rPr>
          <w:t>Executive summary</w:t>
        </w:r>
        <w:r w:rsidR="00A53DB4">
          <w:rPr>
            <w:webHidden/>
          </w:rPr>
          <w:tab/>
        </w:r>
        <w:r w:rsidR="00A53DB4">
          <w:rPr>
            <w:webHidden/>
          </w:rPr>
          <w:fldChar w:fldCharType="begin"/>
        </w:r>
        <w:r w:rsidR="00A53DB4">
          <w:rPr>
            <w:webHidden/>
          </w:rPr>
          <w:instrText xml:space="preserve"> PAGEREF _Toc444523634 \h </w:instrText>
        </w:r>
        <w:r w:rsidR="00A53DB4">
          <w:rPr>
            <w:webHidden/>
          </w:rPr>
        </w:r>
        <w:r w:rsidR="00A53DB4">
          <w:rPr>
            <w:webHidden/>
          </w:rPr>
          <w:fldChar w:fldCharType="separate"/>
        </w:r>
        <w:r w:rsidR="00154CF7">
          <w:rPr>
            <w:webHidden/>
          </w:rPr>
          <w:t>1</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35" w:history="1">
        <w:r w:rsidR="00A53DB4" w:rsidRPr="00B841D0">
          <w:rPr>
            <w:rStyle w:val="Hyperlink"/>
          </w:rPr>
          <w:t>The National Hospital Cost Data Collection</w:t>
        </w:r>
        <w:r w:rsidR="00A53DB4">
          <w:rPr>
            <w:webHidden/>
          </w:rPr>
          <w:tab/>
        </w:r>
        <w:r w:rsidR="00A53DB4">
          <w:rPr>
            <w:webHidden/>
          </w:rPr>
          <w:fldChar w:fldCharType="begin"/>
        </w:r>
        <w:r w:rsidR="00A53DB4">
          <w:rPr>
            <w:webHidden/>
          </w:rPr>
          <w:instrText xml:space="preserve"> PAGEREF _Toc444523635 \h </w:instrText>
        </w:r>
        <w:r w:rsidR="00A53DB4">
          <w:rPr>
            <w:webHidden/>
          </w:rPr>
        </w:r>
        <w:r w:rsidR="00A53DB4">
          <w:rPr>
            <w:webHidden/>
          </w:rPr>
          <w:fldChar w:fldCharType="separate"/>
        </w:r>
        <w:r w:rsidR="00154CF7">
          <w:rPr>
            <w:webHidden/>
          </w:rPr>
          <w:t>1</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36" w:history="1">
        <w:r w:rsidR="00A53DB4" w:rsidRPr="00B841D0">
          <w:rPr>
            <w:rStyle w:val="Hyperlink"/>
          </w:rPr>
          <w:t>Observations from the Round 18 IFR</w:t>
        </w:r>
        <w:r w:rsidR="00A53DB4">
          <w:rPr>
            <w:webHidden/>
          </w:rPr>
          <w:tab/>
        </w:r>
        <w:r w:rsidR="00A53DB4">
          <w:rPr>
            <w:webHidden/>
          </w:rPr>
          <w:fldChar w:fldCharType="begin"/>
        </w:r>
        <w:r w:rsidR="00A53DB4">
          <w:rPr>
            <w:webHidden/>
          </w:rPr>
          <w:instrText xml:space="preserve"> PAGEREF _Toc444523636 \h </w:instrText>
        </w:r>
        <w:r w:rsidR="00A53DB4">
          <w:rPr>
            <w:webHidden/>
          </w:rPr>
        </w:r>
        <w:r w:rsidR="00A53DB4">
          <w:rPr>
            <w:webHidden/>
          </w:rPr>
          <w:fldChar w:fldCharType="separate"/>
        </w:r>
        <w:r w:rsidR="00154CF7">
          <w:rPr>
            <w:webHidden/>
          </w:rPr>
          <w:t>1</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37" w:history="1">
        <w:r w:rsidR="00A53DB4" w:rsidRPr="00B841D0">
          <w:rPr>
            <w:rStyle w:val="Hyperlink"/>
          </w:rPr>
          <w:t>Findings and recommendations</w:t>
        </w:r>
        <w:r w:rsidR="00A53DB4">
          <w:rPr>
            <w:webHidden/>
          </w:rPr>
          <w:tab/>
        </w:r>
        <w:r w:rsidR="00A53DB4">
          <w:rPr>
            <w:webHidden/>
          </w:rPr>
          <w:fldChar w:fldCharType="begin"/>
        </w:r>
        <w:r w:rsidR="00A53DB4">
          <w:rPr>
            <w:webHidden/>
          </w:rPr>
          <w:instrText xml:space="preserve"> PAGEREF _Toc444523637 \h </w:instrText>
        </w:r>
        <w:r w:rsidR="00A53DB4">
          <w:rPr>
            <w:webHidden/>
          </w:rPr>
        </w:r>
        <w:r w:rsidR="00A53DB4">
          <w:rPr>
            <w:webHidden/>
          </w:rPr>
          <w:fldChar w:fldCharType="separate"/>
        </w:r>
        <w:r w:rsidR="00154CF7">
          <w:rPr>
            <w:webHidden/>
          </w:rPr>
          <w:t>2</w:t>
        </w:r>
        <w:r w:rsidR="00A53DB4">
          <w:rPr>
            <w:webHidden/>
          </w:rPr>
          <w:fldChar w:fldCharType="end"/>
        </w:r>
      </w:hyperlink>
    </w:p>
    <w:p w:rsidR="00A53DB4" w:rsidRDefault="006C6044">
      <w:pPr>
        <w:pStyle w:val="TOC1"/>
        <w:rPr>
          <w:rFonts w:asciiTheme="minorHAnsi" w:eastAsiaTheme="minorEastAsia" w:hAnsiTheme="minorHAnsi" w:cstheme="minorBidi"/>
          <w:color w:val="auto"/>
          <w:szCs w:val="22"/>
          <w:lang w:eastAsia="en-AU"/>
        </w:rPr>
      </w:pPr>
      <w:hyperlink w:anchor="_Toc444523638" w:history="1">
        <w:r w:rsidR="00A53DB4" w:rsidRPr="00B841D0">
          <w:rPr>
            <w:rStyle w:val="Hyperlink"/>
          </w:rPr>
          <w:t>Acronyms/Abbreviations</w:t>
        </w:r>
        <w:r w:rsidR="00A53DB4">
          <w:rPr>
            <w:webHidden/>
          </w:rPr>
          <w:tab/>
        </w:r>
        <w:r w:rsidR="00A53DB4">
          <w:rPr>
            <w:webHidden/>
          </w:rPr>
          <w:fldChar w:fldCharType="begin"/>
        </w:r>
        <w:r w:rsidR="00A53DB4">
          <w:rPr>
            <w:webHidden/>
          </w:rPr>
          <w:instrText xml:space="preserve"> PAGEREF _Toc444523638 \h </w:instrText>
        </w:r>
        <w:r w:rsidR="00A53DB4">
          <w:rPr>
            <w:webHidden/>
          </w:rPr>
        </w:r>
        <w:r w:rsidR="00A53DB4">
          <w:rPr>
            <w:webHidden/>
          </w:rPr>
          <w:fldChar w:fldCharType="separate"/>
        </w:r>
        <w:r w:rsidR="00154CF7">
          <w:rPr>
            <w:webHidden/>
          </w:rPr>
          <w:t>4</w:t>
        </w:r>
        <w:r w:rsidR="00A53DB4">
          <w:rPr>
            <w:webHidden/>
          </w:rPr>
          <w:fldChar w:fldCharType="end"/>
        </w:r>
      </w:hyperlink>
    </w:p>
    <w:p w:rsidR="00A53DB4" w:rsidRDefault="006C6044">
      <w:pPr>
        <w:pStyle w:val="TOC1"/>
        <w:rPr>
          <w:rFonts w:asciiTheme="minorHAnsi" w:eastAsiaTheme="minorEastAsia" w:hAnsiTheme="minorHAnsi" w:cstheme="minorBidi"/>
          <w:color w:val="auto"/>
          <w:szCs w:val="22"/>
          <w:lang w:eastAsia="en-AU"/>
        </w:rPr>
      </w:pPr>
      <w:hyperlink w:anchor="_Toc444523639" w:history="1">
        <w:r w:rsidR="00A53DB4" w:rsidRPr="00B841D0">
          <w:rPr>
            <w:rStyle w:val="Hyperlink"/>
          </w:rPr>
          <w:t>1.</w:t>
        </w:r>
        <w:r w:rsidR="00A53DB4">
          <w:rPr>
            <w:rFonts w:asciiTheme="minorHAnsi" w:eastAsiaTheme="minorEastAsia" w:hAnsiTheme="minorHAnsi" w:cstheme="minorBidi"/>
            <w:color w:val="auto"/>
            <w:szCs w:val="22"/>
            <w:lang w:eastAsia="en-AU"/>
          </w:rPr>
          <w:tab/>
        </w:r>
        <w:r w:rsidR="00A53DB4" w:rsidRPr="00B841D0">
          <w:rPr>
            <w:rStyle w:val="Hyperlink"/>
          </w:rPr>
          <w:t>Introduction</w:t>
        </w:r>
        <w:r w:rsidR="00A53DB4">
          <w:rPr>
            <w:webHidden/>
          </w:rPr>
          <w:tab/>
        </w:r>
        <w:r w:rsidR="00A53DB4">
          <w:rPr>
            <w:webHidden/>
          </w:rPr>
          <w:fldChar w:fldCharType="begin"/>
        </w:r>
        <w:r w:rsidR="00A53DB4">
          <w:rPr>
            <w:webHidden/>
          </w:rPr>
          <w:instrText xml:space="preserve"> PAGEREF _Toc444523639 \h </w:instrText>
        </w:r>
        <w:r w:rsidR="00A53DB4">
          <w:rPr>
            <w:webHidden/>
          </w:rPr>
        </w:r>
        <w:r w:rsidR="00A53DB4">
          <w:rPr>
            <w:webHidden/>
          </w:rPr>
          <w:fldChar w:fldCharType="separate"/>
        </w:r>
        <w:r w:rsidR="00154CF7">
          <w:rPr>
            <w:webHidden/>
          </w:rPr>
          <w:t>6</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40" w:history="1">
        <w:r w:rsidR="00A53DB4" w:rsidRPr="00B841D0">
          <w:rPr>
            <w:rStyle w:val="Hyperlink"/>
          </w:rPr>
          <w:t>1.1</w:t>
        </w:r>
        <w:r w:rsidR="00A53DB4">
          <w:rPr>
            <w:rFonts w:asciiTheme="minorHAnsi" w:eastAsiaTheme="minorEastAsia" w:hAnsiTheme="minorHAnsi" w:cstheme="minorBidi"/>
            <w:color w:val="auto"/>
            <w:szCs w:val="22"/>
            <w:lang w:eastAsia="en-AU"/>
          </w:rPr>
          <w:tab/>
        </w:r>
        <w:r w:rsidR="00A53DB4" w:rsidRPr="00B841D0">
          <w:rPr>
            <w:rStyle w:val="Hyperlink"/>
          </w:rPr>
          <w:t>Overview and scope</w:t>
        </w:r>
        <w:r w:rsidR="00A53DB4">
          <w:rPr>
            <w:webHidden/>
          </w:rPr>
          <w:tab/>
        </w:r>
        <w:r w:rsidR="00A53DB4">
          <w:rPr>
            <w:webHidden/>
          </w:rPr>
          <w:fldChar w:fldCharType="begin"/>
        </w:r>
        <w:r w:rsidR="00A53DB4">
          <w:rPr>
            <w:webHidden/>
          </w:rPr>
          <w:instrText xml:space="preserve"> PAGEREF _Toc444523640 \h </w:instrText>
        </w:r>
        <w:r w:rsidR="00A53DB4">
          <w:rPr>
            <w:webHidden/>
          </w:rPr>
        </w:r>
        <w:r w:rsidR="00A53DB4">
          <w:rPr>
            <w:webHidden/>
          </w:rPr>
          <w:fldChar w:fldCharType="separate"/>
        </w:r>
        <w:r w:rsidR="00154CF7">
          <w:rPr>
            <w:webHidden/>
          </w:rPr>
          <w:t>6</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41" w:history="1">
        <w:r w:rsidR="00A53DB4" w:rsidRPr="00B841D0">
          <w:rPr>
            <w:rStyle w:val="Hyperlink"/>
          </w:rPr>
          <w:t>1.2</w:t>
        </w:r>
        <w:r w:rsidR="00A53DB4">
          <w:rPr>
            <w:rFonts w:asciiTheme="minorHAnsi" w:eastAsiaTheme="minorEastAsia" w:hAnsiTheme="minorHAnsi" w:cstheme="minorBidi"/>
            <w:color w:val="auto"/>
            <w:szCs w:val="22"/>
            <w:lang w:eastAsia="en-AU"/>
          </w:rPr>
          <w:tab/>
        </w:r>
        <w:r w:rsidR="00A53DB4" w:rsidRPr="00B841D0">
          <w:rPr>
            <w:rStyle w:val="Hyperlink"/>
          </w:rPr>
          <w:t>Participating hospitals</w:t>
        </w:r>
        <w:r w:rsidR="00A53DB4">
          <w:rPr>
            <w:webHidden/>
          </w:rPr>
          <w:tab/>
        </w:r>
        <w:r w:rsidR="00A53DB4">
          <w:rPr>
            <w:webHidden/>
          </w:rPr>
          <w:fldChar w:fldCharType="begin"/>
        </w:r>
        <w:r w:rsidR="00A53DB4">
          <w:rPr>
            <w:webHidden/>
          </w:rPr>
          <w:instrText xml:space="preserve"> PAGEREF _Toc444523641 \h </w:instrText>
        </w:r>
        <w:r w:rsidR="00A53DB4">
          <w:rPr>
            <w:webHidden/>
          </w:rPr>
        </w:r>
        <w:r w:rsidR="00A53DB4">
          <w:rPr>
            <w:webHidden/>
          </w:rPr>
          <w:fldChar w:fldCharType="separate"/>
        </w:r>
        <w:r w:rsidR="00154CF7">
          <w:rPr>
            <w:webHidden/>
          </w:rPr>
          <w:t>6</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42" w:history="1">
        <w:r w:rsidR="00A53DB4" w:rsidRPr="00B841D0">
          <w:rPr>
            <w:rStyle w:val="Hyperlink"/>
          </w:rPr>
          <w:t>1.3</w:t>
        </w:r>
        <w:r w:rsidR="00A53DB4">
          <w:rPr>
            <w:rFonts w:asciiTheme="minorHAnsi" w:eastAsiaTheme="minorEastAsia" w:hAnsiTheme="minorHAnsi" w:cstheme="minorBidi"/>
            <w:color w:val="auto"/>
            <w:szCs w:val="22"/>
            <w:lang w:eastAsia="en-AU"/>
          </w:rPr>
          <w:tab/>
        </w:r>
        <w:r w:rsidR="00A53DB4" w:rsidRPr="00B841D0">
          <w:rPr>
            <w:rStyle w:val="Hyperlink"/>
          </w:rPr>
          <w:t>Review Methodology</w:t>
        </w:r>
        <w:r w:rsidR="00A53DB4">
          <w:rPr>
            <w:webHidden/>
          </w:rPr>
          <w:tab/>
        </w:r>
        <w:r w:rsidR="00A53DB4">
          <w:rPr>
            <w:webHidden/>
          </w:rPr>
          <w:fldChar w:fldCharType="begin"/>
        </w:r>
        <w:r w:rsidR="00A53DB4">
          <w:rPr>
            <w:webHidden/>
          </w:rPr>
          <w:instrText xml:space="preserve"> PAGEREF _Toc444523642 \h </w:instrText>
        </w:r>
        <w:r w:rsidR="00A53DB4">
          <w:rPr>
            <w:webHidden/>
          </w:rPr>
        </w:r>
        <w:r w:rsidR="00A53DB4">
          <w:rPr>
            <w:webHidden/>
          </w:rPr>
          <w:fldChar w:fldCharType="separate"/>
        </w:r>
        <w:r w:rsidR="00154CF7">
          <w:rPr>
            <w:webHidden/>
          </w:rPr>
          <w:t>8</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43" w:history="1">
        <w:r w:rsidR="00A53DB4" w:rsidRPr="00B841D0">
          <w:rPr>
            <w:rStyle w:val="Hyperlink"/>
          </w:rPr>
          <w:t>1.4</w:t>
        </w:r>
        <w:r w:rsidR="00A53DB4">
          <w:rPr>
            <w:rFonts w:asciiTheme="minorHAnsi" w:eastAsiaTheme="minorEastAsia" w:hAnsiTheme="minorHAnsi" w:cstheme="minorBidi"/>
            <w:color w:val="auto"/>
            <w:szCs w:val="22"/>
            <w:lang w:eastAsia="en-AU"/>
          </w:rPr>
          <w:tab/>
        </w:r>
        <w:r w:rsidR="00A53DB4" w:rsidRPr="00B841D0">
          <w:rPr>
            <w:rStyle w:val="Hyperlink"/>
          </w:rPr>
          <w:t>Structure of the report</w:t>
        </w:r>
        <w:r w:rsidR="00A53DB4">
          <w:rPr>
            <w:webHidden/>
          </w:rPr>
          <w:tab/>
        </w:r>
        <w:r w:rsidR="00A53DB4">
          <w:rPr>
            <w:webHidden/>
          </w:rPr>
          <w:fldChar w:fldCharType="begin"/>
        </w:r>
        <w:r w:rsidR="00A53DB4">
          <w:rPr>
            <w:webHidden/>
          </w:rPr>
          <w:instrText xml:space="preserve"> PAGEREF _Toc444523643 \h </w:instrText>
        </w:r>
        <w:r w:rsidR="00A53DB4">
          <w:rPr>
            <w:webHidden/>
          </w:rPr>
        </w:r>
        <w:r w:rsidR="00A53DB4">
          <w:rPr>
            <w:webHidden/>
          </w:rPr>
          <w:fldChar w:fldCharType="separate"/>
        </w:r>
        <w:r w:rsidR="00154CF7">
          <w:rPr>
            <w:webHidden/>
          </w:rPr>
          <w:t>13</w:t>
        </w:r>
        <w:r w:rsidR="00A53DB4">
          <w:rPr>
            <w:webHidden/>
          </w:rPr>
          <w:fldChar w:fldCharType="end"/>
        </w:r>
      </w:hyperlink>
    </w:p>
    <w:p w:rsidR="00A53DB4" w:rsidRDefault="006C6044">
      <w:pPr>
        <w:pStyle w:val="TOC1"/>
        <w:rPr>
          <w:rFonts w:asciiTheme="minorHAnsi" w:eastAsiaTheme="minorEastAsia" w:hAnsiTheme="minorHAnsi" w:cstheme="minorBidi"/>
          <w:color w:val="auto"/>
          <w:szCs w:val="22"/>
          <w:lang w:eastAsia="en-AU"/>
        </w:rPr>
      </w:pPr>
      <w:hyperlink w:anchor="_Toc444523644" w:history="1">
        <w:r w:rsidR="00A53DB4" w:rsidRPr="00B841D0">
          <w:rPr>
            <w:rStyle w:val="Hyperlink"/>
          </w:rPr>
          <w:t>2.</w:t>
        </w:r>
        <w:r w:rsidR="00A53DB4">
          <w:rPr>
            <w:rFonts w:asciiTheme="minorHAnsi" w:eastAsiaTheme="minorEastAsia" w:hAnsiTheme="minorHAnsi" w:cstheme="minorBidi"/>
            <w:color w:val="auto"/>
            <w:szCs w:val="22"/>
            <w:lang w:eastAsia="en-AU"/>
          </w:rPr>
          <w:tab/>
        </w:r>
        <w:r w:rsidR="00A53DB4" w:rsidRPr="00B841D0">
          <w:rPr>
            <w:rStyle w:val="Hyperlink"/>
          </w:rPr>
          <w:t>Findings of the review</w:t>
        </w:r>
        <w:r w:rsidR="00A53DB4">
          <w:rPr>
            <w:webHidden/>
          </w:rPr>
          <w:tab/>
        </w:r>
        <w:r w:rsidR="00A53DB4">
          <w:rPr>
            <w:webHidden/>
          </w:rPr>
          <w:fldChar w:fldCharType="begin"/>
        </w:r>
        <w:r w:rsidR="00A53DB4">
          <w:rPr>
            <w:webHidden/>
          </w:rPr>
          <w:instrText xml:space="preserve"> PAGEREF _Toc444523644 \h </w:instrText>
        </w:r>
        <w:r w:rsidR="00A53DB4">
          <w:rPr>
            <w:webHidden/>
          </w:rPr>
        </w:r>
        <w:r w:rsidR="00A53DB4">
          <w:rPr>
            <w:webHidden/>
          </w:rPr>
          <w:fldChar w:fldCharType="separate"/>
        </w:r>
        <w:r w:rsidR="00154CF7">
          <w:rPr>
            <w:webHidden/>
          </w:rPr>
          <w:t>14</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45" w:history="1">
        <w:r w:rsidR="00A53DB4" w:rsidRPr="00B841D0">
          <w:rPr>
            <w:rStyle w:val="Hyperlink"/>
          </w:rPr>
          <w:t>2.1</w:t>
        </w:r>
        <w:r w:rsidR="00A53DB4">
          <w:rPr>
            <w:rFonts w:asciiTheme="minorHAnsi" w:eastAsiaTheme="minorEastAsia" w:hAnsiTheme="minorHAnsi" w:cstheme="minorBidi"/>
            <w:color w:val="auto"/>
            <w:szCs w:val="22"/>
            <w:lang w:eastAsia="en-AU"/>
          </w:rPr>
          <w:tab/>
        </w:r>
        <w:r w:rsidR="00A53DB4" w:rsidRPr="00B841D0">
          <w:rPr>
            <w:rStyle w:val="Hyperlink"/>
          </w:rPr>
          <w:t>Summary of findings</w:t>
        </w:r>
        <w:r w:rsidR="00A53DB4">
          <w:rPr>
            <w:webHidden/>
          </w:rPr>
          <w:tab/>
        </w:r>
        <w:r w:rsidR="00A53DB4">
          <w:rPr>
            <w:webHidden/>
          </w:rPr>
          <w:fldChar w:fldCharType="begin"/>
        </w:r>
        <w:r w:rsidR="00A53DB4">
          <w:rPr>
            <w:webHidden/>
          </w:rPr>
          <w:instrText xml:space="preserve"> PAGEREF _Toc444523645 \h </w:instrText>
        </w:r>
        <w:r w:rsidR="00A53DB4">
          <w:rPr>
            <w:webHidden/>
          </w:rPr>
        </w:r>
        <w:r w:rsidR="00A53DB4">
          <w:rPr>
            <w:webHidden/>
          </w:rPr>
          <w:fldChar w:fldCharType="separate"/>
        </w:r>
        <w:r w:rsidR="00154CF7">
          <w:rPr>
            <w:webHidden/>
          </w:rPr>
          <w:t>14</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46" w:history="1">
        <w:r w:rsidR="00A53DB4" w:rsidRPr="00B841D0">
          <w:rPr>
            <w:rStyle w:val="Hyperlink"/>
          </w:rPr>
          <w:t>2.2</w:t>
        </w:r>
        <w:r w:rsidR="00A53DB4">
          <w:rPr>
            <w:rFonts w:asciiTheme="minorHAnsi" w:eastAsiaTheme="minorEastAsia" w:hAnsiTheme="minorHAnsi" w:cstheme="minorBidi"/>
            <w:color w:val="auto"/>
            <w:szCs w:val="22"/>
            <w:lang w:eastAsia="en-AU"/>
          </w:rPr>
          <w:tab/>
        </w:r>
        <w:r w:rsidR="00A53DB4" w:rsidRPr="00B841D0">
          <w:rPr>
            <w:rStyle w:val="Hyperlink"/>
          </w:rPr>
          <w:t>Developments in Round 18</w:t>
        </w:r>
        <w:r w:rsidR="00A53DB4">
          <w:rPr>
            <w:webHidden/>
          </w:rPr>
          <w:tab/>
        </w:r>
        <w:r w:rsidR="00A53DB4">
          <w:rPr>
            <w:webHidden/>
          </w:rPr>
          <w:fldChar w:fldCharType="begin"/>
        </w:r>
        <w:r w:rsidR="00A53DB4">
          <w:rPr>
            <w:webHidden/>
          </w:rPr>
          <w:instrText xml:space="preserve"> PAGEREF _Toc444523646 \h </w:instrText>
        </w:r>
        <w:r w:rsidR="00A53DB4">
          <w:rPr>
            <w:webHidden/>
          </w:rPr>
        </w:r>
        <w:r w:rsidR="00A53DB4">
          <w:rPr>
            <w:webHidden/>
          </w:rPr>
          <w:fldChar w:fldCharType="separate"/>
        </w:r>
        <w:r w:rsidR="00154CF7">
          <w:rPr>
            <w:webHidden/>
          </w:rPr>
          <w:t>14</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47" w:history="1">
        <w:r w:rsidR="00A53DB4" w:rsidRPr="00B841D0">
          <w:rPr>
            <w:rStyle w:val="Hyperlink"/>
          </w:rPr>
          <w:t>2.3</w:t>
        </w:r>
        <w:r w:rsidR="00A53DB4">
          <w:rPr>
            <w:rFonts w:asciiTheme="minorHAnsi" w:eastAsiaTheme="minorEastAsia" w:hAnsiTheme="minorHAnsi" w:cstheme="minorBidi"/>
            <w:color w:val="auto"/>
            <w:szCs w:val="22"/>
            <w:lang w:eastAsia="en-AU"/>
          </w:rPr>
          <w:tab/>
        </w:r>
        <w:r w:rsidR="00A53DB4" w:rsidRPr="00B841D0">
          <w:rPr>
            <w:rStyle w:val="Hyperlink"/>
          </w:rPr>
          <w:t>Observations from the Round 18 IFR</w:t>
        </w:r>
        <w:r w:rsidR="00A53DB4">
          <w:rPr>
            <w:webHidden/>
          </w:rPr>
          <w:tab/>
        </w:r>
        <w:r w:rsidR="00A53DB4">
          <w:rPr>
            <w:webHidden/>
          </w:rPr>
          <w:fldChar w:fldCharType="begin"/>
        </w:r>
        <w:r w:rsidR="00A53DB4">
          <w:rPr>
            <w:webHidden/>
          </w:rPr>
          <w:instrText xml:space="preserve"> PAGEREF _Toc444523647 \h </w:instrText>
        </w:r>
        <w:r w:rsidR="00A53DB4">
          <w:rPr>
            <w:webHidden/>
          </w:rPr>
        </w:r>
        <w:r w:rsidR="00A53DB4">
          <w:rPr>
            <w:webHidden/>
          </w:rPr>
          <w:fldChar w:fldCharType="separate"/>
        </w:r>
        <w:r w:rsidR="00154CF7">
          <w:rPr>
            <w:webHidden/>
          </w:rPr>
          <w:t>15</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48" w:history="1">
        <w:r w:rsidR="00A53DB4" w:rsidRPr="00B841D0">
          <w:rPr>
            <w:rStyle w:val="Hyperlink"/>
          </w:rPr>
          <w:t>2.4</w:t>
        </w:r>
        <w:r w:rsidR="00A53DB4">
          <w:rPr>
            <w:rFonts w:asciiTheme="minorHAnsi" w:eastAsiaTheme="minorEastAsia" w:hAnsiTheme="minorHAnsi" w:cstheme="minorBidi"/>
            <w:color w:val="auto"/>
            <w:szCs w:val="22"/>
            <w:lang w:eastAsia="en-AU"/>
          </w:rPr>
          <w:tab/>
        </w:r>
        <w:r w:rsidR="00A53DB4" w:rsidRPr="00B841D0">
          <w:rPr>
            <w:rStyle w:val="Hyperlink"/>
          </w:rPr>
          <w:t>Recommendations</w:t>
        </w:r>
        <w:r w:rsidR="00A53DB4">
          <w:rPr>
            <w:webHidden/>
          </w:rPr>
          <w:tab/>
        </w:r>
        <w:r w:rsidR="00A53DB4">
          <w:rPr>
            <w:webHidden/>
          </w:rPr>
          <w:fldChar w:fldCharType="begin"/>
        </w:r>
        <w:r w:rsidR="00A53DB4">
          <w:rPr>
            <w:webHidden/>
          </w:rPr>
          <w:instrText xml:space="preserve"> PAGEREF _Toc444523648 \h </w:instrText>
        </w:r>
        <w:r w:rsidR="00A53DB4">
          <w:rPr>
            <w:webHidden/>
          </w:rPr>
        </w:r>
        <w:r w:rsidR="00A53DB4">
          <w:rPr>
            <w:webHidden/>
          </w:rPr>
          <w:fldChar w:fldCharType="separate"/>
        </w:r>
        <w:r w:rsidR="00154CF7">
          <w:rPr>
            <w:webHidden/>
          </w:rPr>
          <w:t>19</w:t>
        </w:r>
        <w:r w:rsidR="00A53DB4">
          <w:rPr>
            <w:webHidden/>
          </w:rPr>
          <w:fldChar w:fldCharType="end"/>
        </w:r>
      </w:hyperlink>
    </w:p>
    <w:p w:rsidR="00A53DB4" w:rsidRDefault="006C6044">
      <w:pPr>
        <w:pStyle w:val="TOC1"/>
        <w:rPr>
          <w:rFonts w:asciiTheme="minorHAnsi" w:eastAsiaTheme="minorEastAsia" w:hAnsiTheme="minorHAnsi" w:cstheme="minorBidi"/>
          <w:color w:val="auto"/>
          <w:szCs w:val="22"/>
          <w:lang w:eastAsia="en-AU"/>
        </w:rPr>
      </w:pPr>
      <w:hyperlink w:anchor="_Toc444523649" w:history="1">
        <w:r w:rsidR="00A53DB4" w:rsidRPr="00B841D0">
          <w:rPr>
            <w:rStyle w:val="Hyperlink"/>
          </w:rPr>
          <w:t>3.</w:t>
        </w:r>
        <w:r w:rsidR="00A53DB4">
          <w:rPr>
            <w:rFonts w:asciiTheme="minorHAnsi" w:eastAsiaTheme="minorEastAsia" w:hAnsiTheme="minorHAnsi" w:cstheme="minorBidi"/>
            <w:color w:val="auto"/>
            <w:szCs w:val="22"/>
            <w:lang w:eastAsia="en-AU"/>
          </w:rPr>
          <w:tab/>
        </w:r>
        <w:r w:rsidR="00A53DB4" w:rsidRPr="00B841D0">
          <w:rPr>
            <w:rStyle w:val="Hyperlink"/>
          </w:rPr>
          <w:t>New South Wales</w:t>
        </w:r>
        <w:r w:rsidR="00A53DB4">
          <w:rPr>
            <w:webHidden/>
          </w:rPr>
          <w:tab/>
        </w:r>
        <w:r w:rsidR="00A53DB4">
          <w:rPr>
            <w:webHidden/>
          </w:rPr>
          <w:fldChar w:fldCharType="begin"/>
        </w:r>
        <w:r w:rsidR="00A53DB4">
          <w:rPr>
            <w:webHidden/>
          </w:rPr>
          <w:instrText xml:space="preserve"> PAGEREF _Toc444523649 \h </w:instrText>
        </w:r>
        <w:r w:rsidR="00A53DB4">
          <w:rPr>
            <w:webHidden/>
          </w:rPr>
        </w:r>
        <w:r w:rsidR="00A53DB4">
          <w:rPr>
            <w:webHidden/>
          </w:rPr>
          <w:fldChar w:fldCharType="separate"/>
        </w:r>
        <w:r w:rsidR="00154CF7">
          <w:rPr>
            <w:webHidden/>
          </w:rPr>
          <w:t>21</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50" w:history="1">
        <w:r w:rsidR="00A53DB4" w:rsidRPr="00B841D0">
          <w:rPr>
            <w:rStyle w:val="Hyperlink"/>
          </w:rPr>
          <w:t>3.1</w:t>
        </w:r>
        <w:r w:rsidR="00A53DB4">
          <w:rPr>
            <w:rFonts w:asciiTheme="minorHAnsi" w:eastAsiaTheme="minorEastAsia" w:hAnsiTheme="minorHAnsi" w:cstheme="minorBidi"/>
            <w:color w:val="auto"/>
            <w:szCs w:val="22"/>
            <w:lang w:eastAsia="en-AU"/>
          </w:rPr>
          <w:tab/>
        </w:r>
        <w:r w:rsidR="00A53DB4" w:rsidRPr="00B841D0">
          <w:rPr>
            <w:rStyle w:val="Hyperlink"/>
          </w:rPr>
          <w:t>Jurisdictional overview</w:t>
        </w:r>
        <w:r w:rsidR="00A53DB4">
          <w:rPr>
            <w:webHidden/>
          </w:rPr>
          <w:tab/>
        </w:r>
        <w:r w:rsidR="00A53DB4">
          <w:rPr>
            <w:webHidden/>
          </w:rPr>
          <w:fldChar w:fldCharType="begin"/>
        </w:r>
        <w:r w:rsidR="00A53DB4">
          <w:rPr>
            <w:webHidden/>
          </w:rPr>
          <w:instrText xml:space="preserve"> PAGEREF _Toc444523650 \h </w:instrText>
        </w:r>
        <w:r w:rsidR="00A53DB4">
          <w:rPr>
            <w:webHidden/>
          </w:rPr>
        </w:r>
        <w:r w:rsidR="00A53DB4">
          <w:rPr>
            <w:webHidden/>
          </w:rPr>
          <w:fldChar w:fldCharType="separate"/>
        </w:r>
        <w:r w:rsidR="00154CF7">
          <w:rPr>
            <w:webHidden/>
          </w:rPr>
          <w:t>21</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51" w:history="1">
        <w:r w:rsidR="00A53DB4" w:rsidRPr="00B841D0">
          <w:rPr>
            <w:rStyle w:val="Hyperlink"/>
          </w:rPr>
          <w:t>3.2</w:t>
        </w:r>
        <w:r w:rsidR="00A53DB4">
          <w:rPr>
            <w:rFonts w:asciiTheme="minorHAnsi" w:eastAsiaTheme="minorEastAsia" w:hAnsiTheme="minorHAnsi" w:cstheme="minorBidi"/>
            <w:color w:val="auto"/>
            <w:szCs w:val="22"/>
            <w:lang w:eastAsia="en-AU"/>
          </w:rPr>
          <w:tab/>
        </w:r>
        <w:r w:rsidR="00A53DB4" w:rsidRPr="00B841D0">
          <w:rPr>
            <w:rStyle w:val="Hyperlink"/>
          </w:rPr>
          <w:t>Western Sydney Local Health District</w:t>
        </w:r>
        <w:r w:rsidR="00A53DB4">
          <w:rPr>
            <w:webHidden/>
          </w:rPr>
          <w:tab/>
        </w:r>
        <w:r w:rsidR="00A53DB4">
          <w:rPr>
            <w:webHidden/>
          </w:rPr>
          <w:fldChar w:fldCharType="begin"/>
        </w:r>
        <w:r w:rsidR="00A53DB4">
          <w:rPr>
            <w:webHidden/>
          </w:rPr>
          <w:instrText xml:space="preserve"> PAGEREF _Toc444523651 \h </w:instrText>
        </w:r>
        <w:r w:rsidR="00A53DB4">
          <w:rPr>
            <w:webHidden/>
          </w:rPr>
        </w:r>
        <w:r w:rsidR="00A53DB4">
          <w:rPr>
            <w:webHidden/>
          </w:rPr>
          <w:fldChar w:fldCharType="separate"/>
        </w:r>
        <w:r w:rsidR="00154CF7">
          <w:rPr>
            <w:webHidden/>
          </w:rPr>
          <w:t>22</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52" w:history="1">
        <w:r w:rsidR="00A53DB4" w:rsidRPr="00B841D0">
          <w:rPr>
            <w:rStyle w:val="Hyperlink"/>
          </w:rPr>
          <w:t>3.3</w:t>
        </w:r>
        <w:r w:rsidR="00A53DB4">
          <w:rPr>
            <w:rFonts w:asciiTheme="minorHAnsi" w:eastAsiaTheme="minorEastAsia" w:hAnsiTheme="minorHAnsi" w:cstheme="minorBidi"/>
            <w:color w:val="auto"/>
            <w:szCs w:val="22"/>
            <w:lang w:eastAsia="en-AU"/>
          </w:rPr>
          <w:tab/>
        </w:r>
        <w:r w:rsidR="00A53DB4" w:rsidRPr="00B841D0">
          <w:rPr>
            <w:rStyle w:val="Hyperlink"/>
          </w:rPr>
          <w:t>Illawarra Shoalhaven Local Health District</w:t>
        </w:r>
        <w:r w:rsidR="00A53DB4">
          <w:rPr>
            <w:webHidden/>
          </w:rPr>
          <w:tab/>
        </w:r>
        <w:r w:rsidR="00A53DB4">
          <w:rPr>
            <w:webHidden/>
          </w:rPr>
          <w:fldChar w:fldCharType="begin"/>
        </w:r>
        <w:r w:rsidR="00A53DB4">
          <w:rPr>
            <w:webHidden/>
          </w:rPr>
          <w:instrText xml:space="preserve"> PAGEREF _Toc444523652 \h </w:instrText>
        </w:r>
        <w:r w:rsidR="00A53DB4">
          <w:rPr>
            <w:webHidden/>
          </w:rPr>
        </w:r>
        <w:r w:rsidR="00A53DB4">
          <w:rPr>
            <w:webHidden/>
          </w:rPr>
          <w:fldChar w:fldCharType="separate"/>
        </w:r>
        <w:r w:rsidR="00154CF7">
          <w:rPr>
            <w:webHidden/>
          </w:rPr>
          <w:t>31</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53" w:history="1">
        <w:r w:rsidR="00A53DB4" w:rsidRPr="00B841D0">
          <w:rPr>
            <w:rStyle w:val="Hyperlink"/>
          </w:rPr>
          <w:t>3.4</w:t>
        </w:r>
        <w:r w:rsidR="00A53DB4">
          <w:rPr>
            <w:rFonts w:asciiTheme="minorHAnsi" w:eastAsiaTheme="minorEastAsia" w:hAnsiTheme="minorHAnsi" w:cstheme="minorBidi"/>
            <w:color w:val="auto"/>
            <w:szCs w:val="22"/>
            <w:lang w:eastAsia="en-AU"/>
          </w:rPr>
          <w:tab/>
        </w:r>
        <w:r w:rsidR="00A53DB4" w:rsidRPr="00B841D0">
          <w:rPr>
            <w:rStyle w:val="Hyperlink"/>
          </w:rPr>
          <w:t>Northern NSW Local Health District</w:t>
        </w:r>
        <w:r w:rsidR="00A53DB4">
          <w:rPr>
            <w:webHidden/>
          </w:rPr>
          <w:tab/>
        </w:r>
        <w:r w:rsidR="00A53DB4">
          <w:rPr>
            <w:webHidden/>
          </w:rPr>
          <w:fldChar w:fldCharType="begin"/>
        </w:r>
        <w:r w:rsidR="00A53DB4">
          <w:rPr>
            <w:webHidden/>
          </w:rPr>
          <w:instrText xml:space="preserve"> PAGEREF _Toc444523653 \h </w:instrText>
        </w:r>
        <w:r w:rsidR="00A53DB4">
          <w:rPr>
            <w:webHidden/>
          </w:rPr>
        </w:r>
        <w:r w:rsidR="00A53DB4">
          <w:rPr>
            <w:webHidden/>
          </w:rPr>
          <w:fldChar w:fldCharType="separate"/>
        </w:r>
        <w:r w:rsidR="00154CF7">
          <w:rPr>
            <w:webHidden/>
          </w:rPr>
          <w:t>39</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54" w:history="1">
        <w:r w:rsidR="00A53DB4" w:rsidRPr="00B841D0">
          <w:rPr>
            <w:rStyle w:val="Hyperlink"/>
          </w:rPr>
          <w:t>3.5</w:t>
        </w:r>
        <w:r w:rsidR="00A53DB4">
          <w:rPr>
            <w:rFonts w:asciiTheme="minorHAnsi" w:eastAsiaTheme="minorEastAsia" w:hAnsiTheme="minorHAnsi" w:cstheme="minorBidi"/>
            <w:color w:val="auto"/>
            <w:szCs w:val="22"/>
            <w:lang w:eastAsia="en-AU"/>
          </w:rPr>
          <w:tab/>
        </w:r>
        <w:r w:rsidR="00A53DB4" w:rsidRPr="00B841D0">
          <w:rPr>
            <w:rStyle w:val="Hyperlink"/>
          </w:rPr>
          <w:t>Application of AHPCS Version 3.1</w:t>
        </w:r>
        <w:r w:rsidR="00A53DB4">
          <w:rPr>
            <w:webHidden/>
          </w:rPr>
          <w:tab/>
        </w:r>
        <w:r w:rsidR="00A53DB4">
          <w:rPr>
            <w:webHidden/>
          </w:rPr>
          <w:fldChar w:fldCharType="begin"/>
        </w:r>
        <w:r w:rsidR="00A53DB4">
          <w:rPr>
            <w:webHidden/>
          </w:rPr>
          <w:instrText xml:space="preserve"> PAGEREF _Toc444523654 \h </w:instrText>
        </w:r>
        <w:r w:rsidR="00A53DB4">
          <w:rPr>
            <w:webHidden/>
          </w:rPr>
        </w:r>
        <w:r w:rsidR="00A53DB4">
          <w:rPr>
            <w:webHidden/>
          </w:rPr>
          <w:fldChar w:fldCharType="separate"/>
        </w:r>
        <w:r w:rsidR="00154CF7">
          <w:rPr>
            <w:webHidden/>
          </w:rPr>
          <w:t>46</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55" w:history="1">
        <w:r w:rsidR="00A53DB4" w:rsidRPr="00B841D0">
          <w:rPr>
            <w:rStyle w:val="Hyperlink"/>
          </w:rPr>
          <w:t>3.6</w:t>
        </w:r>
        <w:r w:rsidR="00A53DB4">
          <w:rPr>
            <w:rFonts w:asciiTheme="minorHAnsi" w:eastAsiaTheme="minorEastAsia" w:hAnsiTheme="minorHAnsi" w:cstheme="minorBidi"/>
            <w:color w:val="auto"/>
            <w:szCs w:val="22"/>
            <w:lang w:eastAsia="en-AU"/>
          </w:rPr>
          <w:tab/>
        </w:r>
        <w:r w:rsidR="00A53DB4" w:rsidRPr="00B841D0">
          <w:rPr>
            <w:rStyle w:val="Hyperlink"/>
          </w:rPr>
          <w:t>Conclusion</w:t>
        </w:r>
        <w:r w:rsidR="00A53DB4">
          <w:rPr>
            <w:webHidden/>
          </w:rPr>
          <w:tab/>
        </w:r>
        <w:r w:rsidR="00A53DB4">
          <w:rPr>
            <w:webHidden/>
          </w:rPr>
          <w:fldChar w:fldCharType="begin"/>
        </w:r>
        <w:r w:rsidR="00A53DB4">
          <w:rPr>
            <w:webHidden/>
          </w:rPr>
          <w:instrText xml:space="preserve"> PAGEREF _Toc444523655 \h </w:instrText>
        </w:r>
        <w:r w:rsidR="00A53DB4">
          <w:rPr>
            <w:webHidden/>
          </w:rPr>
        </w:r>
        <w:r w:rsidR="00A53DB4">
          <w:rPr>
            <w:webHidden/>
          </w:rPr>
          <w:fldChar w:fldCharType="separate"/>
        </w:r>
        <w:r w:rsidR="00154CF7">
          <w:rPr>
            <w:webHidden/>
          </w:rPr>
          <w:t>49</w:t>
        </w:r>
        <w:r w:rsidR="00A53DB4">
          <w:rPr>
            <w:webHidden/>
          </w:rPr>
          <w:fldChar w:fldCharType="end"/>
        </w:r>
      </w:hyperlink>
    </w:p>
    <w:p w:rsidR="00A53DB4" w:rsidRDefault="006C6044">
      <w:pPr>
        <w:pStyle w:val="TOC1"/>
        <w:rPr>
          <w:rFonts w:asciiTheme="minorHAnsi" w:eastAsiaTheme="minorEastAsia" w:hAnsiTheme="minorHAnsi" w:cstheme="minorBidi"/>
          <w:color w:val="auto"/>
          <w:szCs w:val="22"/>
          <w:lang w:eastAsia="en-AU"/>
        </w:rPr>
      </w:pPr>
      <w:hyperlink w:anchor="_Toc444523656" w:history="1">
        <w:r w:rsidR="00A53DB4" w:rsidRPr="00B841D0">
          <w:rPr>
            <w:rStyle w:val="Hyperlink"/>
          </w:rPr>
          <w:t>4.</w:t>
        </w:r>
        <w:r w:rsidR="00A53DB4">
          <w:rPr>
            <w:rFonts w:asciiTheme="minorHAnsi" w:eastAsiaTheme="minorEastAsia" w:hAnsiTheme="minorHAnsi" w:cstheme="minorBidi"/>
            <w:color w:val="auto"/>
            <w:szCs w:val="22"/>
            <w:lang w:eastAsia="en-AU"/>
          </w:rPr>
          <w:tab/>
        </w:r>
        <w:r w:rsidR="00A53DB4" w:rsidRPr="00B841D0">
          <w:rPr>
            <w:rStyle w:val="Hyperlink"/>
          </w:rPr>
          <w:t>Northern Territory</w:t>
        </w:r>
        <w:r w:rsidR="00A53DB4">
          <w:rPr>
            <w:webHidden/>
          </w:rPr>
          <w:tab/>
        </w:r>
        <w:r w:rsidR="00A53DB4">
          <w:rPr>
            <w:webHidden/>
          </w:rPr>
          <w:fldChar w:fldCharType="begin"/>
        </w:r>
        <w:r w:rsidR="00A53DB4">
          <w:rPr>
            <w:webHidden/>
          </w:rPr>
          <w:instrText xml:space="preserve"> PAGEREF _Toc444523656 \h </w:instrText>
        </w:r>
        <w:r w:rsidR="00A53DB4">
          <w:rPr>
            <w:webHidden/>
          </w:rPr>
        </w:r>
        <w:r w:rsidR="00A53DB4">
          <w:rPr>
            <w:webHidden/>
          </w:rPr>
          <w:fldChar w:fldCharType="separate"/>
        </w:r>
        <w:r w:rsidR="00154CF7">
          <w:rPr>
            <w:webHidden/>
          </w:rPr>
          <w:t>50</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57" w:history="1">
        <w:r w:rsidR="00A53DB4" w:rsidRPr="00B841D0">
          <w:rPr>
            <w:rStyle w:val="Hyperlink"/>
          </w:rPr>
          <w:t>4.1</w:t>
        </w:r>
        <w:r w:rsidR="00A53DB4">
          <w:rPr>
            <w:rFonts w:asciiTheme="minorHAnsi" w:eastAsiaTheme="minorEastAsia" w:hAnsiTheme="minorHAnsi" w:cstheme="minorBidi"/>
            <w:color w:val="auto"/>
            <w:szCs w:val="22"/>
            <w:lang w:eastAsia="en-AU"/>
          </w:rPr>
          <w:tab/>
        </w:r>
        <w:r w:rsidR="00A53DB4" w:rsidRPr="00B841D0">
          <w:rPr>
            <w:rStyle w:val="Hyperlink"/>
          </w:rPr>
          <w:t>Jurisdictional overview</w:t>
        </w:r>
        <w:r w:rsidR="00A53DB4">
          <w:rPr>
            <w:webHidden/>
          </w:rPr>
          <w:tab/>
        </w:r>
        <w:r w:rsidR="00A53DB4">
          <w:rPr>
            <w:webHidden/>
          </w:rPr>
          <w:fldChar w:fldCharType="begin"/>
        </w:r>
        <w:r w:rsidR="00A53DB4">
          <w:rPr>
            <w:webHidden/>
          </w:rPr>
          <w:instrText xml:space="preserve"> PAGEREF _Toc444523657 \h </w:instrText>
        </w:r>
        <w:r w:rsidR="00A53DB4">
          <w:rPr>
            <w:webHidden/>
          </w:rPr>
        </w:r>
        <w:r w:rsidR="00A53DB4">
          <w:rPr>
            <w:webHidden/>
          </w:rPr>
          <w:fldChar w:fldCharType="separate"/>
        </w:r>
        <w:r w:rsidR="00154CF7">
          <w:rPr>
            <w:webHidden/>
          </w:rPr>
          <w:t>50</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58" w:history="1">
        <w:r w:rsidR="00A53DB4" w:rsidRPr="00B841D0">
          <w:rPr>
            <w:rStyle w:val="Hyperlink"/>
          </w:rPr>
          <w:t>4.2</w:t>
        </w:r>
        <w:r w:rsidR="00A53DB4">
          <w:rPr>
            <w:rFonts w:asciiTheme="minorHAnsi" w:eastAsiaTheme="minorEastAsia" w:hAnsiTheme="minorHAnsi" w:cstheme="minorBidi"/>
            <w:color w:val="auto"/>
            <w:szCs w:val="22"/>
            <w:lang w:eastAsia="en-AU"/>
          </w:rPr>
          <w:tab/>
        </w:r>
        <w:r w:rsidR="00A53DB4" w:rsidRPr="00B841D0">
          <w:rPr>
            <w:rStyle w:val="Hyperlink"/>
          </w:rPr>
          <w:t>Royal Darwin Hospital</w:t>
        </w:r>
        <w:r w:rsidR="00A53DB4">
          <w:rPr>
            <w:webHidden/>
          </w:rPr>
          <w:tab/>
        </w:r>
        <w:r w:rsidR="00A53DB4">
          <w:rPr>
            <w:webHidden/>
          </w:rPr>
          <w:fldChar w:fldCharType="begin"/>
        </w:r>
        <w:r w:rsidR="00A53DB4">
          <w:rPr>
            <w:webHidden/>
          </w:rPr>
          <w:instrText xml:space="preserve"> PAGEREF _Toc444523658 \h </w:instrText>
        </w:r>
        <w:r w:rsidR="00A53DB4">
          <w:rPr>
            <w:webHidden/>
          </w:rPr>
        </w:r>
        <w:r w:rsidR="00A53DB4">
          <w:rPr>
            <w:webHidden/>
          </w:rPr>
          <w:fldChar w:fldCharType="separate"/>
        </w:r>
        <w:r w:rsidR="00154CF7">
          <w:rPr>
            <w:webHidden/>
          </w:rPr>
          <w:t>51</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59" w:history="1">
        <w:r w:rsidR="00A53DB4" w:rsidRPr="00B841D0">
          <w:rPr>
            <w:rStyle w:val="Hyperlink"/>
          </w:rPr>
          <w:t>4.3</w:t>
        </w:r>
        <w:r w:rsidR="00A53DB4">
          <w:rPr>
            <w:rFonts w:asciiTheme="minorHAnsi" w:eastAsiaTheme="minorEastAsia" w:hAnsiTheme="minorHAnsi" w:cstheme="minorBidi"/>
            <w:color w:val="auto"/>
            <w:szCs w:val="22"/>
            <w:lang w:eastAsia="en-AU"/>
          </w:rPr>
          <w:tab/>
        </w:r>
        <w:r w:rsidR="00A53DB4" w:rsidRPr="00B841D0">
          <w:rPr>
            <w:rStyle w:val="Hyperlink"/>
          </w:rPr>
          <w:t>Application of AHPCS Version 3.1</w:t>
        </w:r>
        <w:r w:rsidR="00A53DB4">
          <w:rPr>
            <w:webHidden/>
          </w:rPr>
          <w:tab/>
        </w:r>
        <w:r w:rsidR="00A53DB4">
          <w:rPr>
            <w:webHidden/>
          </w:rPr>
          <w:fldChar w:fldCharType="begin"/>
        </w:r>
        <w:r w:rsidR="00A53DB4">
          <w:rPr>
            <w:webHidden/>
          </w:rPr>
          <w:instrText xml:space="preserve"> PAGEREF _Toc444523659 \h </w:instrText>
        </w:r>
        <w:r w:rsidR="00A53DB4">
          <w:rPr>
            <w:webHidden/>
          </w:rPr>
        </w:r>
        <w:r w:rsidR="00A53DB4">
          <w:rPr>
            <w:webHidden/>
          </w:rPr>
          <w:fldChar w:fldCharType="separate"/>
        </w:r>
        <w:r w:rsidR="00154CF7">
          <w:rPr>
            <w:webHidden/>
          </w:rPr>
          <w:t>58</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60" w:history="1">
        <w:r w:rsidR="00A53DB4" w:rsidRPr="00B841D0">
          <w:rPr>
            <w:rStyle w:val="Hyperlink"/>
          </w:rPr>
          <w:t>4.4</w:t>
        </w:r>
        <w:r w:rsidR="00A53DB4">
          <w:rPr>
            <w:rFonts w:asciiTheme="minorHAnsi" w:eastAsiaTheme="minorEastAsia" w:hAnsiTheme="minorHAnsi" w:cstheme="minorBidi"/>
            <w:color w:val="auto"/>
            <w:szCs w:val="22"/>
            <w:lang w:eastAsia="en-AU"/>
          </w:rPr>
          <w:tab/>
        </w:r>
        <w:r w:rsidR="00A53DB4" w:rsidRPr="00B841D0">
          <w:rPr>
            <w:rStyle w:val="Hyperlink"/>
          </w:rPr>
          <w:t>Conclusion</w:t>
        </w:r>
        <w:r w:rsidR="00A53DB4">
          <w:rPr>
            <w:webHidden/>
          </w:rPr>
          <w:tab/>
        </w:r>
        <w:r w:rsidR="00A53DB4">
          <w:rPr>
            <w:webHidden/>
          </w:rPr>
          <w:fldChar w:fldCharType="begin"/>
        </w:r>
        <w:r w:rsidR="00A53DB4">
          <w:rPr>
            <w:webHidden/>
          </w:rPr>
          <w:instrText xml:space="preserve"> PAGEREF _Toc444523660 \h </w:instrText>
        </w:r>
        <w:r w:rsidR="00A53DB4">
          <w:rPr>
            <w:webHidden/>
          </w:rPr>
        </w:r>
        <w:r w:rsidR="00A53DB4">
          <w:rPr>
            <w:webHidden/>
          </w:rPr>
          <w:fldChar w:fldCharType="separate"/>
        </w:r>
        <w:r w:rsidR="00154CF7">
          <w:rPr>
            <w:webHidden/>
          </w:rPr>
          <w:t>60</w:t>
        </w:r>
        <w:r w:rsidR="00A53DB4">
          <w:rPr>
            <w:webHidden/>
          </w:rPr>
          <w:fldChar w:fldCharType="end"/>
        </w:r>
      </w:hyperlink>
    </w:p>
    <w:p w:rsidR="00A53DB4" w:rsidRDefault="006C6044">
      <w:pPr>
        <w:pStyle w:val="TOC1"/>
        <w:rPr>
          <w:rFonts w:asciiTheme="minorHAnsi" w:eastAsiaTheme="minorEastAsia" w:hAnsiTheme="minorHAnsi" w:cstheme="minorBidi"/>
          <w:color w:val="auto"/>
          <w:szCs w:val="22"/>
          <w:lang w:eastAsia="en-AU"/>
        </w:rPr>
      </w:pPr>
      <w:hyperlink w:anchor="_Toc444523661" w:history="1">
        <w:r w:rsidR="00A53DB4" w:rsidRPr="00B841D0">
          <w:rPr>
            <w:rStyle w:val="Hyperlink"/>
          </w:rPr>
          <w:t>5.</w:t>
        </w:r>
        <w:r w:rsidR="00A53DB4">
          <w:rPr>
            <w:rFonts w:asciiTheme="minorHAnsi" w:eastAsiaTheme="minorEastAsia" w:hAnsiTheme="minorHAnsi" w:cstheme="minorBidi"/>
            <w:color w:val="auto"/>
            <w:szCs w:val="22"/>
            <w:lang w:eastAsia="en-AU"/>
          </w:rPr>
          <w:tab/>
        </w:r>
        <w:r w:rsidR="00A53DB4" w:rsidRPr="00B841D0">
          <w:rPr>
            <w:rStyle w:val="Hyperlink"/>
          </w:rPr>
          <w:t>Queensland</w:t>
        </w:r>
        <w:r w:rsidR="00A53DB4">
          <w:rPr>
            <w:webHidden/>
          </w:rPr>
          <w:tab/>
        </w:r>
        <w:r w:rsidR="00A53DB4">
          <w:rPr>
            <w:webHidden/>
          </w:rPr>
          <w:fldChar w:fldCharType="begin"/>
        </w:r>
        <w:r w:rsidR="00A53DB4">
          <w:rPr>
            <w:webHidden/>
          </w:rPr>
          <w:instrText xml:space="preserve"> PAGEREF _Toc444523661 \h </w:instrText>
        </w:r>
        <w:r w:rsidR="00A53DB4">
          <w:rPr>
            <w:webHidden/>
          </w:rPr>
        </w:r>
        <w:r w:rsidR="00A53DB4">
          <w:rPr>
            <w:webHidden/>
          </w:rPr>
          <w:fldChar w:fldCharType="separate"/>
        </w:r>
        <w:r w:rsidR="00154CF7">
          <w:rPr>
            <w:webHidden/>
          </w:rPr>
          <w:t>61</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62" w:history="1">
        <w:r w:rsidR="00A53DB4" w:rsidRPr="00B841D0">
          <w:rPr>
            <w:rStyle w:val="Hyperlink"/>
          </w:rPr>
          <w:t>5.1</w:t>
        </w:r>
        <w:r w:rsidR="00A53DB4">
          <w:rPr>
            <w:rFonts w:asciiTheme="minorHAnsi" w:eastAsiaTheme="minorEastAsia" w:hAnsiTheme="minorHAnsi" w:cstheme="minorBidi"/>
            <w:color w:val="auto"/>
            <w:szCs w:val="22"/>
            <w:lang w:eastAsia="en-AU"/>
          </w:rPr>
          <w:tab/>
        </w:r>
        <w:r w:rsidR="00A53DB4" w:rsidRPr="00B841D0">
          <w:rPr>
            <w:rStyle w:val="Hyperlink"/>
          </w:rPr>
          <w:t>Jurisdictional overview</w:t>
        </w:r>
        <w:r w:rsidR="00A53DB4">
          <w:rPr>
            <w:webHidden/>
          </w:rPr>
          <w:tab/>
        </w:r>
        <w:r w:rsidR="00A53DB4">
          <w:rPr>
            <w:webHidden/>
          </w:rPr>
          <w:fldChar w:fldCharType="begin"/>
        </w:r>
        <w:r w:rsidR="00A53DB4">
          <w:rPr>
            <w:webHidden/>
          </w:rPr>
          <w:instrText xml:space="preserve"> PAGEREF _Toc444523662 \h </w:instrText>
        </w:r>
        <w:r w:rsidR="00A53DB4">
          <w:rPr>
            <w:webHidden/>
          </w:rPr>
        </w:r>
        <w:r w:rsidR="00A53DB4">
          <w:rPr>
            <w:webHidden/>
          </w:rPr>
          <w:fldChar w:fldCharType="separate"/>
        </w:r>
        <w:r w:rsidR="00154CF7">
          <w:rPr>
            <w:webHidden/>
          </w:rPr>
          <w:t>61</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63" w:history="1">
        <w:r w:rsidR="00A53DB4" w:rsidRPr="00B841D0">
          <w:rPr>
            <w:rStyle w:val="Hyperlink"/>
          </w:rPr>
          <w:t>5.2</w:t>
        </w:r>
        <w:r w:rsidR="00A53DB4">
          <w:rPr>
            <w:rFonts w:asciiTheme="minorHAnsi" w:eastAsiaTheme="minorEastAsia" w:hAnsiTheme="minorHAnsi" w:cstheme="minorBidi"/>
            <w:color w:val="auto"/>
            <w:szCs w:val="22"/>
            <w:lang w:eastAsia="en-AU"/>
          </w:rPr>
          <w:tab/>
        </w:r>
        <w:r w:rsidR="00A53DB4" w:rsidRPr="00B841D0">
          <w:rPr>
            <w:rStyle w:val="Hyperlink"/>
          </w:rPr>
          <w:t>Ipswich Hospital</w:t>
        </w:r>
        <w:r w:rsidR="00A53DB4">
          <w:rPr>
            <w:webHidden/>
          </w:rPr>
          <w:tab/>
        </w:r>
        <w:r w:rsidR="00A53DB4">
          <w:rPr>
            <w:webHidden/>
          </w:rPr>
          <w:fldChar w:fldCharType="begin"/>
        </w:r>
        <w:r w:rsidR="00A53DB4">
          <w:rPr>
            <w:webHidden/>
          </w:rPr>
          <w:instrText xml:space="preserve"> PAGEREF _Toc444523663 \h </w:instrText>
        </w:r>
        <w:r w:rsidR="00A53DB4">
          <w:rPr>
            <w:webHidden/>
          </w:rPr>
        </w:r>
        <w:r w:rsidR="00A53DB4">
          <w:rPr>
            <w:webHidden/>
          </w:rPr>
          <w:fldChar w:fldCharType="separate"/>
        </w:r>
        <w:r w:rsidR="00154CF7">
          <w:rPr>
            <w:webHidden/>
          </w:rPr>
          <w:t>62</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64" w:history="1">
        <w:r w:rsidR="00A53DB4" w:rsidRPr="00B841D0">
          <w:rPr>
            <w:rStyle w:val="Hyperlink"/>
          </w:rPr>
          <w:t>5.3</w:t>
        </w:r>
        <w:r w:rsidR="00A53DB4">
          <w:rPr>
            <w:rFonts w:asciiTheme="minorHAnsi" w:eastAsiaTheme="minorEastAsia" w:hAnsiTheme="minorHAnsi" w:cstheme="minorBidi"/>
            <w:color w:val="auto"/>
            <w:szCs w:val="22"/>
            <w:lang w:eastAsia="en-AU"/>
          </w:rPr>
          <w:tab/>
        </w:r>
        <w:r w:rsidR="00A53DB4" w:rsidRPr="00B841D0">
          <w:rPr>
            <w:rStyle w:val="Hyperlink"/>
          </w:rPr>
          <w:t>Mackay Base Hospital</w:t>
        </w:r>
        <w:r w:rsidR="00A53DB4">
          <w:rPr>
            <w:webHidden/>
          </w:rPr>
          <w:tab/>
        </w:r>
        <w:r w:rsidR="00A53DB4">
          <w:rPr>
            <w:webHidden/>
          </w:rPr>
          <w:fldChar w:fldCharType="begin"/>
        </w:r>
        <w:r w:rsidR="00A53DB4">
          <w:rPr>
            <w:webHidden/>
          </w:rPr>
          <w:instrText xml:space="preserve"> PAGEREF _Toc444523664 \h </w:instrText>
        </w:r>
        <w:r w:rsidR="00A53DB4">
          <w:rPr>
            <w:webHidden/>
          </w:rPr>
        </w:r>
        <w:r w:rsidR="00A53DB4">
          <w:rPr>
            <w:webHidden/>
          </w:rPr>
          <w:fldChar w:fldCharType="separate"/>
        </w:r>
        <w:r w:rsidR="00154CF7">
          <w:rPr>
            <w:webHidden/>
          </w:rPr>
          <w:t>70</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65" w:history="1">
        <w:r w:rsidR="00A53DB4" w:rsidRPr="00B841D0">
          <w:rPr>
            <w:rStyle w:val="Hyperlink"/>
          </w:rPr>
          <w:t>5.4</w:t>
        </w:r>
        <w:r w:rsidR="00A53DB4">
          <w:rPr>
            <w:rFonts w:asciiTheme="minorHAnsi" w:eastAsiaTheme="minorEastAsia" w:hAnsiTheme="minorHAnsi" w:cstheme="minorBidi"/>
            <w:color w:val="auto"/>
            <w:szCs w:val="22"/>
            <w:lang w:eastAsia="en-AU"/>
          </w:rPr>
          <w:tab/>
        </w:r>
        <w:r w:rsidR="00A53DB4" w:rsidRPr="00B841D0">
          <w:rPr>
            <w:rStyle w:val="Hyperlink"/>
          </w:rPr>
          <w:t>The Prince Charles Hospital</w:t>
        </w:r>
        <w:r w:rsidR="00A53DB4">
          <w:rPr>
            <w:webHidden/>
          </w:rPr>
          <w:tab/>
        </w:r>
        <w:r w:rsidR="00A53DB4">
          <w:rPr>
            <w:webHidden/>
          </w:rPr>
          <w:fldChar w:fldCharType="begin"/>
        </w:r>
        <w:r w:rsidR="00A53DB4">
          <w:rPr>
            <w:webHidden/>
          </w:rPr>
          <w:instrText xml:space="preserve"> PAGEREF _Toc444523665 \h </w:instrText>
        </w:r>
        <w:r w:rsidR="00A53DB4">
          <w:rPr>
            <w:webHidden/>
          </w:rPr>
        </w:r>
        <w:r w:rsidR="00A53DB4">
          <w:rPr>
            <w:webHidden/>
          </w:rPr>
          <w:fldChar w:fldCharType="separate"/>
        </w:r>
        <w:r w:rsidR="00154CF7">
          <w:rPr>
            <w:webHidden/>
          </w:rPr>
          <w:t>79</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66" w:history="1">
        <w:r w:rsidR="00A53DB4" w:rsidRPr="00B841D0">
          <w:rPr>
            <w:rStyle w:val="Hyperlink"/>
          </w:rPr>
          <w:t>5.5</w:t>
        </w:r>
        <w:r w:rsidR="00A53DB4">
          <w:rPr>
            <w:rFonts w:asciiTheme="minorHAnsi" w:eastAsiaTheme="minorEastAsia" w:hAnsiTheme="minorHAnsi" w:cstheme="minorBidi"/>
            <w:color w:val="auto"/>
            <w:szCs w:val="22"/>
            <w:lang w:eastAsia="en-AU"/>
          </w:rPr>
          <w:tab/>
        </w:r>
        <w:r w:rsidR="00A53DB4" w:rsidRPr="00B841D0">
          <w:rPr>
            <w:rStyle w:val="Hyperlink"/>
          </w:rPr>
          <w:t>Application of AHPCS Version 3.1</w:t>
        </w:r>
        <w:r w:rsidR="00A53DB4">
          <w:rPr>
            <w:webHidden/>
          </w:rPr>
          <w:tab/>
        </w:r>
        <w:r w:rsidR="00A53DB4">
          <w:rPr>
            <w:webHidden/>
          </w:rPr>
          <w:fldChar w:fldCharType="begin"/>
        </w:r>
        <w:r w:rsidR="00A53DB4">
          <w:rPr>
            <w:webHidden/>
          </w:rPr>
          <w:instrText xml:space="preserve"> PAGEREF _Toc444523666 \h </w:instrText>
        </w:r>
        <w:r w:rsidR="00A53DB4">
          <w:rPr>
            <w:webHidden/>
          </w:rPr>
        </w:r>
        <w:r w:rsidR="00A53DB4">
          <w:rPr>
            <w:webHidden/>
          </w:rPr>
          <w:fldChar w:fldCharType="separate"/>
        </w:r>
        <w:r w:rsidR="00154CF7">
          <w:rPr>
            <w:webHidden/>
          </w:rPr>
          <w:t>87</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67" w:history="1">
        <w:r w:rsidR="00A53DB4" w:rsidRPr="00B841D0">
          <w:rPr>
            <w:rStyle w:val="Hyperlink"/>
          </w:rPr>
          <w:t>5.6</w:t>
        </w:r>
        <w:r w:rsidR="00A53DB4">
          <w:rPr>
            <w:rFonts w:asciiTheme="minorHAnsi" w:eastAsiaTheme="minorEastAsia" w:hAnsiTheme="minorHAnsi" w:cstheme="minorBidi"/>
            <w:color w:val="auto"/>
            <w:szCs w:val="22"/>
            <w:lang w:eastAsia="en-AU"/>
          </w:rPr>
          <w:tab/>
        </w:r>
        <w:r w:rsidR="00A53DB4" w:rsidRPr="00B841D0">
          <w:rPr>
            <w:rStyle w:val="Hyperlink"/>
          </w:rPr>
          <w:t>Conclusion</w:t>
        </w:r>
        <w:r w:rsidR="00A53DB4">
          <w:rPr>
            <w:webHidden/>
          </w:rPr>
          <w:tab/>
        </w:r>
        <w:r w:rsidR="00A53DB4">
          <w:rPr>
            <w:webHidden/>
          </w:rPr>
          <w:fldChar w:fldCharType="begin"/>
        </w:r>
        <w:r w:rsidR="00A53DB4">
          <w:rPr>
            <w:webHidden/>
          </w:rPr>
          <w:instrText xml:space="preserve"> PAGEREF _Toc444523667 \h </w:instrText>
        </w:r>
        <w:r w:rsidR="00A53DB4">
          <w:rPr>
            <w:webHidden/>
          </w:rPr>
        </w:r>
        <w:r w:rsidR="00A53DB4">
          <w:rPr>
            <w:webHidden/>
          </w:rPr>
          <w:fldChar w:fldCharType="separate"/>
        </w:r>
        <w:r w:rsidR="00154CF7">
          <w:rPr>
            <w:webHidden/>
          </w:rPr>
          <w:t>89</w:t>
        </w:r>
        <w:r w:rsidR="00A53DB4">
          <w:rPr>
            <w:webHidden/>
          </w:rPr>
          <w:fldChar w:fldCharType="end"/>
        </w:r>
      </w:hyperlink>
    </w:p>
    <w:p w:rsidR="00A53DB4" w:rsidRDefault="006C6044">
      <w:pPr>
        <w:pStyle w:val="TOC1"/>
        <w:rPr>
          <w:rFonts w:asciiTheme="minorHAnsi" w:eastAsiaTheme="minorEastAsia" w:hAnsiTheme="minorHAnsi" w:cstheme="minorBidi"/>
          <w:color w:val="auto"/>
          <w:szCs w:val="22"/>
          <w:lang w:eastAsia="en-AU"/>
        </w:rPr>
      </w:pPr>
      <w:hyperlink w:anchor="_Toc444523668" w:history="1">
        <w:r w:rsidR="00A53DB4" w:rsidRPr="00B841D0">
          <w:rPr>
            <w:rStyle w:val="Hyperlink"/>
          </w:rPr>
          <w:t>6.</w:t>
        </w:r>
        <w:r w:rsidR="00A53DB4">
          <w:rPr>
            <w:rFonts w:asciiTheme="minorHAnsi" w:eastAsiaTheme="minorEastAsia" w:hAnsiTheme="minorHAnsi" w:cstheme="minorBidi"/>
            <w:color w:val="auto"/>
            <w:szCs w:val="22"/>
            <w:lang w:eastAsia="en-AU"/>
          </w:rPr>
          <w:tab/>
        </w:r>
        <w:r w:rsidR="00A53DB4" w:rsidRPr="00B841D0">
          <w:rPr>
            <w:rStyle w:val="Hyperlink"/>
          </w:rPr>
          <w:t>South Australia</w:t>
        </w:r>
        <w:r w:rsidR="00A53DB4">
          <w:rPr>
            <w:webHidden/>
          </w:rPr>
          <w:tab/>
        </w:r>
        <w:r w:rsidR="00A53DB4">
          <w:rPr>
            <w:webHidden/>
          </w:rPr>
          <w:fldChar w:fldCharType="begin"/>
        </w:r>
        <w:r w:rsidR="00A53DB4">
          <w:rPr>
            <w:webHidden/>
          </w:rPr>
          <w:instrText xml:space="preserve"> PAGEREF _Toc444523668 \h </w:instrText>
        </w:r>
        <w:r w:rsidR="00A53DB4">
          <w:rPr>
            <w:webHidden/>
          </w:rPr>
        </w:r>
        <w:r w:rsidR="00A53DB4">
          <w:rPr>
            <w:webHidden/>
          </w:rPr>
          <w:fldChar w:fldCharType="separate"/>
        </w:r>
        <w:r w:rsidR="00154CF7">
          <w:rPr>
            <w:webHidden/>
          </w:rPr>
          <w:t>91</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69" w:history="1">
        <w:r w:rsidR="00A53DB4" w:rsidRPr="00B841D0">
          <w:rPr>
            <w:rStyle w:val="Hyperlink"/>
          </w:rPr>
          <w:t>6.1</w:t>
        </w:r>
        <w:r w:rsidR="00A53DB4">
          <w:rPr>
            <w:rFonts w:asciiTheme="minorHAnsi" w:eastAsiaTheme="minorEastAsia" w:hAnsiTheme="minorHAnsi" w:cstheme="minorBidi"/>
            <w:color w:val="auto"/>
            <w:szCs w:val="22"/>
            <w:lang w:eastAsia="en-AU"/>
          </w:rPr>
          <w:tab/>
        </w:r>
        <w:r w:rsidR="00A53DB4" w:rsidRPr="00B841D0">
          <w:rPr>
            <w:rStyle w:val="Hyperlink"/>
          </w:rPr>
          <w:t>Jurisdictional overview</w:t>
        </w:r>
        <w:r w:rsidR="00A53DB4">
          <w:rPr>
            <w:webHidden/>
          </w:rPr>
          <w:tab/>
        </w:r>
        <w:r w:rsidR="00A53DB4">
          <w:rPr>
            <w:webHidden/>
          </w:rPr>
          <w:fldChar w:fldCharType="begin"/>
        </w:r>
        <w:r w:rsidR="00A53DB4">
          <w:rPr>
            <w:webHidden/>
          </w:rPr>
          <w:instrText xml:space="preserve"> PAGEREF _Toc444523669 \h </w:instrText>
        </w:r>
        <w:r w:rsidR="00A53DB4">
          <w:rPr>
            <w:webHidden/>
          </w:rPr>
        </w:r>
        <w:r w:rsidR="00A53DB4">
          <w:rPr>
            <w:webHidden/>
          </w:rPr>
          <w:fldChar w:fldCharType="separate"/>
        </w:r>
        <w:r w:rsidR="00154CF7">
          <w:rPr>
            <w:webHidden/>
          </w:rPr>
          <w:t>91</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70" w:history="1">
        <w:r w:rsidR="00A53DB4" w:rsidRPr="00B841D0">
          <w:rPr>
            <w:rStyle w:val="Hyperlink"/>
          </w:rPr>
          <w:t>6.2</w:t>
        </w:r>
        <w:r w:rsidR="00A53DB4">
          <w:rPr>
            <w:rFonts w:asciiTheme="minorHAnsi" w:eastAsiaTheme="minorEastAsia" w:hAnsiTheme="minorHAnsi" w:cstheme="minorBidi"/>
            <w:color w:val="auto"/>
            <w:szCs w:val="22"/>
            <w:lang w:eastAsia="en-AU"/>
          </w:rPr>
          <w:tab/>
        </w:r>
        <w:r w:rsidR="00A53DB4" w:rsidRPr="00B841D0">
          <w:rPr>
            <w:rStyle w:val="Hyperlink"/>
          </w:rPr>
          <w:t>Lyell McEwin Hospital</w:t>
        </w:r>
        <w:r w:rsidR="00A53DB4">
          <w:rPr>
            <w:webHidden/>
          </w:rPr>
          <w:tab/>
        </w:r>
        <w:r w:rsidR="00A53DB4">
          <w:rPr>
            <w:webHidden/>
          </w:rPr>
          <w:fldChar w:fldCharType="begin"/>
        </w:r>
        <w:r w:rsidR="00A53DB4">
          <w:rPr>
            <w:webHidden/>
          </w:rPr>
          <w:instrText xml:space="preserve"> PAGEREF _Toc444523670 \h </w:instrText>
        </w:r>
        <w:r w:rsidR="00A53DB4">
          <w:rPr>
            <w:webHidden/>
          </w:rPr>
        </w:r>
        <w:r w:rsidR="00A53DB4">
          <w:rPr>
            <w:webHidden/>
          </w:rPr>
          <w:fldChar w:fldCharType="separate"/>
        </w:r>
        <w:r w:rsidR="00154CF7">
          <w:rPr>
            <w:webHidden/>
          </w:rPr>
          <w:t>92</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71" w:history="1">
        <w:r w:rsidR="00A53DB4" w:rsidRPr="00B841D0">
          <w:rPr>
            <w:rStyle w:val="Hyperlink"/>
          </w:rPr>
          <w:t>6.3</w:t>
        </w:r>
        <w:r w:rsidR="00A53DB4">
          <w:rPr>
            <w:rFonts w:asciiTheme="minorHAnsi" w:eastAsiaTheme="minorEastAsia" w:hAnsiTheme="minorHAnsi" w:cstheme="minorBidi"/>
            <w:color w:val="auto"/>
            <w:szCs w:val="22"/>
            <w:lang w:eastAsia="en-AU"/>
          </w:rPr>
          <w:tab/>
        </w:r>
        <w:r w:rsidR="00A53DB4" w:rsidRPr="00B841D0">
          <w:rPr>
            <w:rStyle w:val="Hyperlink"/>
          </w:rPr>
          <w:t>Modbury Hospital</w:t>
        </w:r>
        <w:r w:rsidR="00A53DB4">
          <w:rPr>
            <w:webHidden/>
          </w:rPr>
          <w:tab/>
        </w:r>
        <w:r w:rsidR="00A53DB4">
          <w:rPr>
            <w:webHidden/>
          </w:rPr>
          <w:fldChar w:fldCharType="begin"/>
        </w:r>
        <w:r w:rsidR="00A53DB4">
          <w:rPr>
            <w:webHidden/>
          </w:rPr>
          <w:instrText xml:space="preserve"> PAGEREF _Toc444523671 \h </w:instrText>
        </w:r>
        <w:r w:rsidR="00A53DB4">
          <w:rPr>
            <w:webHidden/>
          </w:rPr>
        </w:r>
        <w:r w:rsidR="00A53DB4">
          <w:rPr>
            <w:webHidden/>
          </w:rPr>
          <w:fldChar w:fldCharType="separate"/>
        </w:r>
        <w:r w:rsidR="00154CF7">
          <w:rPr>
            <w:webHidden/>
          </w:rPr>
          <w:t>100</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72" w:history="1">
        <w:r w:rsidR="00A53DB4" w:rsidRPr="00B841D0">
          <w:rPr>
            <w:rStyle w:val="Hyperlink"/>
          </w:rPr>
          <w:t>6.4</w:t>
        </w:r>
        <w:r w:rsidR="00A53DB4">
          <w:rPr>
            <w:rFonts w:asciiTheme="minorHAnsi" w:eastAsiaTheme="minorEastAsia" w:hAnsiTheme="minorHAnsi" w:cstheme="minorBidi"/>
            <w:color w:val="auto"/>
            <w:szCs w:val="22"/>
            <w:lang w:eastAsia="en-AU"/>
          </w:rPr>
          <w:tab/>
        </w:r>
        <w:r w:rsidR="00A53DB4" w:rsidRPr="00B841D0">
          <w:rPr>
            <w:rStyle w:val="Hyperlink"/>
          </w:rPr>
          <w:t>Application of AHPCS Version 3.1</w:t>
        </w:r>
        <w:r w:rsidR="00A53DB4">
          <w:rPr>
            <w:webHidden/>
          </w:rPr>
          <w:tab/>
        </w:r>
        <w:r w:rsidR="00A53DB4">
          <w:rPr>
            <w:webHidden/>
          </w:rPr>
          <w:fldChar w:fldCharType="begin"/>
        </w:r>
        <w:r w:rsidR="00A53DB4">
          <w:rPr>
            <w:webHidden/>
          </w:rPr>
          <w:instrText xml:space="preserve"> PAGEREF _Toc444523672 \h </w:instrText>
        </w:r>
        <w:r w:rsidR="00A53DB4">
          <w:rPr>
            <w:webHidden/>
          </w:rPr>
        </w:r>
        <w:r w:rsidR="00A53DB4">
          <w:rPr>
            <w:webHidden/>
          </w:rPr>
          <w:fldChar w:fldCharType="separate"/>
        </w:r>
        <w:r w:rsidR="00154CF7">
          <w:rPr>
            <w:webHidden/>
          </w:rPr>
          <w:t>107</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73" w:history="1">
        <w:r w:rsidR="00A53DB4" w:rsidRPr="00B841D0">
          <w:rPr>
            <w:rStyle w:val="Hyperlink"/>
          </w:rPr>
          <w:t>6.5</w:t>
        </w:r>
        <w:r w:rsidR="00A53DB4">
          <w:rPr>
            <w:rFonts w:asciiTheme="minorHAnsi" w:eastAsiaTheme="minorEastAsia" w:hAnsiTheme="minorHAnsi" w:cstheme="minorBidi"/>
            <w:color w:val="auto"/>
            <w:szCs w:val="22"/>
            <w:lang w:eastAsia="en-AU"/>
          </w:rPr>
          <w:tab/>
        </w:r>
        <w:r w:rsidR="00A53DB4" w:rsidRPr="00B841D0">
          <w:rPr>
            <w:rStyle w:val="Hyperlink"/>
          </w:rPr>
          <w:t>Conclusion</w:t>
        </w:r>
        <w:r w:rsidR="00A53DB4">
          <w:rPr>
            <w:webHidden/>
          </w:rPr>
          <w:tab/>
        </w:r>
        <w:r w:rsidR="00A53DB4">
          <w:rPr>
            <w:webHidden/>
          </w:rPr>
          <w:fldChar w:fldCharType="begin"/>
        </w:r>
        <w:r w:rsidR="00A53DB4">
          <w:rPr>
            <w:webHidden/>
          </w:rPr>
          <w:instrText xml:space="preserve"> PAGEREF _Toc444523673 \h </w:instrText>
        </w:r>
        <w:r w:rsidR="00A53DB4">
          <w:rPr>
            <w:webHidden/>
          </w:rPr>
        </w:r>
        <w:r w:rsidR="00A53DB4">
          <w:rPr>
            <w:webHidden/>
          </w:rPr>
          <w:fldChar w:fldCharType="separate"/>
        </w:r>
        <w:r w:rsidR="00154CF7">
          <w:rPr>
            <w:webHidden/>
          </w:rPr>
          <w:t>108</w:t>
        </w:r>
        <w:r w:rsidR="00A53DB4">
          <w:rPr>
            <w:webHidden/>
          </w:rPr>
          <w:fldChar w:fldCharType="end"/>
        </w:r>
      </w:hyperlink>
    </w:p>
    <w:p w:rsidR="00A53DB4" w:rsidRDefault="006C6044">
      <w:pPr>
        <w:pStyle w:val="TOC1"/>
        <w:rPr>
          <w:rFonts w:asciiTheme="minorHAnsi" w:eastAsiaTheme="minorEastAsia" w:hAnsiTheme="minorHAnsi" w:cstheme="minorBidi"/>
          <w:color w:val="auto"/>
          <w:szCs w:val="22"/>
          <w:lang w:eastAsia="en-AU"/>
        </w:rPr>
      </w:pPr>
      <w:hyperlink w:anchor="_Toc444523674" w:history="1">
        <w:r w:rsidR="00A53DB4" w:rsidRPr="00B841D0">
          <w:rPr>
            <w:rStyle w:val="Hyperlink"/>
          </w:rPr>
          <w:t>7.</w:t>
        </w:r>
        <w:r w:rsidR="00A53DB4">
          <w:rPr>
            <w:rFonts w:asciiTheme="minorHAnsi" w:eastAsiaTheme="minorEastAsia" w:hAnsiTheme="minorHAnsi" w:cstheme="minorBidi"/>
            <w:color w:val="auto"/>
            <w:szCs w:val="22"/>
            <w:lang w:eastAsia="en-AU"/>
          </w:rPr>
          <w:tab/>
        </w:r>
        <w:r w:rsidR="00A53DB4" w:rsidRPr="00B841D0">
          <w:rPr>
            <w:rStyle w:val="Hyperlink"/>
          </w:rPr>
          <w:t>Tasmania</w:t>
        </w:r>
        <w:r w:rsidR="00A53DB4">
          <w:rPr>
            <w:webHidden/>
          </w:rPr>
          <w:tab/>
        </w:r>
        <w:r w:rsidR="00A53DB4">
          <w:rPr>
            <w:webHidden/>
          </w:rPr>
          <w:fldChar w:fldCharType="begin"/>
        </w:r>
        <w:r w:rsidR="00A53DB4">
          <w:rPr>
            <w:webHidden/>
          </w:rPr>
          <w:instrText xml:space="preserve"> PAGEREF _Toc444523674 \h </w:instrText>
        </w:r>
        <w:r w:rsidR="00A53DB4">
          <w:rPr>
            <w:webHidden/>
          </w:rPr>
        </w:r>
        <w:r w:rsidR="00A53DB4">
          <w:rPr>
            <w:webHidden/>
          </w:rPr>
          <w:fldChar w:fldCharType="separate"/>
        </w:r>
        <w:r w:rsidR="00154CF7">
          <w:rPr>
            <w:webHidden/>
          </w:rPr>
          <w:t>110</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75" w:history="1">
        <w:r w:rsidR="00A53DB4" w:rsidRPr="00B841D0">
          <w:rPr>
            <w:rStyle w:val="Hyperlink"/>
          </w:rPr>
          <w:t>7.1</w:t>
        </w:r>
        <w:r w:rsidR="00A53DB4">
          <w:rPr>
            <w:rFonts w:asciiTheme="minorHAnsi" w:eastAsiaTheme="minorEastAsia" w:hAnsiTheme="minorHAnsi" w:cstheme="minorBidi"/>
            <w:color w:val="auto"/>
            <w:szCs w:val="22"/>
            <w:lang w:eastAsia="en-AU"/>
          </w:rPr>
          <w:tab/>
        </w:r>
        <w:r w:rsidR="00A53DB4" w:rsidRPr="00B841D0">
          <w:rPr>
            <w:rStyle w:val="Hyperlink"/>
          </w:rPr>
          <w:t>Jurisdictional overview</w:t>
        </w:r>
        <w:r w:rsidR="00A53DB4">
          <w:rPr>
            <w:webHidden/>
          </w:rPr>
          <w:tab/>
        </w:r>
        <w:r w:rsidR="00A53DB4">
          <w:rPr>
            <w:webHidden/>
          </w:rPr>
          <w:fldChar w:fldCharType="begin"/>
        </w:r>
        <w:r w:rsidR="00A53DB4">
          <w:rPr>
            <w:webHidden/>
          </w:rPr>
          <w:instrText xml:space="preserve"> PAGEREF _Toc444523675 \h </w:instrText>
        </w:r>
        <w:r w:rsidR="00A53DB4">
          <w:rPr>
            <w:webHidden/>
          </w:rPr>
        </w:r>
        <w:r w:rsidR="00A53DB4">
          <w:rPr>
            <w:webHidden/>
          </w:rPr>
          <w:fldChar w:fldCharType="separate"/>
        </w:r>
        <w:r w:rsidR="00154CF7">
          <w:rPr>
            <w:webHidden/>
          </w:rPr>
          <w:t>110</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76" w:history="1">
        <w:r w:rsidR="00A53DB4" w:rsidRPr="00B841D0">
          <w:rPr>
            <w:rStyle w:val="Hyperlink"/>
          </w:rPr>
          <w:t>7.2</w:t>
        </w:r>
        <w:r w:rsidR="00A53DB4">
          <w:rPr>
            <w:rFonts w:asciiTheme="minorHAnsi" w:eastAsiaTheme="minorEastAsia" w:hAnsiTheme="minorHAnsi" w:cstheme="minorBidi"/>
            <w:color w:val="auto"/>
            <w:szCs w:val="22"/>
            <w:lang w:eastAsia="en-AU"/>
          </w:rPr>
          <w:tab/>
        </w:r>
        <w:r w:rsidR="00A53DB4" w:rsidRPr="00B841D0">
          <w:rPr>
            <w:rStyle w:val="Hyperlink"/>
          </w:rPr>
          <w:t>Royal Hobart Hospital</w:t>
        </w:r>
        <w:r w:rsidR="00A53DB4">
          <w:rPr>
            <w:webHidden/>
          </w:rPr>
          <w:tab/>
        </w:r>
        <w:r w:rsidR="00A53DB4">
          <w:rPr>
            <w:webHidden/>
          </w:rPr>
          <w:fldChar w:fldCharType="begin"/>
        </w:r>
        <w:r w:rsidR="00A53DB4">
          <w:rPr>
            <w:webHidden/>
          </w:rPr>
          <w:instrText xml:space="preserve"> PAGEREF _Toc444523676 \h </w:instrText>
        </w:r>
        <w:r w:rsidR="00A53DB4">
          <w:rPr>
            <w:webHidden/>
          </w:rPr>
        </w:r>
        <w:r w:rsidR="00A53DB4">
          <w:rPr>
            <w:webHidden/>
          </w:rPr>
          <w:fldChar w:fldCharType="separate"/>
        </w:r>
        <w:r w:rsidR="00154CF7">
          <w:rPr>
            <w:webHidden/>
          </w:rPr>
          <w:t>111</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77" w:history="1">
        <w:r w:rsidR="00A53DB4" w:rsidRPr="00B841D0">
          <w:rPr>
            <w:rStyle w:val="Hyperlink"/>
          </w:rPr>
          <w:t>7.3</w:t>
        </w:r>
        <w:r w:rsidR="00A53DB4">
          <w:rPr>
            <w:rFonts w:asciiTheme="minorHAnsi" w:eastAsiaTheme="minorEastAsia" w:hAnsiTheme="minorHAnsi" w:cstheme="minorBidi"/>
            <w:color w:val="auto"/>
            <w:szCs w:val="22"/>
            <w:lang w:eastAsia="en-AU"/>
          </w:rPr>
          <w:tab/>
        </w:r>
        <w:r w:rsidR="00A53DB4" w:rsidRPr="00B841D0">
          <w:rPr>
            <w:rStyle w:val="Hyperlink"/>
          </w:rPr>
          <w:t>Application of AHPCS Version 3.1</w:t>
        </w:r>
        <w:r w:rsidR="00A53DB4">
          <w:rPr>
            <w:webHidden/>
          </w:rPr>
          <w:tab/>
        </w:r>
        <w:r w:rsidR="00A53DB4">
          <w:rPr>
            <w:webHidden/>
          </w:rPr>
          <w:fldChar w:fldCharType="begin"/>
        </w:r>
        <w:r w:rsidR="00A53DB4">
          <w:rPr>
            <w:webHidden/>
          </w:rPr>
          <w:instrText xml:space="preserve"> PAGEREF _Toc444523677 \h </w:instrText>
        </w:r>
        <w:r w:rsidR="00A53DB4">
          <w:rPr>
            <w:webHidden/>
          </w:rPr>
        </w:r>
        <w:r w:rsidR="00A53DB4">
          <w:rPr>
            <w:webHidden/>
          </w:rPr>
          <w:fldChar w:fldCharType="separate"/>
        </w:r>
        <w:r w:rsidR="00154CF7">
          <w:rPr>
            <w:webHidden/>
          </w:rPr>
          <w:t>119</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78" w:history="1">
        <w:r w:rsidR="00A53DB4" w:rsidRPr="00B841D0">
          <w:rPr>
            <w:rStyle w:val="Hyperlink"/>
          </w:rPr>
          <w:t>7.4</w:t>
        </w:r>
        <w:r w:rsidR="00A53DB4">
          <w:rPr>
            <w:rFonts w:asciiTheme="minorHAnsi" w:eastAsiaTheme="minorEastAsia" w:hAnsiTheme="minorHAnsi" w:cstheme="minorBidi"/>
            <w:color w:val="auto"/>
            <w:szCs w:val="22"/>
            <w:lang w:eastAsia="en-AU"/>
          </w:rPr>
          <w:tab/>
        </w:r>
        <w:r w:rsidR="00A53DB4" w:rsidRPr="00B841D0">
          <w:rPr>
            <w:rStyle w:val="Hyperlink"/>
          </w:rPr>
          <w:t>Conclusion</w:t>
        </w:r>
        <w:r w:rsidR="00A53DB4">
          <w:rPr>
            <w:webHidden/>
          </w:rPr>
          <w:tab/>
        </w:r>
        <w:r w:rsidR="00A53DB4">
          <w:rPr>
            <w:webHidden/>
          </w:rPr>
          <w:fldChar w:fldCharType="begin"/>
        </w:r>
        <w:r w:rsidR="00A53DB4">
          <w:rPr>
            <w:webHidden/>
          </w:rPr>
          <w:instrText xml:space="preserve"> PAGEREF _Toc444523678 \h </w:instrText>
        </w:r>
        <w:r w:rsidR="00A53DB4">
          <w:rPr>
            <w:webHidden/>
          </w:rPr>
        </w:r>
        <w:r w:rsidR="00A53DB4">
          <w:rPr>
            <w:webHidden/>
          </w:rPr>
          <w:fldChar w:fldCharType="separate"/>
        </w:r>
        <w:r w:rsidR="00154CF7">
          <w:rPr>
            <w:webHidden/>
          </w:rPr>
          <w:t>120</w:t>
        </w:r>
        <w:r w:rsidR="00A53DB4">
          <w:rPr>
            <w:webHidden/>
          </w:rPr>
          <w:fldChar w:fldCharType="end"/>
        </w:r>
      </w:hyperlink>
    </w:p>
    <w:p w:rsidR="00A53DB4" w:rsidRDefault="006C6044">
      <w:pPr>
        <w:pStyle w:val="TOC1"/>
        <w:rPr>
          <w:rFonts w:asciiTheme="minorHAnsi" w:eastAsiaTheme="minorEastAsia" w:hAnsiTheme="minorHAnsi" w:cstheme="minorBidi"/>
          <w:color w:val="auto"/>
          <w:szCs w:val="22"/>
          <w:lang w:eastAsia="en-AU"/>
        </w:rPr>
      </w:pPr>
      <w:hyperlink w:anchor="_Toc444523679" w:history="1">
        <w:r w:rsidR="00A53DB4" w:rsidRPr="00B841D0">
          <w:rPr>
            <w:rStyle w:val="Hyperlink"/>
          </w:rPr>
          <w:t>8.</w:t>
        </w:r>
        <w:r w:rsidR="00A53DB4">
          <w:rPr>
            <w:rFonts w:asciiTheme="minorHAnsi" w:eastAsiaTheme="minorEastAsia" w:hAnsiTheme="minorHAnsi" w:cstheme="minorBidi"/>
            <w:color w:val="auto"/>
            <w:szCs w:val="22"/>
            <w:lang w:eastAsia="en-AU"/>
          </w:rPr>
          <w:tab/>
        </w:r>
        <w:r w:rsidR="00A53DB4" w:rsidRPr="00B841D0">
          <w:rPr>
            <w:rStyle w:val="Hyperlink"/>
          </w:rPr>
          <w:t>Victoria</w:t>
        </w:r>
        <w:r w:rsidR="00A53DB4">
          <w:rPr>
            <w:webHidden/>
          </w:rPr>
          <w:tab/>
        </w:r>
        <w:r w:rsidR="00A53DB4">
          <w:rPr>
            <w:webHidden/>
          </w:rPr>
          <w:fldChar w:fldCharType="begin"/>
        </w:r>
        <w:r w:rsidR="00A53DB4">
          <w:rPr>
            <w:webHidden/>
          </w:rPr>
          <w:instrText xml:space="preserve"> PAGEREF _Toc444523679 \h </w:instrText>
        </w:r>
        <w:r w:rsidR="00A53DB4">
          <w:rPr>
            <w:webHidden/>
          </w:rPr>
        </w:r>
        <w:r w:rsidR="00A53DB4">
          <w:rPr>
            <w:webHidden/>
          </w:rPr>
          <w:fldChar w:fldCharType="separate"/>
        </w:r>
        <w:r w:rsidR="00154CF7">
          <w:rPr>
            <w:webHidden/>
          </w:rPr>
          <w:t>122</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80" w:history="1">
        <w:r w:rsidR="00A53DB4" w:rsidRPr="00B841D0">
          <w:rPr>
            <w:rStyle w:val="Hyperlink"/>
          </w:rPr>
          <w:t>8.1</w:t>
        </w:r>
        <w:r w:rsidR="00A53DB4">
          <w:rPr>
            <w:rFonts w:asciiTheme="minorHAnsi" w:eastAsiaTheme="minorEastAsia" w:hAnsiTheme="minorHAnsi" w:cstheme="minorBidi"/>
            <w:color w:val="auto"/>
            <w:szCs w:val="22"/>
            <w:lang w:eastAsia="en-AU"/>
          </w:rPr>
          <w:tab/>
        </w:r>
        <w:r w:rsidR="00A53DB4" w:rsidRPr="00B841D0">
          <w:rPr>
            <w:rStyle w:val="Hyperlink"/>
          </w:rPr>
          <w:t>Jurisdictional overview</w:t>
        </w:r>
        <w:r w:rsidR="00A53DB4">
          <w:rPr>
            <w:webHidden/>
          </w:rPr>
          <w:tab/>
        </w:r>
        <w:r w:rsidR="00A53DB4">
          <w:rPr>
            <w:webHidden/>
          </w:rPr>
          <w:fldChar w:fldCharType="begin"/>
        </w:r>
        <w:r w:rsidR="00A53DB4">
          <w:rPr>
            <w:webHidden/>
          </w:rPr>
          <w:instrText xml:space="preserve"> PAGEREF _Toc444523680 \h </w:instrText>
        </w:r>
        <w:r w:rsidR="00A53DB4">
          <w:rPr>
            <w:webHidden/>
          </w:rPr>
        </w:r>
        <w:r w:rsidR="00A53DB4">
          <w:rPr>
            <w:webHidden/>
          </w:rPr>
          <w:fldChar w:fldCharType="separate"/>
        </w:r>
        <w:r w:rsidR="00154CF7">
          <w:rPr>
            <w:webHidden/>
          </w:rPr>
          <w:t>122</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81" w:history="1">
        <w:r w:rsidR="00A53DB4" w:rsidRPr="00B841D0">
          <w:rPr>
            <w:rStyle w:val="Hyperlink"/>
          </w:rPr>
          <w:t>8.2</w:t>
        </w:r>
        <w:r w:rsidR="00A53DB4">
          <w:rPr>
            <w:rFonts w:asciiTheme="minorHAnsi" w:eastAsiaTheme="minorEastAsia" w:hAnsiTheme="minorHAnsi" w:cstheme="minorBidi"/>
            <w:color w:val="auto"/>
            <w:szCs w:val="22"/>
            <w:lang w:eastAsia="en-AU"/>
          </w:rPr>
          <w:tab/>
        </w:r>
        <w:r w:rsidR="00A53DB4" w:rsidRPr="00B841D0">
          <w:rPr>
            <w:rStyle w:val="Hyperlink"/>
          </w:rPr>
          <w:t>St Vincent’s Hospital</w:t>
        </w:r>
        <w:r w:rsidR="00A53DB4">
          <w:rPr>
            <w:webHidden/>
          </w:rPr>
          <w:tab/>
        </w:r>
        <w:r w:rsidR="00A53DB4">
          <w:rPr>
            <w:webHidden/>
          </w:rPr>
          <w:fldChar w:fldCharType="begin"/>
        </w:r>
        <w:r w:rsidR="00A53DB4">
          <w:rPr>
            <w:webHidden/>
          </w:rPr>
          <w:instrText xml:space="preserve"> PAGEREF _Toc444523681 \h </w:instrText>
        </w:r>
        <w:r w:rsidR="00A53DB4">
          <w:rPr>
            <w:webHidden/>
          </w:rPr>
        </w:r>
        <w:r w:rsidR="00A53DB4">
          <w:rPr>
            <w:webHidden/>
          </w:rPr>
          <w:fldChar w:fldCharType="separate"/>
        </w:r>
        <w:r w:rsidR="00154CF7">
          <w:rPr>
            <w:webHidden/>
          </w:rPr>
          <w:t>122</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82" w:history="1">
        <w:r w:rsidR="00A53DB4" w:rsidRPr="00B841D0">
          <w:rPr>
            <w:rStyle w:val="Hyperlink"/>
          </w:rPr>
          <w:t>8.3</w:t>
        </w:r>
        <w:r w:rsidR="00A53DB4">
          <w:rPr>
            <w:rFonts w:asciiTheme="minorHAnsi" w:eastAsiaTheme="minorEastAsia" w:hAnsiTheme="minorHAnsi" w:cstheme="minorBidi"/>
            <w:color w:val="auto"/>
            <w:szCs w:val="22"/>
            <w:lang w:eastAsia="en-AU"/>
          </w:rPr>
          <w:tab/>
        </w:r>
        <w:r w:rsidR="00A53DB4" w:rsidRPr="00B841D0">
          <w:rPr>
            <w:rStyle w:val="Hyperlink"/>
          </w:rPr>
          <w:t>Royal Victorian Eye and Ear Hospital</w:t>
        </w:r>
        <w:r w:rsidR="00A53DB4">
          <w:rPr>
            <w:webHidden/>
          </w:rPr>
          <w:tab/>
        </w:r>
        <w:r w:rsidR="00A53DB4">
          <w:rPr>
            <w:webHidden/>
          </w:rPr>
          <w:fldChar w:fldCharType="begin"/>
        </w:r>
        <w:r w:rsidR="00A53DB4">
          <w:rPr>
            <w:webHidden/>
          </w:rPr>
          <w:instrText xml:space="preserve"> PAGEREF _Toc444523682 \h </w:instrText>
        </w:r>
        <w:r w:rsidR="00A53DB4">
          <w:rPr>
            <w:webHidden/>
          </w:rPr>
        </w:r>
        <w:r w:rsidR="00A53DB4">
          <w:rPr>
            <w:webHidden/>
          </w:rPr>
          <w:fldChar w:fldCharType="separate"/>
        </w:r>
        <w:r w:rsidR="00154CF7">
          <w:rPr>
            <w:webHidden/>
          </w:rPr>
          <w:t>132</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83" w:history="1">
        <w:r w:rsidR="00A53DB4" w:rsidRPr="00B841D0">
          <w:rPr>
            <w:rStyle w:val="Hyperlink"/>
          </w:rPr>
          <w:t>8.4</w:t>
        </w:r>
        <w:r w:rsidR="00A53DB4">
          <w:rPr>
            <w:rFonts w:asciiTheme="minorHAnsi" w:eastAsiaTheme="minorEastAsia" w:hAnsiTheme="minorHAnsi" w:cstheme="minorBidi"/>
            <w:color w:val="auto"/>
            <w:szCs w:val="22"/>
            <w:lang w:eastAsia="en-AU"/>
          </w:rPr>
          <w:tab/>
        </w:r>
        <w:r w:rsidR="00A53DB4" w:rsidRPr="00B841D0">
          <w:rPr>
            <w:rStyle w:val="Hyperlink"/>
          </w:rPr>
          <w:t>Application of AHPCS Version 3.1</w:t>
        </w:r>
        <w:r w:rsidR="00A53DB4">
          <w:rPr>
            <w:webHidden/>
          </w:rPr>
          <w:tab/>
        </w:r>
        <w:r w:rsidR="00A53DB4">
          <w:rPr>
            <w:webHidden/>
          </w:rPr>
          <w:fldChar w:fldCharType="begin"/>
        </w:r>
        <w:r w:rsidR="00A53DB4">
          <w:rPr>
            <w:webHidden/>
          </w:rPr>
          <w:instrText xml:space="preserve"> PAGEREF _Toc444523683 \h </w:instrText>
        </w:r>
        <w:r w:rsidR="00A53DB4">
          <w:rPr>
            <w:webHidden/>
          </w:rPr>
        </w:r>
        <w:r w:rsidR="00A53DB4">
          <w:rPr>
            <w:webHidden/>
          </w:rPr>
          <w:fldChar w:fldCharType="separate"/>
        </w:r>
        <w:r w:rsidR="00154CF7">
          <w:rPr>
            <w:webHidden/>
          </w:rPr>
          <w:t>139</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84" w:history="1">
        <w:r w:rsidR="00A53DB4" w:rsidRPr="00B841D0">
          <w:rPr>
            <w:rStyle w:val="Hyperlink"/>
          </w:rPr>
          <w:t>8.5</w:t>
        </w:r>
        <w:r w:rsidR="00A53DB4">
          <w:rPr>
            <w:rFonts w:asciiTheme="minorHAnsi" w:eastAsiaTheme="minorEastAsia" w:hAnsiTheme="minorHAnsi" w:cstheme="minorBidi"/>
            <w:color w:val="auto"/>
            <w:szCs w:val="22"/>
            <w:lang w:eastAsia="en-AU"/>
          </w:rPr>
          <w:tab/>
        </w:r>
        <w:r w:rsidR="00A53DB4" w:rsidRPr="00B841D0">
          <w:rPr>
            <w:rStyle w:val="Hyperlink"/>
          </w:rPr>
          <w:t>Conclusion</w:t>
        </w:r>
        <w:r w:rsidR="00A53DB4">
          <w:rPr>
            <w:webHidden/>
          </w:rPr>
          <w:tab/>
        </w:r>
        <w:r w:rsidR="00A53DB4">
          <w:rPr>
            <w:webHidden/>
          </w:rPr>
          <w:fldChar w:fldCharType="begin"/>
        </w:r>
        <w:r w:rsidR="00A53DB4">
          <w:rPr>
            <w:webHidden/>
          </w:rPr>
          <w:instrText xml:space="preserve"> PAGEREF _Toc444523684 \h </w:instrText>
        </w:r>
        <w:r w:rsidR="00A53DB4">
          <w:rPr>
            <w:webHidden/>
          </w:rPr>
        </w:r>
        <w:r w:rsidR="00A53DB4">
          <w:rPr>
            <w:webHidden/>
          </w:rPr>
          <w:fldChar w:fldCharType="separate"/>
        </w:r>
        <w:r w:rsidR="00154CF7">
          <w:rPr>
            <w:webHidden/>
          </w:rPr>
          <w:t>140</w:t>
        </w:r>
        <w:r w:rsidR="00A53DB4">
          <w:rPr>
            <w:webHidden/>
          </w:rPr>
          <w:fldChar w:fldCharType="end"/>
        </w:r>
      </w:hyperlink>
    </w:p>
    <w:p w:rsidR="00A53DB4" w:rsidRDefault="006C6044">
      <w:pPr>
        <w:pStyle w:val="TOC1"/>
        <w:rPr>
          <w:rFonts w:asciiTheme="minorHAnsi" w:eastAsiaTheme="minorEastAsia" w:hAnsiTheme="minorHAnsi" w:cstheme="minorBidi"/>
          <w:color w:val="auto"/>
          <w:szCs w:val="22"/>
          <w:lang w:eastAsia="en-AU"/>
        </w:rPr>
      </w:pPr>
      <w:hyperlink w:anchor="_Toc444523685" w:history="1">
        <w:r w:rsidR="00A53DB4" w:rsidRPr="00B841D0">
          <w:rPr>
            <w:rStyle w:val="Hyperlink"/>
          </w:rPr>
          <w:t>9.</w:t>
        </w:r>
        <w:r w:rsidR="00A53DB4">
          <w:rPr>
            <w:rFonts w:asciiTheme="minorHAnsi" w:eastAsiaTheme="minorEastAsia" w:hAnsiTheme="minorHAnsi" w:cstheme="minorBidi"/>
            <w:color w:val="auto"/>
            <w:szCs w:val="22"/>
            <w:lang w:eastAsia="en-AU"/>
          </w:rPr>
          <w:tab/>
        </w:r>
        <w:r w:rsidR="00A53DB4" w:rsidRPr="00B841D0">
          <w:rPr>
            <w:rStyle w:val="Hyperlink"/>
          </w:rPr>
          <w:t>Western Australia</w:t>
        </w:r>
        <w:r w:rsidR="00A53DB4">
          <w:rPr>
            <w:webHidden/>
          </w:rPr>
          <w:tab/>
        </w:r>
        <w:r w:rsidR="00A53DB4">
          <w:rPr>
            <w:webHidden/>
          </w:rPr>
          <w:fldChar w:fldCharType="begin"/>
        </w:r>
        <w:r w:rsidR="00A53DB4">
          <w:rPr>
            <w:webHidden/>
          </w:rPr>
          <w:instrText xml:space="preserve"> PAGEREF _Toc444523685 \h </w:instrText>
        </w:r>
        <w:r w:rsidR="00A53DB4">
          <w:rPr>
            <w:webHidden/>
          </w:rPr>
        </w:r>
        <w:r w:rsidR="00A53DB4">
          <w:rPr>
            <w:webHidden/>
          </w:rPr>
          <w:fldChar w:fldCharType="separate"/>
        </w:r>
        <w:r w:rsidR="00154CF7">
          <w:rPr>
            <w:webHidden/>
          </w:rPr>
          <w:t>142</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86" w:history="1">
        <w:r w:rsidR="00A53DB4" w:rsidRPr="00B841D0">
          <w:rPr>
            <w:rStyle w:val="Hyperlink"/>
          </w:rPr>
          <w:t>9.1</w:t>
        </w:r>
        <w:r w:rsidR="00A53DB4">
          <w:rPr>
            <w:rFonts w:asciiTheme="minorHAnsi" w:eastAsiaTheme="minorEastAsia" w:hAnsiTheme="minorHAnsi" w:cstheme="minorBidi"/>
            <w:color w:val="auto"/>
            <w:szCs w:val="22"/>
            <w:lang w:eastAsia="en-AU"/>
          </w:rPr>
          <w:tab/>
        </w:r>
        <w:r w:rsidR="00A53DB4" w:rsidRPr="00B841D0">
          <w:rPr>
            <w:rStyle w:val="Hyperlink"/>
          </w:rPr>
          <w:t>Jurisdictional overview</w:t>
        </w:r>
        <w:r w:rsidR="00A53DB4">
          <w:rPr>
            <w:webHidden/>
          </w:rPr>
          <w:tab/>
        </w:r>
        <w:r w:rsidR="00A53DB4">
          <w:rPr>
            <w:webHidden/>
          </w:rPr>
          <w:fldChar w:fldCharType="begin"/>
        </w:r>
        <w:r w:rsidR="00A53DB4">
          <w:rPr>
            <w:webHidden/>
          </w:rPr>
          <w:instrText xml:space="preserve"> PAGEREF _Toc444523686 \h </w:instrText>
        </w:r>
        <w:r w:rsidR="00A53DB4">
          <w:rPr>
            <w:webHidden/>
          </w:rPr>
        </w:r>
        <w:r w:rsidR="00A53DB4">
          <w:rPr>
            <w:webHidden/>
          </w:rPr>
          <w:fldChar w:fldCharType="separate"/>
        </w:r>
        <w:r w:rsidR="00154CF7">
          <w:rPr>
            <w:webHidden/>
          </w:rPr>
          <w:t>142</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87" w:history="1">
        <w:r w:rsidR="00A53DB4" w:rsidRPr="00B841D0">
          <w:rPr>
            <w:rStyle w:val="Hyperlink"/>
          </w:rPr>
          <w:t>9.2</w:t>
        </w:r>
        <w:r w:rsidR="00A53DB4">
          <w:rPr>
            <w:rFonts w:asciiTheme="minorHAnsi" w:eastAsiaTheme="minorEastAsia" w:hAnsiTheme="minorHAnsi" w:cstheme="minorBidi"/>
            <w:color w:val="auto"/>
            <w:szCs w:val="22"/>
            <w:lang w:eastAsia="en-AU"/>
          </w:rPr>
          <w:tab/>
        </w:r>
        <w:r w:rsidR="00A53DB4" w:rsidRPr="00B841D0">
          <w:rPr>
            <w:rStyle w:val="Hyperlink"/>
          </w:rPr>
          <w:t>Rockingham General Hospital</w:t>
        </w:r>
        <w:r w:rsidR="00A53DB4">
          <w:rPr>
            <w:webHidden/>
          </w:rPr>
          <w:tab/>
        </w:r>
        <w:r w:rsidR="00A53DB4">
          <w:rPr>
            <w:webHidden/>
          </w:rPr>
          <w:fldChar w:fldCharType="begin"/>
        </w:r>
        <w:r w:rsidR="00A53DB4">
          <w:rPr>
            <w:webHidden/>
          </w:rPr>
          <w:instrText xml:space="preserve"> PAGEREF _Toc444523687 \h </w:instrText>
        </w:r>
        <w:r w:rsidR="00A53DB4">
          <w:rPr>
            <w:webHidden/>
          </w:rPr>
        </w:r>
        <w:r w:rsidR="00A53DB4">
          <w:rPr>
            <w:webHidden/>
          </w:rPr>
          <w:fldChar w:fldCharType="separate"/>
        </w:r>
        <w:r w:rsidR="00154CF7">
          <w:rPr>
            <w:webHidden/>
          </w:rPr>
          <w:t>143</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88" w:history="1">
        <w:r w:rsidR="00A53DB4" w:rsidRPr="00B841D0">
          <w:rPr>
            <w:rStyle w:val="Hyperlink"/>
          </w:rPr>
          <w:t>9.3</w:t>
        </w:r>
        <w:r w:rsidR="00A53DB4">
          <w:rPr>
            <w:rFonts w:asciiTheme="minorHAnsi" w:eastAsiaTheme="minorEastAsia" w:hAnsiTheme="minorHAnsi" w:cstheme="minorBidi"/>
            <w:color w:val="auto"/>
            <w:szCs w:val="22"/>
            <w:lang w:eastAsia="en-AU"/>
          </w:rPr>
          <w:tab/>
        </w:r>
        <w:r w:rsidR="00A53DB4" w:rsidRPr="00B841D0">
          <w:rPr>
            <w:rStyle w:val="Hyperlink"/>
          </w:rPr>
          <w:t>Princess Margaret Hospital</w:t>
        </w:r>
        <w:r w:rsidR="00A53DB4">
          <w:rPr>
            <w:webHidden/>
          </w:rPr>
          <w:tab/>
        </w:r>
        <w:r w:rsidR="00A53DB4">
          <w:rPr>
            <w:webHidden/>
          </w:rPr>
          <w:fldChar w:fldCharType="begin"/>
        </w:r>
        <w:r w:rsidR="00A53DB4">
          <w:rPr>
            <w:webHidden/>
          </w:rPr>
          <w:instrText xml:space="preserve"> PAGEREF _Toc444523688 \h </w:instrText>
        </w:r>
        <w:r w:rsidR="00A53DB4">
          <w:rPr>
            <w:webHidden/>
          </w:rPr>
        </w:r>
        <w:r w:rsidR="00A53DB4">
          <w:rPr>
            <w:webHidden/>
          </w:rPr>
          <w:fldChar w:fldCharType="separate"/>
        </w:r>
        <w:r w:rsidR="00154CF7">
          <w:rPr>
            <w:webHidden/>
          </w:rPr>
          <w:t>151</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89" w:history="1">
        <w:r w:rsidR="00A53DB4" w:rsidRPr="00B841D0">
          <w:rPr>
            <w:rStyle w:val="Hyperlink"/>
          </w:rPr>
          <w:t>9.4</w:t>
        </w:r>
        <w:r w:rsidR="00A53DB4">
          <w:rPr>
            <w:rFonts w:asciiTheme="minorHAnsi" w:eastAsiaTheme="minorEastAsia" w:hAnsiTheme="minorHAnsi" w:cstheme="minorBidi"/>
            <w:color w:val="auto"/>
            <w:szCs w:val="22"/>
            <w:lang w:eastAsia="en-AU"/>
          </w:rPr>
          <w:tab/>
        </w:r>
        <w:r w:rsidR="00A53DB4" w:rsidRPr="00B841D0">
          <w:rPr>
            <w:rStyle w:val="Hyperlink"/>
          </w:rPr>
          <w:t>Application of AHPCS Version 3.1</w:t>
        </w:r>
        <w:r w:rsidR="00A53DB4">
          <w:rPr>
            <w:webHidden/>
          </w:rPr>
          <w:tab/>
        </w:r>
        <w:r w:rsidR="00A53DB4">
          <w:rPr>
            <w:webHidden/>
          </w:rPr>
          <w:fldChar w:fldCharType="begin"/>
        </w:r>
        <w:r w:rsidR="00A53DB4">
          <w:rPr>
            <w:webHidden/>
          </w:rPr>
          <w:instrText xml:space="preserve"> PAGEREF _Toc444523689 \h </w:instrText>
        </w:r>
        <w:r w:rsidR="00A53DB4">
          <w:rPr>
            <w:webHidden/>
          </w:rPr>
        </w:r>
        <w:r w:rsidR="00A53DB4">
          <w:rPr>
            <w:webHidden/>
          </w:rPr>
          <w:fldChar w:fldCharType="separate"/>
        </w:r>
        <w:r w:rsidR="00154CF7">
          <w:rPr>
            <w:webHidden/>
          </w:rPr>
          <w:t>158</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90" w:history="1">
        <w:r w:rsidR="00A53DB4" w:rsidRPr="00B841D0">
          <w:rPr>
            <w:rStyle w:val="Hyperlink"/>
          </w:rPr>
          <w:t>9.5</w:t>
        </w:r>
        <w:r w:rsidR="00A53DB4">
          <w:rPr>
            <w:rFonts w:asciiTheme="minorHAnsi" w:eastAsiaTheme="minorEastAsia" w:hAnsiTheme="minorHAnsi" w:cstheme="minorBidi"/>
            <w:color w:val="auto"/>
            <w:szCs w:val="22"/>
            <w:lang w:eastAsia="en-AU"/>
          </w:rPr>
          <w:tab/>
        </w:r>
        <w:r w:rsidR="00A53DB4" w:rsidRPr="00B841D0">
          <w:rPr>
            <w:rStyle w:val="Hyperlink"/>
          </w:rPr>
          <w:t>Conclusion</w:t>
        </w:r>
        <w:r w:rsidR="00A53DB4">
          <w:rPr>
            <w:webHidden/>
          </w:rPr>
          <w:tab/>
        </w:r>
        <w:r w:rsidR="00A53DB4">
          <w:rPr>
            <w:webHidden/>
          </w:rPr>
          <w:fldChar w:fldCharType="begin"/>
        </w:r>
        <w:r w:rsidR="00A53DB4">
          <w:rPr>
            <w:webHidden/>
          </w:rPr>
          <w:instrText xml:space="preserve"> PAGEREF _Toc444523690 \h </w:instrText>
        </w:r>
        <w:r w:rsidR="00A53DB4">
          <w:rPr>
            <w:webHidden/>
          </w:rPr>
        </w:r>
        <w:r w:rsidR="00A53DB4">
          <w:rPr>
            <w:webHidden/>
          </w:rPr>
          <w:fldChar w:fldCharType="separate"/>
        </w:r>
        <w:r w:rsidR="00154CF7">
          <w:rPr>
            <w:webHidden/>
          </w:rPr>
          <w:t>160</w:t>
        </w:r>
        <w:r w:rsidR="00A53DB4">
          <w:rPr>
            <w:webHidden/>
          </w:rPr>
          <w:fldChar w:fldCharType="end"/>
        </w:r>
      </w:hyperlink>
    </w:p>
    <w:p w:rsidR="00A53DB4" w:rsidRDefault="006C6044">
      <w:pPr>
        <w:pStyle w:val="TOC1"/>
        <w:rPr>
          <w:rFonts w:asciiTheme="minorHAnsi" w:eastAsiaTheme="minorEastAsia" w:hAnsiTheme="minorHAnsi" w:cstheme="minorBidi"/>
          <w:color w:val="auto"/>
          <w:szCs w:val="22"/>
          <w:lang w:eastAsia="en-AU"/>
        </w:rPr>
      </w:pPr>
      <w:hyperlink w:anchor="_Toc444523691" w:history="1">
        <w:r w:rsidR="00A53DB4" w:rsidRPr="00B841D0">
          <w:rPr>
            <w:rStyle w:val="Hyperlink"/>
          </w:rPr>
          <w:t>10.</w:t>
        </w:r>
        <w:r w:rsidR="00A53DB4">
          <w:rPr>
            <w:rFonts w:asciiTheme="minorHAnsi" w:eastAsiaTheme="minorEastAsia" w:hAnsiTheme="minorHAnsi" w:cstheme="minorBidi"/>
            <w:color w:val="auto"/>
            <w:szCs w:val="22"/>
            <w:lang w:eastAsia="en-AU"/>
          </w:rPr>
          <w:tab/>
        </w:r>
        <w:r w:rsidR="00A53DB4" w:rsidRPr="00B841D0">
          <w:rPr>
            <w:rStyle w:val="Hyperlink"/>
          </w:rPr>
          <w:t>IHPA Process</w:t>
        </w:r>
        <w:r w:rsidR="00A53DB4">
          <w:rPr>
            <w:webHidden/>
          </w:rPr>
          <w:tab/>
        </w:r>
        <w:r w:rsidR="00A53DB4">
          <w:rPr>
            <w:webHidden/>
          </w:rPr>
          <w:fldChar w:fldCharType="begin"/>
        </w:r>
        <w:r w:rsidR="00A53DB4">
          <w:rPr>
            <w:webHidden/>
          </w:rPr>
          <w:instrText xml:space="preserve"> PAGEREF _Toc444523691 \h </w:instrText>
        </w:r>
        <w:r w:rsidR="00A53DB4">
          <w:rPr>
            <w:webHidden/>
          </w:rPr>
        </w:r>
        <w:r w:rsidR="00A53DB4">
          <w:rPr>
            <w:webHidden/>
          </w:rPr>
          <w:fldChar w:fldCharType="separate"/>
        </w:r>
        <w:r w:rsidR="00154CF7">
          <w:rPr>
            <w:webHidden/>
          </w:rPr>
          <w:t>162</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92" w:history="1">
        <w:r w:rsidR="00A53DB4" w:rsidRPr="00B841D0">
          <w:rPr>
            <w:rStyle w:val="Hyperlink"/>
          </w:rPr>
          <w:t>10.1</w:t>
        </w:r>
        <w:r w:rsidR="00A53DB4">
          <w:rPr>
            <w:rFonts w:asciiTheme="minorHAnsi" w:eastAsiaTheme="minorEastAsia" w:hAnsiTheme="minorHAnsi" w:cstheme="minorBidi"/>
            <w:color w:val="auto"/>
            <w:szCs w:val="22"/>
            <w:lang w:eastAsia="en-AU"/>
          </w:rPr>
          <w:tab/>
        </w:r>
        <w:r w:rsidR="00A53DB4" w:rsidRPr="00B841D0">
          <w:rPr>
            <w:rStyle w:val="Hyperlink"/>
          </w:rPr>
          <w:t>Overview</w:t>
        </w:r>
        <w:r w:rsidR="00A53DB4">
          <w:rPr>
            <w:webHidden/>
          </w:rPr>
          <w:tab/>
        </w:r>
        <w:r w:rsidR="00A53DB4">
          <w:rPr>
            <w:webHidden/>
          </w:rPr>
          <w:fldChar w:fldCharType="begin"/>
        </w:r>
        <w:r w:rsidR="00A53DB4">
          <w:rPr>
            <w:webHidden/>
          </w:rPr>
          <w:instrText xml:space="preserve"> PAGEREF _Toc444523692 \h </w:instrText>
        </w:r>
        <w:r w:rsidR="00A53DB4">
          <w:rPr>
            <w:webHidden/>
          </w:rPr>
        </w:r>
        <w:r w:rsidR="00A53DB4">
          <w:rPr>
            <w:webHidden/>
          </w:rPr>
          <w:fldChar w:fldCharType="separate"/>
        </w:r>
        <w:r w:rsidR="00154CF7">
          <w:rPr>
            <w:webHidden/>
          </w:rPr>
          <w:t>162</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93" w:history="1">
        <w:r w:rsidR="00A53DB4" w:rsidRPr="00B841D0">
          <w:rPr>
            <w:rStyle w:val="Hyperlink"/>
          </w:rPr>
          <w:t>10.2</w:t>
        </w:r>
        <w:r w:rsidR="00A53DB4">
          <w:rPr>
            <w:rFonts w:asciiTheme="minorHAnsi" w:eastAsiaTheme="minorEastAsia" w:hAnsiTheme="minorHAnsi" w:cstheme="minorBidi"/>
            <w:color w:val="auto"/>
            <w:szCs w:val="22"/>
            <w:lang w:eastAsia="en-AU"/>
          </w:rPr>
          <w:tab/>
        </w:r>
        <w:r w:rsidR="00A53DB4" w:rsidRPr="00B841D0">
          <w:rPr>
            <w:rStyle w:val="Hyperlink"/>
          </w:rPr>
          <w:t>IHPA NHCDC data submission process</w:t>
        </w:r>
        <w:r w:rsidR="00A53DB4">
          <w:rPr>
            <w:webHidden/>
          </w:rPr>
          <w:tab/>
        </w:r>
        <w:r w:rsidR="00A53DB4">
          <w:rPr>
            <w:webHidden/>
          </w:rPr>
          <w:fldChar w:fldCharType="begin"/>
        </w:r>
        <w:r w:rsidR="00A53DB4">
          <w:rPr>
            <w:webHidden/>
          </w:rPr>
          <w:instrText xml:space="preserve"> PAGEREF _Toc444523693 \h </w:instrText>
        </w:r>
        <w:r w:rsidR="00A53DB4">
          <w:rPr>
            <w:webHidden/>
          </w:rPr>
        </w:r>
        <w:r w:rsidR="00A53DB4">
          <w:rPr>
            <w:webHidden/>
          </w:rPr>
          <w:fldChar w:fldCharType="separate"/>
        </w:r>
        <w:r w:rsidR="00154CF7">
          <w:rPr>
            <w:webHidden/>
          </w:rPr>
          <w:t>162</w:t>
        </w:r>
        <w:r w:rsidR="00A53DB4">
          <w:rPr>
            <w:webHidden/>
          </w:rPr>
          <w:fldChar w:fldCharType="end"/>
        </w:r>
      </w:hyperlink>
    </w:p>
    <w:p w:rsidR="00A53DB4" w:rsidRDefault="006C6044">
      <w:pPr>
        <w:pStyle w:val="TOC1"/>
        <w:rPr>
          <w:rFonts w:asciiTheme="minorHAnsi" w:eastAsiaTheme="minorEastAsia" w:hAnsiTheme="minorHAnsi" w:cstheme="minorBidi"/>
          <w:color w:val="auto"/>
          <w:szCs w:val="22"/>
          <w:lang w:eastAsia="en-AU"/>
        </w:rPr>
      </w:pPr>
      <w:hyperlink w:anchor="_Toc444523694" w:history="1">
        <w:r w:rsidR="00A53DB4" w:rsidRPr="00B841D0">
          <w:rPr>
            <w:rStyle w:val="Hyperlink"/>
          </w:rPr>
          <w:t>Appendix A The NHCDC and patient level costing</w:t>
        </w:r>
        <w:r w:rsidR="00A53DB4">
          <w:rPr>
            <w:webHidden/>
          </w:rPr>
          <w:tab/>
        </w:r>
        <w:r w:rsidR="00A53DB4">
          <w:rPr>
            <w:webHidden/>
          </w:rPr>
          <w:fldChar w:fldCharType="begin"/>
        </w:r>
        <w:r w:rsidR="00A53DB4">
          <w:rPr>
            <w:webHidden/>
          </w:rPr>
          <w:instrText xml:space="preserve"> PAGEREF _Toc444523694 \h </w:instrText>
        </w:r>
        <w:r w:rsidR="00A53DB4">
          <w:rPr>
            <w:webHidden/>
          </w:rPr>
        </w:r>
        <w:r w:rsidR="00A53DB4">
          <w:rPr>
            <w:webHidden/>
          </w:rPr>
          <w:fldChar w:fldCharType="separate"/>
        </w:r>
        <w:r w:rsidR="00154CF7">
          <w:rPr>
            <w:webHidden/>
          </w:rPr>
          <w:t>166</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95" w:history="1">
        <w:r w:rsidR="00A53DB4" w:rsidRPr="00B841D0">
          <w:rPr>
            <w:rStyle w:val="Hyperlink"/>
          </w:rPr>
          <w:t>A1</w:t>
        </w:r>
        <w:r w:rsidR="00A53DB4">
          <w:rPr>
            <w:rFonts w:asciiTheme="minorHAnsi" w:eastAsiaTheme="minorEastAsia" w:hAnsiTheme="minorHAnsi" w:cstheme="minorBidi"/>
            <w:color w:val="auto"/>
            <w:szCs w:val="22"/>
            <w:lang w:eastAsia="en-AU"/>
          </w:rPr>
          <w:tab/>
        </w:r>
        <w:r w:rsidR="00A53DB4" w:rsidRPr="00B841D0">
          <w:rPr>
            <w:rStyle w:val="Hyperlink"/>
          </w:rPr>
          <w:t>The NHCDC</w:t>
        </w:r>
        <w:r w:rsidR="00A53DB4">
          <w:rPr>
            <w:webHidden/>
          </w:rPr>
          <w:tab/>
        </w:r>
        <w:r w:rsidR="00A53DB4">
          <w:rPr>
            <w:webHidden/>
          </w:rPr>
          <w:fldChar w:fldCharType="begin"/>
        </w:r>
        <w:r w:rsidR="00A53DB4">
          <w:rPr>
            <w:webHidden/>
          </w:rPr>
          <w:instrText xml:space="preserve"> PAGEREF _Toc444523695 \h </w:instrText>
        </w:r>
        <w:r w:rsidR="00A53DB4">
          <w:rPr>
            <w:webHidden/>
          </w:rPr>
        </w:r>
        <w:r w:rsidR="00A53DB4">
          <w:rPr>
            <w:webHidden/>
          </w:rPr>
          <w:fldChar w:fldCharType="separate"/>
        </w:r>
        <w:r w:rsidR="00154CF7">
          <w:rPr>
            <w:webHidden/>
          </w:rPr>
          <w:t>166</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96" w:history="1">
        <w:r w:rsidR="00A53DB4" w:rsidRPr="00B841D0">
          <w:rPr>
            <w:rStyle w:val="Hyperlink"/>
          </w:rPr>
          <w:t>A2</w:t>
        </w:r>
        <w:r w:rsidR="00A53DB4">
          <w:rPr>
            <w:rFonts w:asciiTheme="minorHAnsi" w:eastAsiaTheme="minorEastAsia" w:hAnsiTheme="minorHAnsi" w:cstheme="minorBidi"/>
            <w:color w:val="auto"/>
            <w:szCs w:val="22"/>
            <w:lang w:eastAsia="en-AU"/>
          </w:rPr>
          <w:tab/>
        </w:r>
        <w:r w:rsidR="00A53DB4" w:rsidRPr="00B841D0">
          <w:rPr>
            <w:rStyle w:val="Hyperlink"/>
          </w:rPr>
          <w:t>Patient level costing process</w:t>
        </w:r>
        <w:r w:rsidR="00A53DB4">
          <w:rPr>
            <w:webHidden/>
          </w:rPr>
          <w:tab/>
        </w:r>
        <w:r w:rsidR="00A53DB4">
          <w:rPr>
            <w:webHidden/>
          </w:rPr>
          <w:fldChar w:fldCharType="begin"/>
        </w:r>
        <w:r w:rsidR="00A53DB4">
          <w:rPr>
            <w:webHidden/>
          </w:rPr>
          <w:instrText xml:space="preserve"> PAGEREF _Toc444523696 \h </w:instrText>
        </w:r>
        <w:r w:rsidR="00A53DB4">
          <w:rPr>
            <w:webHidden/>
          </w:rPr>
        </w:r>
        <w:r w:rsidR="00A53DB4">
          <w:rPr>
            <w:webHidden/>
          </w:rPr>
          <w:fldChar w:fldCharType="separate"/>
        </w:r>
        <w:r w:rsidR="00154CF7">
          <w:rPr>
            <w:webHidden/>
          </w:rPr>
          <w:t>166</w:t>
        </w:r>
        <w:r w:rsidR="00A53DB4">
          <w:rPr>
            <w:webHidden/>
          </w:rPr>
          <w:fldChar w:fldCharType="end"/>
        </w:r>
      </w:hyperlink>
    </w:p>
    <w:p w:rsidR="00A53DB4" w:rsidRDefault="006C6044">
      <w:pPr>
        <w:pStyle w:val="TOC2"/>
        <w:rPr>
          <w:rFonts w:asciiTheme="minorHAnsi" w:eastAsiaTheme="minorEastAsia" w:hAnsiTheme="minorHAnsi" w:cstheme="minorBidi"/>
          <w:color w:val="auto"/>
          <w:szCs w:val="22"/>
          <w:lang w:eastAsia="en-AU"/>
        </w:rPr>
      </w:pPr>
      <w:hyperlink w:anchor="_Toc444523697" w:history="1">
        <w:r w:rsidR="00A53DB4" w:rsidRPr="00B841D0">
          <w:rPr>
            <w:rStyle w:val="Hyperlink"/>
          </w:rPr>
          <w:t>A3</w:t>
        </w:r>
        <w:r w:rsidR="00A53DB4">
          <w:rPr>
            <w:rFonts w:asciiTheme="minorHAnsi" w:eastAsiaTheme="minorEastAsia" w:hAnsiTheme="minorHAnsi" w:cstheme="minorBidi"/>
            <w:color w:val="auto"/>
            <w:szCs w:val="22"/>
            <w:lang w:eastAsia="en-AU"/>
          </w:rPr>
          <w:tab/>
        </w:r>
        <w:r w:rsidR="00A53DB4" w:rsidRPr="00B841D0">
          <w:rPr>
            <w:rStyle w:val="Hyperlink"/>
          </w:rPr>
          <w:t>The costing process</w:t>
        </w:r>
        <w:r w:rsidR="00A53DB4">
          <w:rPr>
            <w:webHidden/>
          </w:rPr>
          <w:tab/>
        </w:r>
        <w:r w:rsidR="00A53DB4">
          <w:rPr>
            <w:webHidden/>
          </w:rPr>
          <w:fldChar w:fldCharType="begin"/>
        </w:r>
        <w:r w:rsidR="00A53DB4">
          <w:rPr>
            <w:webHidden/>
          </w:rPr>
          <w:instrText xml:space="preserve"> PAGEREF _Toc444523697 \h </w:instrText>
        </w:r>
        <w:r w:rsidR="00A53DB4">
          <w:rPr>
            <w:webHidden/>
          </w:rPr>
        </w:r>
        <w:r w:rsidR="00A53DB4">
          <w:rPr>
            <w:webHidden/>
          </w:rPr>
          <w:fldChar w:fldCharType="separate"/>
        </w:r>
        <w:r w:rsidR="00154CF7">
          <w:rPr>
            <w:webHidden/>
          </w:rPr>
          <w:t>167</w:t>
        </w:r>
        <w:r w:rsidR="00A53DB4">
          <w:rPr>
            <w:webHidden/>
          </w:rPr>
          <w:fldChar w:fldCharType="end"/>
        </w:r>
      </w:hyperlink>
    </w:p>
    <w:p w:rsidR="00A53DB4" w:rsidRDefault="006C6044">
      <w:pPr>
        <w:pStyle w:val="TOC1"/>
        <w:rPr>
          <w:rFonts w:asciiTheme="minorHAnsi" w:eastAsiaTheme="minorEastAsia" w:hAnsiTheme="minorHAnsi" w:cstheme="minorBidi"/>
          <w:color w:val="auto"/>
          <w:szCs w:val="22"/>
          <w:lang w:eastAsia="en-AU"/>
        </w:rPr>
      </w:pPr>
      <w:hyperlink w:anchor="_Toc444523698" w:history="1">
        <w:r w:rsidR="00A53DB4" w:rsidRPr="00B841D0">
          <w:rPr>
            <w:rStyle w:val="Hyperlink"/>
          </w:rPr>
          <w:t>Appendix B Site visit attendees</w:t>
        </w:r>
        <w:r w:rsidR="00A53DB4">
          <w:rPr>
            <w:webHidden/>
          </w:rPr>
          <w:tab/>
        </w:r>
        <w:r w:rsidR="00A53DB4">
          <w:rPr>
            <w:webHidden/>
          </w:rPr>
          <w:fldChar w:fldCharType="begin"/>
        </w:r>
        <w:r w:rsidR="00A53DB4">
          <w:rPr>
            <w:webHidden/>
          </w:rPr>
          <w:instrText xml:space="preserve"> PAGEREF _Toc444523698 \h </w:instrText>
        </w:r>
        <w:r w:rsidR="00A53DB4">
          <w:rPr>
            <w:webHidden/>
          </w:rPr>
        </w:r>
        <w:r w:rsidR="00A53DB4">
          <w:rPr>
            <w:webHidden/>
          </w:rPr>
          <w:fldChar w:fldCharType="separate"/>
        </w:r>
        <w:r w:rsidR="00154CF7">
          <w:rPr>
            <w:webHidden/>
          </w:rPr>
          <w:t>169</w:t>
        </w:r>
        <w:r w:rsidR="00A53DB4">
          <w:rPr>
            <w:webHidden/>
          </w:rPr>
          <w:fldChar w:fldCharType="end"/>
        </w:r>
      </w:hyperlink>
    </w:p>
    <w:p w:rsidR="008D1686" w:rsidRPr="00975E6B" w:rsidRDefault="002D3C58" w:rsidP="00B651FA">
      <w:pPr>
        <w:pStyle w:val="BodyText"/>
      </w:pPr>
      <w:r w:rsidRPr="00975E6B">
        <w:rPr>
          <w:rFonts w:ascii="Univers 55" w:hAnsi="Univers 55"/>
          <w:noProof/>
          <w:color w:val="415299"/>
          <w:sz w:val="22"/>
          <w:szCs w:val="40"/>
        </w:rPr>
        <w:fldChar w:fldCharType="end"/>
      </w:r>
    </w:p>
    <w:p w:rsidR="002E4A4B" w:rsidRPr="00975E6B" w:rsidRDefault="002E4A4B" w:rsidP="00B651FA">
      <w:pPr>
        <w:pStyle w:val="BodyText"/>
      </w:pPr>
    </w:p>
    <w:p w:rsidR="002E4A4B" w:rsidRPr="00975E6B" w:rsidRDefault="002E4A4B" w:rsidP="00B651FA">
      <w:pPr>
        <w:pStyle w:val="BodyText"/>
      </w:pPr>
    </w:p>
    <w:p w:rsidR="007D3A55" w:rsidRPr="00975E6B" w:rsidRDefault="007D3A55" w:rsidP="007D3A55">
      <w:pPr>
        <w:pStyle w:val="HeadingLevel1NoNumber"/>
        <w:pageBreakBefore w:val="0"/>
        <w:sectPr w:rsidR="007D3A55" w:rsidRPr="00975E6B" w:rsidSect="00E636CC">
          <w:headerReference w:type="default" r:id="rId13"/>
          <w:footerReference w:type="default" r:id="rId14"/>
          <w:endnotePr>
            <w:numFmt w:val="decimal"/>
          </w:endnotePr>
          <w:pgSz w:w="11907" w:h="16840" w:code="9"/>
          <w:pgMar w:top="1964" w:right="1474" w:bottom="1701" w:left="1474" w:header="958" w:footer="380" w:gutter="454"/>
          <w:pgNumType w:fmt="lowerRoman"/>
          <w:cols w:space="720"/>
          <w:docGrid w:linePitch="272"/>
        </w:sectPr>
      </w:pPr>
    </w:p>
    <w:p w:rsidR="002E4A4B" w:rsidRPr="00975E6B" w:rsidRDefault="002E4A4B" w:rsidP="001056F8">
      <w:pPr>
        <w:pStyle w:val="Heading1"/>
      </w:pPr>
      <w:bookmarkStart w:id="3" w:name="_Toc444523634"/>
      <w:r w:rsidRPr="000F6C8A">
        <w:lastRenderedPageBreak/>
        <w:t>Executive</w:t>
      </w:r>
      <w:r w:rsidRPr="00975E6B">
        <w:t xml:space="preserve"> summary</w:t>
      </w:r>
      <w:bookmarkEnd w:id="3"/>
      <w:r w:rsidRPr="00975E6B">
        <w:t xml:space="preserve"> </w:t>
      </w:r>
    </w:p>
    <w:p w:rsidR="00295EC7" w:rsidRPr="00975E6B" w:rsidRDefault="00295EC7" w:rsidP="001056F8">
      <w:pPr>
        <w:pStyle w:val="Heading2"/>
        <w:ind w:left="851" w:hanging="851"/>
      </w:pPr>
      <w:bookmarkStart w:id="4" w:name="_Toc444523635"/>
      <w:r w:rsidRPr="00975E6B">
        <w:t xml:space="preserve">The </w:t>
      </w:r>
      <w:r w:rsidRPr="000F6C8A">
        <w:t>National</w:t>
      </w:r>
      <w:r w:rsidRPr="00975E6B">
        <w:t xml:space="preserve"> Hospital Cost Data Collection</w:t>
      </w:r>
      <w:bookmarkEnd w:id="4"/>
    </w:p>
    <w:p w:rsidR="00287958" w:rsidRPr="00975E6B" w:rsidRDefault="0030227C" w:rsidP="0030227C">
      <w:pPr>
        <w:pStyle w:val="BodyText"/>
      </w:pPr>
      <w:r w:rsidRPr="00975E6B">
        <w:t xml:space="preserve">The National Hospital Cost Data Collection (NHCDC) is the primary data collection that the Independent Hospital Pricing Authority (IHPA) relies on to calculate the National Efficient Price used for the funding of public hospital services. To ensure that the quality of NHCDC data is robust and fit-for-purpose, IHPA commissions an independent financial review to assess whether all participating hospitals have included appropriate costs and patient activity. </w:t>
      </w:r>
    </w:p>
    <w:p w:rsidR="0030227C" w:rsidRPr="00975E6B" w:rsidRDefault="00595E94" w:rsidP="0030227C">
      <w:pPr>
        <w:pStyle w:val="BodyText"/>
      </w:pPr>
      <w:r w:rsidRPr="00975E6B">
        <w:t xml:space="preserve">KPMG </w:t>
      </w:r>
      <w:r w:rsidR="008B40BB" w:rsidRPr="00975E6B">
        <w:t>w</w:t>
      </w:r>
      <w:r w:rsidR="008B40BB">
        <w:t>as</w:t>
      </w:r>
      <w:r w:rsidR="008B40BB" w:rsidRPr="00975E6B">
        <w:t xml:space="preserve"> </w:t>
      </w:r>
      <w:r w:rsidRPr="00975E6B">
        <w:t>engaged to undertake the Round 18 independent financial review (IFR).</w:t>
      </w:r>
      <w:r w:rsidR="00EE3FF6" w:rsidRPr="00975E6B">
        <w:t xml:space="preserve"> The Round 18 IFR </w:t>
      </w:r>
      <w:r w:rsidR="00287958" w:rsidRPr="00975E6B">
        <w:t xml:space="preserve">included a review of the reconciliation of costs and activity data from hospital/Local Hospital Network (LHN) through to IHPA and covered all feeder activity for the sampled hospitals. This </w:t>
      </w:r>
      <w:r w:rsidR="008B40BB">
        <w:t xml:space="preserve">was done to </w:t>
      </w:r>
      <w:r w:rsidR="00287958" w:rsidRPr="00975E6B">
        <w:t>provide IHPA and its stakeholders with a greater level of confidence over the accuracy of the NHCDC data.</w:t>
      </w:r>
    </w:p>
    <w:p w:rsidR="00295EC7" w:rsidRPr="00975E6B" w:rsidRDefault="00295EC7" w:rsidP="00295EC7">
      <w:pPr>
        <w:pStyle w:val="BodyText"/>
      </w:pPr>
      <w:r w:rsidRPr="00975E6B">
        <w:t>The cost data submitted to the NHCDC is at the patient level. That is, each admitted</w:t>
      </w:r>
      <w:r w:rsidR="008D33C0" w:rsidRPr="00975E6B">
        <w:t xml:space="preserve"> acute</w:t>
      </w:r>
      <w:r w:rsidRPr="00975E6B">
        <w:t>, emergency presentation, non-admitted service event and other patient group is submitted with a cost identifying the resources consumed over their stay, appointment or transaction with a hospital or health service.</w:t>
      </w:r>
    </w:p>
    <w:p w:rsidR="00295EC7" w:rsidRPr="00975E6B" w:rsidRDefault="00295EC7" w:rsidP="00295EC7">
      <w:pPr>
        <w:pStyle w:val="BodyText"/>
      </w:pPr>
      <w:r w:rsidRPr="00975E6B">
        <w:t>Where possible, hospitals apply a cost methodology according to the Australian Hospital Patient Costing Standards (AHPCS). These standards provide a guide to costing for NHCDC purposes, as well as providing consistency in interpreting results. For example, they prescribe: the products in scope for costing; how to define and select a preferred methodology for deriving overhead and direct care costs; how to treat teaching, training and research costs; and how to reconcile to source data.</w:t>
      </w:r>
    </w:p>
    <w:p w:rsidR="00514BF9" w:rsidRPr="00975E6B" w:rsidRDefault="00F42549" w:rsidP="001056F8">
      <w:pPr>
        <w:pStyle w:val="Heading2"/>
        <w:ind w:left="851" w:hanging="851"/>
      </w:pPr>
      <w:bookmarkStart w:id="5" w:name="_Toc444523636"/>
      <w:r w:rsidRPr="000F6C8A">
        <w:t>Observations</w:t>
      </w:r>
      <w:r w:rsidRPr="00975E6B">
        <w:t xml:space="preserve"> from the Round 18 IFR</w:t>
      </w:r>
      <w:bookmarkEnd w:id="5"/>
    </w:p>
    <w:p w:rsidR="00AF6CC3" w:rsidRPr="00975E6B" w:rsidRDefault="00AF6CC3" w:rsidP="00901AEE">
      <w:pPr>
        <w:pStyle w:val="BodyText"/>
        <w:rPr>
          <w:szCs w:val="20"/>
        </w:rPr>
      </w:pPr>
      <w:r w:rsidRPr="00975E6B">
        <w:rPr>
          <w:szCs w:val="20"/>
        </w:rPr>
        <w:t>The</w:t>
      </w:r>
      <w:r w:rsidR="00F42549" w:rsidRPr="00975E6B">
        <w:rPr>
          <w:szCs w:val="20"/>
        </w:rPr>
        <w:t xml:space="preserve"> following </w:t>
      </w:r>
      <w:r w:rsidR="00E06940" w:rsidRPr="00975E6B">
        <w:rPr>
          <w:szCs w:val="20"/>
        </w:rPr>
        <w:t xml:space="preserve">key </w:t>
      </w:r>
      <w:r w:rsidR="00F42549" w:rsidRPr="00975E6B">
        <w:rPr>
          <w:szCs w:val="20"/>
        </w:rPr>
        <w:t xml:space="preserve">observations were made during the </w:t>
      </w:r>
      <w:r w:rsidRPr="00975E6B">
        <w:rPr>
          <w:szCs w:val="20"/>
        </w:rPr>
        <w:t>Round 18 IFR:</w:t>
      </w:r>
    </w:p>
    <w:p w:rsidR="00AF6CC3" w:rsidRPr="00975E6B" w:rsidRDefault="00AF6CC3" w:rsidP="00F26328">
      <w:pPr>
        <w:pStyle w:val="BodyText"/>
        <w:numPr>
          <w:ilvl w:val="0"/>
          <w:numId w:val="55"/>
        </w:numPr>
      </w:pPr>
      <w:r w:rsidRPr="00975E6B">
        <w:t xml:space="preserve">A number of </w:t>
      </w:r>
      <w:r w:rsidR="00262963" w:rsidRPr="00975E6B">
        <w:t>key initiatives were implement</w:t>
      </w:r>
      <w:r w:rsidR="00C626AB" w:rsidRPr="00975E6B">
        <w:t>ed</w:t>
      </w:r>
      <w:r w:rsidR="00262963" w:rsidRPr="00975E6B">
        <w:t xml:space="preserve"> </w:t>
      </w:r>
      <w:r w:rsidR="00C56524" w:rsidRPr="00975E6B">
        <w:t xml:space="preserve">by jurisdictions </w:t>
      </w:r>
      <w:r w:rsidR="008B40BB">
        <w:t xml:space="preserve">that </w:t>
      </w:r>
      <w:r w:rsidR="008B40BB" w:rsidRPr="00975E6B">
        <w:t>contribute</w:t>
      </w:r>
      <w:r w:rsidR="008B40BB">
        <w:t>d</w:t>
      </w:r>
      <w:r w:rsidR="008B40BB" w:rsidRPr="00975E6B">
        <w:t xml:space="preserve"> to a more robust costing process </w:t>
      </w:r>
      <w:r w:rsidR="00C56524" w:rsidRPr="00975E6B">
        <w:t xml:space="preserve">for </w:t>
      </w:r>
      <w:r w:rsidRPr="00975E6B">
        <w:t xml:space="preserve">Round 18 </w:t>
      </w:r>
      <w:r w:rsidR="00C56524" w:rsidRPr="00975E6B">
        <w:t>submissions to the NHCDC,</w:t>
      </w:r>
      <w:r w:rsidRPr="00975E6B">
        <w:t xml:space="preserve"> including new costing software in Tasmania and </w:t>
      </w:r>
      <w:r w:rsidR="00DB39C1" w:rsidRPr="00975E6B">
        <w:t xml:space="preserve">the </w:t>
      </w:r>
      <w:r w:rsidRPr="00975E6B">
        <w:t>Northern Territory (NT) (NT also improved costing methodologies), increased frequency of costing and reconciliation processe</w:t>
      </w:r>
      <w:r w:rsidR="00B96CE3" w:rsidRPr="00975E6B">
        <w:t>s</w:t>
      </w:r>
      <w:r w:rsidRPr="00975E6B">
        <w:t xml:space="preserve"> in South Australia (SA</w:t>
      </w:r>
      <w:r w:rsidR="00262963" w:rsidRPr="00975E6B">
        <w:t>)</w:t>
      </w:r>
      <w:r w:rsidR="00756D19">
        <w:t xml:space="preserve">, improved non-admitted patient service events and quality assurance tools in New South Wales </w:t>
      </w:r>
      <w:r w:rsidR="008D33C0" w:rsidRPr="00975E6B">
        <w:t>and a</w:t>
      </w:r>
      <w:r w:rsidR="008B40BB">
        <w:t>n</w:t>
      </w:r>
      <w:r w:rsidR="008D33C0" w:rsidRPr="00975E6B">
        <w:t xml:space="preserve"> AHPCS Version 3.1 compliance project in Western Australia (WA) hospitals</w:t>
      </w:r>
      <w:r w:rsidR="00EE3FF6" w:rsidRPr="00975E6B">
        <w:t xml:space="preserve"> which highlighted</w:t>
      </w:r>
      <w:r w:rsidR="008D33C0" w:rsidRPr="00975E6B">
        <w:t xml:space="preserve"> a significant level of compliance.</w:t>
      </w:r>
      <w:r w:rsidR="00EE3FF6" w:rsidRPr="00975E6B">
        <w:t xml:space="preserve"> </w:t>
      </w:r>
    </w:p>
    <w:p w:rsidR="002355BF" w:rsidRPr="00975E6B" w:rsidRDefault="00AF6CC3" w:rsidP="00F26328">
      <w:pPr>
        <w:pStyle w:val="BodyText"/>
        <w:numPr>
          <w:ilvl w:val="0"/>
          <w:numId w:val="55"/>
        </w:numPr>
      </w:pPr>
      <w:r w:rsidRPr="00975E6B">
        <w:t>Minor variances</w:t>
      </w:r>
      <w:r w:rsidR="00EE3FF6" w:rsidRPr="00975E6B">
        <w:t xml:space="preserve"> in the financial reconciliations</w:t>
      </w:r>
      <w:r w:rsidRPr="00975E6B">
        <w:t xml:space="preserve"> were noted for </w:t>
      </w:r>
      <w:r w:rsidR="00B96CE3" w:rsidRPr="00975E6B">
        <w:t xml:space="preserve">five </w:t>
      </w:r>
      <w:r w:rsidRPr="00975E6B">
        <w:t xml:space="preserve">of the 14 hospitals sampled, however, nothing </w:t>
      </w:r>
      <w:r w:rsidR="008B40BB">
        <w:t>was identified</w:t>
      </w:r>
      <w:r w:rsidRPr="00975E6B">
        <w:t xml:space="preserve"> to suggest that the financial data was not fit for NHCDC submission</w:t>
      </w:r>
      <w:r w:rsidR="00C132D9" w:rsidRPr="00975E6B">
        <w:t>.</w:t>
      </w:r>
      <w:r w:rsidR="00262963" w:rsidRPr="00975E6B">
        <w:t xml:space="preserve"> </w:t>
      </w:r>
    </w:p>
    <w:p w:rsidR="006976E5" w:rsidRPr="00975E6B" w:rsidRDefault="006976E5" w:rsidP="00F26328">
      <w:pPr>
        <w:pStyle w:val="BodyText"/>
        <w:numPr>
          <w:ilvl w:val="0"/>
          <w:numId w:val="55"/>
        </w:numPr>
      </w:pPr>
      <w:r w:rsidRPr="00975E6B">
        <w:t xml:space="preserve">Feeder system information provided for all sampled hospitals highlighted that the number of records linked from source to product was significant. The majority of feeder systems </w:t>
      </w:r>
      <w:r w:rsidR="00C626AB" w:rsidRPr="00975E6B">
        <w:t xml:space="preserve">in all </w:t>
      </w:r>
      <w:r w:rsidR="008D33C0" w:rsidRPr="00975E6B">
        <w:t>hospitals</w:t>
      </w:r>
      <w:r w:rsidR="00C626AB" w:rsidRPr="00975E6B">
        <w:t xml:space="preserve"> </w:t>
      </w:r>
      <w:r w:rsidRPr="00975E6B">
        <w:t xml:space="preserve">had at least a 90 percent link or match. </w:t>
      </w:r>
      <w:r w:rsidR="00E06940" w:rsidRPr="00975E6B">
        <w:t>The average linking ratio across all sampled hospitals and their feeders was 9</w:t>
      </w:r>
      <w:r w:rsidR="00EB61E8" w:rsidRPr="00975E6B">
        <w:t>6</w:t>
      </w:r>
      <w:r w:rsidR="00E06940" w:rsidRPr="00975E6B">
        <w:t>.</w:t>
      </w:r>
      <w:r w:rsidR="00330835">
        <w:t>2</w:t>
      </w:r>
      <w:r w:rsidR="00330835" w:rsidRPr="00975E6B">
        <w:t xml:space="preserve"> </w:t>
      </w:r>
      <w:r w:rsidR="00E06940" w:rsidRPr="00975E6B">
        <w:t xml:space="preserve">percent. </w:t>
      </w:r>
      <w:r w:rsidR="0030227C" w:rsidRPr="00975E6B">
        <w:t xml:space="preserve">This percentage demonstrates that jurisdictions and hospitals have made significant improvements to ensure that the resources </w:t>
      </w:r>
      <w:r w:rsidR="0030227C" w:rsidRPr="00975E6B">
        <w:lastRenderedPageBreak/>
        <w:t>consumed can be identified by patient, which ensures greater rigour to the composition of costed patient output.</w:t>
      </w:r>
    </w:p>
    <w:p w:rsidR="00213482" w:rsidRPr="00975E6B" w:rsidRDefault="00213482" w:rsidP="00F26328">
      <w:pPr>
        <w:pStyle w:val="BodyText"/>
        <w:numPr>
          <w:ilvl w:val="0"/>
          <w:numId w:val="55"/>
        </w:numPr>
      </w:pPr>
      <w:r w:rsidRPr="00975E6B">
        <w:t>Common variances in feeder data w</w:t>
      </w:r>
      <w:r w:rsidR="002B3322" w:rsidRPr="00975E6B">
        <w:t>ere</w:t>
      </w:r>
      <w:r w:rsidRPr="00975E6B">
        <w:t xml:space="preserve"> noted in pharmacy systems, for reasons such as repeat prescriptions being filled up to 12 months from the original encounter and where the activity related to services provided to patients at other facilities. Other feeder systems such as pathology, imaging and prosthetics experienced variances</w:t>
      </w:r>
      <w:r w:rsidR="002B3322" w:rsidRPr="00975E6B">
        <w:t xml:space="preserve"> </w:t>
      </w:r>
      <w:r w:rsidRPr="00975E6B">
        <w:t>due to issues of data quality at source with inappropriate date of service fields being populated</w:t>
      </w:r>
      <w:r w:rsidR="004862C4" w:rsidRPr="00975E6B">
        <w:t xml:space="preserve"> (a</w:t>
      </w:r>
      <w:r w:rsidRPr="00975E6B">
        <w:t>ccurate dates of service enables linking using episode numbers</w:t>
      </w:r>
      <w:r w:rsidR="004862C4" w:rsidRPr="00975E6B">
        <w:t>)</w:t>
      </w:r>
      <w:r w:rsidRPr="00975E6B">
        <w:t xml:space="preserve">. </w:t>
      </w:r>
    </w:p>
    <w:p w:rsidR="0011120A" w:rsidRPr="00975E6B" w:rsidRDefault="00EE3FF6" w:rsidP="001056F8">
      <w:pPr>
        <w:pStyle w:val="Heading2"/>
        <w:ind w:left="851" w:hanging="851"/>
      </w:pPr>
      <w:bookmarkStart w:id="6" w:name="_Toc444523637"/>
      <w:r w:rsidRPr="00975E6B">
        <w:t xml:space="preserve">Findings and </w:t>
      </w:r>
      <w:r w:rsidRPr="000F6C8A">
        <w:t>r</w:t>
      </w:r>
      <w:r w:rsidR="0011120A" w:rsidRPr="000F6C8A">
        <w:t>ecommendations</w:t>
      </w:r>
      <w:bookmarkEnd w:id="6"/>
    </w:p>
    <w:p w:rsidR="003E377F" w:rsidRPr="00975E6B" w:rsidRDefault="003E377F" w:rsidP="001140D3">
      <w:r w:rsidRPr="00975E6B">
        <w:t>The following</w:t>
      </w:r>
      <w:r w:rsidR="00EE3FF6" w:rsidRPr="00975E6B">
        <w:t xml:space="preserve"> findings and associated</w:t>
      </w:r>
      <w:r w:rsidRPr="00975E6B">
        <w:t xml:space="preserve"> recommendations have been identified </w:t>
      </w:r>
      <w:r w:rsidR="00EE3FF6" w:rsidRPr="00975E6B">
        <w:t>during</w:t>
      </w:r>
      <w:r w:rsidRPr="00975E6B">
        <w:t xml:space="preserve"> the Round</w:t>
      </w:r>
      <w:r w:rsidR="00267703">
        <w:t> </w:t>
      </w:r>
      <w:r w:rsidRPr="00975E6B">
        <w:t>18 IFR:</w:t>
      </w:r>
    </w:p>
    <w:p w:rsidR="00F42549" w:rsidRPr="00975E6B" w:rsidRDefault="00F42549" w:rsidP="003B387A">
      <w:pPr>
        <w:pStyle w:val="Heading3"/>
        <w:numPr>
          <w:ilvl w:val="0"/>
          <w:numId w:val="74"/>
        </w:numPr>
      </w:pPr>
      <w:r w:rsidRPr="00586178">
        <w:t>Reconciliation</w:t>
      </w:r>
      <w:r w:rsidRPr="00975E6B">
        <w:t xml:space="preserve"> templates</w:t>
      </w:r>
    </w:p>
    <w:p w:rsidR="00F42549" w:rsidRPr="00975E6B" w:rsidRDefault="00F42549" w:rsidP="003D1169">
      <w:pPr>
        <w:pStyle w:val="BodyText"/>
      </w:pPr>
      <w:r w:rsidRPr="00975E6B">
        <w:t xml:space="preserve">The review found that financial reconciliation processes are robust for </w:t>
      </w:r>
      <w:r w:rsidR="003E3288">
        <w:t>all</w:t>
      </w:r>
      <w:r w:rsidRPr="00975E6B">
        <w:t xml:space="preserve"> jurisdictions and occur at the hospital/LHN level and also at the jurisdictional level. However, </w:t>
      </w:r>
      <w:r w:rsidR="003E7BF7" w:rsidRPr="00975E6B">
        <w:t>for Victoria</w:t>
      </w:r>
      <w:r w:rsidRPr="00975E6B">
        <w:t xml:space="preserve">, there was no evidence of a </w:t>
      </w:r>
      <w:r w:rsidR="00667BDD">
        <w:t>formalised</w:t>
      </w:r>
      <w:r w:rsidRPr="00975E6B">
        <w:t xml:space="preserve"> reconciliation process from the Victorian Cost Data Collection data submitted by the hospital to the final NHCDC submission to IHPA. </w:t>
      </w:r>
      <w:r w:rsidR="003E3288">
        <w:t>It is noted that a formalised reconciliation process has been implemented by Victoria for the Round 19 NHCDC.</w:t>
      </w:r>
      <w:r w:rsidRPr="00975E6B">
        <w:t xml:space="preserve"> </w:t>
      </w:r>
    </w:p>
    <w:p w:rsidR="00CC6705" w:rsidRPr="00975E6B" w:rsidRDefault="00CC6705" w:rsidP="003D346B">
      <w:pPr>
        <w:pStyle w:val="BodyText"/>
      </w:pPr>
      <w:r w:rsidRPr="000B16CA">
        <w:t xml:space="preserve">Despite the high linking ratio between the </w:t>
      </w:r>
      <w:proofErr w:type="gramStart"/>
      <w:r w:rsidRPr="000B16CA">
        <w:t>feeder</w:t>
      </w:r>
      <w:proofErr w:type="gramEnd"/>
      <w:r w:rsidRPr="000B16CA">
        <w:t xml:space="preserve"> records in the </w:t>
      </w:r>
      <w:r w:rsidR="000B16CA">
        <w:t>source systems</w:t>
      </w:r>
      <w:r w:rsidRPr="000B16CA">
        <w:t xml:space="preserve"> and those allocated to patients, </w:t>
      </w:r>
      <w:r w:rsidR="000B16CA" w:rsidRPr="00CD1518">
        <w:t>c</w:t>
      </w:r>
      <w:r w:rsidRPr="000B16CA">
        <w:t>osting system records were not provided for four of six feeders at Princess Margaret Hospital</w:t>
      </w:r>
      <w:r w:rsidR="00CD1518">
        <w:t xml:space="preserve"> in </w:t>
      </w:r>
      <w:r w:rsidR="00267703">
        <w:t>W</w:t>
      </w:r>
      <w:r w:rsidR="00CD1518">
        <w:t>A</w:t>
      </w:r>
      <w:r w:rsidRPr="000B16CA">
        <w:t>.</w:t>
      </w:r>
    </w:p>
    <w:tbl>
      <w:tblPr>
        <w:tblStyle w:val="TableGrid"/>
        <w:tblW w:w="9039" w:type="dxa"/>
        <w:tblLook w:val="0620" w:firstRow="1" w:lastRow="0" w:firstColumn="0" w:lastColumn="0" w:noHBand="1" w:noVBand="1"/>
        <w:tblCaption w:val="Recommendation"/>
        <w:tblDescription w:val="Reconciliation templates should be included as part of the NHCDC submission from jurisdictions. The templates, covering both financial and activity data, should present the end-to-end reconciliation. That is, data should flow from the hospital to the jurisdiction and to IHPA for transformation and storage in the NHCDC national dataset. Detail should be provided for all adjustments at each step of the process&#10;"/>
      </w:tblPr>
      <w:tblGrid>
        <w:gridCol w:w="8613"/>
        <w:gridCol w:w="426"/>
      </w:tblGrid>
      <w:tr w:rsidR="004D1C76" w:rsidRPr="00975E6B" w:rsidTr="00CD1518">
        <w:trPr>
          <w:tblHeader/>
        </w:trPr>
        <w:tc>
          <w:tcPr>
            <w:tcW w:w="8613" w:type="dxa"/>
            <w:tcBorders>
              <w:bottom w:val="nil"/>
            </w:tcBorders>
            <w:shd w:val="clear" w:color="auto" w:fill="DBE5F1" w:themeFill="accent1" w:themeFillTint="33"/>
          </w:tcPr>
          <w:p w:rsidR="004D1C76" w:rsidRPr="00975E6B" w:rsidRDefault="004D1C76" w:rsidP="00F42549">
            <w:pPr>
              <w:pStyle w:val="BodyText"/>
              <w:rPr>
                <w:i/>
              </w:rPr>
            </w:pPr>
            <w:r>
              <w:rPr>
                <w:i/>
              </w:rPr>
              <w:t>Recommendation</w:t>
            </w:r>
          </w:p>
        </w:tc>
        <w:tc>
          <w:tcPr>
            <w:tcW w:w="426" w:type="dxa"/>
            <w:tcBorders>
              <w:top w:val="nil"/>
              <w:bottom w:val="nil"/>
              <w:right w:val="nil"/>
            </w:tcBorders>
            <w:shd w:val="clear" w:color="auto" w:fill="FFFFFF" w:themeFill="background1"/>
          </w:tcPr>
          <w:p w:rsidR="004D1C76" w:rsidRPr="00CD1518" w:rsidRDefault="00A7234A" w:rsidP="00F42549">
            <w:pPr>
              <w:pStyle w:val="BodyText"/>
              <w:rPr>
                <w:i/>
                <w:color w:val="FFFFFF" w:themeColor="background1"/>
                <w:sz w:val="8"/>
              </w:rPr>
            </w:pPr>
            <w:r w:rsidRPr="00CD1518">
              <w:rPr>
                <w:i/>
                <w:color w:val="FFFFFF" w:themeColor="background1"/>
                <w:sz w:val="8"/>
              </w:rPr>
              <w:t>Blank</w:t>
            </w:r>
          </w:p>
        </w:tc>
      </w:tr>
      <w:tr w:rsidR="00A7234A" w:rsidRPr="00975E6B" w:rsidTr="00CD1518">
        <w:tc>
          <w:tcPr>
            <w:tcW w:w="8613" w:type="dxa"/>
            <w:tcBorders>
              <w:top w:val="nil"/>
            </w:tcBorders>
            <w:shd w:val="clear" w:color="auto" w:fill="DBE5F1" w:themeFill="accent1" w:themeFillTint="33"/>
          </w:tcPr>
          <w:p w:rsidR="00A7234A" w:rsidRPr="00975E6B" w:rsidRDefault="00A7234A" w:rsidP="00A7234A">
            <w:pPr>
              <w:pStyle w:val="BodyText"/>
            </w:pPr>
            <w:r w:rsidRPr="00975E6B">
              <w:t xml:space="preserve">Reconciliation templates should be included as part of the NHCDC submission from jurisdictions. The templates, covering both financial and activity data, should present the end-to-end reconciliation. That is, data should flow from the hospital to the jurisdiction and to IHPA for transformation and storage in the NHCDC national dataset. Detail should be provided for all adjustments at each step of the process. </w:t>
            </w:r>
          </w:p>
        </w:tc>
        <w:tc>
          <w:tcPr>
            <w:tcW w:w="426" w:type="dxa"/>
            <w:tcBorders>
              <w:top w:val="nil"/>
              <w:bottom w:val="nil"/>
              <w:right w:val="nil"/>
            </w:tcBorders>
            <w:shd w:val="clear" w:color="auto" w:fill="FFFFFF" w:themeFill="background1"/>
          </w:tcPr>
          <w:p w:rsidR="00A7234A" w:rsidRPr="00975E6B" w:rsidRDefault="00A7234A" w:rsidP="00A7234A">
            <w:pPr>
              <w:pStyle w:val="BodyText"/>
            </w:pPr>
            <w:r w:rsidRPr="005D14D9">
              <w:rPr>
                <w:i/>
                <w:color w:val="FFFFFF" w:themeColor="background1"/>
                <w:sz w:val="8"/>
              </w:rPr>
              <w:t>Blank</w:t>
            </w:r>
          </w:p>
        </w:tc>
      </w:tr>
    </w:tbl>
    <w:p w:rsidR="00586178" w:rsidRPr="00975E6B" w:rsidRDefault="00586178" w:rsidP="003B387A">
      <w:pPr>
        <w:pStyle w:val="Heading3"/>
        <w:numPr>
          <w:ilvl w:val="0"/>
          <w:numId w:val="74"/>
        </w:numPr>
      </w:pPr>
      <w:r w:rsidRPr="00586178">
        <w:t>WIP and the escalation factor</w:t>
      </w:r>
    </w:p>
    <w:p w:rsidR="008A0838" w:rsidRDefault="00D1041F" w:rsidP="008A0838">
      <w:pPr>
        <w:pStyle w:val="BodyText"/>
      </w:pPr>
      <w:r>
        <w:t xml:space="preserve">The </w:t>
      </w:r>
      <w:r w:rsidR="008A0838" w:rsidRPr="00975E6B">
        <w:t xml:space="preserve">AHPCS </w:t>
      </w:r>
      <w:r w:rsidR="008A0838" w:rsidRPr="00975E6B">
        <w:rPr>
          <w:i/>
        </w:rPr>
        <w:t xml:space="preserve">COST 5.002: Treatment of </w:t>
      </w:r>
      <w:r w:rsidR="00CF4BF7" w:rsidRPr="008A0838">
        <w:rPr>
          <w:i/>
        </w:rPr>
        <w:t>Work</w:t>
      </w:r>
      <w:r w:rsidR="00CF4BF7">
        <w:rPr>
          <w:i/>
        </w:rPr>
        <w:t>-</w:t>
      </w:r>
      <w:r w:rsidR="00CF4BF7" w:rsidRPr="00BA09D6">
        <w:rPr>
          <w:i/>
        </w:rPr>
        <w:t>In</w:t>
      </w:r>
      <w:r w:rsidR="00CF4BF7">
        <w:rPr>
          <w:i/>
        </w:rPr>
        <w:t>-</w:t>
      </w:r>
      <w:r w:rsidR="00CF4BF7" w:rsidRPr="00BA09D6">
        <w:rPr>
          <w:i/>
        </w:rPr>
        <w:t>Progress</w:t>
      </w:r>
      <w:r w:rsidR="00CF4BF7" w:rsidRPr="00975E6B">
        <w:t xml:space="preserve"> </w:t>
      </w:r>
      <w:r>
        <w:rPr>
          <w:i/>
        </w:rPr>
        <w:t>C</w:t>
      </w:r>
      <w:r w:rsidR="00CF4BF7">
        <w:rPr>
          <w:i/>
        </w:rPr>
        <w:t>osts</w:t>
      </w:r>
      <w:r w:rsidR="008A0838" w:rsidRPr="00975E6B">
        <w:t xml:space="preserve"> requires </w:t>
      </w:r>
      <w:r>
        <w:t>the cost of work</w:t>
      </w:r>
      <w:r w:rsidR="00737CB2">
        <w:t>-</w:t>
      </w:r>
      <w:r>
        <w:t>in</w:t>
      </w:r>
      <w:r w:rsidR="00737CB2">
        <w:t>-</w:t>
      </w:r>
      <w:r>
        <w:t>progress (</w:t>
      </w:r>
      <w:r w:rsidR="008A0838" w:rsidRPr="00975E6B">
        <w:t>WIP</w:t>
      </w:r>
      <w:r>
        <w:t>) patients</w:t>
      </w:r>
      <w:r w:rsidR="008A0838" w:rsidRPr="00975E6B">
        <w:t xml:space="preserve"> to be reported and applied at the patient level. </w:t>
      </w:r>
      <w:r>
        <w:t>The</w:t>
      </w:r>
      <w:r w:rsidR="008A0838">
        <w:t xml:space="preserve"> standard</w:t>
      </w:r>
      <w:r w:rsidR="008A0838" w:rsidRPr="00975E6B">
        <w:t xml:space="preserve"> does not provide guidance on how to cost WIP</w:t>
      </w:r>
      <w:r>
        <w:t xml:space="preserve"> patients</w:t>
      </w:r>
      <w:r w:rsidR="008A0838" w:rsidRPr="00975E6B">
        <w:t xml:space="preserve">, or whether WIP costs from prior years </w:t>
      </w:r>
      <w:r w:rsidR="003F63E2">
        <w:t>should</w:t>
      </w:r>
      <w:r w:rsidR="008A0838" w:rsidRPr="00975E6B">
        <w:t xml:space="preserve"> be escalated. </w:t>
      </w:r>
      <w:r w:rsidR="009D1B09">
        <w:t>Furthermore, t</w:t>
      </w:r>
      <w:r w:rsidR="008A0838" w:rsidRPr="00975E6B">
        <w:t xml:space="preserve">he NHCDC </w:t>
      </w:r>
      <w:r w:rsidR="00CF4BF7">
        <w:t xml:space="preserve">data </w:t>
      </w:r>
      <w:r w:rsidR="008A0838" w:rsidRPr="00975E6B">
        <w:t xml:space="preserve">submission </w:t>
      </w:r>
      <w:r w:rsidR="00CF4BF7">
        <w:t xml:space="preserve">requirements do </w:t>
      </w:r>
      <w:r w:rsidR="008A0838" w:rsidRPr="00975E6B">
        <w:t xml:space="preserve">not </w:t>
      </w:r>
      <w:r w:rsidR="00844B23">
        <w:t>allow</w:t>
      </w:r>
      <w:r w:rsidR="008A0838" w:rsidRPr="00975E6B">
        <w:t xml:space="preserve"> IHPA to identify </w:t>
      </w:r>
      <w:r w:rsidR="00844B23">
        <w:t xml:space="preserve">how </w:t>
      </w:r>
      <w:r w:rsidR="008A0838" w:rsidRPr="00975E6B">
        <w:t>WIP costs</w:t>
      </w:r>
      <w:r w:rsidR="00844B23">
        <w:t xml:space="preserve"> have been applied</w:t>
      </w:r>
      <w:r>
        <w:t xml:space="preserve"> </w:t>
      </w:r>
      <w:r w:rsidR="00DB1C0A">
        <w:t xml:space="preserve">or reported </w:t>
      </w:r>
      <w:r>
        <w:t>by each jurisdiction</w:t>
      </w:r>
      <w:r w:rsidR="003F63E2">
        <w:t xml:space="preserve"> in their submission</w:t>
      </w:r>
      <w:r w:rsidR="008A0838" w:rsidRPr="00975E6B">
        <w:t xml:space="preserve">. </w:t>
      </w:r>
    </w:p>
    <w:p w:rsidR="00F42549" w:rsidRDefault="00D1041F" w:rsidP="00B23957">
      <w:pPr>
        <w:pStyle w:val="BodyText"/>
      </w:pPr>
      <w:r>
        <w:t>On r</w:t>
      </w:r>
      <w:r w:rsidR="008A0838">
        <w:t xml:space="preserve">eview of the </w:t>
      </w:r>
      <w:r w:rsidR="00DB1C0A">
        <w:t>treatment and reporting of WIP costs</w:t>
      </w:r>
      <w:r w:rsidR="008A0838">
        <w:t xml:space="preserve"> </w:t>
      </w:r>
      <w:r>
        <w:t>by jurisdictions</w:t>
      </w:r>
      <w:r w:rsidR="003F63E2">
        <w:t xml:space="preserve"> </w:t>
      </w:r>
      <w:r w:rsidR="00DB1C0A">
        <w:t xml:space="preserve">to the NHCDC </w:t>
      </w:r>
      <w:r w:rsidR="003F63E2">
        <w:t>in Round 18</w:t>
      </w:r>
      <w:r>
        <w:t xml:space="preserve">, </w:t>
      </w:r>
      <w:r w:rsidR="00DB1C0A">
        <w:t>a number of inconsistencies were identified. T</w:t>
      </w:r>
      <w:r w:rsidR="00F42549" w:rsidRPr="00975E6B">
        <w:t xml:space="preserve">he only jurisdictions to </w:t>
      </w:r>
      <w:r w:rsidR="008A0838">
        <w:t xml:space="preserve">apply an escalation factor to </w:t>
      </w:r>
      <w:r w:rsidR="003F63E2">
        <w:t xml:space="preserve">the costs of </w:t>
      </w:r>
      <w:r w:rsidR="00F42549" w:rsidRPr="00975E6B">
        <w:t>WIP</w:t>
      </w:r>
      <w:r w:rsidR="008A0838">
        <w:t xml:space="preserve"> </w:t>
      </w:r>
      <w:r w:rsidR="003F63E2">
        <w:t>patient</w:t>
      </w:r>
      <w:r w:rsidR="008A0838">
        <w:t>s</w:t>
      </w:r>
      <w:r w:rsidR="003F63E2">
        <w:t xml:space="preserve"> </w:t>
      </w:r>
      <w:r w:rsidR="00DB1C0A">
        <w:t>w</w:t>
      </w:r>
      <w:r w:rsidR="0034225F">
        <w:t>ere</w:t>
      </w:r>
      <w:r w:rsidR="003F63E2">
        <w:t xml:space="preserve"> </w:t>
      </w:r>
      <w:r w:rsidR="003F63E2" w:rsidRPr="00975E6B">
        <w:t>SA and NSW</w:t>
      </w:r>
      <w:r w:rsidR="008A0838">
        <w:t>.</w:t>
      </w:r>
      <w:r w:rsidR="00F42549" w:rsidRPr="00975E6B">
        <w:t xml:space="preserve"> </w:t>
      </w:r>
      <w:r w:rsidR="003F63E2">
        <w:t>In contrast, t</w:t>
      </w:r>
      <w:r w:rsidR="008A0838">
        <w:t xml:space="preserve">he </w:t>
      </w:r>
      <w:r w:rsidR="008A0838" w:rsidRPr="00975E6B">
        <w:t xml:space="preserve">NT did not include </w:t>
      </w:r>
      <w:r w:rsidR="003F63E2">
        <w:t xml:space="preserve">any </w:t>
      </w:r>
      <w:r w:rsidR="008A0838" w:rsidRPr="00975E6B">
        <w:t>WIP</w:t>
      </w:r>
      <w:r w:rsidR="008A0838">
        <w:t xml:space="preserve"> </w:t>
      </w:r>
      <w:r w:rsidR="00CF4BF7">
        <w:t>cost</w:t>
      </w:r>
      <w:r w:rsidR="003F63E2">
        <w:t>s</w:t>
      </w:r>
      <w:r w:rsidR="00CF4BF7">
        <w:t xml:space="preserve"> </w:t>
      </w:r>
      <w:r w:rsidR="008A0838" w:rsidRPr="00975E6B">
        <w:t xml:space="preserve">in Round 18 </w:t>
      </w:r>
      <w:r w:rsidR="003F63E2">
        <w:t>due to the</w:t>
      </w:r>
      <w:r w:rsidR="00CF4BF7">
        <w:t xml:space="preserve"> implement</w:t>
      </w:r>
      <w:r w:rsidR="003F63E2">
        <w:t>ation of</w:t>
      </w:r>
      <w:r w:rsidR="00CF4BF7">
        <w:t xml:space="preserve"> a </w:t>
      </w:r>
      <w:r w:rsidR="003F63E2">
        <w:t xml:space="preserve">new </w:t>
      </w:r>
      <w:r w:rsidR="008A0838" w:rsidRPr="00975E6B">
        <w:t>costing system</w:t>
      </w:r>
      <w:r w:rsidR="003F63E2">
        <w:t>,</w:t>
      </w:r>
      <w:r w:rsidR="00CF4BF7">
        <w:t xml:space="preserve"> and</w:t>
      </w:r>
      <w:r w:rsidR="008A0838" w:rsidRPr="00975E6B">
        <w:t xml:space="preserve"> WA did not include WIP costs prior to 2012/13</w:t>
      </w:r>
      <w:r w:rsidR="003F63E2">
        <w:t>,</w:t>
      </w:r>
      <w:r w:rsidR="008A0838" w:rsidRPr="00975E6B">
        <w:t xml:space="preserve"> as a new costing system </w:t>
      </w:r>
      <w:r w:rsidR="003F63E2">
        <w:t xml:space="preserve">had been adopted </w:t>
      </w:r>
      <w:r w:rsidR="008A0838" w:rsidRPr="00975E6B">
        <w:t>in Round 17.</w:t>
      </w:r>
    </w:p>
    <w:tbl>
      <w:tblPr>
        <w:tblStyle w:val="TableGrid"/>
        <w:tblW w:w="9039" w:type="dxa"/>
        <w:tblLook w:val="0620" w:firstRow="1" w:lastRow="0" w:firstColumn="0" w:lastColumn="0" w:noHBand="1" w:noVBand="1"/>
        <w:tblCaption w:val="Recommendation"/>
        <w:tblDescription w:val="It is recommended that IHPA considers methods for improving the costing and reporting of WIP, including escalation, either through the NHCDC submission, the AHPCS or through other reporting methods. "/>
      </w:tblPr>
      <w:tblGrid>
        <w:gridCol w:w="8613"/>
        <w:gridCol w:w="426"/>
      </w:tblGrid>
      <w:tr w:rsidR="00A7234A" w:rsidRPr="00975E6B" w:rsidTr="00CD1518">
        <w:trPr>
          <w:tblHeader/>
        </w:trPr>
        <w:tc>
          <w:tcPr>
            <w:tcW w:w="8613" w:type="dxa"/>
            <w:tcBorders>
              <w:bottom w:val="nil"/>
            </w:tcBorders>
            <w:shd w:val="clear" w:color="auto" w:fill="DBE5F1" w:themeFill="accent1" w:themeFillTint="33"/>
          </w:tcPr>
          <w:p w:rsidR="00A7234A" w:rsidRDefault="00A7234A" w:rsidP="00A7234A">
            <w:pPr>
              <w:pStyle w:val="BodyText"/>
              <w:rPr>
                <w:i/>
              </w:rPr>
            </w:pPr>
            <w:r w:rsidRPr="00975E6B">
              <w:rPr>
                <w:i/>
              </w:rPr>
              <w:lastRenderedPageBreak/>
              <w:t>Recommendation</w:t>
            </w:r>
          </w:p>
        </w:tc>
        <w:tc>
          <w:tcPr>
            <w:tcW w:w="426" w:type="dxa"/>
            <w:tcBorders>
              <w:top w:val="nil"/>
              <w:bottom w:val="nil"/>
              <w:right w:val="nil"/>
            </w:tcBorders>
            <w:shd w:val="clear" w:color="auto" w:fill="FFFFFF" w:themeFill="background1"/>
          </w:tcPr>
          <w:p w:rsidR="00A7234A" w:rsidRDefault="00A7234A" w:rsidP="00A7234A">
            <w:pPr>
              <w:pStyle w:val="BodyText"/>
              <w:rPr>
                <w:i/>
              </w:rPr>
            </w:pPr>
            <w:r w:rsidRPr="005D14D9">
              <w:rPr>
                <w:i/>
                <w:color w:val="FFFFFF" w:themeColor="background1"/>
                <w:sz w:val="8"/>
              </w:rPr>
              <w:t>Blank</w:t>
            </w:r>
          </w:p>
        </w:tc>
      </w:tr>
      <w:tr w:rsidR="00A7234A" w:rsidRPr="00975E6B" w:rsidTr="00CD1518">
        <w:tc>
          <w:tcPr>
            <w:tcW w:w="8613" w:type="dxa"/>
            <w:tcBorders>
              <w:top w:val="nil"/>
            </w:tcBorders>
            <w:shd w:val="clear" w:color="auto" w:fill="DBE5F1" w:themeFill="accent1" w:themeFillTint="33"/>
          </w:tcPr>
          <w:p w:rsidR="00A7234A" w:rsidRPr="00975E6B" w:rsidRDefault="00A7234A" w:rsidP="00A7234A">
            <w:pPr>
              <w:pStyle w:val="BodyText"/>
            </w:pPr>
            <w:r w:rsidRPr="00975E6B">
              <w:t xml:space="preserve">It is recommended that IHPA considers methods for improving the costing and reporting of WIP, including escalation, either through the NHCDC submission, the AHPCS or through other reporting methods. </w:t>
            </w:r>
          </w:p>
        </w:tc>
        <w:tc>
          <w:tcPr>
            <w:tcW w:w="426" w:type="dxa"/>
            <w:tcBorders>
              <w:top w:val="nil"/>
              <w:bottom w:val="nil"/>
              <w:right w:val="nil"/>
            </w:tcBorders>
            <w:shd w:val="clear" w:color="auto" w:fill="FFFFFF" w:themeFill="background1"/>
          </w:tcPr>
          <w:p w:rsidR="00A7234A" w:rsidRPr="00975E6B" w:rsidRDefault="00A7234A" w:rsidP="00A7234A">
            <w:pPr>
              <w:pStyle w:val="BodyText"/>
            </w:pPr>
            <w:r w:rsidRPr="005D14D9">
              <w:rPr>
                <w:i/>
                <w:color w:val="FFFFFF" w:themeColor="background1"/>
                <w:sz w:val="8"/>
              </w:rPr>
              <w:t>Blank</w:t>
            </w:r>
          </w:p>
        </w:tc>
      </w:tr>
    </w:tbl>
    <w:p w:rsidR="00586178" w:rsidRPr="00975E6B" w:rsidRDefault="00586178" w:rsidP="003B387A">
      <w:pPr>
        <w:pStyle w:val="Heading3"/>
        <w:numPr>
          <w:ilvl w:val="0"/>
          <w:numId w:val="74"/>
        </w:numPr>
      </w:pPr>
      <w:r w:rsidRPr="00586178">
        <w:t>Application of the AHPCS</w:t>
      </w:r>
    </w:p>
    <w:p w:rsidR="00F42549" w:rsidRDefault="00EE3FF6" w:rsidP="003D1169">
      <w:pPr>
        <w:pStyle w:val="BodyText"/>
      </w:pPr>
      <w:r w:rsidRPr="00975E6B">
        <w:t xml:space="preserve">The application of the selected standards from AHPCS Version 3.1 across the jurisdictions was consistent, with the exception of </w:t>
      </w:r>
      <w:r w:rsidRPr="003D346B">
        <w:rPr>
          <w:i/>
        </w:rPr>
        <w:t>SCP 2.003: Product Costs in Scope; SCP 2A.003: Teaching and training Costs; SCP 2B.002: Research Costs; SCP 3C.001: Matching Production</w:t>
      </w:r>
      <w:r w:rsidRPr="00975E6B">
        <w:t xml:space="preserve"> and </w:t>
      </w:r>
      <w:r w:rsidRPr="003D346B">
        <w:rPr>
          <w:i/>
        </w:rPr>
        <w:t>Cost – Commercial Business Entities; GL 2.004: Account Code Mapping to Line Items</w:t>
      </w:r>
      <w:r w:rsidRPr="00975E6B">
        <w:t xml:space="preserve"> and </w:t>
      </w:r>
      <w:r w:rsidRPr="003D346B">
        <w:rPr>
          <w:i/>
        </w:rPr>
        <w:t>COST 5.002: Treatment of Work-In-Progress Costs</w:t>
      </w:r>
      <w:r w:rsidRPr="00975E6B">
        <w:t xml:space="preserve">. The details of these inconsistencies are discussed further in Chapter </w:t>
      </w:r>
      <w:r w:rsidRPr="00975E6B">
        <w:fldChar w:fldCharType="begin"/>
      </w:r>
      <w:r w:rsidRPr="00975E6B">
        <w:instrText xml:space="preserve"> REF _Ref435427061 \r \h </w:instrText>
      </w:r>
      <w:r w:rsidR="00975E6B">
        <w:instrText xml:space="preserve"> \* MERGEFORMAT </w:instrText>
      </w:r>
      <w:r w:rsidRPr="00975E6B">
        <w:fldChar w:fldCharType="separate"/>
      </w:r>
      <w:r w:rsidR="00154CF7">
        <w:t>2</w:t>
      </w:r>
      <w:r w:rsidRPr="00975E6B">
        <w:fldChar w:fldCharType="end"/>
      </w:r>
      <w:r w:rsidRPr="00975E6B">
        <w:t xml:space="preserve"> and the jurisdiction chapters.</w:t>
      </w:r>
    </w:p>
    <w:tbl>
      <w:tblPr>
        <w:tblStyle w:val="TableGrid"/>
        <w:tblW w:w="9039" w:type="dxa"/>
        <w:tblLook w:val="0620" w:firstRow="1" w:lastRow="0" w:firstColumn="0" w:lastColumn="0" w:noHBand="1" w:noVBand="1"/>
        <w:tblCaption w:val="Recommendation"/>
        <w:tblDescription w:val="A signed jurisdiction statement in relation to the application of the AHPCS should be included in the NHCDC submission. The consistency of application of the AHPCS is important for ensuring the NHCDC is comparable across a range of factors such as jurisdictions, DRGs, and hospital settings etc. A signed statement should require jurisdictions to confirm that they have applied the AHPCS, or identify where the standards were not applied and reasons therefore."/>
      </w:tblPr>
      <w:tblGrid>
        <w:gridCol w:w="8613"/>
        <w:gridCol w:w="426"/>
      </w:tblGrid>
      <w:tr w:rsidR="00A7234A" w:rsidRPr="00975E6B" w:rsidTr="00CD1518">
        <w:trPr>
          <w:tblHeader/>
        </w:trPr>
        <w:tc>
          <w:tcPr>
            <w:tcW w:w="8613" w:type="dxa"/>
            <w:tcBorders>
              <w:bottom w:val="nil"/>
            </w:tcBorders>
            <w:shd w:val="clear" w:color="auto" w:fill="DBE5F1" w:themeFill="accent1" w:themeFillTint="33"/>
          </w:tcPr>
          <w:p w:rsidR="00A7234A" w:rsidRPr="00975E6B" w:rsidRDefault="00A7234A" w:rsidP="00A7234A">
            <w:pPr>
              <w:pStyle w:val="BodyText"/>
              <w:rPr>
                <w:i/>
              </w:rPr>
            </w:pPr>
            <w:r>
              <w:rPr>
                <w:i/>
              </w:rPr>
              <w:t>Recommendation</w:t>
            </w:r>
          </w:p>
        </w:tc>
        <w:tc>
          <w:tcPr>
            <w:tcW w:w="426" w:type="dxa"/>
            <w:tcBorders>
              <w:top w:val="nil"/>
              <w:bottom w:val="nil"/>
              <w:right w:val="nil"/>
            </w:tcBorders>
            <w:shd w:val="clear" w:color="auto" w:fill="FFFFFF" w:themeFill="background1"/>
          </w:tcPr>
          <w:p w:rsidR="00A7234A" w:rsidRDefault="00A7234A" w:rsidP="00A7234A">
            <w:pPr>
              <w:pStyle w:val="BodyText"/>
              <w:rPr>
                <w:i/>
              </w:rPr>
            </w:pPr>
            <w:r w:rsidRPr="005D14D9">
              <w:rPr>
                <w:i/>
                <w:color w:val="FFFFFF" w:themeColor="background1"/>
                <w:sz w:val="8"/>
              </w:rPr>
              <w:t>Blank</w:t>
            </w:r>
          </w:p>
        </w:tc>
      </w:tr>
      <w:tr w:rsidR="00A7234A" w:rsidRPr="00975E6B" w:rsidTr="00CD1518">
        <w:tc>
          <w:tcPr>
            <w:tcW w:w="8613" w:type="dxa"/>
            <w:tcBorders>
              <w:top w:val="nil"/>
            </w:tcBorders>
            <w:shd w:val="clear" w:color="auto" w:fill="DBE5F1" w:themeFill="accent1" w:themeFillTint="33"/>
          </w:tcPr>
          <w:p w:rsidR="00A7234A" w:rsidRPr="00975E6B" w:rsidRDefault="00A7234A" w:rsidP="00A7234A">
            <w:pPr>
              <w:pStyle w:val="BodyText"/>
            </w:pPr>
            <w:r w:rsidRPr="00975E6B">
              <w:t xml:space="preserve">A signed jurisdiction statement in relation to the application of the AHPCS should be included in the NHCDC submission. The consistency of application of the AHPCS is important for ensuring the NHCDC is comparable across a range of factors such as </w:t>
            </w:r>
            <w:r w:rsidRPr="00616472">
              <w:t>jurisdictions, DRGs, and</w:t>
            </w:r>
            <w:r w:rsidRPr="00975E6B">
              <w:t xml:space="preserve"> hospital settings etc</w:t>
            </w:r>
            <w:r>
              <w:t xml:space="preserve">. </w:t>
            </w:r>
            <w:r w:rsidRPr="00975E6B">
              <w:t>A signed statement should require jurisdictions to confirm that they have applied the AHPCS, or identify where the standards were not applied and reasons therefore.</w:t>
            </w:r>
          </w:p>
        </w:tc>
        <w:tc>
          <w:tcPr>
            <w:tcW w:w="426" w:type="dxa"/>
            <w:tcBorders>
              <w:top w:val="nil"/>
              <w:bottom w:val="nil"/>
              <w:right w:val="nil"/>
            </w:tcBorders>
            <w:shd w:val="clear" w:color="auto" w:fill="FFFFFF" w:themeFill="background1"/>
          </w:tcPr>
          <w:p w:rsidR="00A7234A" w:rsidRPr="00975E6B" w:rsidRDefault="00A7234A" w:rsidP="00A7234A">
            <w:pPr>
              <w:pStyle w:val="BodyText"/>
            </w:pPr>
            <w:r w:rsidRPr="005D14D9">
              <w:rPr>
                <w:i/>
                <w:color w:val="FFFFFF" w:themeColor="background1"/>
                <w:sz w:val="8"/>
              </w:rPr>
              <w:t>Blank</w:t>
            </w:r>
          </w:p>
        </w:tc>
      </w:tr>
    </w:tbl>
    <w:p w:rsidR="00586178" w:rsidRPr="00586178" w:rsidRDefault="00586178" w:rsidP="003B387A">
      <w:pPr>
        <w:pStyle w:val="ListParagraph"/>
        <w:numPr>
          <w:ilvl w:val="0"/>
          <w:numId w:val="74"/>
        </w:numPr>
        <w:spacing w:before="120"/>
        <w:rPr>
          <w:b/>
          <w:bCs/>
          <w:color w:val="1F497D"/>
          <w:sz w:val="24"/>
        </w:rPr>
      </w:pPr>
      <w:r w:rsidRPr="00586178">
        <w:rPr>
          <w:b/>
          <w:bCs/>
          <w:color w:val="1F497D"/>
          <w:sz w:val="24"/>
        </w:rPr>
        <w:t>Teaching, Training and Research</w:t>
      </w:r>
    </w:p>
    <w:p w:rsidR="00EE3FF6" w:rsidRDefault="00EE3FF6" w:rsidP="003D1169">
      <w:pPr>
        <w:pStyle w:val="BodyText"/>
      </w:pPr>
      <w:r w:rsidRPr="00975E6B">
        <w:t xml:space="preserve">The approach to costing teaching, training and research (TTR) </w:t>
      </w:r>
      <w:r w:rsidR="00BE14A6" w:rsidRPr="00975E6B">
        <w:t>varie</w:t>
      </w:r>
      <w:r w:rsidR="00BE14A6">
        <w:t>s</w:t>
      </w:r>
      <w:r w:rsidR="00BE14A6" w:rsidRPr="00975E6B">
        <w:t xml:space="preserve"> </w:t>
      </w:r>
      <w:r w:rsidRPr="00975E6B">
        <w:t>across jurisdictions. A number of jurisdictions do not allocate TTR costs to a TTR product and instead incorporate them as a component of total patient cost, making TTR unidentifiable in the NHCDC submission. The NT was the only jurisdiction to submit teaching and training product costs to the Round 18 NHCDC; this allocation was undertaken using product fractions (PFRACS).</w:t>
      </w:r>
    </w:p>
    <w:tbl>
      <w:tblPr>
        <w:tblStyle w:val="TableGrid"/>
        <w:tblW w:w="9039" w:type="dxa"/>
        <w:tblLook w:val="0620" w:firstRow="1" w:lastRow="0" w:firstColumn="0" w:lastColumn="0" w:noHBand="1" w:noVBand="1"/>
        <w:tblCaption w:val="Recommendation"/>
        <w:tblDescription w:val="The development of a classification system for TTR was included as a recommendation in the Round 17 IFR. It is understood that IHPA is currently developing a TTR classification system and it is recommended that this continues in an effort to improve clarity over TTR activities and consistency across jurisdictions for future NHCDC rounds."/>
      </w:tblPr>
      <w:tblGrid>
        <w:gridCol w:w="8613"/>
        <w:gridCol w:w="426"/>
      </w:tblGrid>
      <w:tr w:rsidR="00A7234A" w:rsidRPr="00975E6B" w:rsidTr="00CD1518">
        <w:trPr>
          <w:tblHeader/>
        </w:trPr>
        <w:tc>
          <w:tcPr>
            <w:tcW w:w="8613" w:type="dxa"/>
            <w:tcBorders>
              <w:bottom w:val="nil"/>
            </w:tcBorders>
            <w:shd w:val="clear" w:color="auto" w:fill="DBE5F1" w:themeFill="accent1" w:themeFillTint="33"/>
          </w:tcPr>
          <w:p w:rsidR="00A7234A" w:rsidRDefault="00A7234A" w:rsidP="00A7234A">
            <w:pPr>
              <w:pStyle w:val="BodyText"/>
              <w:rPr>
                <w:i/>
              </w:rPr>
            </w:pPr>
            <w:r>
              <w:rPr>
                <w:i/>
              </w:rPr>
              <w:t>Recommendation</w:t>
            </w:r>
          </w:p>
        </w:tc>
        <w:tc>
          <w:tcPr>
            <w:tcW w:w="426" w:type="dxa"/>
            <w:tcBorders>
              <w:top w:val="nil"/>
              <w:bottom w:val="nil"/>
              <w:right w:val="nil"/>
            </w:tcBorders>
            <w:shd w:val="clear" w:color="auto" w:fill="FFFFFF" w:themeFill="background1"/>
          </w:tcPr>
          <w:p w:rsidR="00A7234A" w:rsidRDefault="00A7234A" w:rsidP="00A7234A">
            <w:pPr>
              <w:pStyle w:val="BodyText"/>
              <w:rPr>
                <w:i/>
              </w:rPr>
            </w:pPr>
            <w:r w:rsidRPr="005D14D9">
              <w:rPr>
                <w:i/>
                <w:color w:val="FFFFFF" w:themeColor="background1"/>
                <w:sz w:val="8"/>
              </w:rPr>
              <w:t>Blank</w:t>
            </w:r>
          </w:p>
        </w:tc>
      </w:tr>
      <w:tr w:rsidR="00A7234A" w:rsidRPr="00975E6B" w:rsidTr="00CD1518">
        <w:tc>
          <w:tcPr>
            <w:tcW w:w="8613" w:type="dxa"/>
            <w:tcBorders>
              <w:top w:val="nil"/>
            </w:tcBorders>
            <w:shd w:val="clear" w:color="auto" w:fill="DBE5F1" w:themeFill="accent1" w:themeFillTint="33"/>
          </w:tcPr>
          <w:p w:rsidR="00A7234A" w:rsidRPr="00975E6B" w:rsidRDefault="00A7234A" w:rsidP="00A7234A">
            <w:pPr>
              <w:pStyle w:val="BodyText"/>
            </w:pPr>
            <w:r w:rsidRPr="00975E6B">
              <w:t>The development of a classification system for TTR was included as a recommendation in the Round 17 IFR. It is understood that IHPA is currently developing a TTR classification system and it is recommended that this continues in an effort to improve clarity over TTR activities and consistency across jurisdictions for future NHCDC rounds.</w:t>
            </w:r>
          </w:p>
        </w:tc>
        <w:tc>
          <w:tcPr>
            <w:tcW w:w="426" w:type="dxa"/>
            <w:tcBorders>
              <w:top w:val="nil"/>
              <w:bottom w:val="nil"/>
              <w:right w:val="nil"/>
            </w:tcBorders>
            <w:shd w:val="clear" w:color="auto" w:fill="FFFFFF" w:themeFill="background1"/>
          </w:tcPr>
          <w:p w:rsidR="00A7234A" w:rsidRPr="00975E6B" w:rsidRDefault="00A7234A" w:rsidP="00A7234A">
            <w:pPr>
              <w:pStyle w:val="BodyText"/>
            </w:pPr>
            <w:r w:rsidRPr="005D14D9">
              <w:rPr>
                <w:i/>
                <w:color w:val="FFFFFF" w:themeColor="background1"/>
                <w:sz w:val="8"/>
              </w:rPr>
              <w:t>Blank</w:t>
            </w:r>
          </w:p>
        </w:tc>
      </w:tr>
    </w:tbl>
    <w:p w:rsidR="00A7234A" w:rsidRDefault="00A7234A" w:rsidP="003D1169">
      <w:pPr>
        <w:pStyle w:val="BodyText"/>
      </w:pPr>
    </w:p>
    <w:p w:rsidR="00FC5820" w:rsidRPr="00975E6B" w:rsidRDefault="00FC5820">
      <w:pPr>
        <w:spacing w:line="240" w:lineRule="auto"/>
        <w:sectPr w:rsidR="00FC5820" w:rsidRPr="00975E6B" w:rsidSect="00835E8A">
          <w:endnotePr>
            <w:numFmt w:val="decimal"/>
          </w:endnotePr>
          <w:pgSz w:w="11907" w:h="16840" w:code="9"/>
          <w:pgMar w:top="1964" w:right="1474" w:bottom="1588" w:left="1474" w:header="958" w:footer="737" w:gutter="454"/>
          <w:pgNumType w:start="1"/>
          <w:cols w:space="720"/>
          <w:docGrid w:linePitch="272"/>
        </w:sectPr>
      </w:pPr>
    </w:p>
    <w:p w:rsidR="00982034" w:rsidRPr="00975E6B" w:rsidRDefault="00596937" w:rsidP="00586178">
      <w:pPr>
        <w:pStyle w:val="Heading1"/>
        <w:ind w:left="851" w:hanging="851"/>
      </w:pPr>
      <w:bookmarkStart w:id="7" w:name="_Toc444523638"/>
      <w:r w:rsidRPr="00586178">
        <w:lastRenderedPageBreak/>
        <w:t>Acronyms</w:t>
      </w:r>
      <w:r w:rsidRPr="00975E6B">
        <w:t>/Abbreviations</w:t>
      </w:r>
      <w:bookmarkEnd w:id="7"/>
      <w:r w:rsidR="008F6776" w:rsidRPr="00975E6B">
        <w:t xml:space="preserve"> </w:t>
      </w:r>
    </w:p>
    <w:tbl>
      <w:tblPr>
        <w:tblStyle w:val="ListTable4-Accent11"/>
        <w:tblW w:w="8500" w:type="dxa"/>
        <w:tblLook w:val="0420" w:firstRow="1" w:lastRow="0" w:firstColumn="0" w:lastColumn="0" w:noHBand="0" w:noVBand="1"/>
        <w:tblCaption w:val="Acronym list"/>
        <w:tblDescription w:val="The table describes the acronyms and abbreviations utilised in the document.  The first column is the acronym or abbreviation and the second column is the description."/>
      </w:tblPr>
      <w:tblGrid>
        <w:gridCol w:w="2689"/>
        <w:gridCol w:w="5811"/>
      </w:tblGrid>
      <w:tr w:rsidR="00652C8D" w:rsidRPr="00975E6B" w:rsidTr="00CD1518">
        <w:trPr>
          <w:cnfStyle w:val="100000000000" w:firstRow="1" w:lastRow="0" w:firstColumn="0" w:lastColumn="0" w:oddVBand="0" w:evenVBand="0" w:oddHBand="0" w:evenHBand="0" w:firstRowFirstColumn="0" w:firstRowLastColumn="0" w:lastRowFirstColumn="0" w:lastRowLastColumn="0"/>
          <w:trHeight w:val="290"/>
          <w:tblHeader/>
        </w:trPr>
        <w:tc>
          <w:tcPr>
            <w:tcW w:w="2689" w:type="dxa"/>
            <w:noWrap/>
          </w:tcPr>
          <w:p w:rsidR="00652C8D" w:rsidRPr="00975E6B" w:rsidRDefault="00652C8D" w:rsidP="00C76C3E">
            <w:pPr>
              <w:pStyle w:val="BodyText"/>
              <w:jc w:val="left"/>
            </w:pPr>
            <w:r w:rsidRPr="00975E6B">
              <w:t>Acronym / Abbreviation</w:t>
            </w:r>
          </w:p>
        </w:tc>
        <w:tc>
          <w:tcPr>
            <w:tcW w:w="5811" w:type="dxa"/>
            <w:noWrap/>
          </w:tcPr>
          <w:p w:rsidR="00652C8D" w:rsidRPr="00975E6B" w:rsidRDefault="00652C8D" w:rsidP="00C76C3E">
            <w:pPr>
              <w:pStyle w:val="BodyText"/>
              <w:jc w:val="left"/>
            </w:pPr>
            <w:r w:rsidRPr="00975E6B">
              <w:t>Description</w:t>
            </w:r>
          </w:p>
        </w:tc>
      </w:tr>
      <w:tr w:rsidR="00652C8D"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ABF</w:t>
            </w:r>
          </w:p>
        </w:tc>
        <w:tc>
          <w:tcPr>
            <w:tcW w:w="5811" w:type="dxa"/>
            <w:noWrap/>
            <w:hideMark/>
          </w:tcPr>
          <w:p w:rsidR="00C76C3E" w:rsidRPr="00975E6B" w:rsidRDefault="00C76C3E" w:rsidP="00C76C3E">
            <w:pPr>
              <w:pStyle w:val="BodyText"/>
              <w:jc w:val="left"/>
            </w:pPr>
            <w:r w:rsidRPr="00975E6B">
              <w:t>Activity Based Funding</w:t>
            </w:r>
          </w:p>
        </w:tc>
      </w:tr>
      <w:tr w:rsidR="00C76C3E" w:rsidRPr="00975E6B" w:rsidTr="00652C8D">
        <w:trPr>
          <w:trHeight w:val="290"/>
        </w:trPr>
        <w:tc>
          <w:tcPr>
            <w:tcW w:w="2689" w:type="dxa"/>
            <w:noWrap/>
            <w:hideMark/>
          </w:tcPr>
          <w:p w:rsidR="00C76C3E" w:rsidRPr="00975E6B" w:rsidRDefault="00C76C3E" w:rsidP="00C76C3E">
            <w:pPr>
              <w:pStyle w:val="BodyText"/>
              <w:jc w:val="left"/>
            </w:pPr>
            <w:r w:rsidRPr="00975E6B">
              <w:t>AHPCS</w:t>
            </w:r>
          </w:p>
        </w:tc>
        <w:tc>
          <w:tcPr>
            <w:tcW w:w="5811" w:type="dxa"/>
            <w:noWrap/>
            <w:hideMark/>
          </w:tcPr>
          <w:p w:rsidR="00C76C3E" w:rsidRPr="00975E6B" w:rsidRDefault="00C76C3E" w:rsidP="00C76C3E">
            <w:pPr>
              <w:pStyle w:val="BodyText"/>
              <w:jc w:val="left"/>
            </w:pPr>
            <w:r w:rsidRPr="00975E6B">
              <w:t>Australian Hospital Patient Costing Standards</w:t>
            </w:r>
          </w:p>
        </w:tc>
      </w:tr>
      <w:tr w:rsidR="00652C8D"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ATSI</w:t>
            </w:r>
          </w:p>
        </w:tc>
        <w:tc>
          <w:tcPr>
            <w:tcW w:w="5811" w:type="dxa"/>
            <w:noWrap/>
            <w:hideMark/>
          </w:tcPr>
          <w:p w:rsidR="00C76C3E" w:rsidRPr="00975E6B" w:rsidRDefault="00C76C3E" w:rsidP="00C76C3E">
            <w:pPr>
              <w:pStyle w:val="BodyText"/>
              <w:jc w:val="left"/>
            </w:pPr>
            <w:r w:rsidRPr="00975E6B">
              <w:t xml:space="preserve">Aboriginal </w:t>
            </w:r>
            <w:r w:rsidR="00DB215A" w:rsidRPr="00975E6B">
              <w:t xml:space="preserve">and </w:t>
            </w:r>
            <w:r w:rsidRPr="00975E6B">
              <w:t>Torres Strait Islander</w:t>
            </w:r>
          </w:p>
        </w:tc>
      </w:tr>
      <w:tr w:rsidR="00C76C3E" w:rsidRPr="00975E6B" w:rsidTr="00652C8D">
        <w:trPr>
          <w:trHeight w:val="290"/>
        </w:trPr>
        <w:tc>
          <w:tcPr>
            <w:tcW w:w="2689" w:type="dxa"/>
            <w:noWrap/>
            <w:hideMark/>
          </w:tcPr>
          <w:p w:rsidR="00C76C3E" w:rsidRPr="00975E6B" w:rsidRDefault="00C76C3E" w:rsidP="00C76C3E">
            <w:pPr>
              <w:pStyle w:val="BodyText"/>
              <w:jc w:val="left"/>
            </w:pPr>
            <w:r w:rsidRPr="00975E6B">
              <w:t>CAHS</w:t>
            </w:r>
          </w:p>
        </w:tc>
        <w:tc>
          <w:tcPr>
            <w:tcW w:w="5811" w:type="dxa"/>
            <w:noWrap/>
            <w:hideMark/>
          </w:tcPr>
          <w:p w:rsidR="00C76C3E" w:rsidRPr="00975E6B" w:rsidRDefault="00C76C3E" w:rsidP="00C76C3E">
            <w:pPr>
              <w:pStyle w:val="BodyText"/>
              <w:jc w:val="left"/>
            </w:pPr>
            <w:r w:rsidRPr="00975E6B">
              <w:t>Child and Adolescent Health Service</w:t>
            </w:r>
          </w:p>
        </w:tc>
      </w:tr>
      <w:tr w:rsidR="00652C8D"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CCU</w:t>
            </w:r>
          </w:p>
        </w:tc>
        <w:tc>
          <w:tcPr>
            <w:tcW w:w="5811" w:type="dxa"/>
            <w:noWrap/>
            <w:hideMark/>
          </w:tcPr>
          <w:p w:rsidR="00C76C3E" w:rsidRPr="00975E6B" w:rsidRDefault="00C76C3E" w:rsidP="00C76C3E">
            <w:pPr>
              <w:pStyle w:val="BodyText"/>
              <w:jc w:val="left"/>
            </w:pPr>
            <w:r w:rsidRPr="00975E6B">
              <w:t>Critical Care Unit</w:t>
            </w:r>
          </w:p>
        </w:tc>
      </w:tr>
      <w:tr w:rsidR="00977934" w:rsidRPr="00975E6B" w:rsidTr="00652C8D">
        <w:trPr>
          <w:trHeight w:val="290"/>
        </w:trPr>
        <w:tc>
          <w:tcPr>
            <w:tcW w:w="2689" w:type="dxa"/>
            <w:noWrap/>
          </w:tcPr>
          <w:p w:rsidR="00977934" w:rsidRPr="00975E6B" w:rsidRDefault="00977934" w:rsidP="00C76C3E">
            <w:pPr>
              <w:pStyle w:val="BodyText"/>
              <w:jc w:val="left"/>
            </w:pPr>
            <w:r>
              <w:t>DNR</w:t>
            </w:r>
          </w:p>
        </w:tc>
        <w:tc>
          <w:tcPr>
            <w:tcW w:w="5811" w:type="dxa"/>
            <w:noWrap/>
          </w:tcPr>
          <w:p w:rsidR="00977934" w:rsidRPr="00975E6B" w:rsidRDefault="00977934" w:rsidP="00C76C3E">
            <w:pPr>
              <w:pStyle w:val="BodyText"/>
              <w:jc w:val="left"/>
            </w:pPr>
            <w:r>
              <w:t>District and Network Return</w:t>
            </w:r>
          </w:p>
        </w:tc>
      </w:tr>
      <w:tr w:rsidR="00C76C3E"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DRG</w:t>
            </w:r>
          </w:p>
        </w:tc>
        <w:tc>
          <w:tcPr>
            <w:tcW w:w="5811" w:type="dxa"/>
            <w:noWrap/>
            <w:hideMark/>
          </w:tcPr>
          <w:p w:rsidR="00C76C3E" w:rsidRPr="00975E6B" w:rsidRDefault="00C76C3E" w:rsidP="00117548">
            <w:pPr>
              <w:pStyle w:val="BodyText"/>
              <w:jc w:val="left"/>
            </w:pPr>
            <w:r w:rsidRPr="00975E6B">
              <w:t>Diagnosis</w:t>
            </w:r>
            <w:r w:rsidR="00117548" w:rsidRPr="00975E6B">
              <w:t xml:space="preserve"> </w:t>
            </w:r>
            <w:r w:rsidRPr="00975E6B">
              <w:t>Related Group</w:t>
            </w:r>
          </w:p>
        </w:tc>
      </w:tr>
      <w:tr w:rsidR="00652C8D" w:rsidRPr="00975E6B" w:rsidTr="00652C8D">
        <w:trPr>
          <w:trHeight w:val="290"/>
        </w:trPr>
        <w:tc>
          <w:tcPr>
            <w:tcW w:w="2689" w:type="dxa"/>
            <w:noWrap/>
            <w:hideMark/>
          </w:tcPr>
          <w:p w:rsidR="00C76C3E" w:rsidRPr="00975E6B" w:rsidRDefault="00C76C3E" w:rsidP="00C76C3E">
            <w:pPr>
              <w:pStyle w:val="BodyText"/>
              <w:jc w:val="left"/>
            </w:pPr>
            <w:r w:rsidRPr="00975E6B">
              <w:t>DRS</w:t>
            </w:r>
          </w:p>
        </w:tc>
        <w:tc>
          <w:tcPr>
            <w:tcW w:w="5811" w:type="dxa"/>
            <w:noWrap/>
            <w:hideMark/>
          </w:tcPr>
          <w:p w:rsidR="00C76C3E" w:rsidRPr="00975E6B" w:rsidRDefault="00C76C3E" w:rsidP="00DB215A">
            <w:pPr>
              <w:pStyle w:val="BodyText"/>
              <w:jc w:val="left"/>
            </w:pPr>
            <w:r w:rsidRPr="00975E6B">
              <w:t xml:space="preserve">Data Request </w:t>
            </w:r>
            <w:r w:rsidR="00DB215A" w:rsidRPr="00975E6B">
              <w:t>Specifications</w:t>
            </w:r>
          </w:p>
        </w:tc>
      </w:tr>
      <w:tr w:rsidR="00C76C3E"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F451B0">
            <w:pPr>
              <w:pStyle w:val="BodyText"/>
              <w:jc w:val="left"/>
            </w:pPr>
            <w:r w:rsidRPr="00975E6B">
              <w:t>ED</w:t>
            </w:r>
          </w:p>
        </w:tc>
        <w:tc>
          <w:tcPr>
            <w:tcW w:w="5811" w:type="dxa"/>
            <w:noWrap/>
            <w:hideMark/>
          </w:tcPr>
          <w:p w:rsidR="00C76C3E" w:rsidRPr="00975E6B" w:rsidRDefault="00C76C3E" w:rsidP="00C76C3E">
            <w:pPr>
              <w:pStyle w:val="BodyText"/>
              <w:jc w:val="left"/>
            </w:pPr>
            <w:r w:rsidRPr="00975E6B">
              <w:t>Emergency department</w:t>
            </w:r>
          </w:p>
        </w:tc>
      </w:tr>
      <w:tr w:rsidR="00652C8D" w:rsidRPr="00975E6B" w:rsidTr="00652C8D">
        <w:trPr>
          <w:trHeight w:val="290"/>
        </w:trPr>
        <w:tc>
          <w:tcPr>
            <w:tcW w:w="2689" w:type="dxa"/>
            <w:noWrap/>
            <w:hideMark/>
          </w:tcPr>
          <w:p w:rsidR="00C76C3E" w:rsidRPr="00975E6B" w:rsidRDefault="00C76C3E" w:rsidP="00F451B0">
            <w:pPr>
              <w:pStyle w:val="BodyText"/>
              <w:jc w:val="left"/>
            </w:pPr>
            <w:r w:rsidRPr="00975E6B">
              <w:t>EDW</w:t>
            </w:r>
          </w:p>
        </w:tc>
        <w:tc>
          <w:tcPr>
            <w:tcW w:w="5811" w:type="dxa"/>
            <w:noWrap/>
            <w:hideMark/>
          </w:tcPr>
          <w:p w:rsidR="00C76C3E" w:rsidRPr="00975E6B" w:rsidRDefault="00117548" w:rsidP="00C76C3E">
            <w:pPr>
              <w:pStyle w:val="BodyText"/>
              <w:jc w:val="left"/>
            </w:pPr>
            <w:r w:rsidRPr="00975E6B">
              <w:t xml:space="preserve">Enterprise </w:t>
            </w:r>
            <w:r w:rsidR="00C76C3E" w:rsidRPr="00975E6B">
              <w:t>Data Warehouse</w:t>
            </w:r>
          </w:p>
        </w:tc>
      </w:tr>
      <w:tr w:rsidR="00C76C3E"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ETL</w:t>
            </w:r>
          </w:p>
        </w:tc>
        <w:tc>
          <w:tcPr>
            <w:tcW w:w="5811" w:type="dxa"/>
            <w:noWrap/>
            <w:hideMark/>
          </w:tcPr>
          <w:p w:rsidR="00C76C3E" w:rsidRPr="00975E6B" w:rsidRDefault="00C76C3E" w:rsidP="00C76C3E">
            <w:pPr>
              <w:pStyle w:val="BodyText"/>
              <w:jc w:val="left"/>
            </w:pPr>
            <w:r w:rsidRPr="00975E6B">
              <w:t>Extract, Transform and Load</w:t>
            </w:r>
          </w:p>
        </w:tc>
      </w:tr>
      <w:tr w:rsidR="00652C8D" w:rsidRPr="00975E6B" w:rsidTr="00652C8D">
        <w:trPr>
          <w:trHeight w:val="290"/>
        </w:trPr>
        <w:tc>
          <w:tcPr>
            <w:tcW w:w="2689" w:type="dxa"/>
            <w:noWrap/>
            <w:hideMark/>
          </w:tcPr>
          <w:p w:rsidR="00C76C3E" w:rsidRPr="00975E6B" w:rsidRDefault="00C76C3E" w:rsidP="00C76C3E">
            <w:pPr>
              <w:pStyle w:val="BodyText"/>
              <w:jc w:val="left"/>
            </w:pPr>
            <w:r w:rsidRPr="00975E6B">
              <w:t>FMS</w:t>
            </w:r>
          </w:p>
        </w:tc>
        <w:tc>
          <w:tcPr>
            <w:tcW w:w="5811" w:type="dxa"/>
            <w:noWrap/>
            <w:hideMark/>
          </w:tcPr>
          <w:p w:rsidR="00C76C3E" w:rsidRPr="00975E6B" w:rsidRDefault="00C76C3E" w:rsidP="00C76C3E">
            <w:pPr>
              <w:pStyle w:val="BodyText"/>
              <w:jc w:val="left"/>
            </w:pPr>
            <w:r w:rsidRPr="00975E6B">
              <w:t>Financial Management System</w:t>
            </w:r>
          </w:p>
        </w:tc>
      </w:tr>
      <w:tr w:rsidR="00C76C3E"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GL</w:t>
            </w:r>
          </w:p>
        </w:tc>
        <w:tc>
          <w:tcPr>
            <w:tcW w:w="5811" w:type="dxa"/>
            <w:noWrap/>
            <w:hideMark/>
          </w:tcPr>
          <w:p w:rsidR="00C76C3E" w:rsidRPr="00975E6B" w:rsidRDefault="00C76C3E" w:rsidP="00C76C3E">
            <w:pPr>
              <w:pStyle w:val="BodyText"/>
              <w:jc w:val="left"/>
            </w:pPr>
            <w:r w:rsidRPr="00975E6B">
              <w:t>General ledger</w:t>
            </w:r>
          </w:p>
        </w:tc>
      </w:tr>
      <w:tr w:rsidR="00652C8D" w:rsidRPr="00975E6B" w:rsidTr="00652C8D">
        <w:trPr>
          <w:trHeight w:val="290"/>
        </w:trPr>
        <w:tc>
          <w:tcPr>
            <w:tcW w:w="2689" w:type="dxa"/>
            <w:noWrap/>
            <w:hideMark/>
          </w:tcPr>
          <w:p w:rsidR="00C76C3E" w:rsidRPr="00975E6B" w:rsidRDefault="00C76C3E" w:rsidP="00C76C3E">
            <w:pPr>
              <w:pStyle w:val="BodyText"/>
              <w:jc w:val="left"/>
            </w:pPr>
            <w:r w:rsidRPr="00975E6B">
              <w:t>HDU</w:t>
            </w:r>
          </w:p>
        </w:tc>
        <w:tc>
          <w:tcPr>
            <w:tcW w:w="5811" w:type="dxa"/>
            <w:noWrap/>
            <w:hideMark/>
          </w:tcPr>
          <w:p w:rsidR="00C76C3E" w:rsidRPr="00975E6B" w:rsidRDefault="00C76C3E" w:rsidP="00C76C3E">
            <w:pPr>
              <w:pStyle w:val="BodyText"/>
              <w:jc w:val="left"/>
            </w:pPr>
            <w:r w:rsidRPr="00975E6B">
              <w:t>High Dependency Unit</w:t>
            </w:r>
          </w:p>
        </w:tc>
      </w:tr>
      <w:tr w:rsidR="00C76C3E"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HHS</w:t>
            </w:r>
          </w:p>
        </w:tc>
        <w:tc>
          <w:tcPr>
            <w:tcW w:w="5811" w:type="dxa"/>
            <w:noWrap/>
            <w:hideMark/>
          </w:tcPr>
          <w:p w:rsidR="00C76C3E" w:rsidRPr="00975E6B" w:rsidRDefault="00C76C3E" w:rsidP="00C76C3E">
            <w:pPr>
              <w:pStyle w:val="BodyText"/>
              <w:jc w:val="left"/>
            </w:pPr>
            <w:r w:rsidRPr="00975E6B">
              <w:t>Hospital and Health Service</w:t>
            </w:r>
          </w:p>
        </w:tc>
      </w:tr>
      <w:tr w:rsidR="00652C8D" w:rsidRPr="00975E6B" w:rsidTr="00652C8D">
        <w:trPr>
          <w:trHeight w:val="290"/>
        </w:trPr>
        <w:tc>
          <w:tcPr>
            <w:tcW w:w="2689" w:type="dxa"/>
            <w:noWrap/>
            <w:hideMark/>
          </w:tcPr>
          <w:p w:rsidR="00C76C3E" w:rsidRPr="00975E6B" w:rsidRDefault="00C76C3E" w:rsidP="00C76C3E">
            <w:pPr>
              <w:pStyle w:val="BodyText"/>
              <w:jc w:val="left"/>
            </w:pPr>
            <w:r w:rsidRPr="00975E6B">
              <w:t>ICU</w:t>
            </w:r>
          </w:p>
        </w:tc>
        <w:tc>
          <w:tcPr>
            <w:tcW w:w="5811" w:type="dxa"/>
            <w:noWrap/>
            <w:hideMark/>
          </w:tcPr>
          <w:p w:rsidR="00C76C3E" w:rsidRPr="00975E6B" w:rsidRDefault="00C76C3E" w:rsidP="00C76C3E">
            <w:pPr>
              <w:pStyle w:val="BodyText"/>
              <w:jc w:val="left"/>
            </w:pPr>
            <w:r w:rsidRPr="00975E6B">
              <w:t>Intensive Care Unit</w:t>
            </w:r>
          </w:p>
        </w:tc>
      </w:tr>
      <w:tr w:rsidR="00C76C3E"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IFR</w:t>
            </w:r>
          </w:p>
        </w:tc>
        <w:tc>
          <w:tcPr>
            <w:tcW w:w="5811" w:type="dxa"/>
            <w:noWrap/>
            <w:hideMark/>
          </w:tcPr>
          <w:p w:rsidR="00C76C3E" w:rsidRPr="00975E6B" w:rsidRDefault="00C76C3E" w:rsidP="00C76C3E">
            <w:pPr>
              <w:pStyle w:val="BodyText"/>
              <w:jc w:val="left"/>
            </w:pPr>
            <w:r w:rsidRPr="00975E6B">
              <w:t>Independent Financial Review</w:t>
            </w:r>
          </w:p>
        </w:tc>
      </w:tr>
      <w:tr w:rsidR="00652C8D" w:rsidRPr="00975E6B" w:rsidTr="00652C8D">
        <w:trPr>
          <w:trHeight w:val="290"/>
        </w:trPr>
        <w:tc>
          <w:tcPr>
            <w:tcW w:w="2689" w:type="dxa"/>
            <w:noWrap/>
            <w:hideMark/>
          </w:tcPr>
          <w:p w:rsidR="00C76C3E" w:rsidRPr="00975E6B" w:rsidRDefault="00C76C3E" w:rsidP="00C76C3E">
            <w:pPr>
              <w:pStyle w:val="BodyText"/>
              <w:jc w:val="left"/>
            </w:pPr>
            <w:r w:rsidRPr="00975E6B">
              <w:t xml:space="preserve">IHPA </w:t>
            </w:r>
          </w:p>
        </w:tc>
        <w:tc>
          <w:tcPr>
            <w:tcW w:w="5811" w:type="dxa"/>
            <w:noWrap/>
            <w:hideMark/>
          </w:tcPr>
          <w:p w:rsidR="00C76C3E" w:rsidRPr="00975E6B" w:rsidRDefault="00C76C3E" w:rsidP="00C76C3E">
            <w:pPr>
              <w:pStyle w:val="BodyText"/>
              <w:jc w:val="left"/>
            </w:pPr>
            <w:r w:rsidRPr="00975E6B">
              <w:t>Independent Hospital Pricing Authority</w:t>
            </w:r>
          </w:p>
        </w:tc>
      </w:tr>
      <w:tr w:rsidR="00652C8D"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LHD</w:t>
            </w:r>
          </w:p>
        </w:tc>
        <w:tc>
          <w:tcPr>
            <w:tcW w:w="5811" w:type="dxa"/>
            <w:noWrap/>
            <w:hideMark/>
          </w:tcPr>
          <w:p w:rsidR="00C76C3E" w:rsidRPr="00975E6B" w:rsidRDefault="00C76C3E" w:rsidP="00C76C3E">
            <w:pPr>
              <w:pStyle w:val="BodyText"/>
              <w:jc w:val="left"/>
            </w:pPr>
            <w:r w:rsidRPr="00975E6B">
              <w:t>Local Health District</w:t>
            </w:r>
          </w:p>
        </w:tc>
      </w:tr>
      <w:tr w:rsidR="00C76C3E" w:rsidRPr="00975E6B" w:rsidTr="00652C8D">
        <w:trPr>
          <w:trHeight w:val="290"/>
        </w:trPr>
        <w:tc>
          <w:tcPr>
            <w:tcW w:w="2689" w:type="dxa"/>
            <w:noWrap/>
            <w:hideMark/>
          </w:tcPr>
          <w:p w:rsidR="00C76C3E" w:rsidRPr="00975E6B" w:rsidRDefault="00C76C3E" w:rsidP="00C76C3E">
            <w:pPr>
              <w:pStyle w:val="BodyText"/>
              <w:jc w:val="left"/>
            </w:pPr>
            <w:r w:rsidRPr="00975E6B">
              <w:t>LHN</w:t>
            </w:r>
          </w:p>
        </w:tc>
        <w:tc>
          <w:tcPr>
            <w:tcW w:w="5811" w:type="dxa"/>
            <w:noWrap/>
            <w:hideMark/>
          </w:tcPr>
          <w:p w:rsidR="00C76C3E" w:rsidRPr="00975E6B" w:rsidRDefault="00C76C3E" w:rsidP="00C76C3E">
            <w:pPr>
              <w:pStyle w:val="BodyText"/>
              <w:jc w:val="left"/>
            </w:pPr>
            <w:r w:rsidRPr="00975E6B">
              <w:t>Local Health Network</w:t>
            </w:r>
          </w:p>
        </w:tc>
      </w:tr>
      <w:tr w:rsidR="00C76C3E"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MRI</w:t>
            </w:r>
          </w:p>
        </w:tc>
        <w:tc>
          <w:tcPr>
            <w:tcW w:w="5811" w:type="dxa"/>
            <w:noWrap/>
            <w:hideMark/>
          </w:tcPr>
          <w:p w:rsidR="00C76C3E" w:rsidRPr="00975E6B" w:rsidRDefault="00C76C3E" w:rsidP="00C76C3E">
            <w:pPr>
              <w:pStyle w:val="BodyText"/>
              <w:jc w:val="left"/>
            </w:pPr>
            <w:r w:rsidRPr="00975E6B">
              <w:t>Magnetic Resonance Imaging (MRI scan)</w:t>
            </w:r>
          </w:p>
        </w:tc>
      </w:tr>
      <w:tr w:rsidR="00C76C3E" w:rsidRPr="00975E6B" w:rsidTr="00652C8D">
        <w:trPr>
          <w:trHeight w:val="290"/>
        </w:trPr>
        <w:tc>
          <w:tcPr>
            <w:tcW w:w="2689" w:type="dxa"/>
            <w:noWrap/>
            <w:hideMark/>
          </w:tcPr>
          <w:p w:rsidR="00C76C3E" w:rsidRPr="00975E6B" w:rsidRDefault="00C76C3E" w:rsidP="00C76C3E">
            <w:pPr>
              <w:pStyle w:val="BodyText"/>
              <w:jc w:val="left"/>
            </w:pPr>
            <w:r w:rsidRPr="00975E6B">
              <w:t>NEP</w:t>
            </w:r>
          </w:p>
        </w:tc>
        <w:tc>
          <w:tcPr>
            <w:tcW w:w="5811" w:type="dxa"/>
            <w:noWrap/>
            <w:hideMark/>
          </w:tcPr>
          <w:p w:rsidR="00C76C3E" w:rsidRPr="00975E6B" w:rsidRDefault="00C76C3E" w:rsidP="00C76C3E">
            <w:pPr>
              <w:pStyle w:val="BodyText"/>
              <w:jc w:val="left"/>
            </w:pPr>
            <w:r w:rsidRPr="00975E6B">
              <w:t>National Efficient Price</w:t>
            </w:r>
          </w:p>
        </w:tc>
      </w:tr>
      <w:tr w:rsidR="00652C8D"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lastRenderedPageBreak/>
              <w:t>NHCDC</w:t>
            </w:r>
          </w:p>
        </w:tc>
        <w:tc>
          <w:tcPr>
            <w:tcW w:w="5811" w:type="dxa"/>
            <w:noWrap/>
            <w:hideMark/>
          </w:tcPr>
          <w:p w:rsidR="00C76C3E" w:rsidRPr="00975E6B" w:rsidRDefault="00C76C3E" w:rsidP="00C76C3E">
            <w:pPr>
              <w:pStyle w:val="BodyText"/>
              <w:jc w:val="left"/>
            </w:pPr>
            <w:r w:rsidRPr="00975E6B">
              <w:t>National Hospital Cost Data Collection</w:t>
            </w:r>
          </w:p>
        </w:tc>
      </w:tr>
      <w:tr w:rsidR="00C76C3E" w:rsidRPr="00975E6B" w:rsidTr="00652C8D">
        <w:trPr>
          <w:trHeight w:val="290"/>
        </w:trPr>
        <w:tc>
          <w:tcPr>
            <w:tcW w:w="2689" w:type="dxa"/>
            <w:noWrap/>
            <w:hideMark/>
          </w:tcPr>
          <w:p w:rsidR="00C76C3E" w:rsidRPr="00975E6B" w:rsidRDefault="00C76C3E" w:rsidP="00C76C3E">
            <w:pPr>
              <w:pStyle w:val="BodyText"/>
              <w:jc w:val="left"/>
            </w:pPr>
            <w:r w:rsidRPr="00975E6B">
              <w:t xml:space="preserve">NHR </w:t>
            </w:r>
          </w:p>
        </w:tc>
        <w:tc>
          <w:tcPr>
            <w:tcW w:w="5811" w:type="dxa"/>
            <w:noWrap/>
            <w:hideMark/>
          </w:tcPr>
          <w:p w:rsidR="00C76C3E" w:rsidRPr="00975E6B" w:rsidRDefault="00C76C3E" w:rsidP="00C76C3E">
            <w:pPr>
              <w:pStyle w:val="BodyText"/>
              <w:jc w:val="left"/>
            </w:pPr>
            <w:r w:rsidRPr="00975E6B">
              <w:t>National Health Reform</w:t>
            </w:r>
          </w:p>
        </w:tc>
      </w:tr>
      <w:tr w:rsidR="00652C8D"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NSW</w:t>
            </w:r>
          </w:p>
        </w:tc>
        <w:tc>
          <w:tcPr>
            <w:tcW w:w="5811" w:type="dxa"/>
            <w:noWrap/>
            <w:hideMark/>
          </w:tcPr>
          <w:p w:rsidR="00C76C3E" w:rsidRPr="00975E6B" w:rsidRDefault="00C76C3E" w:rsidP="00C76C3E">
            <w:pPr>
              <w:pStyle w:val="BodyText"/>
              <w:jc w:val="left"/>
            </w:pPr>
            <w:r w:rsidRPr="00975E6B">
              <w:t>New South Wales</w:t>
            </w:r>
          </w:p>
        </w:tc>
      </w:tr>
      <w:tr w:rsidR="00C76C3E" w:rsidRPr="00975E6B" w:rsidTr="00652C8D">
        <w:trPr>
          <w:trHeight w:val="290"/>
        </w:trPr>
        <w:tc>
          <w:tcPr>
            <w:tcW w:w="2689" w:type="dxa"/>
            <w:noWrap/>
            <w:hideMark/>
          </w:tcPr>
          <w:p w:rsidR="00C76C3E" w:rsidRPr="00975E6B" w:rsidRDefault="00C76C3E" w:rsidP="00C76C3E">
            <w:pPr>
              <w:pStyle w:val="BodyText"/>
              <w:jc w:val="left"/>
            </w:pPr>
            <w:r w:rsidRPr="00975E6B">
              <w:t>NT</w:t>
            </w:r>
          </w:p>
        </w:tc>
        <w:tc>
          <w:tcPr>
            <w:tcW w:w="5811" w:type="dxa"/>
            <w:noWrap/>
            <w:hideMark/>
          </w:tcPr>
          <w:p w:rsidR="00C76C3E" w:rsidRPr="00975E6B" w:rsidRDefault="00C76C3E" w:rsidP="00C76C3E">
            <w:pPr>
              <w:pStyle w:val="BodyText"/>
              <w:jc w:val="left"/>
            </w:pPr>
            <w:r w:rsidRPr="00975E6B">
              <w:t>Northern Territory</w:t>
            </w:r>
          </w:p>
        </w:tc>
      </w:tr>
      <w:tr w:rsidR="00652C8D"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PAS</w:t>
            </w:r>
          </w:p>
        </w:tc>
        <w:tc>
          <w:tcPr>
            <w:tcW w:w="5811" w:type="dxa"/>
            <w:noWrap/>
            <w:hideMark/>
          </w:tcPr>
          <w:p w:rsidR="00C76C3E" w:rsidRPr="00975E6B" w:rsidRDefault="00C76C3E" w:rsidP="00C76C3E">
            <w:pPr>
              <w:pStyle w:val="BodyText"/>
              <w:jc w:val="left"/>
            </w:pPr>
            <w:r w:rsidRPr="00975E6B">
              <w:t>Patient Administration System</w:t>
            </w:r>
          </w:p>
        </w:tc>
      </w:tr>
      <w:tr w:rsidR="00C76C3E" w:rsidRPr="00975E6B" w:rsidTr="00652C8D">
        <w:trPr>
          <w:trHeight w:val="290"/>
        </w:trPr>
        <w:tc>
          <w:tcPr>
            <w:tcW w:w="2689" w:type="dxa"/>
            <w:noWrap/>
            <w:hideMark/>
          </w:tcPr>
          <w:p w:rsidR="00C76C3E" w:rsidRPr="00975E6B" w:rsidRDefault="00C76C3E" w:rsidP="00C76C3E">
            <w:pPr>
              <w:pStyle w:val="BodyText"/>
              <w:jc w:val="left"/>
            </w:pPr>
            <w:r w:rsidRPr="00975E6B">
              <w:t>PBS</w:t>
            </w:r>
          </w:p>
        </w:tc>
        <w:tc>
          <w:tcPr>
            <w:tcW w:w="5811" w:type="dxa"/>
            <w:noWrap/>
            <w:hideMark/>
          </w:tcPr>
          <w:p w:rsidR="00C76C3E" w:rsidRPr="00975E6B" w:rsidRDefault="00C76C3E" w:rsidP="00C76C3E">
            <w:pPr>
              <w:pStyle w:val="BodyText"/>
              <w:jc w:val="left"/>
            </w:pPr>
            <w:r w:rsidRPr="00975E6B">
              <w:t>Pharmaceutical Benefits Scheme</w:t>
            </w:r>
          </w:p>
        </w:tc>
      </w:tr>
      <w:tr w:rsidR="00652C8D"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PCCL</w:t>
            </w:r>
          </w:p>
        </w:tc>
        <w:tc>
          <w:tcPr>
            <w:tcW w:w="5811" w:type="dxa"/>
            <w:noWrap/>
            <w:hideMark/>
          </w:tcPr>
          <w:p w:rsidR="00C76C3E" w:rsidRPr="00975E6B" w:rsidRDefault="00C76C3E" w:rsidP="00C76C3E">
            <w:pPr>
              <w:pStyle w:val="BodyText"/>
              <w:jc w:val="left"/>
            </w:pPr>
            <w:r w:rsidRPr="00975E6B">
              <w:t>Patient clinical complexity level</w:t>
            </w:r>
          </w:p>
        </w:tc>
      </w:tr>
      <w:tr w:rsidR="00652C8D" w:rsidRPr="00975E6B" w:rsidTr="00652C8D">
        <w:trPr>
          <w:trHeight w:val="290"/>
        </w:trPr>
        <w:tc>
          <w:tcPr>
            <w:tcW w:w="2689" w:type="dxa"/>
            <w:noWrap/>
            <w:hideMark/>
          </w:tcPr>
          <w:p w:rsidR="00C76C3E" w:rsidRPr="00975E6B" w:rsidRDefault="00C76C3E" w:rsidP="00C76C3E">
            <w:pPr>
              <w:pStyle w:val="BodyText"/>
              <w:jc w:val="left"/>
            </w:pPr>
            <w:r w:rsidRPr="00975E6B">
              <w:t>PFRAC</w:t>
            </w:r>
          </w:p>
        </w:tc>
        <w:tc>
          <w:tcPr>
            <w:tcW w:w="5811" w:type="dxa"/>
            <w:noWrap/>
            <w:hideMark/>
          </w:tcPr>
          <w:p w:rsidR="00C76C3E" w:rsidRPr="00975E6B" w:rsidRDefault="00C76C3E" w:rsidP="00C76C3E">
            <w:pPr>
              <w:pStyle w:val="BodyText"/>
              <w:jc w:val="left"/>
            </w:pPr>
            <w:r w:rsidRPr="00975E6B">
              <w:t>Product fractions</w:t>
            </w:r>
          </w:p>
        </w:tc>
      </w:tr>
      <w:tr w:rsidR="00652C8D"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6C6044" w:rsidP="00C76C3E">
            <w:pPr>
              <w:pStyle w:val="BodyText"/>
              <w:jc w:val="left"/>
            </w:pPr>
            <w:hyperlink r:id="rId15" w:history="1">
              <w:r w:rsidR="00C76C3E" w:rsidRPr="00975E6B">
                <w:t>PPM2</w:t>
              </w:r>
            </w:hyperlink>
          </w:p>
        </w:tc>
        <w:tc>
          <w:tcPr>
            <w:tcW w:w="5811" w:type="dxa"/>
            <w:noWrap/>
            <w:hideMark/>
          </w:tcPr>
          <w:p w:rsidR="00C76C3E" w:rsidRPr="00975E6B" w:rsidRDefault="00C76C3E" w:rsidP="00C76C3E">
            <w:pPr>
              <w:pStyle w:val="BodyText"/>
              <w:jc w:val="left"/>
            </w:pPr>
            <w:r w:rsidRPr="00975E6B">
              <w:t>Power Performance Manager 2</w:t>
            </w:r>
          </w:p>
        </w:tc>
      </w:tr>
      <w:tr w:rsidR="00C76C3E" w:rsidRPr="00975E6B" w:rsidTr="00652C8D">
        <w:trPr>
          <w:trHeight w:val="290"/>
        </w:trPr>
        <w:tc>
          <w:tcPr>
            <w:tcW w:w="2689" w:type="dxa"/>
            <w:noWrap/>
            <w:hideMark/>
          </w:tcPr>
          <w:p w:rsidR="00C76C3E" w:rsidRPr="00975E6B" w:rsidRDefault="00C76C3E" w:rsidP="00C76C3E">
            <w:pPr>
              <w:pStyle w:val="BodyText"/>
              <w:jc w:val="left"/>
            </w:pPr>
            <w:r w:rsidRPr="00975E6B">
              <w:t>QA</w:t>
            </w:r>
          </w:p>
        </w:tc>
        <w:tc>
          <w:tcPr>
            <w:tcW w:w="5811" w:type="dxa"/>
            <w:noWrap/>
            <w:hideMark/>
          </w:tcPr>
          <w:p w:rsidR="00C76C3E" w:rsidRPr="00975E6B" w:rsidRDefault="00C76C3E" w:rsidP="00C76C3E">
            <w:pPr>
              <w:pStyle w:val="BodyText"/>
              <w:jc w:val="left"/>
            </w:pPr>
            <w:r w:rsidRPr="00975E6B">
              <w:t>Quality assurance</w:t>
            </w:r>
          </w:p>
        </w:tc>
      </w:tr>
      <w:tr w:rsidR="00652C8D"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RVEEH</w:t>
            </w:r>
          </w:p>
        </w:tc>
        <w:tc>
          <w:tcPr>
            <w:tcW w:w="5811" w:type="dxa"/>
            <w:noWrap/>
            <w:hideMark/>
          </w:tcPr>
          <w:p w:rsidR="00C76C3E" w:rsidRPr="00975E6B" w:rsidRDefault="00C76C3E" w:rsidP="00C76C3E">
            <w:pPr>
              <w:pStyle w:val="BodyText"/>
              <w:jc w:val="left"/>
            </w:pPr>
            <w:r w:rsidRPr="00975E6B">
              <w:t>Royal Victorian Eye and Ear Hospital</w:t>
            </w:r>
          </w:p>
        </w:tc>
      </w:tr>
      <w:tr w:rsidR="00C76C3E" w:rsidRPr="00975E6B" w:rsidTr="00652C8D">
        <w:trPr>
          <w:trHeight w:val="290"/>
        </w:trPr>
        <w:tc>
          <w:tcPr>
            <w:tcW w:w="2689" w:type="dxa"/>
            <w:noWrap/>
            <w:hideMark/>
          </w:tcPr>
          <w:p w:rsidR="00C76C3E" w:rsidRPr="00975E6B" w:rsidRDefault="00C76C3E" w:rsidP="00C76C3E">
            <w:pPr>
              <w:pStyle w:val="BodyText"/>
              <w:jc w:val="left"/>
            </w:pPr>
            <w:r w:rsidRPr="00975E6B">
              <w:t>RVU</w:t>
            </w:r>
          </w:p>
        </w:tc>
        <w:tc>
          <w:tcPr>
            <w:tcW w:w="5811" w:type="dxa"/>
            <w:noWrap/>
            <w:hideMark/>
          </w:tcPr>
          <w:p w:rsidR="00C76C3E" w:rsidRPr="00975E6B" w:rsidRDefault="00C76C3E" w:rsidP="00C76C3E">
            <w:pPr>
              <w:pStyle w:val="BodyText"/>
              <w:jc w:val="left"/>
            </w:pPr>
            <w:r w:rsidRPr="00975E6B">
              <w:t>Relative Value Unit</w:t>
            </w:r>
          </w:p>
        </w:tc>
      </w:tr>
      <w:tr w:rsidR="00652C8D"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SA</w:t>
            </w:r>
          </w:p>
        </w:tc>
        <w:tc>
          <w:tcPr>
            <w:tcW w:w="5811" w:type="dxa"/>
            <w:noWrap/>
            <w:hideMark/>
          </w:tcPr>
          <w:p w:rsidR="00C76C3E" w:rsidRPr="00975E6B" w:rsidRDefault="00C76C3E" w:rsidP="00C76C3E">
            <w:pPr>
              <w:pStyle w:val="BodyText"/>
              <w:jc w:val="left"/>
            </w:pPr>
            <w:r w:rsidRPr="00975E6B">
              <w:t>South Australia</w:t>
            </w:r>
          </w:p>
        </w:tc>
      </w:tr>
      <w:tr w:rsidR="00652C8D" w:rsidRPr="00975E6B" w:rsidTr="00652C8D">
        <w:trPr>
          <w:trHeight w:val="290"/>
        </w:trPr>
        <w:tc>
          <w:tcPr>
            <w:tcW w:w="2689" w:type="dxa"/>
            <w:noWrap/>
            <w:hideMark/>
          </w:tcPr>
          <w:p w:rsidR="00C76C3E" w:rsidRPr="00975E6B" w:rsidRDefault="00C76C3E" w:rsidP="00C76C3E">
            <w:pPr>
              <w:pStyle w:val="BodyText"/>
              <w:jc w:val="left"/>
            </w:pPr>
            <w:r w:rsidRPr="00975E6B">
              <w:t>TAS-DHHS</w:t>
            </w:r>
          </w:p>
        </w:tc>
        <w:tc>
          <w:tcPr>
            <w:tcW w:w="5811" w:type="dxa"/>
            <w:noWrap/>
            <w:hideMark/>
          </w:tcPr>
          <w:p w:rsidR="00C76C3E" w:rsidRPr="00975E6B" w:rsidRDefault="00C76C3E" w:rsidP="00C76C3E">
            <w:pPr>
              <w:pStyle w:val="BodyText"/>
              <w:jc w:val="left"/>
            </w:pPr>
            <w:r w:rsidRPr="00975E6B">
              <w:t>Tasmanian Department of Health and Human Services</w:t>
            </w:r>
          </w:p>
        </w:tc>
      </w:tr>
      <w:tr w:rsidR="00C76C3E"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THO-South</w:t>
            </w:r>
          </w:p>
        </w:tc>
        <w:tc>
          <w:tcPr>
            <w:tcW w:w="5811" w:type="dxa"/>
            <w:noWrap/>
            <w:hideMark/>
          </w:tcPr>
          <w:p w:rsidR="00C76C3E" w:rsidRPr="00975E6B" w:rsidRDefault="00C76C3E" w:rsidP="00C76C3E">
            <w:pPr>
              <w:pStyle w:val="BodyText"/>
              <w:jc w:val="left"/>
            </w:pPr>
            <w:r w:rsidRPr="00975E6B">
              <w:t>Tasmanian Health Organisation - South</w:t>
            </w:r>
          </w:p>
        </w:tc>
      </w:tr>
      <w:tr w:rsidR="00652C8D" w:rsidRPr="00975E6B" w:rsidTr="00652C8D">
        <w:trPr>
          <w:trHeight w:val="290"/>
        </w:trPr>
        <w:tc>
          <w:tcPr>
            <w:tcW w:w="2689" w:type="dxa"/>
            <w:noWrap/>
            <w:hideMark/>
          </w:tcPr>
          <w:p w:rsidR="00C76C3E" w:rsidRPr="00975E6B" w:rsidRDefault="00C76C3E" w:rsidP="00C76C3E">
            <w:pPr>
              <w:pStyle w:val="BodyText"/>
              <w:jc w:val="left"/>
            </w:pPr>
            <w:r w:rsidRPr="00975E6B">
              <w:t>TOPAS</w:t>
            </w:r>
          </w:p>
        </w:tc>
        <w:tc>
          <w:tcPr>
            <w:tcW w:w="5811" w:type="dxa"/>
            <w:noWrap/>
            <w:hideMark/>
          </w:tcPr>
          <w:p w:rsidR="00C76C3E" w:rsidRPr="00975E6B" w:rsidRDefault="00C76C3E" w:rsidP="00C76C3E">
            <w:pPr>
              <w:pStyle w:val="BodyText"/>
              <w:jc w:val="left"/>
            </w:pPr>
            <w:r w:rsidRPr="00975E6B">
              <w:t>The Open Patient Administration System</w:t>
            </w:r>
          </w:p>
        </w:tc>
      </w:tr>
      <w:tr w:rsidR="00C76C3E"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TTR</w:t>
            </w:r>
          </w:p>
        </w:tc>
        <w:tc>
          <w:tcPr>
            <w:tcW w:w="5811" w:type="dxa"/>
            <w:noWrap/>
            <w:hideMark/>
          </w:tcPr>
          <w:p w:rsidR="00C76C3E" w:rsidRPr="00975E6B" w:rsidRDefault="00C76C3E" w:rsidP="00C76C3E">
            <w:pPr>
              <w:pStyle w:val="BodyText"/>
              <w:jc w:val="left"/>
            </w:pPr>
            <w:r w:rsidRPr="00975E6B">
              <w:t>Teaching, Training and Research</w:t>
            </w:r>
          </w:p>
        </w:tc>
      </w:tr>
      <w:tr w:rsidR="00652C8D" w:rsidRPr="00975E6B" w:rsidTr="00652C8D">
        <w:trPr>
          <w:trHeight w:val="290"/>
        </w:trPr>
        <w:tc>
          <w:tcPr>
            <w:tcW w:w="2689" w:type="dxa"/>
            <w:noWrap/>
            <w:hideMark/>
          </w:tcPr>
          <w:p w:rsidR="00C76C3E" w:rsidRPr="00975E6B" w:rsidRDefault="00C76C3E" w:rsidP="00C76C3E">
            <w:pPr>
              <w:pStyle w:val="BodyText"/>
              <w:jc w:val="left"/>
            </w:pPr>
            <w:r w:rsidRPr="00975E6B">
              <w:t>UQB</w:t>
            </w:r>
          </w:p>
        </w:tc>
        <w:tc>
          <w:tcPr>
            <w:tcW w:w="5811" w:type="dxa"/>
            <w:noWrap/>
            <w:hideMark/>
          </w:tcPr>
          <w:p w:rsidR="00C76C3E" w:rsidRPr="00975E6B" w:rsidRDefault="00C76C3E" w:rsidP="00C76C3E">
            <w:pPr>
              <w:pStyle w:val="BodyText"/>
              <w:jc w:val="left"/>
            </w:pPr>
            <w:r w:rsidRPr="00975E6B">
              <w:t>Unqualified baby</w:t>
            </w:r>
          </w:p>
        </w:tc>
      </w:tr>
      <w:tr w:rsidR="00C76C3E"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VCDC</w:t>
            </w:r>
          </w:p>
        </w:tc>
        <w:tc>
          <w:tcPr>
            <w:tcW w:w="5811" w:type="dxa"/>
            <w:noWrap/>
            <w:hideMark/>
          </w:tcPr>
          <w:p w:rsidR="00C76C3E" w:rsidRPr="00975E6B" w:rsidRDefault="00C76C3E" w:rsidP="00C76C3E">
            <w:pPr>
              <w:pStyle w:val="BodyText"/>
              <w:jc w:val="left"/>
            </w:pPr>
            <w:r w:rsidRPr="00975E6B">
              <w:t>Victorian Cost Data Collection</w:t>
            </w:r>
          </w:p>
        </w:tc>
      </w:tr>
      <w:tr w:rsidR="00652C8D" w:rsidRPr="00975E6B" w:rsidTr="00652C8D">
        <w:trPr>
          <w:trHeight w:val="290"/>
        </w:trPr>
        <w:tc>
          <w:tcPr>
            <w:tcW w:w="2689" w:type="dxa"/>
            <w:noWrap/>
            <w:hideMark/>
          </w:tcPr>
          <w:p w:rsidR="00C76C3E" w:rsidRPr="00975E6B" w:rsidRDefault="00C76C3E" w:rsidP="00C76C3E">
            <w:pPr>
              <w:pStyle w:val="BodyText"/>
              <w:jc w:val="left"/>
            </w:pPr>
            <w:r w:rsidRPr="00975E6B">
              <w:t xml:space="preserve">VMO </w:t>
            </w:r>
          </w:p>
        </w:tc>
        <w:tc>
          <w:tcPr>
            <w:tcW w:w="5811" w:type="dxa"/>
            <w:noWrap/>
            <w:hideMark/>
          </w:tcPr>
          <w:p w:rsidR="00C76C3E" w:rsidRPr="00975E6B" w:rsidRDefault="00C76C3E" w:rsidP="00C76C3E">
            <w:pPr>
              <w:pStyle w:val="BodyText"/>
              <w:jc w:val="left"/>
            </w:pPr>
            <w:r w:rsidRPr="00975E6B">
              <w:t>Visiting Medical Officer</w:t>
            </w:r>
          </w:p>
        </w:tc>
      </w:tr>
      <w:tr w:rsidR="00C76C3E"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VPG</w:t>
            </w:r>
          </w:p>
        </w:tc>
        <w:tc>
          <w:tcPr>
            <w:tcW w:w="5811" w:type="dxa"/>
            <w:noWrap/>
            <w:hideMark/>
          </w:tcPr>
          <w:p w:rsidR="00C76C3E" w:rsidRPr="00975E6B" w:rsidRDefault="00C76C3E" w:rsidP="00C76C3E">
            <w:pPr>
              <w:pStyle w:val="BodyText"/>
              <w:jc w:val="left"/>
            </w:pPr>
            <w:r w:rsidRPr="00975E6B">
              <w:t>Virtual Patient Group</w:t>
            </w:r>
          </w:p>
        </w:tc>
      </w:tr>
      <w:tr w:rsidR="00652C8D" w:rsidRPr="00975E6B" w:rsidTr="00652C8D">
        <w:trPr>
          <w:trHeight w:val="290"/>
        </w:trPr>
        <w:tc>
          <w:tcPr>
            <w:tcW w:w="2689" w:type="dxa"/>
            <w:noWrap/>
            <w:hideMark/>
          </w:tcPr>
          <w:p w:rsidR="00C76C3E" w:rsidRPr="00975E6B" w:rsidRDefault="00C76C3E" w:rsidP="00C76C3E">
            <w:pPr>
              <w:pStyle w:val="BodyText"/>
              <w:jc w:val="left"/>
            </w:pPr>
            <w:r w:rsidRPr="00975E6B">
              <w:t>WA</w:t>
            </w:r>
          </w:p>
        </w:tc>
        <w:tc>
          <w:tcPr>
            <w:tcW w:w="5811" w:type="dxa"/>
            <w:noWrap/>
            <w:hideMark/>
          </w:tcPr>
          <w:p w:rsidR="00C76C3E" w:rsidRPr="00975E6B" w:rsidRDefault="00C76C3E" w:rsidP="00C76C3E">
            <w:pPr>
              <w:pStyle w:val="BodyText"/>
              <w:jc w:val="left"/>
            </w:pPr>
            <w:r w:rsidRPr="00975E6B">
              <w:t>Western Australia</w:t>
            </w:r>
          </w:p>
        </w:tc>
      </w:tr>
      <w:tr w:rsidR="00652C8D" w:rsidRPr="00975E6B" w:rsidTr="00652C8D">
        <w:trPr>
          <w:cnfStyle w:val="000000100000" w:firstRow="0" w:lastRow="0" w:firstColumn="0" w:lastColumn="0" w:oddVBand="0" w:evenVBand="0" w:oddHBand="1" w:evenHBand="0" w:firstRowFirstColumn="0" w:firstRowLastColumn="0" w:lastRowFirstColumn="0" w:lastRowLastColumn="0"/>
          <w:trHeight w:val="290"/>
        </w:trPr>
        <w:tc>
          <w:tcPr>
            <w:tcW w:w="2689" w:type="dxa"/>
            <w:noWrap/>
            <w:hideMark/>
          </w:tcPr>
          <w:p w:rsidR="00C76C3E" w:rsidRPr="00975E6B" w:rsidRDefault="00C76C3E" w:rsidP="00C76C3E">
            <w:pPr>
              <w:pStyle w:val="BodyText"/>
              <w:jc w:val="left"/>
            </w:pPr>
            <w:r w:rsidRPr="00975E6B">
              <w:t>WIP</w:t>
            </w:r>
          </w:p>
        </w:tc>
        <w:tc>
          <w:tcPr>
            <w:tcW w:w="5811" w:type="dxa"/>
            <w:noWrap/>
            <w:hideMark/>
          </w:tcPr>
          <w:p w:rsidR="00C76C3E" w:rsidRPr="00975E6B" w:rsidRDefault="00C76C3E" w:rsidP="00156E49">
            <w:pPr>
              <w:pStyle w:val="BodyText"/>
              <w:jc w:val="left"/>
            </w:pPr>
            <w:r w:rsidRPr="00975E6B">
              <w:t>Work</w:t>
            </w:r>
            <w:r w:rsidR="00737CB2">
              <w:t>-</w:t>
            </w:r>
            <w:r w:rsidRPr="00975E6B">
              <w:t>In</w:t>
            </w:r>
            <w:r w:rsidR="00737CB2">
              <w:t>-</w:t>
            </w:r>
            <w:r w:rsidRPr="00975E6B">
              <w:t>Progress</w:t>
            </w:r>
          </w:p>
        </w:tc>
      </w:tr>
    </w:tbl>
    <w:p w:rsidR="00A16305" w:rsidRPr="00975E6B" w:rsidRDefault="00A16305" w:rsidP="00A16305"/>
    <w:p w:rsidR="009F63EF" w:rsidRPr="00975E6B" w:rsidRDefault="00A16305" w:rsidP="00532F1B">
      <w:pPr>
        <w:pStyle w:val="Heading1"/>
        <w:numPr>
          <w:ilvl w:val="0"/>
          <w:numId w:val="77"/>
        </w:numPr>
      </w:pPr>
      <w:r w:rsidRPr="00975E6B">
        <w:lastRenderedPageBreak/>
        <w:tab/>
      </w:r>
      <w:bookmarkStart w:id="8" w:name="_Toc444523639"/>
      <w:r w:rsidR="009F63EF" w:rsidRPr="00586178">
        <w:t>Introd</w:t>
      </w:r>
      <w:r w:rsidR="009F63EF" w:rsidRPr="00532F1B">
        <w:t>uct</w:t>
      </w:r>
      <w:r w:rsidR="009F63EF" w:rsidRPr="00586178">
        <w:t>ion</w:t>
      </w:r>
      <w:bookmarkEnd w:id="8"/>
    </w:p>
    <w:p w:rsidR="009F63EF" w:rsidRPr="00975E6B" w:rsidRDefault="009F63EF" w:rsidP="003B387A">
      <w:pPr>
        <w:pStyle w:val="Heading2"/>
        <w:numPr>
          <w:ilvl w:val="1"/>
          <w:numId w:val="77"/>
        </w:numPr>
      </w:pPr>
      <w:bookmarkStart w:id="9" w:name="_Toc433378265"/>
      <w:bookmarkStart w:id="10" w:name="_Toc433378465"/>
      <w:bookmarkStart w:id="11" w:name="_Toc433378662"/>
      <w:bookmarkStart w:id="12" w:name="_Toc433378859"/>
      <w:bookmarkStart w:id="13" w:name="_Toc433379056"/>
      <w:bookmarkStart w:id="14" w:name="_Toc433379253"/>
      <w:bookmarkStart w:id="15" w:name="_Toc444523640"/>
      <w:bookmarkEnd w:id="9"/>
      <w:bookmarkEnd w:id="10"/>
      <w:bookmarkEnd w:id="11"/>
      <w:bookmarkEnd w:id="12"/>
      <w:bookmarkEnd w:id="13"/>
      <w:bookmarkEnd w:id="14"/>
      <w:r w:rsidRPr="00431399">
        <w:t>Overview</w:t>
      </w:r>
      <w:r w:rsidRPr="00975E6B">
        <w:t xml:space="preserve"> and scope</w:t>
      </w:r>
      <w:bookmarkEnd w:id="15"/>
    </w:p>
    <w:p w:rsidR="00056E23" w:rsidRPr="00975E6B" w:rsidRDefault="00056E23" w:rsidP="00056E23">
      <w:pPr>
        <w:pStyle w:val="BodyText"/>
      </w:pPr>
      <w:r w:rsidRPr="00975E6B">
        <w:t xml:space="preserve">The </w:t>
      </w:r>
      <w:r w:rsidR="006E30B8" w:rsidRPr="00975E6B">
        <w:t>National Hospital Cost Data Collection (</w:t>
      </w:r>
      <w:r w:rsidRPr="00975E6B">
        <w:t>NHCDC</w:t>
      </w:r>
      <w:r w:rsidR="006E30B8" w:rsidRPr="00975E6B">
        <w:t>)</w:t>
      </w:r>
      <w:r w:rsidRPr="00975E6B">
        <w:t xml:space="preserve"> is the primary data collection that </w:t>
      </w:r>
      <w:r w:rsidR="006E30B8" w:rsidRPr="00975E6B">
        <w:t>the Independent Hospital Pricing Authority (</w:t>
      </w:r>
      <w:r w:rsidRPr="00975E6B">
        <w:t>IHPA</w:t>
      </w:r>
      <w:r w:rsidR="006E30B8" w:rsidRPr="00975E6B">
        <w:t>)</w:t>
      </w:r>
      <w:r w:rsidRPr="00975E6B">
        <w:t xml:space="preserve"> </w:t>
      </w:r>
      <w:r w:rsidR="002210E6" w:rsidRPr="00975E6B">
        <w:t xml:space="preserve">relies on to calculate the National Efficient Price </w:t>
      </w:r>
      <w:r w:rsidRPr="00975E6B">
        <w:t>use</w:t>
      </w:r>
      <w:r w:rsidR="002210E6" w:rsidRPr="00975E6B">
        <w:t>d</w:t>
      </w:r>
      <w:r w:rsidRPr="00975E6B">
        <w:t xml:space="preserve"> for the funding of public hospital services</w:t>
      </w:r>
      <w:r w:rsidR="001D312E" w:rsidRPr="00975E6B">
        <w:t xml:space="preserve">. </w:t>
      </w:r>
      <w:r w:rsidR="002210E6" w:rsidRPr="00975E6B">
        <w:t xml:space="preserve">To ensure that the quality of NHCDC data is robust and fit-for-purpose, </w:t>
      </w:r>
      <w:r w:rsidRPr="00975E6B">
        <w:t xml:space="preserve">IHPA </w:t>
      </w:r>
      <w:r w:rsidR="002210E6" w:rsidRPr="00975E6B">
        <w:t>commissions</w:t>
      </w:r>
      <w:r w:rsidRPr="00975E6B">
        <w:t xml:space="preserve"> </w:t>
      </w:r>
      <w:r w:rsidR="002210E6" w:rsidRPr="00975E6B">
        <w:t xml:space="preserve">an </w:t>
      </w:r>
      <w:r w:rsidRPr="00975E6B">
        <w:t xml:space="preserve">annual validation process to verify </w:t>
      </w:r>
      <w:r w:rsidR="005573C3" w:rsidRPr="00975E6B">
        <w:t xml:space="preserve">that </w:t>
      </w:r>
      <w:r w:rsidRPr="00975E6B">
        <w:t xml:space="preserve">all participating hospitals have included appropriate costs and patient activity. </w:t>
      </w:r>
    </w:p>
    <w:p w:rsidR="00056E23" w:rsidRPr="00975E6B" w:rsidRDefault="00DB7BB1" w:rsidP="00056E23">
      <w:pPr>
        <w:pStyle w:val="BodyText"/>
      </w:pPr>
      <w:r w:rsidRPr="00975E6B">
        <w:t xml:space="preserve">IHPA engaged KPMG to undertake the </w:t>
      </w:r>
      <w:r w:rsidR="00056E23" w:rsidRPr="00975E6B">
        <w:t xml:space="preserve">Round 18 </w:t>
      </w:r>
      <w:r w:rsidR="005B5083" w:rsidRPr="00975E6B">
        <w:t>independent financial review (I</w:t>
      </w:r>
      <w:r w:rsidR="00393AFE" w:rsidRPr="00975E6B">
        <w:t>F</w:t>
      </w:r>
      <w:r w:rsidR="005B5083" w:rsidRPr="00975E6B">
        <w:t>R</w:t>
      </w:r>
      <w:r w:rsidR="00393AFE" w:rsidRPr="00975E6B">
        <w:t xml:space="preserve">) </w:t>
      </w:r>
      <w:r w:rsidR="00056E23" w:rsidRPr="00975E6B">
        <w:t xml:space="preserve">of a sample of state and territory hospitals </w:t>
      </w:r>
      <w:r w:rsidR="00FB6EAC" w:rsidRPr="00975E6B">
        <w:t xml:space="preserve">who </w:t>
      </w:r>
      <w:r w:rsidR="00056E23" w:rsidRPr="00975E6B">
        <w:t>supplied data to the Round 18 (2013</w:t>
      </w:r>
      <w:r w:rsidR="00FD03F9" w:rsidRPr="00975E6B">
        <w:t>/</w:t>
      </w:r>
      <w:r w:rsidR="00056E23" w:rsidRPr="00975E6B">
        <w:t>14) NHCDC</w:t>
      </w:r>
      <w:r w:rsidR="00FB6EAC" w:rsidRPr="00975E6B">
        <w:t>. This review</w:t>
      </w:r>
      <w:r w:rsidR="00056E23" w:rsidRPr="00975E6B">
        <w:t xml:space="preserve"> includ</w:t>
      </w:r>
      <w:r w:rsidR="00FB6EAC" w:rsidRPr="00975E6B">
        <w:t>es</w:t>
      </w:r>
      <w:r w:rsidR="00056E23" w:rsidRPr="00975E6B">
        <w:t>:</w:t>
      </w:r>
    </w:p>
    <w:p w:rsidR="007844CB" w:rsidRPr="00975E6B" w:rsidRDefault="007844CB" w:rsidP="00F26328">
      <w:pPr>
        <w:pStyle w:val="BodyText"/>
        <w:numPr>
          <w:ilvl w:val="0"/>
          <w:numId w:val="24"/>
        </w:numPr>
      </w:pPr>
      <w:r w:rsidRPr="00975E6B">
        <w:t xml:space="preserve">Assessment of the accuracy and completeness of the NHCDC participating hospitals reconciliations provided for Round 18. </w:t>
      </w:r>
    </w:p>
    <w:p w:rsidR="007844CB" w:rsidRPr="00975E6B" w:rsidRDefault="007844CB" w:rsidP="00F26328">
      <w:pPr>
        <w:pStyle w:val="BodyText"/>
        <w:numPr>
          <w:ilvl w:val="0"/>
          <w:numId w:val="24"/>
        </w:numPr>
      </w:pPr>
      <w:r w:rsidRPr="00975E6B">
        <w:t xml:space="preserve">Assessment of the consistency between jurisdictions sampled of the application of Version 3.1 </w:t>
      </w:r>
      <w:r w:rsidR="0012783F" w:rsidRPr="00975E6B">
        <w:t>of the Australian Hospital Patient Costing Standards (</w:t>
      </w:r>
      <w:r w:rsidRPr="00975E6B">
        <w:t>AHPCS</w:t>
      </w:r>
      <w:r w:rsidR="0012783F" w:rsidRPr="00975E6B">
        <w:t>)</w:t>
      </w:r>
      <w:r w:rsidRPr="00975E6B">
        <w:t xml:space="preserve"> in </w:t>
      </w:r>
      <w:r w:rsidR="00197C01" w:rsidRPr="00975E6B">
        <w:t xml:space="preserve">selected standards, as highlighted in </w:t>
      </w:r>
      <w:r w:rsidR="00197C01" w:rsidRPr="00975E6B">
        <w:fldChar w:fldCharType="begin"/>
      </w:r>
      <w:r w:rsidR="00197C01" w:rsidRPr="00975E6B">
        <w:instrText xml:space="preserve"> REF _Ref434264868 \h </w:instrText>
      </w:r>
      <w:r w:rsidR="00975E6B">
        <w:instrText xml:space="preserve"> \* MERGEFORMAT </w:instrText>
      </w:r>
      <w:r w:rsidR="00197C01" w:rsidRPr="00975E6B">
        <w:fldChar w:fldCharType="separate"/>
      </w:r>
      <w:r w:rsidR="00154CF7" w:rsidRPr="00975E6B">
        <w:t xml:space="preserve">Table </w:t>
      </w:r>
      <w:r w:rsidR="00154CF7">
        <w:rPr>
          <w:noProof/>
        </w:rPr>
        <w:t>3</w:t>
      </w:r>
      <w:r w:rsidR="00197C01" w:rsidRPr="00975E6B">
        <w:fldChar w:fldCharType="end"/>
      </w:r>
      <w:r w:rsidR="00197C01" w:rsidRPr="00975E6B">
        <w:t>.</w:t>
      </w:r>
    </w:p>
    <w:p w:rsidR="007844CB" w:rsidRPr="00975E6B" w:rsidRDefault="007844CB" w:rsidP="00F26328">
      <w:pPr>
        <w:pStyle w:val="BodyText"/>
        <w:numPr>
          <w:ilvl w:val="0"/>
          <w:numId w:val="24"/>
        </w:numPr>
      </w:pPr>
      <w:r w:rsidRPr="00975E6B">
        <w:t>Review of the data flow from the health service to the jurisdictional upload of hospital information</w:t>
      </w:r>
      <w:r w:rsidR="006E35B5" w:rsidRPr="00975E6B">
        <w:t>,</w:t>
      </w:r>
      <w:r w:rsidRPr="00975E6B">
        <w:t xml:space="preserve"> to the data submission portal, through to the storing of data in IHPA’s national database.</w:t>
      </w:r>
    </w:p>
    <w:p w:rsidR="00B72B7C" w:rsidRPr="00975E6B" w:rsidRDefault="00B72B7C" w:rsidP="00B72B7C">
      <w:pPr>
        <w:pStyle w:val="BodyText"/>
      </w:pPr>
      <w:r w:rsidRPr="00975E6B">
        <w:t>As this review is not an audit, no assurance on the completeness or accuracy of the costing has been provided. The outcomes and results rely heavily on the representations</w:t>
      </w:r>
      <w:r w:rsidR="0070798C" w:rsidRPr="00975E6B">
        <w:t>, assertions</w:t>
      </w:r>
      <w:r w:rsidRPr="00975E6B">
        <w:t xml:space="preserve"> and data submissions made by </w:t>
      </w:r>
      <w:r w:rsidR="00062640" w:rsidRPr="00975E6B">
        <w:t xml:space="preserve">the </w:t>
      </w:r>
      <w:r w:rsidRPr="00975E6B">
        <w:t>hospital</w:t>
      </w:r>
      <w:r w:rsidR="00062640" w:rsidRPr="00975E6B">
        <w:t xml:space="preserve"> or </w:t>
      </w:r>
      <w:r w:rsidR="00802990" w:rsidRPr="00975E6B">
        <w:t>local hospital network (</w:t>
      </w:r>
      <w:r w:rsidR="0070798C" w:rsidRPr="00975E6B">
        <w:t>LHN</w:t>
      </w:r>
      <w:r w:rsidR="00802990" w:rsidRPr="00975E6B">
        <w:t>)</w:t>
      </w:r>
      <w:r w:rsidRPr="00975E6B">
        <w:t xml:space="preserve"> costing teams and jurisdiction representatives</w:t>
      </w:r>
      <w:r w:rsidR="001D312E" w:rsidRPr="00975E6B">
        <w:t xml:space="preserve">. </w:t>
      </w:r>
      <w:r w:rsidRPr="00975E6B">
        <w:t xml:space="preserve">Procedures performed were limited to </w:t>
      </w:r>
      <w:r w:rsidR="00062640" w:rsidRPr="00975E6B">
        <w:t xml:space="preserve">the </w:t>
      </w:r>
      <w:r w:rsidRPr="00975E6B">
        <w:t xml:space="preserve">review </w:t>
      </w:r>
      <w:r w:rsidR="00062640" w:rsidRPr="00975E6B">
        <w:t xml:space="preserve">of </w:t>
      </w:r>
      <w:r w:rsidRPr="00975E6B">
        <w:t xml:space="preserve">supporting schedules, agreeing to source documentation, discussions with costing teams and obtaining extracts from costing systems. </w:t>
      </w:r>
    </w:p>
    <w:p w:rsidR="00596937" w:rsidRPr="00975E6B" w:rsidRDefault="00596937" w:rsidP="003B387A">
      <w:pPr>
        <w:pStyle w:val="Heading2"/>
        <w:numPr>
          <w:ilvl w:val="1"/>
          <w:numId w:val="77"/>
        </w:numPr>
      </w:pPr>
      <w:bookmarkStart w:id="16" w:name="_Toc444523641"/>
      <w:r w:rsidRPr="00431399">
        <w:t>Participating</w:t>
      </w:r>
      <w:r w:rsidRPr="00975E6B">
        <w:t xml:space="preserve"> hospitals</w:t>
      </w:r>
      <w:bookmarkEnd w:id="16"/>
    </w:p>
    <w:p w:rsidR="00460F73" w:rsidRPr="00975E6B" w:rsidRDefault="00460F73" w:rsidP="00056E23">
      <w:pPr>
        <w:pStyle w:val="BodyText"/>
      </w:pPr>
      <w:r w:rsidRPr="00975E6B">
        <w:t xml:space="preserve">Each of the eight jurisdictions </w:t>
      </w:r>
      <w:r w:rsidR="00F81244" w:rsidRPr="00975E6B">
        <w:t xml:space="preserve">was </w:t>
      </w:r>
      <w:r w:rsidRPr="00975E6B">
        <w:t>asked to participate in the IFR for Round 18</w:t>
      </w:r>
      <w:r w:rsidR="001D312E" w:rsidRPr="00975E6B">
        <w:t xml:space="preserve">. </w:t>
      </w:r>
      <w:r w:rsidRPr="00975E6B">
        <w:t>All jurisdictions agreed to participate with the exception of the Australian Capital Territory</w:t>
      </w:r>
      <w:r w:rsidR="00F81244" w:rsidRPr="00975E6B">
        <w:t>.</w:t>
      </w:r>
      <w:r w:rsidR="001D312E" w:rsidRPr="00975E6B">
        <w:t xml:space="preserve"> </w:t>
      </w:r>
      <w:r w:rsidRPr="00975E6B">
        <w:t>Participating jurisdictions were requested to nominate hospitals o</w:t>
      </w:r>
      <w:r w:rsidR="00B72B7C" w:rsidRPr="00975E6B">
        <w:t>r</w:t>
      </w:r>
      <w:r w:rsidRPr="00975E6B">
        <w:t xml:space="preserve"> LHNs based on the following sampling framework</w:t>
      </w:r>
      <w:r w:rsidR="00B72B7C" w:rsidRPr="00975E6B">
        <w:t>:</w:t>
      </w:r>
    </w:p>
    <w:p w:rsidR="00B72B7C" w:rsidRPr="00975E6B" w:rsidRDefault="00B72B7C" w:rsidP="00F26328">
      <w:pPr>
        <w:pStyle w:val="BodyText"/>
        <w:numPr>
          <w:ilvl w:val="0"/>
          <w:numId w:val="24"/>
        </w:numPr>
      </w:pPr>
      <w:r w:rsidRPr="00975E6B">
        <w:rPr>
          <w:i/>
        </w:rPr>
        <w:t>Historical participation</w:t>
      </w:r>
      <w:r w:rsidRPr="00975E6B">
        <w:t xml:space="preserve"> - provides an opportunity to review new sites, or review a hospital or LHN that has previously participated </w:t>
      </w:r>
      <w:r w:rsidR="006F5D2A" w:rsidRPr="00975E6B">
        <w:t xml:space="preserve">in the IFR to </w:t>
      </w:r>
      <w:r w:rsidRPr="00975E6B">
        <w:t xml:space="preserve">enable progress to be tracked over time. </w:t>
      </w:r>
    </w:p>
    <w:p w:rsidR="00B72B7C" w:rsidRPr="00975E6B" w:rsidRDefault="00B72B7C" w:rsidP="00F26328">
      <w:pPr>
        <w:pStyle w:val="BodyText"/>
        <w:numPr>
          <w:ilvl w:val="0"/>
          <w:numId w:val="24"/>
        </w:numPr>
      </w:pPr>
      <w:r w:rsidRPr="00975E6B">
        <w:rPr>
          <w:i/>
        </w:rPr>
        <w:t>Size</w:t>
      </w:r>
      <w:r w:rsidRPr="00975E6B">
        <w:t xml:space="preserve"> - as assessed by volume and the scope of work undertaken.</w:t>
      </w:r>
    </w:p>
    <w:p w:rsidR="00B72B7C" w:rsidRPr="00975E6B" w:rsidRDefault="00B72B7C" w:rsidP="00F26328">
      <w:pPr>
        <w:pStyle w:val="BodyText"/>
        <w:numPr>
          <w:ilvl w:val="0"/>
          <w:numId w:val="24"/>
        </w:numPr>
      </w:pPr>
      <w:r w:rsidRPr="00975E6B">
        <w:rPr>
          <w:i/>
        </w:rPr>
        <w:t>Materiality -</w:t>
      </w:r>
      <w:r w:rsidRPr="00975E6B">
        <w:t xml:space="preserve"> the total cost submitted to the NHCDC by the hospital.</w:t>
      </w:r>
    </w:p>
    <w:p w:rsidR="00B72B7C" w:rsidRPr="00975E6B" w:rsidRDefault="00B72B7C" w:rsidP="00F26328">
      <w:pPr>
        <w:pStyle w:val="BodyText"/>
        <w:numPr>
          <w:ilvl w:val="0"/>
          <w:numId w:val="24"/>
        </w:numPr>
      </w:pPr>
      <w:r w:rsidRPr="00975E6B">
        <w:rPr>
          <w:i/>
        </w:rPr>
        <w:t>Systems -</w:t>
      </w:r>
      <w:r w:rsidRPr="00975E6B">
        <w:t xml:space="preserve"> the types of costing systems utilised in preparing the submission, and potentially extending to the types of feeder systems available.</w:t>
      </w:r>
    </w:p>
    <w:p w:rsidR="00B72B7C" w:rsidRPr="00975E6B" w:rsidRDefault="00B72B7C" w:rsidP="00F26328">
      <w:pPr>
        <w:pStyle w:val="BodyText"/>
        <w:numPr>
          <w:ilvl w:val="0"/>
          <w:numId w:val="24"/>
        </w:numPr>
      </w:pPr>
      <w:r w:rsidRPr="00975E6B">
        <w:rPr>
          <w:i/>
        </w:rPr>
        <w:lastRenderedPageBreak/>
        <w:t>Other factors</w:t>
      </w:r>
      <w:r w:rsidRPr="00975E6B">
        <w:t xml:space="preserve"> - where sites had previously participated and identified focus areas such as Emergency Department </w:t>
      </w:r>
      <w:r w:rsidR="004C3D61" w:rsidRPr="00975E6B">
        <w:t>costing or overhead allocations,</w:t>
      </w:r>
      <w:r w:rsidRPr="00975E6B">
        <w:t xml:space="preserve"> or other potential areas such as previously identified governance, control or capability issues.</w:t>
      </w:r>
    </w:p>
    <w:p w:rsidR="00460F73" w:rsidRPr="00975E6B" w:rsidRDefault="00460F73" w:rsidP="00596937">
      <w:pPr>
        <w:pStyle w:val="BodyText"/>
      </w:pPr>
      <w:r w:rsidRPr="00975E6B">
        <w:t>In total, a sample of 1</w:t>
      </w:r>
      <w:r w:rsidR="00F3088E" w:rsidRPr="00975E6B">
        <w:t>4</w:t>
      </w:r>
      <w:r w:rsidRPr="00975E6B">
        <w:t xml:space="preserve"> sites</w:t>
      </w:r>
      <w:r w:rsidR="00DB215A" w:rsidRPr="00975E6B">
        <w:t>, including 11 hospital</w:t>
      </w:r>
      <w:r w:rsidR="008D33C0" w:rsidRPr="00975E6B">
        <w:t>s</w:t>
      </w:r>
      <w:r w:rsidR="00DB215A" w:rsidRPr="00975E6B">
        <w:t xml:space="preserve"> and three LHNs</w:t>
      </w:r>
      <w:r w:rsidRPr="00975E6B">
        <w:t xml:space="preserve"> </w:t>
      </w:r>
      <w:r w:rsidR="00F81244" w:rsidRPr="00975E6B">
        <w:t>w</w:t>
      </w:r>
      <w:r w:rsidR="00FB6EAC" w:rsidRPr="00975E6B">
        <w:t>ere</w:t>
      </w:r>
      <w:r w:rsidR="00F81244" w:rsidRPr="00975E6B">
        <w:t xml:space="preserve"> </w:t>
      </w:r>
      <w:r w:rsidRPr="00975E6B">
        <w:t xml:space="preserve">selected </w:t>
      </w:r>
      <w:r w:rsidR="00DB215A" w:rsidRPr="00975E6B">
        <w:t xml:space="preserve">by jurisdictions </w:t>
      </w:r>
      <w:r w:rsidRPr="00975E6B">
        <w:t>to participate in the IFR.</w:t>
      </w:r>
    </w:p>
    <w:p w:rsidR="00A643EB" w:rsidRPr="00975E6B" w:rsidRDefault="00A643EB" w:rsidP="00A643EB">
      <w:pPr>
        <w:pStyle w:val="Caption"/>
      </w:pPr>
      <w:bookmarkStart w:id="17" w:name="_Ref433315312"/>
      <w:r w:rsidRPr="00975E6B">
        <w:t xml:space="preserve">Table </w:t>
      </w:r>
      <w:fldSimple w:instr=" SEQ Table \* ARABIC ">
        <w:r w:rsidR="00154CF7">
          <w:rPr>
            <w:noProof/>
          </w:rPr>
          <w:t>1</w:t>
        </w:r>
      </w:fldSimple>
      <w:bookmarkEnd w:id="17"/>
      <w:r w:rsidRPr="00975E6B">
        <w:t xml:space="preserve"> – Round 18 IFR participating hospitals/LHNs</w:t>
      </w:r>
    </w:p>
    <w:tbl>
      <w:tblPr>
        <w:tblStyle w:val="ListTable4-Accent11"/>
        <w:tblW w:w="5000" w:type="pct"/>
        <w:tblLayout w:type="fixed"/>
        <w:tblLook w:val="0620" w:firstRow="1" w:lastRow="0" w:firstColumn="0" w:lastColumn="0" w:noHBand="1" w:noVBand="1"/>
        <w:tblCaption w:val="Table 1 - Round 18 IFR participating hospitals/LHNs"/>
        <w:tblDescription w:val="This table lists the jurisdictions and hospitals/LHNs that participated in the Round 18 IFR, including a high level description of the hospital.  There are 3 columns. The first column is the jurisdiction, the second column is the hospital/LHN and the third column is the high level description of the hospital/LHN."/>
      </w:tblPr>
      <w:tblGrid>
        <w:gridCol w:w="2032"/>
        <w:gridCol w:w="2620"/>
        <w:gridCol w:w="4069"/>
      </w:tblGrid>
      <w:tr w:rsidR="00197C01" w:rsidRPr="00975E6B" w:rsidTr="00E14378">
        <w:trPr>
          <w:cnfStyle w:val="100000000000" w:firstRow="1" w:lastRow="0" w:firstColumn="0" w:lastColumn="0" w:oddVBand="0" w:evenVBand="0" w:oddHBand="0" w:evenHBand="0" w:firstRowFirstColumn="0" w:firstRowLastColumn="0" w:lastRowFirstColumn="0" w:lastRowLastColumn="0"/>
          <w:cantSplit/>
          <w:tblHeader/>
        </w:trPr>
        <w:tc>
          <w:tcPr>
            <w:tcW w:w="1165" w:type="pct"/>
            <w:tcBorders>
              <w:top w:val="nil"/>
              <w:right w:val="single" w:sz="4" w:space="0" w:color="548DD4" w:themeColor="text2" w:themeTint="99"/>
            </w:tcBorders>
            <w:shd w:val="clear" w:color="auto" w:fill="002060"/>
            <w:noWrap/>
          </w:tcPr>
          <w:p w:rsidR="00197C01" w:rsidRPr="00975E6B" w:rsidRDefault="00197C01" w:rsidP="00B72B7C">
            <w:r w:rsidRPr="00975E6B">
              <w:t>Jurisdiction</w:t>
            </w:r>
          </w:p>
        </w:tc>
        <w:tc>
          <w:tcPr>
            <w:tcW w:w="1502" w:type="pct"/>
            <w:tcBorders>
              <w:top w:val="nil"/>
              <w:left w:val="single" w:sz="4" w:space="0" w:color="548DD4" w:themeColor="text2" w:themeTint="99"/>
            </w:tcBorders>
            <w:shd w:val="clear" w:color="auto" w:fill="002060"/>
          </w:tcPr>
          <w:p w:rsidR="00197C01" w:rsidRPr="00975E6B" w:rsidRDefault="00197C01" w:rsidP="00B72B7C">
            <w:r w:rsidRPr="00975E6B">
              <w:t>Hospital</w:t>
            </w:r>
          </w:p>
        </w:tc>
        <w:tc>
          <w:tcPr>
            <w:tcW w:w="2333" w:type="pct"/>
            <w:tcBorders>
              <w:top w:val="nil"/>
              <w:left w:val="single" w:sz="4" w:space="0" w:color="548DD4" w:themeColor="text2" w:themeTint="99"/>
            </w:tcBorders>
            <w:shd w:val="clear" w:color="auto" w:fill="002060"/>
          </w:tcPr>
          <w:p w:rsidR="00197C01" w:rsidRPr="00975E6B" w:rsidRDefault="00197C01" w:rsidP="00B72B7C">
            <w:r w:rsidRPr="00975E6B">
              <w:t>Characteristics</w:t>
            </w:r>
          </w:p>
        </w:tc>
      </w:tr>
      <w:tr w:rsidR="00267AE6" w:rsidRPr="00975E6B" w:rsidTr="00CD1518">
        <w:trPr>
          <w:cantSplit/>
        </w:trPr>
        <w:tc>
          <w:tcPr>
            <w:tcW w:w="1165" w:type="pct"/>
            <w:tcBorders>
              <w:top w:val="single" w:sz="4" w:space="0" w:color="4F81BD" w:themeColor="accent1"/>
              <w:left w:val="single" w:sz="4" w:space="0" w:color="4F81BD" w:themeColor="accent1"/>
              <w:bottom w:val="nil"/>
              <w:right w:val="single" w:sz="4" w:space="0" w:color="548DD4" w:themeColor="text2" w:themeTint="99"/>
            </w:tcBorders>
            <w:noWrap/>
          </w:tcPr>
          <w:p w:rsidR="00267AE6" w:rsidRPr="00975E6B" w:rsidRDefault="00267AE6" w:rsidP="00F71180">
            <w:pPr>
              <w:pStyle w:val="BodyText"/>
              <w:spacing w:before="0" w:after="0"/>
              <w:jc w:val="left"/>
              <w:rPr>
                <w:szCs w:val="20"/>
              </w:rPr>
            </w:pPr>
            <w:r w:rsidRPr="00975E6B">
              <w:rPr>
                <w:szCs w:val="20"/>
              </w:rPr>
              <w:t>New South Wales</w:t>
            </w:r>
          </w:p>
        </w:tc>
        <w:tc>
          <w:tcPr>
            <w:tcW w:w="1502" w:type="pct"/>
            <w:tcBorders>
              <w:left w:val="single" w:sz="4" w:space="0" w:color="548DD4" w:themeColor="text2" w:themeTint="99"/>
            </w:tcBorders>
          </w:tcPr>
          <w:p w:rsidR="00267AE6" w:rsidRPr="00975E6B" w:rsidRDefault="00267AE6" w:rsidP="00F71180">
            <w:pPr>
              <w:pStyle w:val="BodyText"/>
              <w:spacing w:before="0" w:after="0"/>
              <w:jc w:val="left"/>
              <w:rPr>
                <w:szCs w:val="20"/>
              </w:rPr>
            </w:pPr>
            <w:r w:rsidRPr="00975E6B">
              <w:rPr>
                <w:szCs w:val="20"/>
              </w:rPr>
              <w:t>Illawarra Shoalhaven Local Health District</w:t>
            </w:r>
          </w:p>
        </w:tc>
        <w:tc>
          <w:tcPr>
            <w:tcW w:w="2333" w:type="pct"/>
            <w:tcBorders>
              <w:left w:val="single" w:sz="4" w:space="0" w:color="548DD4" w:themeColor="text2" w:themeTint="99"/>
              <w:right w:val="single" w:sz="4" w:space="0" w:color="4F81BD" w:themeColor="accent1"/>
            </w:tcBorders>
          </w:tcPr>
          <w:p w:rsidR="00267AE6" w:rsidRPr="00975E6B" w:rsidRDefault="00267AE6" w:rsidP="00F26328">
            <w:pPr>
              <w:pStyle w:val="BodyText"/>
              <w:numPr>
                <w:ilvl w:val="0"/>
                <w:numId w:val="71"/>
              </w:numPr>
              <w:spacing w:before="0" w:after="0"/>
              <w:jc w:val="left"/>
              <w:rPr>
                <w:szCs w:val="20"/>
              </w:rPr>
            </w:pPr>
            <w:r w:rsidRPr="00975E6B">
              <w:rPr>
                <w:szCs w:val="20"/>
              </w:rPr>
              <w:t>LHD has previously not participated in an NHCDC IFR</w:t>
            </w:r>
          </w:p>
          <w:p w:rsidR="00267AE6" w:rsidRPr="00975E6B" w:rsidRDefault="00267AE6" w:rsidP="00F26328">
            <w:pPr>
              <w:pStyle w:val="BodyText"/>
              <w:numPr>
                <w:ilvl w:val="0"/>
                <w:numId w:val="71"/>
              </w:numPr>
              <w:spacing w:before="0" w:after="0"/>
              <w:jc w:val="left"/>
              <w:rPr>
                <w:szCs w:val="20"/>
              </w:rPr>
            </w:pPr>
            <w:r w:rsidRPr="00975E6B">
              <w:rPr>
                <w:szCs w:val="20"/>
              </w:rPr>
              <w:t>Includes major regional hospitals</w:t>
            </w:r>
          </w:p>
          <w:p w:rsidR="00267AE6" w:rsidRPr="00975E6B" w:rsidRDefault="00267AE6" w:rsidP="00F26328">
            <w:pPr>
              <w:pStyle w:val="BodyText"/>
              <w:numPr>
                <w:ilvl w:val="0"/>
                <w:numId w:val="71"/>
              </w:numPr>
              <w:spacing w:before="0" w:after="0"/>
              <w:jc w:val="left"/>
              <w:rPr>
                <w:szCs w:val="20"/>
              </w:rPr>
            </w:pPr>
            <w:r w:rsidRPr="00975E6B">
              <w:rPr>
                <w:szCs w:val="20"/>
              </w:rPr>
              <w:t>Costing system – PPM2</w:t>
            </w:r>
          </w:p>
        </w:tc>
      </w:tr>
      <w:tr w:rsidR="00267AE6" w:rsidRPr="00975E6B" w:rsidTr="00CD1518">
        <w:trPr>
          <w:cantSplit/>
        </w:trPr>
        <w:tc>
          <w:tcPr>
            <w:tcW w:w="1165" w:type="pct"/>
            <w:tcBorders>
              <w:top w:val="nil"/>
              <w:left w:val="single" w:sz="4" w:space="0" w:color="4F81BD" w:themeColor="accent1"/>
              <w:bottom w:val="nil"/>
              <w:right w:val="single" w:sz="4" w:space="0" w:color="548DD4" w:themeColor="text2" w:themeTint="99"/>
            </w:tcBorders>
            <w:noWrap/>
          </w:tcPr>
          <w:p w:rsidR="00267AE6" w:rsidRPr="00CD1518" w:rsidRDefault="00A7234A" w:rsidP="00F71180">
            <w:pPr>
              <w:pStyle w:val="BodyText"/>
              <w:spacing w:before="0" w:after="0"/>
              <w:jc w:val="left"/>
              <w:rPr>
                <w:color w:val="FFFFFF" w:themeColor="background1"/>
                <w:szCs w:val="20"/>
              </w:rPr>
            </w:pPr>
            <w:r w:rsidRPr="00CD1518">
              <w:rPr>
                <w:color w:val="FFFFFF" w:themeColor="background1"/>
                <w:szCs w:val="20"/>
              </w:rPr>
              <w:t>New South Wales</w:t>
            </w:r>
          </w:p>
        </w:tc>
        <w:tc>
          <w:tcPr>
            <w:tcW w:w="1502" w:type="pct"/>
            <w:tcBorders>
              <w:left w:val="single" w:sz="4" w:space="0" w:color="548DD4" w:themeColor="text2" w:themeTint="99"/>
            </w:tcBorders>
          </w:tcPr>
          <w:p w:rsidR="00267AE6" w:rsidRPr="00975E6B" w:rsidRDefault="00267AE6" w:rsidP="00F71180">
            <w:pPr>
              <w:pStyle w:val="BodyText"/>
              <w:spacing w:before="0" w:after="0"/>
              <w:jc w:val="left"/>
              <w:rPr>
                <w:szCs w:val="20"/>
              </w:rPr>
            </w:pPr>
            <w:r w:rsidRPr="00975E6B">
              <w:rPr>
                <w:szCs w:val="20"/>
              </w:rPr>
              <w:t>Northern NSW Local Health District</w:t>
            </w:r>
          </w:p>
        </w:tc>
        <w:tc>
          <w:tcPr>
            <w:tcW w:w="2333" w:type="pct"/>
            <w:tcBorders>
              <w:left w:val="single" w:sz="4" w:space="0" w:color="548DD4" w:themeColor="text2" w:themeTint="99"/>
              <w:right w:val="single" w:sz="4" w:space="0" w:color="4F81BD" w:themeColor="accent1"/>
            </w:tcBorders>
          </w:tcPr>
          <w:p w:rsidR="00267AE6" w:rsidRPr="00975E6B" w:rsidRDefault="00267AE6" w:rsidP="00F26328">
            <w:pPr>
              <w:pStyle w:val="BodyText"/>
              <w:numPr>
                <w:ilvl w:val="0"/>
                <w:numId w:val="71"/>
              </w:numPr>
              <w:spacing w:before="0" w:after="0"/>
              <w:jc w:val="left"/>
              <w:rPr>
                <w:szCs w:val="20"/>
              </w:rPr>
            </w:pPr>
            <w:r w:rsidRPr="00975E6B">
              <w:rPr>
                <w:szCs w:val="20"/>
              </w:rPr>
              <w:t>LHD has previously not participated in an NHCDC IFR</w:t>
            </w:r>
          </w:p>
          <w:p w:rsidR="00267AE6" w:rsidRPr="00975E6B" w:rsidRDefault="00267AE6" w:rsidP="00F26328">
            <w:pPr>
              <w:pStyle w:val="BodyText"/>
              <w:numPr>
                <w:ilvl w:val="0"/>
                <w:numId w:val="71"/>
              </w:numPr>
              <w:spacing w:before="0" w:after="0"/>
              <w:jc w:val="left"/>
              <w:rPr>
                <w:szCs w:val="20"/>
              </w:rPr>
            </w:pPr>
            <w:r w:rsidRPr="00975E6B">
              <w:rPr>
                <w:szCs w:val="20"/>
              </w:rPr>
              <w:t>Includes major regional and rural hospitals</w:t>
            </w:r>
          </w:p>
          <w:p w:rsidR="00267AE6" w:rsidRPr="00975E6B" w:rsidRDefault="00267AE6" w:rsidP="00F26328">
            <w:pPr>
              <w:pStyle w:val="BodyText"/>
              <w:numPr>
                <w:ilvl w:val="0"/>
                <w:numId w:val="71"/>
              </w:numPr>
              <w:spacing w:before="0" w:after="0"/>
              <w:jc w:val="left"/>
              <w:rPr>
                <w:szCs w:val="20"/>
              </w:rPr>
            </w:pPr>
            <w:r w:rsidRPr="00975E6B">
              <w:rPr>
                <w:szCs w:val="20"/>
              </w:rPr>
              <w:t>Costing system – PPM2</w:t>
            </w:r>
          </w:p>
        </w:tc>
      </w:tr>
      <w:tr w:rsidR="00267AE6" w:rsidRPr="00975E6B" w:rsidTr="00CD1518">
        <w:trPr>
          <w:cantSplit/>
        </w:trPr>
        <w:tc>
          <w:tcPr>
            <w:tcW w:w="1165" w:type="pct"/>
            <w:tcBorders>
              <w:top w:val="nil"/>
              <w:left w:val="single" w:sz="4" w:space="0" w:color="4F81BD" w:themeColor="accent1"/>
              <w:bottom w:val="single" w:sz="4" w:space="0" w:color="4F81BD" w:themeColor="accent1"/>
              <w:right w:val="single" w:sz="4" w:space="0" w:color="548DD4" w:themeColor="text2" w:themeTint="99"/>
            </w:tcBorders>
            <w:noWrap/>
          </w:tcPr>
          <w:p w:rsidR="00267AE6" w:rsidRPr="00CD1518" w:rsidRDefault="00A7234A" w:rsidP="00F71180">
            <w:pPr>
              <w:pStyle w:val="BodyText"/>
              <w:spacing w:before="0" w:after="0"/>
              <w:jc w:val="left"/>
              <w:rPr>
                <w:color w:val="FFFFFF" w:themeColor="background1"/>
                <w:szCs w:val="20"/>
              </w:rPr>
            </w:pPr>
            <w:r w:rsidRPr="00CD1518">
              <w:rPr>
                <w:color w:val="FFFFFF" w:themeColor="background1"/>
                <w:szCs w:val="20"/>
              </w:rPr>
              <w:t>New South Wales</w:t>
            </w:r>
          </w:p>
        </w:tc>
        <w:tc>
          <w:tcPr>
            <w:tcW w:w="1502" w:type="pct"/>
            <w:tcBorders>
              <w:left w:val="single" w:sz="4" w:space="0" w:color="548DD4" w:themeColor="text2" w:themeTint="99"/>
            </w:tcBorders>
          </w:tcPr>
          <w:p w:rsidR="00267AE6" w:rsidRPr="00975E6B" w:rsidRDefault="00267AE6" w:rsidP="00F71180">
            <w:pPr>
              <w:pStyle w:val="BodyText"/>
              <w:spacing w:before="0" w:after="0"/>
              <w:jc w:val="left"/>
              <w:rPr>
                <w:szCs w:val="20"/>
              </w:rPr>
            </w:pPr>
            <w:r w:rsidRPr="00975E6B">
              <w:rPr>
                <w:szCs w:val="20"/>
              </w:rPr>
              <w:t>Western Sydney Local Health District</w:t>
            </w:r>
          </w:p>
        </w:tc>
        <w:tc>
          <w:tcPr>
            <w:tcW w:w="2333" w:type="pct"/>
            <w:tcBorders>
              <w:left w:val="single" w:sz="4" w:space="0" w:color="548DD4" w:themeColor="text2" w:themeTint="99"/>
              <w:right w:val="single" w:sz="4" w:space="0" w:color="4F81BD" w:themeColor="accent1"/>
            </w:tcBorders>
          </w:tcPr>
          <w:p w:rsidR="00267AE6" w:rsidRPr="00975E6B" w:rsidRDefault="00AC0D0C" w:rsidP="00F26328">
            <w:pPr>
              <w:pStyle w:val="BodyText"/>
              <w:numPr>
                <w:ilvl w:val="0"/>
                <w:numId w:val="71"/>
              </w:numPr>
              <w:spacing w:before="0" w:after="0"/>
              <w:jc w:val="left"/>
              <w:rPr>
                <w:szCs w:val="20"/>
              </w:rPr>
            </w:pPr>
            <w:r>
              <w:rPr>
                <w:szCs w:val="20"/>
              </w:rPr>
              <w:t>Participated in Round 16 NHCDC IFR</w:t>
            </w:r>
          </w:p>
          <w:p w:rsidR="00267AE6" w:rsidRPr="00975E6B" w:rsidRDefault="00267AE6" w:rsidP="00F26328">
            <w:pPr>
              <w:pStyle w:val="BodyText"/>
              <w:numPr>
                <w:ilvl w:val="0"/>
                <w:numId w:val="71"/>
              </w:numPr>
              <w:spacing w:before="0" w:after="0"/>
              <w:jc w:val="left"/>
              <w:rPr>
                <w:szCs w:val="20"/>
              </w:rPr>
            </w:pPr>
            <w:r w:rsidRPr="00975E6B">
              <w:rPr>
                <w:szCs w:val="20"/>
              </w:rPr>
              <w:t>Includes major urban hospitals</w:t>
            </w:r>
          </w:p>
          <w:p w:rsidR="00267AE6" w:rsidRPr="00975E6B" w:rsidRDefault="00267AE6" w:rsidP="00F26328">
            <w:pPr>
              <w:pStyle w:val="BodyText"/>
              <w:numPr>
                <w:ilvl w:val="0"/>
                <w:numId w:val="71"/>
              </w:numPr>
              <w:spacing w:before="0" w:after="0"/>
              <w:jc w:val="left"/>
              <w:rPr>
                <w:szCs w:val="20"/>
              </w:rPr>
            </w:pPr>
            <w:r w:rsidRPr="00975E6B">
              <w:rPr>
                <w:szCs w:val="20"/>
              </w:rPr>
              <w:t>Costing system – PPM2</w:t>
            </w:r>
          </w:p>
        </w:tc>
      </w:tr>
      <w:tr w:rsidR="00197C01" w:rsidRPr="00975E6B" w:rsidTr="00CD1518">
        <w:trPr>
          <w:cantSplit/>
        </w:trPr>
        <w:tc>
          <w:tcPr>
            <w:tcW w:w="1165" w:type="pct"/>
            <w:tcBorders>
              <w:top w:val="single" w:sz="4" w:space="0" w:color="4F81BD" w:themeColor="accent1"/>
              <w:left w:val="single" w:sz="4" w:space="0" w:color="4F81BD" w:themeColor="accent1"/>
              <w:bottom w:val="single" w:sz="4" w:space="0" w:color="95B3D7" w:themeColor="accent1" w:themeTint="99"/>
              <w:right w:val="single" w:sz="4" w:space="0" w:color="548DD4" w:themeColor="text2" w:themeTint="99"/>
            </w:tcBorders>
            <w:noWrap/>
          </w:tcPr>
          <w:p w:rsidR="00197C01" w:rsidRPr="00975E6B" w:rsidRDefault="00197C01" w:rsidP="00F71180">
            <w:pPr>
              <w:pStyle w:val="BodyText"/>
              <w:spacing w:before="0" w:after="0"/>
              <w:jc w:val="left"/>
              <w:rPr>
                <w:szCs w:val="20"/>
              </w:rPr>
            </w:pPr>
            <w:r w:rsidRPr="00975E6B">
              <w:rPr>
                <w:szCs w:val="20"/>
              </w:rPr>
              <w:t>Northern Territory</w:t>
            </w:r>
          </w:p>
        </w:tc>
        <w:tc>
          <w:tcPr>
            <w:tcW w:w="1502" w:type="pct"/>
            <w:tcBorders>
              <w:left w:val="single" w:sz="4" w:space="0" w:color="548DD4" w:themeColor="text2" w:themeTint="99"/>
            </w:tcBorders>
          </w:tcPr>
          <w:p w:rsidR="00197C01" w:rsidRPr="00975E6B" w:rsidRDefault="00197C01" w:rsidP="00F71180">
            <w:pPr>
              <w:pStyle w:val="BodyText"/>
              <w:spacing w:before="0" w:after="0"/>
              <w:jc w:val="left"/>
              <w:rPr>
                <w:szCs w:val="20"/>
              </w:rPr>
            </w:pPr>
            <w:r w:rsidRPr="00975E6B">
              <w:rPr>
                <w:szCs w:val="20"/>
              </w:rPr>
              <w:t>Royal Darwin Hospital</w:t>
            </w:r>
          </w:p>
        </w:tc>
        <w:tc>
          <w:tcPr>
            <w:tcW w:w="2333" w:type="pct"/>
            <w:tcBorders>
              <w:left w:val="single" w:sz="4" w:space="0" w:color="548DD4" w:themeColor="text2" w:themeTint="99"/>
              <w:right w:val="single" w:sz="4" w:space="0" w:color="4F81BD" w:themeColor="accent1"/>
            </w:tcBorders>
          </w:tcPr>
          <w:p w:rsidR="0044637D" w:rsidRPr="00975E6B" w:rsidRDefault="0044637D" w:rsidP="00F26328">
            <w:pPr>
              <w:pStyle w:val="BodyText"/>
              <w:numPr>
                <w:ilvl w:val="0"/>
                <w:numId w:val="67"/>
              </w:numPr>
              <w:spacing w:before="0" w:after="0"/>
              <w:jc w:val="left"/>
              <w:rPr>
                <w:szCs w:val="20"/>
              </w:rPr>
            </w:pPr>
            <w:r w:rsidRPr="00975E6B">
              <w:rPr>
                <w:szCs w:val="20"/>
              </w:rPr>
              <w:t>Participated in Round 15</w:t>
            </w:r>
            <w:r w:rsidR="00ED0759" w:rsidRPr="00975E6B">
              <w:rPr>
                <w:szCs w:val="20"/>
              </w:rPr>
              <w:t xml:space="preserve"> NHCDC</w:t>
            </w:r>
            <w:r w:rsidRPr="00975E6B">
              <w:rPr>
                <w:szCs w:val="20"/>
              </w:rPr>
              <w:t xml:space="preserve"> IFR</w:t>
            </w:r>
          </w:p>
          <w:p w:rsidR="00197C01" w:rsidRPr="00975E6B" w:rsidRDefault="0044637D" w:rsidP="00F26328">
            <w:pPr>
              <w:pStyle w:val="BodyText"/>
              <w:numPr>
                <w:ilvl w:val="0"/>
                <w:numId w:val="67"/>
              </w:numPr>
              <w:spacing w:before="0" w:after="0"/>
              <w:jc w:val="left"/>
              <w:rPr>
                <w:szCs w:val="20"/>
              </w:rPr>
            </w:pPr>
            <w:r w:rsidRPr="00975E6B">
              <w:rPr>
                <w:szCs w:val="20"/>
              </w:rPr>
              <w:t>Major urban hospital</w:t>
            </w:r>
          </w:p>
          <w:p w:rsidR="0044637D" w:rsidRPr="00975E6B" w:rsidRDefault="0044637D" w:rsidP="00F26328">
            <w:pPr>
              <w:pStyle w:val="BodyText"/>
              <w:numPr>
                <w:ilvl w:val="0"/>
                <w:numId w:val="67"/>
              </w:numPr>
              <w:spacing w:before="0" w:after="0"/>
              <w:jc w:val="left"/>
              <w:rPr>
                <w:szCs w:val="20"/>
              </w:rPr>
            </w:pPr>
            <w:r w:rsidRPr="00975E6B">
              <w:rPr>
                <w:szCs w:val="20"/>
              </w:rPr>
              <w:t>Costing system – PPM2 (new for Round 18)</w:t>
            </w:r>
          </w:p>
        </w:tc>
      </w:tr>
      <w:tr w:rsidR="00A7234A" w:rsidRPr="00975E6B" w:rsidTr="00CD1518">
        <w:trPr>
          <w:cantSplit/>
        </w:trPr>
        <w:tc>
          <w:tcPr>
            <w:tcW w:w="1165" w:type="pct"/>
            <w:tcBorders>
              <w:left w:val="single" w:sz="4" w:space="0" w:color="4F81BD" w:themeColor="accent1"/>
              <w:bottom w:val="nil"/>
              <w:right w:val="single" w:sz="4" w:space="0" w:color="548DD4" w:themeColor="text2" w:themeTint="99"/>
            </w:tcBorders>
            <w:noWrap/>
          </w:tcPr>
          <w:p w:rsidR="00A7234A" w:rsidRPr="00975E6B" w:rsidRDefault="00A7234A" w:rsidP="00F71180">
            <w:pPr>
              <w:pStyle w:val="BodyText"/>
              <w:spacing w:before="0" w:after="0"/>
              <w:jc w:val="left"/>
              <w:rPr>
                <w:szCs w:val="20"/>
              </w:rPr>
            </w:pPr>
            <w:r w:rsidRPr="00975E6B">
              <w:rPr>
                <w:szCs w:val="20"/>
              </w:rPr>
              <w:t>Queensland</w:t>
            </w:r>
          </w:p>
        </w:tc>
        <w:tc>
          <w:tcPr>
            <w:tcW w:w="1502" w:type="pct"/>
            <w:tcBorders>
              <w:left w:val="single" w:sz="4" w:space="0" w:color="548DD4" w:themeColor="text2" w:themeTint="99"/>
            </w:tcBorders>
          </w:tcPr>
          <w:p w:rsidR="00A7234A" w:rsidRPr="00975E6B" w:rsidRDefault="00A7234A" w:rsidP="00F71180">
            <w:pPr>
              <w:pStyle w:val="BodyText"/>
              <w:spacing w:before="0" w:after="0"/>
              <w:jc w:val="left"/>
              <w:rPr>
                <w:szCs w:val="20"/>
              </w:rPr>
            </w:pPr>
            <w:r w:rsidRPr="00975E6B">
              <w:rPr>
                <w:szCs w:val="20"/>
              </w:rPr>
              <w:t>Ipswich Hospital</w:t>
            </w:r>
          </w:p>
        </w:tc>
        <w:tc>
          <w:tcPr>
            <w:tcW w:w="2333" w:type="pct"/>
            <w:tcBorders>
              <w:left w:val="single" w:sz="4" w:space="0" w:color="548DD4" w:themeColor="text2" w:themeTint="99"/>
              <w:right w:val="single" w:sz="4" w:space="0" w:color="4F81BD" w:themeColor="accent1"/>
            </w:tcBorders>
          </w:tcPr>
          <w:p w:rsidR="00A7234A" w:rsidRPr="00975E6B" w:rsidRDefault="00A7234A" w:rsidP="00F26328">
            <w:pPr>
              <w:pStyle w:val="BodyText"/>
              <w:numPr>
                <w:ilvl w:val="0"/>
                <w:numId w:val="70"/>
              </w:numPr>
              <w:spacing w:before="0" w:after="0"/>
              <w:jc w:val="left"/>
              <w:rPr>
                <w:szCs w:val="20"/>
              </w:rPr>
            </w:pPr>
            <w:r w:rsidRPr="00975E6B">
              <w:rPr>
                <w:szCs w:val="20"/>
              </w:rPr>
              <w:t>Hospital has previously not participated in an IFR</w:t>
            </w:r>
          </w:p>
          <w:p w:rsidR="00A7234A" w:rsidRPr="00975E6B" w:rsidRDefault="00A7234A" w:rsidP="00F26328">
            <w:pPr>
              <w:pStyle w:val="BodyText"/>
              <w:numPr>
                <w:ilvl w:val="0"/>
                <w:numId w:val="70"/>
              </w:numPr>
              <w:spacing w:before="0" w:after="0"/>
              <w:jc w:val="left"/>
              <w:rPr>
                <w:szCs w:val="20"/>
              </w:rPr>
            </w:pPr>
            <w:r w:rsidRPr="00975E6B">
              <w:rPr>
                <w:szCs w:val="20"/>
              </w:rPr>
              <w:t>Major urban hospital</w:t>
            </w:r>
          </w:p>
          <w:p w:rsidR="00A7234A" w:rsidRPr="00975E6B" w:rsidRDefault="00A7234A" w:rsidP="00F26328">
            <w:pPr>
              <w:pStyle w:val="BodyText"/>
              <w:numPr>
                <w:ilvl w:val="0"/>
                <w:numId w:val="70"/>
              </w:numPr>
              <w:spacing w:before="0" w:after="0"/>
              <w:jc w:val="left"/>
              <w:rPr>
                <w:szCs w:val="20"/>
              </w:rPr>
            </w:pPr>
            <w:r w:rsidRPr="00975E6B">
              <w:rPr>
                <w:szCs w:val="20"/>
              </w:rPr>
              <w:t>Costing system – Transition 2</w:t>
            </w:r>
          </w:p>
        </w:tc>
      </w:tr>
      <w:tr w:rsidR="00A7234A" w:rsidRPr="00975E6B" w:rsidTr="00CD1518">
        <w:trPr>
          <w:cantSplit/>
        </w:trPr>
        <w:tc>
          <w:tcPr>
            <w:tcW w:w="1165" w:type="pct"/>
            <w:tcBorders>
              <w:top w:val="nil"/>
              <w:left w:val="single" w:sz="4" w:space="0" w:color="4F81BD" w:themeColor="accent1"/>
              <w:bottom w:val="nil"/>
              <w:right w:val="single" w:sz="4" w:space="0" w:color="548DD4" w:themeColor="text2" w:themeTint="99"/>
            </w:tcBorders>
            <w:noWrap/>
          </w:tcPr>
          <w:p w:rsidR="00A7234A" w:rsidRPr="00CD1518" w:rsidRDefault="00A7234A" w:rsidP="00A7234A">
            <w:pPr>
              <w:pStyle w:val="BodyText"/>
              <w:spacing w:before="0" w:after="0"/>
              <w:jc w:val="left"/>
              <w:rPr>
                <w:color w:val="FFFFFF" w:themeColor="background1"/>
                <w:szCs w:val="20"/>
              </w:rPr>
            </w:pPr>
            <w:r w:rsidRPr="00CD1518">
              <w:rPr>
                <w:color w:val="FFFFFF" w:themeColor="background1"/>
                <w:szCs w:val="20"/>
              </w:rPr>
              <w:t>Queensland</w:t>
            </w:r>
          </w:p>
        </w:tc>
        <w:tc>
          <w:tcPr>
            <w:tcW w:w="1502" w:type="pct"/>
            <w:tcBorders>
              <w:left w:val="single" w:sz="4" w:space="0" w:color="548DD4" w:themeColor="text2" w:themeTint="99"/>
            </w:tcBorders>
          </w:tcPr>
          <w:p w:rsidR="00A7234A" w:rsidRPr="00975E6B" w:rsidRDefault="00A7234A" w:rsidP="00A7234A">
            <w:pPr>
              <w:pStyle w:val="BodyText"/>
              <w:spacing w:before="0" w:after="0"/>
              <w:jc w:val="left"/>
              <w:rPr>
                <w:szCs w:val="20"/>
              </w:rPr>
            </w:pPr>
            <w:r w:rsidRPr="00975E6B">
              <w:rPr>
                <w:szCs w:val="20"/>
              </w:rPr>
              <w:t>Mackay Base Hospital</w:t>
            </w:r>
          </w:p>
        </w:tc>
        <w:tc>
          <w:tcPr>
            <w:tcW w:w="2333" w:type="pct"/>
            <w:tcBorders>
              <w:left w:val="single" w:sz="4" w:space="0" w:color="548DD4" w:themeColor="text2" w:themeTint="99"/>
              <w:right w:val="single" w:sz="4" w:space="0" w:color="4F81BD" w:themeColor="accent1"/>
            </w:tcBorders>
          </w:tcPr>
          <w:p w:rsidR="00A7234A" w:rsidRPr="00975E6B" w:rsidRDefault="00A7234A" w:rsidP="00F26328">
            <w:pPr>
              <w:pStyle w:val="BodyText"/>
              <w:numPr>
                <w:ilvl w:val="0"/>
                <w:numId w:val="70"/>
              </w:numPr>
              <w:spacing w:before="0" w:after="0"/>
              <w:jc w:val="left"/>
              <w:rPr>
                <w:szCs w:val="20"/>
              </w:rPr>
            </w:pPr>
            <w:r w:rsidRPr="00975E6B">
              <w:rPr>
                <w:szCs w:val="20"/>
              </w:rPr>
              <w:t>Hospital has previously not participated in an IFR</w:t>
            </w:r>
          </w:p>
          <w:p w:rsidR="00A7234A" w:rsidRPr="00975E6B" w:rsidRDefault="00A7234A" w:rsidP="00F26328">
            <w:pPr>
              <w:pStyle w:val="BodyText"/>
              <w:numPr>
                <w:ilvl w:val="0"/>
                <w:numId w:val="70"/>
              </w:numPr>
              <w:spacing w:before="0" w:after="0"/>
              <w:jc w:val="left"/>
              <w:rPr>
                <w:szCs w:val="20"/>
              </w:rPr>
            </w:pPr>
            <w:r w:rsidRPr="00975E6B">
              <w:rPr>
                <w:szCs w:val="20"/>
              </w:rPr>
              <w:t>Major regional hospital</w:t>
            </w:r>
          </w:p>
          <w:p w:rsidR="00A7234A" w:rsidRPr="00975E6B" w:rsidRDefault="00A7234A" w:rsidP="00F26328">
            <w:pPr>
              <w:pStyle w:val="BodyText"/>
              <w:numPr>
                <w:ilvl w:val="0"/>
                <w:numId w:val="70"/>
              </w:numPr>
              <w:spacing w:before="0" w:after="0"/>
              <w:jc w:val="left"/>
              <w:rPr>
                <w:szCs w:val="20"/>
              </w:rPr>
            </w:pPr>
            <w:r w:rsidRPr="00975E6B">
              <w:rPr>
                <w:szCs w:val="20"/>
              </w:rPr>
              <w:t>Costing system – Transition 2</w:t>
            </w:r>
          </w:p>
        </w:tc>
      </w:tr>
      <w:tr w:rsidR="00A7234A" w:rsidRPr="00975E6B" w:rsidTr="00CD1518">
        <w:trPr>
          <w:cantSplit/>
        </w:trPr>
        <w:tc>
          <w:tcPr>
            <w:tcW w:w="1165" w:type="pct"/>
            <w:tcBorders>
              <w:top w:val="nil"/>
              <w:left w:val="single" w:sz="4" w:space="0" w:color="4F81BD" w:themeColor="accent1"/>
              <w:bottom w:val="single" w:sz="4" w:space="0" w:color="95B3D7" w:themeColor="accent1" w:themeTint="99"/>
              <w:right w:val="single" w:sz="4" w:space="0" w:color="548DD4" w:themeColor="text2" w:themeTint="99"/>
            </w:tcBorders>
            <w:noWrap/>
          </w:tcPr>
          <w:p w:rsidR="00A7234A" w:rsidRPr="00CD1518" w:rsidRDefault="00A7234A" w:rsidP="00A7234A">
            <w:pPr>
              <w:pStyle w:val="BodyText"/>
              <w:spacing w:before="0" w:after="0"/>
              <w:jc w:val="left"/>
              <w:rPr>
                <w:color w:val="FFFFFF" w:themeColor="background1"/>
                <w:szCs w:val="20"/>
              </w:rPr>
            </w:pPr>
            <w:r w:rsidRPr="00CD1518">
              <w:rPr>
                <w:color w:val="FFFFFF" w:themeColor="background1"/>
                <w:szCs w:val="20"/>
              </w:rPr>
              <w:t>Queensland</w:t>
            </w:r>
          </w:p>
        </w:tc>
        <w:tc>
          <w:tcPr>
            <w:tcW w:w="1502" w:type="pct"/>
            <w:tcBorders>
              <w:left w:val="single" w:sz="4" w:space="0" w:color="548DD4" w:themeColor="text2" w:themeTint="99"/>
            </w:tcBorders>
          </w:tcPr>
          <w:p w:rsidR="00A7234A" w:rsidRPr="00975E6B" w:rsidRDefault="00A7234A" w:rsidP="00A7234A">
            <w:pPr>
              <w:pStyle w:val="BodyText"/>
              <w:spacing w:before="0" w:after="0"/>
              <w:jc w:val="left"/>
              <w:rPr>
                <w:szCs w:val="20"/>
              </w:rPr>
            </w:pPr>
            <w:r w:rsidRPr="00975E6B">
              <w:rPr>
                <w:szCs w:val="20"/>
              </w:rPr>
              <w:t>The Prince Charles Hospital</w:t>
            </w:r>
          </w:p>
        </w:tc>
        <w:tc>
          <w:tcPr>
            <w:tcW w:w="2333" w:type="pct"/>
            <w:tcBorders>
              <w:left w:val="single" w:sz="4" w:space="0" w:color="548DD4" w:themeColor="text2" w:themeTint="99"/>
              <w:right w:val="single" w:sz="4" w:space="0" w:color="4F81BD" w:themeColor="accent1"/>
            </w:tcBorders>
          </w:tcPr>
          <w:p w:rsidR="00A7234A" w:rsidRPr="00975E6B" w:rsidRDefault="00A7234A" w:rsidP="00F26328">
            <w:pPr>
              <w:pStyle w:val="BodyText"/>
              <w:numPr>
                <w:ilvl w:val="0"/>
                <w:numId w:val="70"/>
              </w:numPr>
              <w:spacing w:before="0" w:after="0"/>
              <w:jc w:val="left"/>
              <w:rPr>
                <w:szCs w:val="20"/>
              </w:rPr>
            </w:pPr>
            <w:r w:rsidRPr="00975E6B">
              <w:rPr>
                <w:szCs w:val="20"/>
              </w:rPr>
              <w:t>Hospital has previously not participated in an IFR</w:t>
            </w:r>
          </w:p>
          <w:p w:rsidR="00A7234A" w:rsidRPr="00975E6B" w:rsidRDefault="00A7234A" w:rsidP="00F26328">
            <w:pPr>
              <w:pStyle w:val="BodyText"/>
              <w:numPr>
                <w:ilvl w:val="0"/>
                <w:numId w:val="70"/>
              </w:numPr>
              <w:spacing w:before="0" w:after="0"/>
              <w:jc w:val="left"/>
              <w:rPr>
                <w:szCs w:val="20"/>
              </w:rPr>
            </w:pPr>
            <w:r w:rsidRPr="00975E6B">
              <w:rPr>
                <w:szCs w:val="20"/>
              </w:rPr>
              <w:t>Major urban hospital and tertiary referral centre</w:t>
            </w:r>
          </w:p>
          <w:p w:rsidR="00A7234A" w:rsidRPr="00975E6B" w:rsidRDefault="00A7234A" w:rsidP="00F26328">
            <w:pPr>
              <w:pStyle w:val="BodyText"/>
              <w:numPr>
                <w:ilvl w:val="0"/>
                <w:numId w:val="70"/>
              </w:numPr>
              <w:spacing w:before="0" w:after="0"/>
              <w:jc w:val="left"/>
              <w:rPr>
                <w:szCs w:val="20"/>
              </w:rPr>
            </w:pPr>
            <w:r w:rsidRPr="00975E6B">
              <w:rPr>
                <w:szCs w:val="20"/>
              </w:rPr>
              <w:t>Costing system – Transition 2</w:t>
            </w:r>
          </w:p>
        </w:tc>
      </w:tr>
      <w:tr w:rsidR="00A7234A" w:rsidRPr="00975E6B" w:rsidTr="00CD1518">
        <w:trPr>
          <w:cantSplit/>
        </w:trPr>
        <w:tc>
          <w:tcPr>
            <w:tcW w:w="1165" w:type="pct"/>
            <w:tcBorders>
              <w:left w:val="single" w:sz="4" w:space="0" w:color="4F81BD" w:themeColor="accent1"/>
              <w:bottom w:val="nil"/>
              <w:right w:val="single" w:sz="4" w:space="0" w:color="548DD4" w:themeColor="text2" w:themeTint="99"/>
            </w:tcBorders>
            <w:noWrap/>
          </w:tcPr>
          <w:p w:rsidR="00A7234A" w:rsidRPr="00975E6B" w:rsidRDefault="00A7234A" w:rsidP="00A7234A">
            <w:pPr>
              <w:pStyle w:val="BodyText"/>
              <w:spacing w:before="0" w:after="0"/>
              <w:jc w:val="left"/>
              <w:rPr>
                <w:szCs w:val="20"/>
              </w:rPr>
            </w:pPr>
            <w:r w:rsidRPr="00975E6B">
              <w:rPr>
                <w:szCs w:val="20"/>
              </w:rPr>
              <w:t>South Australia</w:t>
            </w:r>
          </w:p>
        </w:tc>
        <w:tc>
          <w:tcPr>
            <w:tcW w:w="1502" w:type="pct"/>
            <w:tcBorders>
              <w:left w:val="single" w:sz="4" w:space="0" w:color="548DD4" w:themeColor="text2" w:themeTint="99"/>
            </w:tcBorders>
          </w:tcPr>
          <w:p w:rsidR="00A7234A" w:rsidRPr="00975E6B" w:rsidRDefault="00A7234A" w:rsidP="00A7234A">
            <w:pPr>
              <w:pStyle w:val="BodyText"/>
              <w:spacing w:before="0" w:after="0"/>
              <w:jc w:val="left"/>
              <w:rPr>
                <w:szCs w:val="20"/>
              </w:rPr>
            </w:pPr>
            <w:r w:rsidRPr="00975E6B">
              <w:rPr>
                <w:szCs w:val="20"/>
              </w:rPr>
              <w:t xml:space="preserve">Lyell </w:t>
            </w:r>
            <w:proofErr w:type="spellStart"/>
            <w:r w:rsidRPr="00975E6B">
              <w:rPr>
                <w:szCs w:val="20"/>
              </w:rPr>
              <w:t>McEwin</w:t>
            </w:r>
            <w:proofErr w:type="spellEnd"/>
            <w:r w:rsidRPr="00975E6B">
              <w:rPr>
                <w:szCs w:val="20"/>
              </w:rPr>
              <w:t xml:space="preserve"> Hospital</w:t>
            </w:r>
          </w:p>
        </w:tc>
        <w:tc>
          <w:tcPr>
            <w:tcW w:w="2333" w:type="pct"/>
            <w:tcBorders>
              <w:left w:val="single" w:sz="4" w:space="0" w:color="548DD4" w:themeColor="text2" w:themeTint="99"/>
              <w:right w:val="single" w:sz="4" w:space="0" w:color="4F81BD" w:themeColor="accent1"/>
            </w:tcBorders>
          </w:tcPr>
          <w:p w:rsidR="00A7234A" w:rsidRPr="00975E6B" w:rsidRDefault="00A7234A" w:rsidP="00F26328">
            <w:pPr>
              <w:pStyle w:val="BodyText"/>
              <w:numPr>
                <w:ilvl w:val="0"/>
                <w:numId w:val="67"/>
              </w:numPr>
              <w:spacing w:before="0" w:after="0"/>
              <w:jc w:val="left"/>
              <w:rPr>
                <w:szCs w:val="20"/>
              </w:rPr>
            </w:pPr>
            <w:r w:rsidRPr="00975E6B">
              <w:rPr>
                <w:szCs w:val="20"/>
              </w:rPr>
              <w:t>Participated in Round 15 NHCDC IFR</w:t>
            </w:r>
          </w:p>
          <w:p w:rsidR="00A7234A" w:rsidRPr="00975E6B" w:rsidRDefault="00A7234A" w:rsidP="00F26328">
            <w:pPr>
              <w:pStyle w:val="BodyText"/>
              <w:numPr>
                <w:ilvl w:val="0"/>
                <w:numId w:val="67"/>
              </w:numPr>
              <w:spacing w:before="0" w:after="0"/>
              <w:jc w:val="left"/>
              <w:rPr>
                <w:szCs w:val="20"/>
              </w:rPr>
            </w:pPr>
            <w:r w:rsidRPr="00975E6B">
              <w:rPr>
                <w:szCs w:val="20"/>
              </w:rPr>
              <w:t>Major urban and teaching hospital</w:t>
            </w:r>
          </w:p>
          <w:p w:rsidR="00A7234A" w:rsidRPr="00975E6B" w:rsidRDefault="00A7234A" w:rsidP="00F26328">
            <w:pPr>
              <w:pStyle w:val="BodyText"/>
              <w:numPr>
                <w:ilvl w:val="0"/>
                <w:numId w:val="69"/>
              </w:numPr>
              <w:spacing w:before="0" w:after="0"/>
              <w:jc w:val="left"/>
              <w:rPr>
                <w:szCs w:val="20"/>
              </w:rPr>
            </w:pPr>
            <w:r w:rsidRPr="00975E6B">
              <w:rPr>
                <w:szCs w:val="20"/>
              </w:rPr>
              <w:t>Costing system – PPM2</w:t>
            </w:r>
          </w:p>
        </w:tc>
      </w:tr>
      <w:tr w:rsidR="00A7234A" w:rsidRPr="00975E6B" w:rsidTr="00CD1518">
        <w:trPr>
          <w:cantSplit/>
        </w:trPr>
        <w:tc>
          <w:tcPr>
            <w:tcW w:w="1165" w:type="pct"/>
            <w:tcBorders>
              <w:top w:val="nil"/>
              <w:left w:val="single" w:sz="4" w:space="0" w:color="4F81BD" w:themeColor="accent1"/>
              <w:right w:val="single" w:sz="4" w:space="0" w:color="548DD4" w:themeColor="text2" w:themeTint="99"/>
            </w:tcBorders>
            <w:noWrap/>
          </w:tcPr>
          <w:p w:rsidR="00A7234A" w:rsidRPr="00975E6B" w:rsidRDefault="00A7234A" w:rsidP="00A7234A">
            <w:pPr>
              <w:pStyle w:val="BodyText"/>
              <w:spacing w:before="0" w:after="0"/>
              <w:jc w:val="left"/>
              <w:rPr>
                <w:szCs w:val="20"/>
              </w:rPr>
            </w:pPr>
            <w:r w:rsidRPr="00CD1518">
              <w:rPr>
                <w:color w:val="FFFFFF" w:themeColor="background1"/>
                <w:szCs w:val="20"/>
              </w:rPr>
              <w:t>South Australia</w:t>
            </w:r>
          </w:p>
        </w:tc>
        <w:tc>
          <w:tcPr>
            <w:tcW w:w="1502" w:type="pct"/>
            <w:tcBorders>
              <w:left w:val="single" w:sz="4" w:space="0" w:color="548DD4" w:themeColor="text2" w:themeTint="99"/>
            </w:tcBorders>
          </w:tcPr>
          <w:p w:rsidR="00A7234A" w:rsidRPr="00975E6B" w:rsidRDefault="00A7234A" w:rsidP="00A7234A">
            <w:pPr>
              <w:pStyle w:val="BodyText"/>
              <w:spacing w:before="0" w:after="0"/>
              <w:jc w:val="left"/>
              <w:rPr>
                <w:szCs w:val="20"/>
              </w:rPr>
            </w:pPr>
            <w:r w:rsidRPr="00975E6B">
              <w:rPr>
                <w:szCs w:val="20"/>
              </w:rPr>
              <w:t>Modbury Hospital</w:t>
            </w:r>
          </w:p>
        </w:tc>
        <w:tc>
          <w:tcPr>
            <w:tcW w:w="2333" w:type="pct"/>
            <w:tcBorders>
              <w:left w:val="single" w:sz="4" w:space="0" w:color="548DD4" w:themeColor="text2" w:themeTint="99"/>
              <w:right w:val="single" w:sz="4" w:space="0" w:color="4F81BD" w:themeColor="accent1"/>
            </w:tcBorders>
          </w:tcPr>
          <w:p w:rsidR="00A7234A" w:rsidRPr="00975E6B" w:rsidRDefault="00A7234A" w:rsidP="00F26328">
            <w:pPr>
              <w:pStyle w:val="BodyText"/>
              <w:numPr>
                <w:ilvl w:val="0"/>
                <w:numId w:val="68"/>
              </w:numPr>
              <w:spacing w:before="0" w:after="0"/>
              <w:jc w:val="left"/>
              <w:rPr>
                <w:szCs w:val="20"/>
              </w:rPr>
            </w:pPr>
            <w:r w:rsidRPr="00975E6B">
              <w:rPr>
                <w:szCs w:val="20"/>
              </w:rPr>
              <w:t>Hospital has previously not participated in an IFR</w:t>
            </w:r>
          </w:p>
          <w:p w:rsidR="00A7234A" w:rsidRPr="00975E6B" w:rsidRDefault="00A7234A" w:rsidP="00F26328">
            <w:pPr>
              <w:pStyle w:val="BodyText"/>
              <w:numPr>
                <w:ilvl w:val="0"/>
                <w:numId w:val="68"/>
              </w:numPr>
              <w:spacing w:before="0" w:after="0"/>
              <w:jc w:val="left"/>
              <w:rPr>
                <w:szCs w:val="20"/>
              </w:rPr>
            </w:pPr>
            <w:r w:rsidRPr="00975E6B">
              <w:rPr>
                <w:szCs w:val="20"/>
              </w:rPr>
              <w:t>Non-major urban hospital</w:t>
            </w:r>
          </w:p>
          <w:p w:rsidR="00A7234A" w:rsidRPr="00975E6B" w:rsidRDefault="00A7234A" w:rsidP="00F26328">
            <w:pPr>
              <w:pStyle w:val="BodyText"/>
              <w:numPr>
                <w:ilvl w:val="0"/>
                <w:numId w:val="68"/>
              </w:numPr>
              <w:spacing w:before="0" w:after="0"/>
              <w:jc w:val="left"/>
              <w:rPr>
                <w:szCs w:val="20"/>
              </w:rPr>
            </w:pPr>
            <w:r w:rsidRPr="00975E6B">
              <w:rPr>
                <w:szCs w:val="20"/>
              </w:rPr>
              <w:t>Costing system – PPM2</w:t>
            </w:r>
          </w:p>
        </w:tc>
      </w:tr>
      <w:tr w:rsidR="00A7234A" w:rsidRPr="00975E6B" w:rsidTr="00CD1518">
        <w:trPr>
          <w:cantSplit/>
        </w:trPr>
        <w:tc>
          <w:tcPr>
            <w:tcW w:w="1165" w:type="pct"/>
            <w:tcBorders>
              <w:left w:val="single" w:sz="4" w:space="0" w:color="4F81BD" w:themeColor="accent1"/>
              <w:bottom w:val="single" w:sz="4" w:space="0" w:color="95B3D7" w:themeColor="accent1" w:themeTint="99"/>
              <w:right w:val="single" w:sz="4" w:space="0" w:color="548DD4" w:themeColor="text2" w:themeTint="99"/>
            </w:tcBorders>
            <w:noWrap/>
          </w:tcPr>
          <w:p w:rsidR="00A7234A" w:rsidRPr="00975E6B" w:rsidRDefault="00A7234A" w:rsidP="00A7234A">
            <w:pPr>
              <w:pStyle w:val="BodyText"/>
              <w:spacing w:before="0" w:after="0"/>
              <w:jc w:val="left"/>
              <w:rPr>
                <w:szCs w:val="20"/>
              </w:rPr>
            </w:pPr>
            <w:r w:rsidRPr="00975E6B">
              <w:rPr>
                <w:szCs w:val="20"/>
              </w:rPr>
              <w:lastRenderedPageBreak/>
              <w:t>Tasmania</w:t>
            </w:r>
          </w:p>
        </w:tc>
        <w:tc>
          <w:tcPr>
            <w:tcW w:w="1502" w:type="pct"/>
            <w:tcBorders>
              <w:left w:val="single" w:sz="4" w:space="0" w:color="548DD4" w:themeColor="text2" w:themeTint="99"/>
            </w:tcBorders>
          </w:tcPr>
          <w:p w:rsidR="00A7234A" w:rsidRPr="00975E6B" w:rsidRDefault="00A7234A" w:rsidP="00A7234A">
            <w:pPr>
              <w:pStyle w:val="BodyText"/>
              <w:spacing w:before="0" w:after="0"/>
              <w:jc w:val="left"/>
              <w:rPr>
                <w:szCs w:val="20"/>
              </w:rPr>
            </w:pPr>
            <w:r w:rsidRPr="00975E6B">
              <w:rPr>
                <w:szCs w:val="20"/>
              </w:rPr>
              <w:t>Royal Hobart Hospital</w:t>
            </w:r>
          </w:p>
        </w:tc>
        <w:tc>
          <w:tcPr>
            <w:tcW w:w="2333" w:type="pct"/>
            <w:tcBorders>
              <w:left w:val="single" w:sz="4" w:space="0" w:color="548DD4" w:themeColor="text2" w:themeTint="99"/>
              <w:right w:val="single" w:sz="4" w:space="0" w:color="4F81BD" w:themeColor="accent1"/>
            </w:tcBorders>
          </w:tcPr>
          <w:p w:rsidR="00A7234A" w:rsidRPr="00975E6B" w:rsidRDefault="00A7234A" w:rsidP="00F26328">
            <w:pPr>
              <w:pStyle w:val="BodyText"/>
              <w:numPr>
                <w:ilvl w:val="0"/>
                <w:numId w:val="67"/>
              </w:numPr>
              <w:spacing w:before="0" w:after="0"/>
              <w:jc w:val="left"/>
              <w:rPr>
                <w:szCs w:val="20"/>
              </w:rPr>
            </w:pPr>
            <w:r w:rsidRPr="00975E6B">
              <w:rPr>
                <w:szCs w:val="20"/>
              </w:rPr>
              <w:t>Participated in Round 15 and Round17 NHCDC IFR</w:t>
            </w:r>
          </w:p>
          <w:p w:rsidR="00A7234A" w:rsidRPr="00975E6B" w:rsidRDefault="00A7234A" w:rsidP="00F26328">
            <w:pPr>
              <w:pStyle w:val="BodyText"/>
              <w:numPr>
                <w:ilvl w:val="0"/>
                <w:numId w:val="67"/>
              </w:numPr>
              <w:spacing w:before="0" w:after="0"/>
              <w:jc w:val="left"/>
              <w:rPr>
                <w:szCs w:val="20"/>
              </w:rPr>
            </w:pPr>
            <w:r w:rsidRPr="00975E6B">
              <w:rPr>
                <w:szCs w:val="20"/>
              </w:rPr>
              <w:t xml:space="preserve">Major urban, teaching and research hospital </w:t>
            </w:r>
          </w:p>
          <w:p w:rsidR="00A7234A" w:rsidRPr="00975E6B" w:rsidRDefault="00A7234A" w:rsidP="00F26328">
            <w:pPr>
              <w:pStyle w:val="BodyText"/>
              <w:numPr>
                <w:ilvl w:val="0"/>
                <w:numId w:val="67"/>
              </w:numPr>
              <w:spacing w:before="0" w:after="0"/>
              <w:jc w:val="left"/>
              <w:rPr>
                <w:szCs w:val="20"/>
              </w:rPr>
            </w:pPr>
            <w:r w:rsidRPr="00975E6B">
              <w:rPr>
                <w:szCs w:val="20"/>
              </w:rPr>
              <w:t>Costing system – User Cost (new for Round 18)</w:t>
            </w:r>
          </w:p>
        </w:tc>
      </w:tr>
      <w:tr w:rsidR="00A7234A" w:rsidRPr="00975E6B" w:rsidTr="00CD1518">
        <w:trPr>
          <w:cantSplit/>
        </w:trPr>
        <w:tc>
          <w:tcPr>
            <w:tcW w:w="1165" w:type="pct"/>
            <w:tcBorders>
              <w:left w:val="single" w:sz="4" w:space="0" w:color="4F81BD" w:themeColor="accent1"/>
              <w:bottom w:val="nil"/>
              <w:right w:val="single" w:sz="4" w:space="0" w:color="548DD4" w:themeColor="text2" w:themeTint="99"/>
            </w:tcBorders>
            <w:noWrap/>
          </w:tcPr>
          <w:p w:rsidR="00A7234A" w:rsidRDefault="00A7234A" w:rsidP="00A7234A">
            <w:pPr>
              <w:pStyle w:val="BodyText"/>
              <w:spacing w:before="0" w:after="0"/>
              <w:jc w:val="left"/>
              <w:rPr>
                <w:szCs w:val="20"/>
              </w:rPr>
            </w:pPr>
            <w:r w:rsidRPr="00975E6B">
              <w:rPr>
                <w:szCs w:val="20"/>
              </w:rPr>
              <w:t>Victoria</w:t>
            </w:r>
          </w:p>
          <w:p w:rsidR="00A7234A" w:rsidRPr="006347FE" w:rsidRDefault="00A7234A" w:rsidP="00CD1518"/>
        </w:tc>
        <w:tc>
          <w:tcPr>
            <w:tcW w:w="1502" w:type="pct"/>
            <w:tcBorders>
              <w:left w:val="single" w:sz="4" w:space="0" w:color="548DD4" w:themeColor="text2" w:themeTint="99"/>
            </w:tcBorders>
          </w:tcPr>
          <w:p w:rsidR="00A7234A" w:rsidRPr="00975E6B" w:rsidRDefault="00A7234A" w:rsidP="00A7234A">
            <w:pPr>
              <w:pStyle w:val="BodyText"/>
              <w:spacing w:before="0" w:after="0"/>
              <w:jc w:val="left"/>
              <w:rPr>
                <w:szCs w:val="20"/>
              </w:rPr>
            </w:pPr>
            <w:r w:rsidRPr="00975E6B">
              <w:rPr>
                <w:szCs w:val="20"/>
              </w:rPr>
              <w:t>Royal Eye and Ear Hospital</w:t>
            </w:r>
          </w:p>
        </w:tc>
        <w:tc>
          <w:tcPr>
            <w:tcW w:w="2333" w:type="pct"/>
            <w:tcBorders>
              <w:left w:val="single" w:sz="4" w:space="0" w:color="548DD4" w:themeColor="text2" w:themeTint="99"/>
              <w:right w:val="single" w:sz="4" w:space="0" w:color="4F81BD" w:themeColor="accent1"/>
            </w:tcBorders>
          </w:tcPr>
          <w:p w:rsidR="00A7234A" w:rsidRPr="00975E6B" w:rsidRDefault="00A7234A" w:rsidP="00F26328">
            <w:pPr>
              <w:pStyle w:val="BodyText"/>
              <w:numPr>
                <w:ilvl w:val="0"/>
                <w:numId w:val="67"/>
              </w:numPr>
              <w:spacing w:before="0" w:after="0"/>
              <w:jc w:val="left"/>
              <w:rPr>
                <w:szCs w:val="20"/>
              </w:rPr>
            </w:pPr>
            <w:r w:rsidRPr="00975E6B">
              <w:rPr>
                <w:szCs w:val="20"/>
              </w:rPr>
              <w:t>Hospital has previously not participated in an IFR</w:t>
            </w:r>
          </w:p>
          <w:p w:rsidR="00A7234A" w:rsidRPr="00975E6B" w:rsidRDefault="00A7234A" w:rsidP="00F26328">
            <w:pPr>
              <w:pStyle w:val="BodyText"/>
              <w:numPr>
                <w:ilvl w:val="0"/>
                <w:numId w:val="67"/>
              </w:numPr>
              <w:spacing w:before="0" w:after="0"/>
              <w:jc w:val="left"/>
              <w:rPr>
                <w:szCs w:val="20"/>
              </w:rPr>
            </w:pPr>
            <w:r w:rsidRPr="00975E6B">
              <w:rPr>
                <w:szCs w:val="20"/>
              </w:rPr>
              <w:t>Major urban specialist hospital</w:t>
            </w:r>
          </w:p>
          <w:p w:rsidR="00A7234A" w:rsidRPr="00975E6B" w:rsidRDefault="00A7234A" w:rsidP="00F26328">
            <w:pPr>
              <w:pStyle w:val="BodyText"/>
              <w:numPr>
                <w:ilvl w:val="0"/>
                <w:numId w:val="67"/>
              </w:numPr>
              <w:spacing w:before="0" w:after="0"/>
              <w:jc w:val="left"/>
              <w:rPr>
                <w:szCs w:val="20"/>
              </w:rPr>
            </w:pPr>
            <w:r w:rsidRPr="00975E6B">
              <w:rPr>
                <w:szCs w:val="20"/>
              </w:rPr>
              <w:t>Costing system – Adaptive Costing</w:t>
            </w:r>
          </w:p>
        </w:tc>
      </w:tr>
      <w:tr w:rsidR="00A7234A" w:rsidRPr="00975E6B" w:rsidTr="00CD1518">
        <w:trPr>
          <w:cantSplit/>
        </w:trPr>
        <w:tc>
          <w:tcPr>
            <w:tcW w:w="1165" w:type="pct"/>
            <w:tcBorders>
              <w:top w:val="nil"/>
              <w:left w:val="single" w:sz="4" w:space="0" w:color="4F81BD" w:themeColor="accent1"/>
              <w:bottom w:val="single" w:sz="4" w:space="0" w:color="95B3D7" w:themeColor="accent1" w:themeTint="99"/>
              <w:right w:val="single" w:sz="4" w:space="0" w:color="548DD4" w:themeColor="text2" w:themeTint="99"/>
            </w:tcBorders>
            <w:noWrap/>
          </w:tcPr>
          <w:p w:rsidR="00A7234A" w:rsidRPr="00975E6B" w:rsidRDefault="00A7234A" w:rsidP="00A7234A">
            <w:pPr>
              <w:pStyle w:val="BodyText"/>
              <w:spacing w:before="0" w:after="0"/>
              <w:jc w:val="left"/>
              <w:rPr>
                <w:szCs w:val="20"/>
              </w:rPr>
            </w:pPr>
            <w:r w:rsidRPr="00CD1518">
              <w:rPr>
                <w:color w:val="FFFFFF" w:themeColor="background1"/>
                <w:szCs w:val="20"/>
              </w:rPr>
              <w:t>Victoria</w:t>
            </w:r>
          </w:p>
        </w:tc>
        <w:tc>
          <w:tcPr>
            <w:tcW w:w="1502" w:type="pct"/>
            <w:tcBorders>
              <w:left w:val="single" w:sz="4" w:space="0" w:color="548DD4" w:themeColor="text2" w:themeTint="99"/>
            </w:tcBorders>
          </w:tcPr>
          <w:p w:rsidR="00A7234A" w:rsidRPr="00975E6B" w:rsidRDefault="00A7234A" w:rsidP="00A7234A">
            <w:pPr>
              <w:pStyle w:val="BodyText"/>
              <w:spacing w:before="0" w:after="0"/>
              <w:jc w:val="left"/>
              <w:rPr>
                <w:szCs w:val="20"/>
              </w:rPr>
            </w:pPr>
            <w:r w:rsidRPr="00975E6B">
              <w:rPr>
                <w:szCs w:val="20"/>
              </w:rPr>
              <w:t>St Vincent’s Hospital</w:t>
            </w:r>
          </w:p>
        </w:tc>
        <w:tc>
          <w:tcPr>
            <w:tcW w:w="2333" w:type="pct"/>
            <w:tcBorders>
              <w:left w:val="single" w:sz="4" w:space="0" w:color="548DD4" w:themeColor="text2" w:themeTint="99"/>
              <w:right w:val="single" w:sz="4" w:space="0" w:color="4F81BD" w:themeColor="accent1"/>
            </w:tcBorders>
          </w:tcPr>
          <w:p w:rsidR="00A7234A" w:rsidRPr="00975E6B" w:rsidRDefault="00A7234A" w:rsidP="00F26328">
            <w:pPr>
              <w:pStyle w:val="BodyText"/>
              <w:numPr>
                <w:ilvl w:val="0"/>
                <w:numId w:val="67"/>
              </w:numPr>
              <w:spacing w:before="0" w:after="0"/>
              <w:jc w:val="left"/>
              <w:rPr>
                <w:szCs w:val="20"/>
              </w:rPr>
            </w:pPr>
            <w:r w:rsidRPr="00975E6B">
              <w:rPr>
                <w:szCs w:val="20"/>
              </w:rPr>
              <w:t>Hospital has previously not participated in an IFR</w:t>
            </w:r>
          </w:p>
          <w:p w:rsidR="00A7234A" w:rsidRPr="00975E6B" w:rsidRDefault="00A7234A" w:rsidP="00F26328">
            <w:pPr>
              <w:pStyle w:val="BodyText"/>
              <w:numPr>
                <w:ilvl w:val="0"/>
                <w:numId w:val="67"/>
              </w:numPr>
              <w:spacing w:before="0" w:after="0"/>
              <w:jc w:val="left"/>
              <w:rPr>
                <w:szCs w:val="20"/>
              </w:rPr>
            </w:pPr>
            <w:r w:rsidRPr="00975E6B">
              <w:rPr>
                <w:szCs w:val="20"/>
              </w:rPr>
              <w:t>Major urban hospital and teaching, research, tertiary referral centre.</w:t>
            </w:r>
          </w:p>
          <w:p w:rsidR="00A7234A" w:rsidRPr="00975E6B" w:rsidRDefault="00A7234A" w:rsidP="00F26328">
            <w:pPr>
              <w:pStyle w:val="BodyText"/>
              <w:numPr>
                <w:ilvl w:val="0"/>
                <w:numId w:val="67"/>
              </w:numPr>
              <w:spacing w:before="0" w:after="0"/>
              <w:jc w:val="left"/>
              <w:rPr>
                <w:szCs w:val="20"/>
              </w:rPr>
            </w:pPr>
            <w:r w:rsidRPr="00975E6B">
              <w:rPr>
                <w:szCs w:val="20"/>
              </w:rPr>
              <w:t>Costing system – PPM2</w:t>
            </w:r>
          </w:p>
        </w:tc>
      </w:tr>
      <w:tr w:rsidR="00A7234A" w:rsidRPr="00975E6B" w:rsidTr="00CD1518">
        <w:trPr>
          <w:cantSplit/>
        </w:trPr>
        <w:tc>
          <w:tcPr>
            <w:tcW w:w="1165" w:type="pct"/>
            <w:tcBorders>
              <w:left w:val="single" w:sz="4" w:space="0" w:color="4F81BD" w:themeColor="accent1"/>
              <w:bottom w:val="nil"/>
              <w:right w:val="single" w:sz="4" w:space="0" w:color="548DD4" w:themeColor="text2" w:themeTint="99"/>
            </w:tcBorders>
            <w:noWrap/>
          </w:tcPr>
          <w:p w:rsidR="00A7234A" w:rsidRPr="00975E6B" w:rsidRDefault="00A7234A" w:rsidP="00A7234A">
            <w:pPr>
              <w:pStyle w:val="BodyText"/>
              <w:spacing w:before="0" w:after="0"/>
              <w:jc w:val="left"/>
              <w:rPr>
                <w:szCs w:val="20"/>
              </w:rPr>
            </w:pPr>
            <w:r w:rsidRPr="00975E6B">
              <w:rPr>
                <w:szCs w:val="20"/>
              </w:rPr>
              <w:t>Western Australia</w:t>
            </w:r>
          </w:p>
        </w:tc>
        <w:tc>
          <w:tcPr>
            <w:tcW w:w="1502" w:type="pct"/>
            <w:tcBorders>
              <w:left w:val="single" w:sz="4" w:space="0" w:color="548DD4" w:themeColor="text2" w:themeTint="99"/>
            </w:tcBorders>
          </w:tcPr>
          <w:p w:rsidR="00A7234A" w:rsidRPr="00975E6B" w:rsidRDefault="00A7234A" w:rsidP="00A7234A">
            <w:pPr>
              <w:pStyle w:val="BodyText"/>
              <w:spacing w:before="0" w:after="0"/>
              <w:jc w:val="left"/>
              <w:rPr>
                <w:szCs w:val="20"/>
              </w:rPr>
            </w:pPr>
            <w:r w:rsidRPr="00975E6B">
              <w:rPr>
                <w:szCs w:val="20"/>
              </w:rPr>
              <w:t>Princess Margaret Hospital</w:t>
            </w:r>
          </w:p>
        </w:tc>
        <w:tc>
          <w:tcPr>
            <w:tcW w:w="2333" w:type="pct"/>
            <w:tcBorders>
              <w:left w:val="single" w:sz="4" w:space="0" w:color="548DD4" w:themeColor="text2" w:themeTint="99"/>
              <w:right w:val="single" w:sz="4" w:space="0" w:color="4F81BD" w:themeColor="accent1"/>
            </w:tcBorders>
          </w:tcPr>
          <w:p w:rsidR="00A7234A" w:rsidRPr="00975E6B" w:rsidRDefault="00A7234A" w:rsidP="00F26328">
            <w:pPr>
              <w:pStyle w:val="BodyText"/>
              <w:numPr>
                <w:ilvl w:val="0"/>
                <w:numId w:val="67"/>
              </w:numPr>
              <w:spacing w:before="0" w:after="0"/>
              <w:jc w:val="left"/>
              <w:rPr>
                <w:szCs w:val="20"/>
              </w:rPr>
            </w:pPr>
            <w:r w:rsidRPr="00975E6B">
              <w:rPr>
                <w:szCs w:val="20"/>
              </w:rPr>
              <w:t>Participated in Round 14 NHCDC IFR</w:t>
            </w:r>
          </w:p>
          <w:p w:rsidR="00A7234A" w:rsidRPr="00975E6B" w:rsidRDefault="00A7234A" w:rsidP="00F26328">
            <w:pPr>
              <w:pStyle w:val="BodyText"/>
              <w:numPr>
                <w:ilvl w:val="0"/>
                <w:numId w:val="67"/>
              </w:numPr>
              <w:spacing w:before="0" w:after="0"/>
              <w:jc w:val="left"/>
              <w:rPr>
                <w:szCs w:val="20"/>
              </w:rPr>
            </w:pPr>
            <w:r w:rsidRPr="00975E6B">
              <w:rPr>
                <w:szCs w:val="20"/>
              </w:rPr>
              <w:t>Major urban children’s hospital</w:t>
            </w:r>
          </w:p>
          <w:p w:rsidR="00A7234A" w:rsidRPr="00975E6B" w:rsidRDefault="00A7234A" w:rsidP="00F26328">
            <w:pPr>
              <w:pStyle w:val="BodyText"/>
              <w:numPr>
                <w:ilvl w:val="0"/>
                <w:numId w:val="67"/>
              </w:numPr>
              <w:spacing w:before="0" w:after="0"/>
              <w:jc w:val="left"/>
              <w:rPr>
                <w:szCs w:val="20"/>
              </w:rPr>
            </w:pPr>
            <w:r w:rsidRPr="00975E6B">
              <w:rPr>
                <w:szCs w:val="20"/>
              </w:rPr>
              <w:t>Costing system – PPM2</w:t>
            </w:r>
          </w:p>
        </w:tc>
      </w:tr>
      <w:tr w:rsidR="00A7234A" w:rsidRPr="00975E6B" w:rsidTr="00CD1518">
        <w:trPr>
          <w:cantSplit/>
        </w:trPr>
        <w:tc>
          <w:tcPr>
            <w:tcW w:w="1165" w:type="pct"/>
            <w:tcBorders>
              <w:top w:val="nil"/>
              <w:left w:val="single" w:sz="4" w:space="0" w:color="4F81BD" w:themeColor="accent1"/>
              <w:bottom w:val="single" w:sz="4" w:space="0" w:color="4F81BD" w:themeColor="accent1"/>
              <w:right w:val="single" w:sz="4" w:space="0" w:color="548DD4" w:themeColor="text2" w:themeTint="99"/>
            </w:tcBorders>
            <w:noWrap/>
          </w:tcPr>
          <w:p w:rsidR="00A7234A" w:rsidRPr="00975E6B" w:rsidRDefault="00A7234A" w:rsidP="00A7234A">
            <w:pPr>
              <w:pStyle w:val="BodyText"/>
              <w:spacing w:before="0" w:after="0"/>
              <w:jc w:val="left"/>
              <w:rPr>
                <w:szCs w:val="20"/>
              </w:rPr>
            </w:pPr>
            <w:r w:rsidRPr="00CD1518">
              <w:rPr>
                <w:color w:val="FFFFFF" w:themeColor="background1"/>
                <w:szCs w:val="20"/>
              </w:rPr>
              <w:t>Western Australia</w:t>
            </w:r>
          </w:p>
        </w:tc>
        <w:tc>
          <w:tcPr>
            <w:tcW w:w="1502" w:type="pct"/>
            <w:tcBorders>
              <w:left w:val="single" w:sz="4" w:space="0" w:color="548DD4" w:themeColor="text2" w:themeTint="99"/>
              <w:bottom w:val="single" w:sz="4" w:space="0" w:color="4F81BD" w:themeColor="accent1"/>
            </w:tcBorders>
          </w:tcPr>
          <w:p w:rsidR="00A7234A" w:rsidRPr="00975E6B" w:rsidRDefault="00A7234A" w:rsidP="00A7234A">
            <w:pPr>
              <w:pStyle w:val="BodyText"/>
              <w:spacing w:before="0" w:after="0"/>
              <w:jc w:val="left"/>
              <w:rPr>
                <w:szCs w:val="20"/>
              </w:rPr>
            </w:pPr>
            <w:r w:rsidRPr="00975E6B">
              <w:rPr>
                <w:szCs w:val="20"/>
              </w:rPr>
              <w:t>Rockingham General Hospital</w:t>
            </w:r>
          </w:p>
        </w:tc>
        <w:tc>
          <w:tcPr>
            <w:tcW w:w="2333" w:type="pct"/>
            <w:tcBorders>
              <w:left w:val="single" w:sz="4" w:space="0" w:color="548DD4" w:themeColor="text2" w:themeTint="99"/>
              <w:bottom w:val="single" w:sz="4" w:space="0" w:color="4F81BD" w:themeColor="accent1"/>
              <w:right w:val="single" w:sz="4" w:space="0" w:color="4F81BD" w:themeColor="accent1"/>
            </w:tcBorders>
          </w:tcPr>
          <w:p w:rsidR="00A7234A" w:rsidRPr="00975E6B" w:rsidRDefault="00A7234A" w:rsidP="00F26328">
            <w:pPr>
              <w:pStyle w:val="BodyText"/>
              <w:numPr>
                <w:ilvl w:val="0"/>
                <w:numId w:val="67"/>
              </w:numPr>
              <w:spacing w:before="0" w:after="0"/>
              <w:jc w:val="left"/>
              <w:rPr>
                <w:szCs w:val="20"/>
              </w:rPr>
            </w:pPr>
            <w:r w:rsidRPr="00975E6B">
              <w:rPr>
                <w:szCs w:val="20"/>
              </w:rPr>
              <w:t>Participated in Round 15 NHCDC IFR</w:t>
            </w:r>
          </w:p>
          <w:p w:rsidR="00A7234A" w:rsidRPr="00975E6B" w:rsidRDefault="00A7234A" w:rsidP="00F26328">
            <w:pPr>
              <w:pStyle w:val="BodyText"/>
              <w:numPr>
                <w:ilvl w:val="0"/>
                <w:numId w:val="67"/>
              </w:numPr>
              <w:spacing w:before="0" w:after="0"/>
              <w:jc w:val="left"/>
              <w:rPr>
                <w:szCs w:val="20"/>
              </w:rPr>
            </w:pPr>
            <w:r w:rsidRPr="00975E6B">
              <w:rPr>
                <w:szCs w:val="20"/>
              </w:rPr>
              <w:t>Major urban children’s hospital</w:t>
            </w:r>
          </w:p>
          <w:p w:rsidR="00A7234A" w:rsidRPr="00975E6B" w:rsidRDefault="00A7234A" w:rsidP="00F26328">
            <w:pPr>
              <w:pStyle w:val="BodyText"/>
              <w:numPr>
                <w:ilvl w:val="0"/>
                <w:numId w:val="67"/>
              </w:numPr>
              <w:spacing w:before="0" w:after="0"/>
              <w:jc w:val="left"/>
              <w:rPr>
                <w:szCs w:val="20"/>
              </w:rPr>
            </w:pPr>
            <w:r w:rsidRPr="00975E6B">
              <w:rPr>
                <w:szCs w:val="20"/>
              </w:rPr>
              <w:t>Costing system – PPM2</w:t>
            </w:r>
          </w:p>
        </w:tc>
      </w:tr>
    </w:tbl>
    <w:p w:rsidR="00664CB0" w:rsidRPr="00975E6B" w:rsidRDefault="00664CB0" w:rsidP="00F71180">
      <w:pPr>
        <w:rPr>
          <w:i/>
          <w:sz w:val="16"/>
          <w:szCs w:val="16"/>
        </w:rPr>
      </w:pPr>
      <w:bookmarkStart w:id="18" w:name="_Toc434584604"/>
      <w:bookmarkStart w:id="19" w:name="_Toc434584973"/>
      <w:bookmarkStart w:id="20" w:name="_Toc434585110"/>
      <w:bookmarkEnd w:id="18"/>
      <w:bookmarkEnd w:id="19"/>
      <w:bookmarkEnd w:id="20"/>
      <w:r w:rsidRPr="00975E6B">
        <w:rPr>
          <w:bCs/>
          <w:i/>
          <w:sz w:val="16"/>
          <w:szCs w:val="16"/>
        </w:rPr>
        <w:t>Source: KPMG</w:t>
      </w:r>
    </w:p>
    <w:p w:rsidR="00596937" w:rsidRPr="00975E6B" w:rsidRDefault="00596937" w:rsidP="003B387A">
      <w:pPr>
        <w:pStyle w:val="Heading2"/>
        <w:numPr>
          <w:ilvl w:val="1"/>
          <w:numId w:val="77"/>
        </w:numPr>
      </w:pPr>
      <w:bookmarkStart w:id="21" w:name="_Toc444523642"/>
      <w:r w:rsidRPr="00431399">
        <w:t>Review</w:t>
      </w:r>
      <w:r w:rsidRPr="00975E6B">
        <w:t xml:space="preserve"> Methodology</w:t>
      </w:r>
      <w:bookmarkEnd w:id="21"/>
    </w:p>
    <w:p w:rsidR="00B72B7C" w:rsidRPr="00975E6B" w:rsidRDefault="00B72B7C" w:rsidP="00901AEE">
      <w:pPr>
        <w:pStyle w:val="BodyText"/>
      </w:pPr>
      <w:r w:rsidRPr="00975E6B">
        <w:t xml:space="preserve">The review team gathered information required for the IFR </w:t>
      </w:r>
      <w:r w:rsidR="00FB6EAC" w:rsidRPr="00975E6B">
        <w:t>through</w:t>
      </w:r>
      <w:r w:rsidRPr="00975E6B">
        <w:t xml:space="preserve"> the following method</w:t>
      </w:r>
      <w:r w:rsidR="00AF3B70" w:rsidRPr="00975E6B">
        <w:t>s</w:t>
      </w:r>
      <w:r w:rsidRPr="00975E6B">
        <w:t xml:space="preserve">: </w:t>
      </w:r>
    </w:p>
    <w:p w:rsidR="00B72B7C" w:rsidRPr="00975E6B" w:rsidRDefault="00B72B7C" w:rsidP="00F26328">
      <w:pPr>
        <w:pStyle w:val="ListParagraph"/>
        <w:numPr>
          <w:ilvl w:val="0"/>
          <w:numId w:val="25"/>
        </w:numPr>
        <w:autoSpaceDE w:val="0"/>
        <w:autoSpaceDN w:val="0"/>
        <w:adjustRightInd w:val="0"/>
        <w:spacing w:after="192"/>
        <w:rPr>
          <w:sz w:val="20"/>
        </w:rPr>
      </w:pPr>
      <w:r w:rsidRPr="00975E6B">
        <w:rPr>
          <w:i/>
          <w:sz w:val="20"/>
        </w:rPr>
        <w:t>A financial and activity data collection template</w:t>
      </w:r>
      <w:r w:rsidR="00AF3B70" w:rsidRPr="00975E6B">
        <w:rPr>
          <w:sz w:val="20"/>
        </w:rPr>
        <w:t xml:space="preserve"> </w:t>
      </w:r>
      <w:r w:rsidRPr="00975E6B">
        <w:rPr>
          <w:sz w:val="20"/>
        </w:rPr>
        <w:t xml:space="preserve">distributed </w:t>
      </w:r>
      <w:r w:rsidR="00AF3B70" w:rsidRPr="00975E6B">
        <w:rPr>
          <w:sz w:val="20"/>
        </w:rPr>
        <w:t xml:space="preserve">to hospitals and jurisdictions and </w:t>
      </w:r>
      <w:r w:rsidRPr="00975E6B">
        <w:rPr>
          <w:sz w:val="20"/>
        </w:rPr>
        <w:t>tailored to provide the required information to assess the application of selected sta</w:t>
      </w:r>
      <w:r w:rsidR="00AF3B70" w:rsidRPr="00975E6B">
        <w:rPr>
          <w:sz w:val="20"/>
        </w:rPr>
        <w:t>ndards from AHPCS Version 3.1;</w:t>
      </w:r>
    </w:p>
    <w:p w:rsidR="00B72B7C" w:rsidRPr="00975E6B" w:rsidRDefault="00AF3B70" w:rsidP="00F26328">
      <w:pPr>
        <w:pStyle w:val="ListParagraph"/>
        <w:numPr>
          <w:ilvl w:val="0"/>
          <w:numId w:val="25"/>
        </w:numPr>
        <w:autoSpaceDE w:val="0"/>
        <w:autoSpaceDN w:val="0"/>
        <w:adjustRightInd w:val="0"/>
        <w:spacing w:after="192"/>
        <w:rPr>
          <w:sz w:val="20"/>
        </w:rPr>
      </w:pPr>
      <w:r w:rsidRPr="00975E6B">
        <w:rPr>
          <w:i/>
          <w:sz w:val="20"/>
        </w:rPr>
        <w:t>Si</w:t>
      </w:r>
      <w:r w:rsidR="00B72B7C" w:rsidRPr="00975E6B">
        <w:rPr>
          <w:i/>
          <w:sz w:val="20"/>
        </w:rPr>
        <w:t>te visits</w:t>
      </w:r>
      <w:r w:rsidRPr="00975E6B">
        <w:rPr>
          <w:sz w:val="20"/>
        </w:rPr>
        <w:t xml:space="preserve"> with the hospital costing team and </w:t>
      </w:r>
      <w:r w:rsidR="00B72B7C" w:rsidRPr="00975E6B">
        <w:rPr>
          <w:sz w:val="20"/>
        </w:rPr>
        <w:t>jurisdiction</w:t>
      </w:r>
      <w:r w:rsidR="00FB6EAC" w:rsidRPr="00975E6B">
        <w:rPr>
          <w:sz w:val="20"/>
        </w:rPr>
        <w:t>al</w:t>
      </w:r>
      <w:r w:rsidR="00B72B7C" w:rsidRPr="00975E6B">
        <w:rPr>
          <w:sz w:val="20"/>
        </w:rPr>
        <w:t xml:space="preserve"> representatives </w:t>
      </w:r>
      <w:r w:rsidRPr="00975E6B">
        <w:rPr>
          <w:sz w:val="20"/>
        </w:rPr>
        <w:t>and follow-up discussions to address feedback and outstanding issues; and</w:t>
      </w:r>
    </w:p>
    <w:p w:rsidR="00AF3B70" w:rsidRPr="00975E6B" w:rsidRDefault="00AF3B70" w:rsidP="00F26328">
      <w:pPr>
        <w:pStyle w:val="ListParagraph"/>
        <w:numPr>
          <w:ilvl w:val="0"/>
          <w:numId w:val="25"/>
        </w:numPr>
        <w:autoSpaceDE w:val="0"/>
        <w:autoSpaceDN w:val="0"/>
        <w:adjustRightInd w:val="0"/>
        <w:spacing w:after="192"/>
        <w:rPr>
          <w:sz w:val="20"/>
        </w:rPr>
      </w:pPr>
      <w:r w:rsidRPr="00975E6B">
        <w:rPr>
          <w:i/>
          <w:sz w:val="20"/>
        </w:rPr>
        <w:t>Review of IHPA processes</w:t>
      </w:r>
      <w:r w:rsidRPr="00975E6B">
        <w:rPr>
          <w:sz w:val="20"/>
        </w:rPr>
        <w:t xml:space="preserve"> to understand the processes in place for the collection, amendments and collation of financial and activity data received from the jurisdictions.</w:t>
      </w:r>
    </w:p>
    <w:p w:rsidR="00596937" w:rsidRPr="00975E6B" w:rsidRDefault="00B16EB2" w:rsidP="003B387A">
      <w:pPr>
        <w:pStyle w:val="Heading3"/>
        <w:numPr>
          <w:ilvl w:val="2"/>
          <w:numId w:val="77"/>
        </w:numPr>
      </w:pPr>
      <w:r w:rsidRPr="00431399">
        <w:t>Financial</w:t>
      </w:r>
      <w:r w:rsidRPr="00975E6B">
        <w:t xml:space="preserve"> </w:t>
      </w:r>
      <w:r w:rsidR="00AF3B70" w:rsidRPr="00975E6B">
        <w:t xml:space="preserve">and activity </w:t>
      </w:r>
      <w:r w:rsidRPr="00975E6B">
        <w:t>data collection template</w:t>
      </w:r>
    </w:p>
    <w:p w:rsidR="00AF3B70" w:rsidRPr="00975E6B" w:rsidRDefault="00AF3B70" w:rsidP="00901AEE">
      <w:pPr>
        <w:pStyle w:val="BodyText"/>
      </w:pPr>
      <w:r w:rsidRPr="00975E6B">
        <w:t xml:space="preserve">The review team developed financial and activity data collection templates for distribution to the jurisdictions. </w:t>
      </w:r>
      <w:r w:rsidR="00955D74" w:rsidRPr="00975E6B">
        <w:t>Jurisdictional</w:t>
      </w:r>
      <w:r w:rsidRPr="00975E6B">
        <w:t xml:space="preserve"> representatives were given the opportunity to review these templates</w:t>
      </w:r>
      <w:r w:rsidR="00FB6EAC" w:rsidRPr="00975E6B">
        <w:t>, with their</w:t>
      </w:r>
      <w:r w:rsidR="00B97082" w:rsidRPr="00975E6B">
        <w:t xml:space="preserve"> f</w:t>
      </w:r>
      <w:r w:rsidRPr="00975E6B">
        <w:t>eedback incorporated prior to finalisation</w:t>
      </w:r>
      <w:r w:rsidR="001D312E" w:rsidRPr="00975E6B">
        <w:t xml:space="preserve">. </w:t>
      </w:r>
      <w:r w:rsidR="000D068B" w:rsidRPr="00975E6B">
        <w:t>The finalised templates were distributed for completion prior to the</w:t>
      </w:r>
      <w:r w:rsidR="00B97082" w:rsidRPr="00975E6B">
        <w:t xml:space="preserve"> scheduled</w:t>
      </w:r>
      <w:r w:rsidR="000D068B" w:rsidRPr="00975E6B">
        <w:t xml:space="preserve"> site visits</w:t>
      </w:r>
      <w:r w:rsidR="001D312E" w:rsidRPr="00975E6B">
        <w:t xml:space="preserve">. </w:t>
      </w:r>
    </w:p>
    <w:p w:rsidR="00BE14A6" w:rsidRDefault="000D068B" w:rsidP="003D346B">
      <w:pPr>
        <w:pStyle w:val="BodyText"/>
      </w:pPr>
      <w:r w:rsidRPr="00975E6B">
        <w:t>The templates were structured to reconcile and follow the flow of both financial and activity data from the hospital/LHN, to the jurisdiction and finally onto IHPA.</w:t>
      </w:r>
      <w:r w:rsidR="00986B2A" w:rsidRPr="00975E6B">
        <w:t xml:space="preserve"> Details of the information</w:t>
      </w:r>
      <w:r w:rsidR="00386571" w:rsidRPr="00975E6B">
        <w:t xml:space="preserve"> requested </w:t>
      </w:r>
      <w:r w:rsidR="00986B2A" w:rsidRPr="00975E6B">
        <w:t xml:space="preserve">in the templates </w:t>
      </w:r>
      <w:r w:rsidR="00386571" w:rsidRPr="00975E6B">
        <w:t>are</w:t>
      </w:r>
      <w:r w:rsidR="00986B2A" w:rsidRPr="00975E6B">
        <w:t xml:space="preserve"> discusse</w:t>
      </w:r>
      <w:r w:rsidR="00291629" w:rsidRPr="00975E6B">
        <w:t>d</w:t>
      </w:r>
      <w:r w:rsidR="00986B2A" w:rsidRPr="00975E6B">
        <w:t xml:space="preserve"> in</w:t>
      </w:r>
      <w:r w:rsidR="005F5896" w:rsidRPr="00975E6B">
        <w:t xml:space="preserve"> </w:t>
      </w:r>
      <w:r w:rsidR="00BA70A6" w:rsidRPr="00975E6B">
        <w:fldChar w:fldCharType="begin"/>
      </w:r>
      <w:r w:rsidR="00BA70A6" w:rsidRPr="00975E6B">
        <w:instrText xml:space="preserve"> REF _Ref434001144 \h </w:instrText>
      </w:r>
      <w:r w:rsidR="00975E6B">
        <w:instrText xml:space="preserve"> \* MERGEFORMAT </w:instrText>
      </w:r>
      <w:r w:rsidR="00BA70A6" w:rsidRPr="00975E6B">
        <w:fldChar w:fldCharType="separate"/>
      </w:r>
      <w:r w:rsidR="00154CF7" w:rsidRPr="00975E6B">
        <w:t xml:space="preserve">Table </w:t>
      </w:r>
      <w:r w:rsidR="00154CF7">
        <w:rPr>
          <w:noProof/>
        </w:rPr>
        <w:t>2</w:t>
      </w:r>
      <w:r w:rsidR="00BA70A6" w:rsidRPr="00975E6B">
        <w:fldChar w:fldCharType="end"/>
      </w:r>
      <w:r w:rsidR="00986B2A" w:rsidRPr="00975E6B">
        <w:t>.</w:t>
      </w:r>
      <w:r w:rsidR="00BE14A6">
        <w:t xml:space="preserve"> </w:t>
      </w:r>
      <w:r w:rsidR="00BE14A6">
        <w:br w:type="page"/>
      </w:r>
    </w:p>
    <w:p w:rsidR="000D068B" w:rsidRPr="00975E6B" w:rsidRDefault="000D068B" w:rsidP="000D068B">
      <w:pPr>
        <w:pStyle w:val="Caption"/>
      </w:pPr>
      <w:bookmarkStart w:id="22" w:name="_Ref434001144"/>
      <w:r w:rsidRPr="00975E6B">
        <w:lastRenderedPageBreak/>
        <w:t xml:space="preserve">Table </w:t>
      </w:r>
      <w:fldSimple w:instr=" SEQ Table \* ARABIC ">
        <w:r w:rsidR="00154CF7">
          <w:rPr>
            <w:noProof/>
          </w:rPr>
          <w:t>2</w:t>
        </w:r>
      </w:fldSimple>
      <w:bookmarkEnd w:id="22"/>
      <w:r w:rsidRPr="00975E6B">
        <w:t xml:space="preserve"> – Financial and activity data collection template – Tab details</w:t>
      </w:r>
    </w:p>
    <w:tbl>
      <w:tblPr>
        <w:tblStyle w:val="ListTable4-Accent11"/>
        <w:tblW w:w="5000" w:type="pct"/>
        <w:tblLayout w:type="fixed"/>
        <w:tblLook w:val="0620" w:firstRow="1" w:lastRow="0" w:firstColumn="0" w:lastColumn="0" w:noHBand="1" w:noVBand="1"/>
        <w:tblCaption w:val="Table 2 - Financial and activity data collection template – Tab details"/>
        <w:tblDescription w:val="This table descibes the 5 tabs in the templates and the details collected in each tab.  The first column is the tab name and the second column is the description of the information collected in each tab."/>
      </w:tblPr>
      <w:tblGrid>
        <w:gridCol w:w="3197"/>
        <w:gridCol w:w="5524"/>
      </w:tblGrid>
      <w:tr w:rsidR="000D068B" w:rsidRPr="00975E6B" w:rsidTr="00E14378">
        <w:trPr>
          <w:cnfStyle w:val="100000000000" w:firstRow="1" w:lastRow="0" w:firstColumn="0" w:lastColumn="0" w:oddVBand="0" w:evenVBand="0" w:oddHBand="0" w:evenHBand="0" w:firstRowFirstColumn="0" w:firstRowLastColumn="0" w:lastRowFirstColumn="0" w:lastRowLastColumn="0"/>
          <w:tblHeader/>
        </w:trPr>
        <w:tc>
          <w:tcPr>
            <w:tcW w:w="1833" w:type="pct"/>
            <w:tcBorders>
              <w:right w:val="single" w:sz="4" w:space="0" w:color="548DD4" w:themeColor="text2" w:themeTint="99"/>
            </w:tcBorders>
            <w:shd w:val="clear" w:color="auto" w:fill="002060"/>
            <w:noWrap/>
          </w:tcPr>
          <w:p w:rsidR="000D068B" w:rsidRPr="00975E6B" w:rsidRDefault="000D068B" w:rsidP="0049430F">
            <w:r w:rsidRPr="00975E6B">
              <w:t>Tab</w:t>
            </w:r>
          </w:p>
        </w:tc>
        <w:tc>
          <w:tcPr>
            <w:tcW w:w="3167" w:type="pct"/>
            <w:tcBorders>
              <w:left w:val="single" w:sz="4" w:space="0" w:color="548DD4" w:themeColor="text2" w:themeTint="99"/>
            </w:tcBorders>
            <w:shd w:val="clear" w:color="auto" w:fill="002060"/>
          </w:tcPr>
          <w:p w:rsidR="000D068B" w:rsidRPr="00975E6B" w:rsidRDefault="000D068B" w:rsidP="0049430F">
            <w:r w:rsidRPr="00975E6B">
              <w:t>Details</w:t>
            </w:r>
          </w:p>
        </w:tc>
      </w:tr>
      <w:tr w:rsidR="000D068B" w:rsidRPr="00975E6B" w:rsidTr="00827F86">
        <w:tc>
          <w:tcPr>
            <w:tcW w:w="1833" w:type="pct"/>
            <w:tcBorders>
              <w:right w:val="single" w:sz="4" w:space="0" w:color="548DD4" w:themeColor="text2" w:themeTint="99"/>
            </w:tcBorders>
            <w:noWrap/>
          </w:tcPr>
          <w:p w:rsidR="000D068B" w:rsidRPr="00975E6B" w:rsidRDefault="000D068B" w:rsidP="00901AEE">
            <w:pPr>
              <w:pStyle w:val="BodyText"/>
              <w:jc w:val="left"/>
            </w:pPr>
            <w:r w:rsidRPr="00975E6B">
              <w:t>LHN expenditure reconciliation</w:t>
            </w:r>
          </w:p>
        </w:tc>
        <w:tc>
          <w:tcPr>
            <w:tcW w:w="3167" w:type="pct"/>
            <w:tcBorders>
              <w:left w:val="single" w:sz="4" w:space="0" w:color="548DD4" w:themeColor="text2" w:themeTint="99"/>
            </w:tcBorders>
          </w:tcPr>
          <w:p w:rsidR="000D068B" w:rsidRPr="00975E6B" w:rsidRDefault="000D068B" w:rsidP="00901AEE">
            <w:pPr>
              <w:pStyle w:val="BodyText"/>
              <w:jc w:val="left"/>
            </w:pPr>
            <w:r w:rsidRPr="00975E6B">
              <w:t>This tab requested financial information from the hospital/LHN and included:</w:t>
            </w:r>
          </w:p>
          <w:p w:rsidR="000D068B" w:rsidRPr="00975E6B" w:rsidRDefault="00386571" w:rsidP="00F26328">
            <w:pPr>
              <w:pStyle w:val="BodyText"/>
              <w:numPr>
                <w:ilvl w:val="0"/>
                <w:numId w:val="27"/>
              </w:numPr>
              <w:jc w:val="left"/>
            </w:pPr>
            <w:r w:rsidRPr="00975E6B">
              <w:t>A</w:t>
            </w:r>
            <w:r w:rsidR="000D068B" w:rsidRPr="00975E6B">
              <w:t xml:space="preserve"> breakdown of LHN costs reported in the audited financial statements, and how </w:t>
            </w:r>
            <w:r w:rsidR="00FB6EAC" w:rsidRPr="00975E6B">
              <w:t xml:space="preserve">they are </w:t>
            </w:r>
            <w:r w:rsidR="000D068B" w:rsidRPr="00975E6B">
              <w:t>link</w:t>
            </w:r>
            <w:r w:rsidR="00FB6EAC" w:rsidRPr="00975E6B">
              <w:t>ed</w:t>
            </w:r>
            <w:r w:rsidR="000D068B" w:rsidRPr="00975E6B">
              <w:t xml:space="preserve"> with the</w:t>
            </w:r>
            <w:r w:rsidRPr="00975E6B">
              <w:t xml:space="preserve"> general ledger</w:t>
            </w:r>
            <w:r w:rsidR="000D068B" w:rsidRPr="00975E6B">
              <w:t xml:space="preserve"> </w:t>
            </w:r>
            <w:r w:rsidRPr="00975E6B">
              <w:t>(</w:t>
            </w:r>
            <w:r w:rsidR="000D068B" w:rsidRPr="00975E6B">
              <w:t>GL</w:t>
            </w:r>
            <w:r w:rsidRPr="00975E6B">
              <w:t>)</w:t>
            </w:r>
            <w:r w:rsidR="000D068B" w:rsidRPr="00975E6B">
              <w:t xml:space="preserve"> used for costing</w:t>
            </w:r>
            <w:r w:rsidR="004C3D61" w:rsidRPr="00975E6B">
              <w:t>.</w:t>
            </w:r>
            <w:r w:rsidR="000D068B" w:rsidRPr="00975E6B">
              <w:t xml:space="preserve"> </w:t>
            </w:r>
          </w:p>
          <w:p w:rsidR="000D068B" w:rsidRPr="00975E6B" w:rsidRDefault="00386571" w:rsidP="00F26328">
            <w:pPr>
              <w:pStyle w:val="BodyText"/>
              <w:numPr>
                <w:ilvl w:val="0"/>
                <w:numId w:val="27"/>
              </w:numPr>
              <w:jc w:val="left"/>
            </w:pPr>
            <w:r w:rsidRPr="00975E6B">
              <w:t>I</w:t>
            </w:r>
            <w:r w:rsidR="000D068B" w:rsidRPr="00975E6B">
              <w:t xml:space="preserve">nclusions or exclusions </w:t>
            </w:r>
            <w:r w:rsidRPr="00975E6B">
              <w:t xml:space="preserve">made </w:t>
            </w:r>
            <w:r w:rsidR="000D068B" w:rsidRPr="00975E6B">
              <w:t>to the GL prior to costing</w:t>
            </w:r>
            <w:r w:rsidR="004C3D61" w:rsidRPr="00975E6B">
              <w:t>.</w:t>
            </w:r>
            <w:r w:rsidR="000D068B" w:rsidRPr="00975E6B">
              <w:t xml:space="preserve"> </w:t>
            </w:r>
          </w:p>
          <w:p w:rsidR="000D068B" w:rsidRPr="00975E6B" w:rsidRDefault="00386571" w:rsidP="00F26328">
            <w:pPr>
              <w:pStyle w:val="BodyText"/>
              <w:numPr>
                <w:ilvl w:val="0"/>
                <w:numId w:val="27"/>
              </w:numPr>
              <w:jc w:val="left"/>
            </w:pPr>
            <w:r w:rsidRPr="00975E6B">
              <w:t>A</w:t>
            </w:r>
            <w:r w:rsidR="00ED7282" w:rsidRPr="00975E6B">
              <w:t xml:space="preserve"> list of </w:t>
            </w:r>
            <w:r w:rsidR="000D068B" w:rsidRPr="00975E6B">
              <w:t>reclass, transfers and offsets of expenditure that occur</w:t>
            </w:r>
            <w:r w:rsidR="007C1102" w:rsidRPr="00975E6B">
              <w:t>red</w:t>
            </w:r>
            <w:r w:rsidR="000D068B" w:rsidRPr="00975E6B">
              <w:t xml:space="preserve"> to establish the direct cost centres and overheads for allocation to </w:t>
            </w:r>
            <w:r w:rsidR="00B97082" w:rsidRPr="00975E6B">
              <w:t>patients</w:t>
            </w:r>
            <w:r w:rsidR="004C3D61" w:rsidRPr="00975E6B">
              <w:t>.</w:t>
            </w:r>
          </w:p>
          <w:p w:rsidR="000D068B" w:rsidRPr="00975E6B" w:rsidRDefault="00386571" w:rsidP="00F26328">
            <w:pPr>
              <w:pStyle w:val="BodyText"/>
              <w:numPr>
                <w:ilvl w:val="0"/>
                <w:numId w:val="27"/>
              </w:numPr>
              <w:jc w:val="left"/>
            </w:pPr>
            <w:r w:rsidRPr="00975E6B">
              <w:t>A</w:t>
            </w:r>
            <w:r w:rsidR="000D068B" w:rsidRPr="00975E6B">
              <w:t xml:space="preserve"> breakdown of </w:t>
            </w:r>
            <w:r w:rsidR="00EF71BF" w:rsidRPr="00975E6B">
              <w:t xml:space="preserve">expenditure </w:t>
            </w:r>
            <w:r w:rsidR="000D068B" w:rsidRPr="00975E6B">
              <w:t>between direct and overhead</w:t>
            </w:r>
            <w:r w:rsidR="004C3D61" w:rsidRPr="00975E6B">
              <w:t>.</w:t>
            </w:r>
            <w:r w:rsidR="000D068B" w:rsidRPr="00975E6B">
              <w:t xml:space="preserve"> </w:t>
            </w:r>
          </w:p>
          <w:p w:rsidR="000D068B" w:rsidRPr="00975E6B" w:rsidRDefault="00386571" w:rsidP="00F26328">
            <w:pPr>
              <w:pStyle w:val="BodyText"/>
              <w:numPr>
                <w:ilvl w:val="0"/>
                <w:numId w:val="27"/>
              </w:numPr>
              <w:jc w:val="left"/>
            </w:pPr>
            <w:r w:rsidRPr="00975E6B">
              <w:t>A</w:t>
            </w:r>
            <w:r w:rsidR="00B97082" w:rsidRPr="00975E6B">
              <w:t>djustments</w:t>
            </w:r>
            <w:r w:rsidR="000D068B" w:rsidRPr="00975E6B">
              <w:t xml:space="preserve"> made post the allocation to patients performed by the hospital/LHN</w:t>
            </w:r>
            <w:r w:rsidR="00B97082" w:rsidRPr="00975E6B">
              <w:t>,</w:t>
            </w:r>
            <w:r w:rsidR="000D068B" w:rsidRPr="00975E6B">
              <w:t xml:space="preserve"> e.g</w:t>
            </w:r>
            <w:r w:rsidR="00B97082" w:rsidRPr="00975E6B">
              <w:t>.</w:t>
            </w:r>
            <w:r w:rsidR="000D068B" w:rsidRPr="00975E6B">
              <w:t xml:space="preserve"> </w:t>
            </w:r>
            <w:r w:rsidR="00DB1C0A">
              <w:t>work-in-progress (</w:t>
            </w:r>
            <w:r w:rsidR="00204A5B" w:rsidRPr="00975E6B">
              <w:t>WIP</w:t>
            </w:r>
            <w:r w:rsidR="00DB1C0A">
              <w:t>)</w:t>
            </w:r>
            <w:r w:rsidR="006E2055" w:rsidRPr="00975E6B">
              <w:t xml:space="preserve"> patients</w:t>
            </w:r>
            <w:r w:rsidR="004C3D61" w:rsidRPr="00975E6B">
              <w:t>.</w:t>
            </w:r>
            <w:r w:rsidR="007C1102" w:rsidRPr="00975E6B">
              <w:t xml:space="preserve"> </w:t>
            </w:r>
          </w:p>
          <w:p w:rsidR="000D068B" w:rsidRPr="00975E6B" w:rsidRDefault="00386571" w:rsidP="00F26328">
            <w:pPr>
              <w:pStyle w:val="BodyText"/>
              <w:numPr>
                <w:ilvl w:val="0"/>
                <w:numId w:val="27"/>
              </w:numPr>
              <w:jc w:val="left"/>
            </w:pPr>
            <w:r w:rsidRPr="00975E6B">
              <w:t>F</w:t>
            </w:r>
            <w:r w:rsidR="000D068B" w:rsidRPr="00975E6B">
              <w:t>inal costed products submitted to the jurisdiction</w:t>
            </w:r>
            <w:r w:rsidR="007C1102" w:rsidRPr="00975E6B">
              <w:t>.</w:t>
            </w:r>
            <w:r w:rsidR="000D068B" w:rsidRPr="00975E6B">
              <w:t xml:space="preserve"> </w:t>
            </w:r>
          </w:p>
        </w:tc>
      </w:tr>
      <w:tr w:rsidR="000D068B" w:rsidRPr="00975E6B" w:rsidTr="00901AEE">
        <w:trPr>
          <w:trHeight w:val="3618"/>
        </w:trPr>
        <w:tc>
          <w:tcPr>
            <w:tcW w:w="1833" w:type="pct"/>
            <w:tcBorders>
              <w:right w:val="single" w:sz="4" w:space="0" w:color="548DD4" w:themeColor="text2" w:themeTint="99"/>
            </w:tcBorders>
            <w:noWrap/>
          </w:tcPr>
          <w:p w:rsidR="000D068B" w:rsidRPr="00975E6B" w:rsidRDefault="00DA7103" w:rsidP="00901AEE">
            <w:pPr>
              <w:pStyle w:val="BodyText"/>
              <w:jc w:val="left"/>
            </w:pPr>
            <w:r w:rsidRPr="00975E6B">
              <w:t>LHN Activity</w:t>
            </w:r>
          </w:p>
        </w:tc>
        <w:tc>
          <w:tcPr>
            <w:tcW w:w="3167" w:type="pct"/>
            <w:tcBorders>
              <w:left w:val="single" w:sz="4" w:space="0" w:color="548DD4" w:themeColor="text2" w:themeTint="99"/>
            </w:tcBorders>
          </w:tcPr>
          <w:p w:rsidR="00DA7103" w:rsidRPr="00975E6B" w:rsidRDefault="00DA7103" w:rsidP="00901AEE">
            <w:pPr>
              <w:pStyle w:val="BodyText"/>
              <w:jc w:val="left"/>
            </w:pPr>
            <w:r w:rsidRPr="00975E6B">
              <w:t>This tab requested activity and feeder data information from the hospital/LHN and included:</w:t>
            </w:r>
          </w:p>
          <w:p w:rsidR="00DA7103" w:rsidRPr="00975E6B" w:rsidRDefault="00386571" w:rsidP="00F26328">
            <w:pPr>
              <w:pStyle w:val="BodyText"/>
              <w:numPr>
                <w:ilvl w:val="0"/>
                <w:numId w:val="27"/>
              </w:numPr>
              <w:jc w:val="left"/>
            </w:pPr>
            <w:r w:rsidRPr="00975E6B">
              <w:t xml:space="preserve">A </w:t>
            </w:r>
            <w:r w:rsidR="00DA7103" w:rsidRPr="00975E6B">
              <w:t>description of the reconciliation or process for loading, linking and costing activity</w:t>
            </w:r>
            <w:r w:rsidR="004C3D61" w:rsidRPr="00975E6B">
              <w:t>.</w:t>
            </w:r>
          </w:p>
          <w:p w:rsidR="000D068B" w:rsidRPr="00975E6B" w:rsidRDefault="00386571" w:rsidP="00F26328">
            <w:pPr>
              <w:pStyle w:val="BodyText"/>
              <w:numPr>
                <w:ilvl w:val="0"/>
                <w:numId w:val="27"/>
              </w:numPr>
              <w:jc w:val="left"/>
            </w:pPr>
            <w:r w:rsidRPr="00975E6B">
              <w:t xml:space="preserve">A </w:t>
            </w:r>
            <w:r w:rsidR="00DA7103" w:rsidRPr="00975E6B">
              <w:t>summary of activity and feeder data systems, source records and how this data linked to products</w:t>
            </w:r>
            <w:r w:rsidR="004C3D61" w:rsidRPr="00975E6B">
              <w:t>.</w:t>
            </w:r>
          </w:p>
          <w:p w:rsidR="00DA7103" w:rsidRPr="00975E6B" w:rsidRDefault="00386571" w:rsidP="00F26328">
            <w:pPr>
              <w:pStyle w:val="BodyText"/>
              <w:numPr>
                <w:ilvl w:val="0"/>
                <w:numId w:val="27"/>
              </w:numPr>
              <w:jc w:val="left"/>
            </w:pPr>
            <w:r w:rsidRPr="00975E6B">
              <w:t xml:space="preserve">A </w:t>
            </w:r>
            <w:r w:rsidR="00DA7103" w:rsidRPr="00975E6B">
              <w:t>summary of adjustments made to hospital/LHN activity data by product and product type</w:t>
            </w:r>
            <w:r w:rsidR="004C3D61" w:rsidRPr="00975E6B">
              <w:t>.</w:t>
            </w:r>
            <w:r w:rsidR="007C1102" w:rsidRPr="00975E6B">
              <w:t xml:space="preserve"> </w:t>
            </w:r>
          </w:p>
          <w:p w:rsidR="00DA7103" w:rsidRPr="00975E6B" w:rsidRDefault="00386571" w:rsidP="00F26328">
            <w:pPr>
              <w:pStyle w:val="BodyText"/>
              <w:numPr>
                <w:ilvl w:val="0"/>
                <w:numId w:val="27"/>
              </w:numPr>
              <w:jc w:val="left"/>
            </w:pPr>
            <w:r w:rsidRPr="00975E6B">
              <w:t xml:space="preserve">Final </w:t>
            </w:r>
            <w:r w:rsidR="00955D74" w:rsidRPr="00975E6B">
              <w:t>activity data and costs submitted to the jurisdiction by product and product type</w:t>
            </w:r>
            <w:r w:rsidR="007C1102" w:rsidRPr="00975E6B">
              <w:t>.</w:t>
            </w:r>
          </w:p>
        </w:tc>
      </w:tr>
      <w:tr w:rsidR="000D068B" w:rsidRPr="00975E6B" w:rsidTr="00827F86">
        <w:tc>
          <w:tcPr>
            <w:tcW w:w="1833" w:type="pct"/>
            <w:tcBorders>
              <w:right w:val="single" w:sz="4" w:space="0" w:color="548DD4" w:themeColor="text2" w:themeTint="99"/>
            </w:tcBorders>
            <w:noWrap/>
          </w:tcPr>
          <w:p w:rsidR="000D068B" w:rsidRPr="00975E6B" w:rsidRDefault="00DA7103" w:rsidP="00901AEE">
            <w:pPr>
              <w:pStyle w:val="BodyText"/>
              <w:jc w:val="left"/>
            </w:pPr>
            <w:r w:rsidRPr="00975E6B">
              <w:t>LHN Other Standards</w:t>
            </w:r>
          </w:p>
        </w:tc>
        <w:tc>
          <w:tcPr>
            <w:tcW w:w="3167" w:type="pct"/>
            <w:tcBorders>
              <w:left w:val="single" w:sz="4" w:space="0" w:color="548DD4" w:themeColor="text2" w:themeTint="99"/>
            </w:tcBorders>
          </w:tcPr>
          <w:p w:rsidR="000D068B" w:rsidRPr="00975E6B" w:rsidRDefault="00DA7103" w:rsidP="00901AEE">
            <w:pPr>
              <w:pStyle w:val="BodyText"/>
              <w:jc w:val="left"/>
            </w:pPr>
            <w:r w:rsidRPr="00975E6B">
              <w:t xml:space="preserve">This tab requested information in relation to </w:t>
            </w:r>
            <w:r w:rsidR="00955D74" w:rsidRPr="00975E6B">
              <w:t>the application of AHPCS</w:t>
            </w:r>
            <w:r w:rsidRPr="00975E6B">
              <w:t xml:space="preserve"> </w:t>
            </w:r>
            <w:r w:rsidRPr="00AC0D0C">
              <w:rPr>
                <w:i/>
              </w:rPr>
              <w:t>SCP 3G.001</w:t>
            </w:r>
            <w:r w:rsidR="00955D74" w:rsidRPr="00AC0D0C">
              <w:rPr>
                <w:i/>
              </w:rPr>
              <w:t xml:space="preserve"> -</w:t>
            </w:r>
            <w:r w:rsidRPr="00AC0D0C">
              <w:rPr>
                <w:i/>
              </w:rPr>
              <w:t xml:space="preserve"> Matching Production and Cost - Reconciliation to Source Data</w:t>
            </w:r>
            <w:r w:rsidRPr="00975E6B">
              <w:t>. It required hospitals/LHNs to detail the mapping of account codes to the specified line items</w:t>
            </w:r>
            <w:r w:rsidR="007C1102" w:rsidRPr="00975E6B">
              <w:t>.</w:t>
            </w:r>
          </w:p>
        </w:tc>
      </w:tr>
      <w:tr w:rsidR="00DA7103" w:rsidRPr="00975E6B" w:rsidTr="00827F86">
        <w:tc>
          <w:tcPr>
            <w:tcW w:w="1833" w:type="pct"/>
            <w:tcBorders>
              <w:right w:val="single" w:sz="4" w:space="0" w:color="548DD4" w:themeColor="text2" w:themeTint="99"/>
            </w:tcBorders>
            <w:noWrap/>
          </w:tcPr>
          <w:p w:rsidR="00DA7103" w:rsidRPr="00975E6B" w:rsidRDefault="00DA7103" w:rsidP="00901AEE">
            <w:pPr>
              <w:pStyle w:val="BodyText"/>
              <w:jc w:val="left"/>
            </w:pPr>
            <w:r w:rsidRPr="00975E6B">
              <w:t>Jurisdiction</w:t>
            </w:r>
          </w:p>
        </w:tc>
        <w:tc>
          <w:tcPr>
            <w:tcW w:w="3167" w:type="pct"/>
            <w:tcBorders>
              <w:left w:val="single" w:sz="4" w:space="0" w:color="548DD4" w:themeColor="text2" w:themeTint="99"/>
            </w:tcBorders>
          </w:tcPr>
          <w:p w:rsidR="00DA7103" w:rsidRPr="00975E6B" w:rsidRDefault="00DA7103" w:rsidP="00901AEE">
            <w:pPr>
              <w:pStyle w:val="BodyText"/>
              <w:jc w:val="left"/>
            </w:pPr>
            <w:r w:rsidRPr="00975E6B">
              <w:t>This tab requested the jurisdiction to complete the reconciliation of costs and activity submitted by the hospital/LHN to the jurisdiction’s NHCDC submission to IHPA. It included:</w:t>
            </w:r>
          </w:p>
          <w:p w:rsidR="00DA7103" w:rsidRPr="00975E6B" w:rsidRDefault="00DA7103" w:rsidP="00F26328">
            <w:pPr>
              <w:pStyle w:val="BodyText"/>
              <w:numPr>
                <w:ilvl w:val="0"/>
                <w:numId w:val="28"/>
              </w:numPr>
              <w:jc w:val="left"/>
            </w:pPr>
            <w:r w:rsidRPr="00975E6B">
              <w:t xml:space="preserve">A summary of costs and activity received by the </w:t>
            </w:r>
            <w:r w:rsidRPr="00975E6B">
              <w:lastRenderedPageBreak/>
              <w:t>jurisdiction by product and product type</w:t>
            </w:r>
            <w:r w:rsidR="004C3D61" w:rsidRPr="00975E6B">
              <w:t>.</w:t>
            </w:r>
          </w:p>
          <w:p w:rsidR="00DA7103" w:rsidRPr="00975E6B" w:rsidRDefault="00DA7103" w:rsidP="00F26328">
            <w:pPr>
              <w:pStyle w:val="BodyText"/>
              <w:numPr>
                <w:ilvl w:val="0"/>
                <w:numId w:val="28"/>
              </w:numPr>
              <w:jc w:val="left"/>
            </w:pPr>
            <w:r w:rsidRPr="00975E6B">
              <w:t xml:space="preserve">A summary of activity and cost </w:t>
            </w:r>
            <w:r w:rsidR="00955D74" w:rsidRPr="00975E6B">
              <w:t>adjustments</w:t>
            </w:r>
            <w:r w:rsidR="007C1102" w:rsidRPr="00975E6B">
              <w:t xml:space="preserve"> made</w:t>
            </w:r>
            <w:r w:rsidR="00955D74" w:rsidRPr="00975E6B">
              <w:t xml:space="preserve"> to</w:t>
            </w:r>
            <w:r w:rsidRPr="00975E6B">
              <w:t xml:space="preserve"> the hospital/LHN data </w:t>
            </w:r>
            <w:r w:rsidR="00827F86" w:rsidRPr="00975E6B">
              <w:t xml:space="preserve">(by product and product type) </w:t>
            </w:r>
            <w:r w:rsidRPr="00975E6B">
              <w:t>including the treatment of WIP</w:t>
            </w:r>
            <w:r w:rsidR="006E2055" w:rsidRPr="00975E6B">
              <w:t xml:space="preserve"> patients</w:t>
            </w:r>
            <w:r w:rsidR="004C3D61" w:rsidRPr="00975E6B">
              <w:t>.</w:t>
            </w:r>
          </w:p>
          <w:p w:rsidR="00DA7103" w:rsidRPr="00975E6B" w:rsidRDefault="00DA7103" w:rsidP="00F26328">
            <w:pPr>
              <w:pStyle w:val="BodyText"/>
              <w:numPr>
                <w:ilvl w:val="0"/>
                <w:numId w:val="28"/>
              </w:numPr>
              <w:jc w:val="left"/>
            </w:pPr>
            <w:r w:rsidRPr="00975E6B">
              <w:t xml:space="preserve">A summary </w:t>
            </w:r>
            <w:r w:rsidR="00827F86" w:rsidRPr="00975E6B">
              <w:t>of the activity and costs submitted to IHPA by product and product type.</w:t>
            </w:r>
          </w:p>
        </w:tc>
      </w:tr>
      <w:tr w:rsidR="00827F86" w:rsidRPr="00975E6B" w:rsidTr="00827F86">
        <w:tc>
          <w:tcPr>
            <w:tcW w:w="1833" w:type="pct"/>
            <w:tcBorders>
              <w:right w:val="single" w:sz="4" w:space="0" w:color="548DD4" w:themeColor="text2" w:themeTint="99"/>
            </w:tcBorders>
            <w:noWrap/>
          </w:tcPr>
          <w:p w:rsidR="00827F86" w:rsidRPr="00975E6B" w:rsidRDefault="00827F86" w:rsidP="00901AEE">
            <w:pPr>
              <w:pStyle w:val="BodyText"/>
              <w:jc w:val="left"/>
            </w:pPr>
            <w:r w:rsidRPr="00975E6B">
              <w:lastRenderedPageBreak/>
              <w:t>IHPA</w:t>
            </w:r>
          </w:p>
        </w:tc>
        <w:tc>
          <w:tcPr>
            <w:tcW w:w="3167" w:type="pct"/>
            <w:tcBorders>
              <w:left w:val="single" w:sz="4" w:space="0" w:color="548DD4" w:themeColor="text2" w:themeTint="99"/>
            </w:tcBorders>
          </w:tcPr>
          <w:p w:rsidR="00827F86" w:rsidRPr="00975E6B" w:rsidRDefault="00827F86" w:rsidP="00EC75FC">
            <w:pPr>
              <w:pStyle w:val="BodyText"/>
              <w:jc w:val="left"/>
            </w:pPr>
            <w:r w:rsidRPr="00975E6B">
              <w:t xml:space="preserve">This tab </w:t>
            </w:r>
            <w:r w:rsidR="007C1102" w:rsidRPr="00975E6B">
              <w:t>included</w:t>
            </w:r>
            <w:r w:rsidRPr="00975E6B">
              <w:t xml:space="preserve"> the final IHPA adjustments in the NHCDC process</w:t>
            </w:r>
            <w:r w:rsidR="001D312E" w:rsidRPr="00975E6B">
              <w:t xml:space="preserve">. </w:t>
            </w:r>
            <w:r w:rsidRPr="00975E6B">
              <w:t>Hospitals and jurisdictions were not required to complete this tab</w:t>
            </w:r>
            <w:r w:rsidR="001D312E" w:rsidRPr="00975E6B">
              <w:t xml:space="preserve">. </w:t>
            </w:r>
          </w:p>
        </w:tc>
      </w:tr>
    </w:tbl>
    <w:p w:rsidR="00664CB0" w:rsidRPr="00975E6B" w:rsidRDefault="00664CB0" w:rsidP="00664CB0">
      <w:pPr>
        <w:rPr>
          <w:bCs/>
          <w:i/>
          <w:sz w:val="16"/>
          <w:szCs w:val="16"/>
        </w:rPr>
      </w:pPr>
      <w:r w:rsidRPr="00975E6B">
        <w:rPr>
          <w:bCs/>
          <w:i/>
          <w:sz w:val="16"/>
          <w:szCs w:val="16"/>
        </w:rPr>
        <w:t>Source: KPMG</w:t>
      </w:r>
    </w:p>
    <w:p w:rsidR="00986B2A" w:rsidRPr="00975E6B" w:rsidRDefault="00986B2A" w:rsidP="00986B2A">
      <w:pPr>
        <w:pStyle w:val="BodyText"/>
      </w:pPr>
      <w:r w:rsidRPr="00975E6B">
        <w:t xml:space="preserve">Where possible, the templates were provided </w:t>
      </w:r>
      <w:r w:rsidR="00901AEE" w:rsidRPr="00975E6B">
        <w:t xml:space="preserve">by the jurisdictions </w:t>
      </w:r>
      <w:r w:rsidRPr="00975E6B">
        <w:t>to the review team prior to the site visit. This provided the review team with sufficient time to prepare for the site visits.</w:t>
      </w:r>
    </w:p>
    <w:p w:rsidR="00B16EB2" w:rsidRPr="00975E6B" w:rsidRDefault="00950D81" w:rsidP="003B387A">
      <w:pPr>
        <w:pStyle w:val="Heading3"/>
        <w:numPr>
          <w:ilvl w:val="2"/>
          <w:numId w:val="77"/>
        </w:numPr>
      </w:pPr>
      <w:r w:rsidRPr="00975E6B">
        <w:t>Site visits</w:t>
      </w:r>
    </w:p>
    <w:p w:rsidR="00950D81" w:rsidRPr="00975E6B" w:rsidRDefault="00950D81" w:rsidP="00986B2A">
      <w:pPr>
        <w:pStyle w:val="BodyText"/>
      </w:pPr>
      <w:r w:rsidRPr="00975E6B">
        <w:t>KPMG scheduled site visits with each of the</w:t>
      </w:r>
      <w:r w:rsidR="00986B2A" w:rsidRPr="00975E6B">
        <w:t xml:space="preserve"> seven</w:t>
      </w:r>
      <w:r w:rsidRPr="00975E6B">
        <w:t xml:space="preserve"> jurisdictions</w:t>
      </w:r>
      <w:r w:rsidR="00986B2A" w:rsidRPr="00975E6B">
        <w:t xml:space="preserve"> participating in the IFR. </w:t>
      </w:r>
      <w:r w:rsidRPr="00975E6B">
        <w:t xml:space="preserve">All jurisdictional site visits were attended by </w:t>
      </w:r>
      <w:r w:rsidR="00986B2A" w:rsidRPr="00975E6B">
        <w:t xml:space="preserve">the jurisdictional representatives, hospital/LHN representatives, </w:t>
      </w:r>
      <w:r w:rsidR="00827F86" w:rsidRPr="00975E6B">
        <w:t xml:space="preserve">a KPMG review team, </w:t>
      </w:r>
      <w:r w:rsidRPr="00975E6B">
        <w:t>an IHPA representative and</w:t>
      </w:r>
      <w:r w:rsidR="00986B2A" w:rsidRPr="00975E6B">
        <w:t xml:space="preserve"> a peer review where possible. Some jurisdictions elected to host the site visit at the jurisdiction’s department office, and in other jurisdictions </w:t>
      </w:r>
      <w:r w:rsidR="009D69D0" w:rsidRPr="00975E6B">
        <w:t>the</w:t>
      </w:r>
      <w:r w:rsidR="00986B2A" w:rsidRPr="00975E6B">
        <w:t xml:space="preserve"> site visit</w:t>
      </w:r>
      <w:r w:rsidR="009D69D0" w:rsidRPr="00975E6B">
        <w:t xml:space="preserve"> was conducted</w:t>
      </w:r>
      <w:r w:rsidR="00986B2A" w:rsidRPr="00975E6B">
        <w:t xml:space="preserve"> at the participating hospitals. </w:t>
      </w:r>
      <w:r w:rsidRPr="00975E6B">
        <w:t>A list of attendees for all site visits is included at</w:t>
      </w:r>
      <w:r w:rsidR="008D33C0" w:rsidRPr="00975E6B">
        <w:t xml:space="preserve"> </w:t>
      </w:r>
      <w:r w:rsidR="008D33C0" w:rsidRPr="00975E6B">
        <w:fldChar w:fldCharType="begin"/>
      </w:r>
      <w:r w:rsidR="008D33C0" w:rsidRPr="00975E6B">
        <w:instrText xml:space="preserve"> REF _Ref435454128 \r \h </w:instrText>
      </w:r>
      <w:r w:rsidR="00975E6B">
        <w:instrText xml:space="preserve"> \* MERGEFORMAT </w:instrText>
      </w:r>
      <w:r w:rsidR="008D33C0" w:rsidRPr="00975E6B">
        <w:fldChar w:fldCharType="separate"/>
      </w:r>
      <w:r w:rsidR="00154CF7">
        <w:t>0</w:t>
      </w:r>
      <w:r w:rsidR="008D33C0" w:rsidRPr="00975E6B">
        <w:fldChar w:fldCharType="end"/>
      </w:r>
      <w:r w:rsidRPr="00975E6B">
        <w:t>.</w:t>
      </w:r>
    </w:p>
    <w:p w:rsidR="00986B2A" w:rsidRPr="00975E6B" w:rsidRDefault="00986B2A" w:rsidP="00827F86">
      <w:pPr>
        <w:pStyle w:val="BodyText"/>
      </w:pPr>
      <w:r w:rsidRPr="00975E6B">
        <w:t>During</w:t>
      </w:r>
      <w:r w:rsidR="00827F86" w:rsidRPr="00975E6B">
        <w:t xml:space="preserve"> these site visits</w:t>
      </w:r>
      <w:r w:rsidRPr="00975E6B">
        <w:t xml:space="preserve"> t</w:t>
      </w:r>
      <w:r w:rsidR="00827F86" w:rsidRPr="00975E6B">
        <w:t xml:space="preserve">he review team discussed the overall costing process and worked through the templates. </w:t>
      </w:r>
      <w:r w:rsidRPr="00975E6B">
        <w:t>P</w:t>
      </w:r>
      <w:r w:rsidR="00827F86" w:rsidRPr="00975E6B">
        <w:t>articipating sites explained any exclusions or inclusions in their data and provided additional materials relevant to the financial review.</w:t>
      </w:r>
      <w:r w:rsidRPr="00975E6B">
        <w:t xml:space="preserve"> </w:t>
      </w:r>
      <w:r w:rsidR="00827F86" w:rsidRPr="00975E6B">
        <w:t xml:space="preserve">Jurisdiction meetings focused on the jurisdiction’s processes and controls, and any adjustments to the dataset the jurisdiction made before submitting it to IHPA. </w:t>
      </w:r>
      <w:r w:rsidRPr="00975E6B">
        <w:t>Participants were given the opportunity to provide additional information following these visits.</w:t>
      </w:r>
    </w:p>
    <w:p w:rsidR="00827F86" w:rsidRPr="00975E6B" w:rsidRDefault="00986B2A" w:rsidP="00986B2A">
      <w:pPr>
        <w:pStyle w:val="BodyText"/>
      </w:pPr>
      <w:r w:rsidRPr="00975E6B">
        <w:t>Follow-up discussions were held with the jurisdictions to address any outstanding issues and t</w:t>
      </w:r>
      <w:r w:rsidR="00827F86" w:rsidRPr="00975E6B">
        <w:t>he NHCDC representative from each jurisdiction reviewed their chapter prior to it being included in this report</w:t>
      </w:r>
      <w:r w:rsidR="001D312E" w:rsidRPr="00975E6B">
        <w:t xml:space="preserve">. </w:t>
      </w:r>
    </w:p>
    <w:p w:rsidR="00B97082" w:rsidRPr="00975E6B" w:rsidRDefault="00B97082" w:rsidP="003B387A">
      <w:pPr>
        <w:pStyle w:val="Heading3"/>
        <w:numPr>
          <w:ilvl w:val="2"/>
          <w:numId w:val="77"/>
        </w:numPr>
      </w:pPr>
      <w:r w:rsidRPr="00975E6B">
        <w:t xml:space="preserve">The </w:t>
      </w:r>
      <w:r w:rsidRPr="00431399">
        <w:t>peer</w:t>
      </w:r>
      <w:r w:rsidRPr="00975E6B">
        <w:t xml:space="preserve"> review process </w:t>
      </w:r>
    </w:p>
    <w:p w:rsidR="00B97082" w:rsidRPr="00975E6B" w:rsidRDefault="00B97082" w:rsidP="00B97082">
      <w:pPr>
        <w:pStyle w:val="Default"/>
        <w:spacing w:before="120" w:after="120" w:line="280" w:lineRule="atLeast"/>
        <w:jc w:val="both"/>
        <w:rPr>
          <w:rFonts w:ascii="Univers 45 Light" w:hAnsi="Univers 45 Light" w:cs="Times New Roman"/>
          <w:color w:val="auto"/>
          <w:sz w:val="20"/>
          <w:szCs w:val="22"/>
          <w:lang w:eastAsia="en-US"/>
        </w:rPr>
      </w:pPr>
      <w:r w:rsidRPr="00975E6B">
        <w:rPr>
          <w:rFonts w:ascii="Univers 45 Light" w:hAnsi="Univers 45 Light" w:cs="Times New Roman"/>
          <w:color w:val="auto"/>
          <w:sz w:val="20"/>
          <w:szCs w:val="22"/>
          <w:lang w:eastAsia="en-US"/>
        </w:rPr>
        <w:t>The Round 18 IFR involved a peer review process so that costing representatives could participate in site visits</w:t>
      </w:r>
      <w:r w:rsidR="00957E17" w:rsidRPr="00975E6B">
        <w:rPr>
          <w:rFonts w:ascii="Univers 45 Light" w:hAnsi="Univers 45 Light" w:cs="Times New Roman"/>
          <w:color w:val="auto"/>
          <w:sz w:val="20"/>
          <w:szCs w:val="22"/>
          <w:lang w:eastAsia="en-US"/>
        </w:rPr>
        <w:t xml:space="preserve"> at other jurisdictions</w:t>
      </w:r>
      <w:r w:rsidRPr="00975E6B">
        <w:rPr>
          <w:rFonts w:ascii="Univers 45 Light" w:hAnsi="Univers 45 Light" w:cs="Times New Roman"/>
          <w:color w:val="auto"/>
          <w:sz w:val="20"/>
          <w:szCs w:val="22"/>
          <w:lang w:eastAsia="en-US"/>
        </w:rPr>
        <w:t>. The peer review allowed NHCDC peers to share information, processes, challenges and solutions</w:t>
      </w:r>
      <w:r w:rsidR="00FC4CCF" w:rsidRPr="00975E6B">
        <w:rPr>
          <w:rFonts w:ascii="Univers 45 Light" w:hAnsi="Univers 45 Light" w:cs="Times New Roman"/>
          <w:color w:val="auto"/>
          <w:sz w:val="20"/>
          <w:szCs w:val="22"/>
          <w:lang w:eastAsia="en-US"/>
        </w:rPr>
        <w:t xml:space="preserve">, and </w:t>
      </w:r>
      <w:r w:rsidR="00C71551" w:rsidRPr="00975E6B">
        <w:rPr>
          <w:rFonts w:ascii="Univers 45 Light" w:hAnsi="Univers 45 Light" w:cs="Times New Roman"/>
          <w:color w:val="auto"/>
          <w:sz w:val="20"/>
          <w:szCs w:val="22"/>
          <w:lang w:eastAsia="en-US"/>
        </w:rPr>
        <w:t>provided</w:t>
      </w:r>
      <w:r w:rsidR="00FC4CCF" w:rsidRPr="00975E6B">
        <w:rPr>
          <w:rFonts w:ascii="Univers 45 Light" w:hAnsi="Univers 45 Light" w:cs="Times New Roman"/>
          <w:color w:val="auto"/>
          <w:sz w:val="20"/>
          <w:szCs w:val="22"/>
          <w:lang w:eastAsia="en-US"/>
        </w:rPr>
        <w:t xml:space="preserve"> a valuable opportunity</w:t>
      </w:r>
      <w:r w:rsidRPr="00975E6B">
        <w:rPr>
          <w:rFonts w:ascii="Univers 45 Light" w:hAnsi="Univers 45 Light" w:cs="Times New Roman"/>
          <w:color w:val="auto"/>
          <w:sz w:val="20"/>
          <w:szCs w:val="22"/>
          <w:lang w:eastAsia="en-US"/>
        </w:rPr>
        <w:t xml:space="preserve"> to have costing staff and costing representatives visit other jurisdictions.</w:t>
      </w:r>
    </w:p>
    <w:p w:rsidR="00B97082" w:rsidRPr="00975E6B" w:rsidRDefault="00B97082" w:rsidP="00B97082">
      <w:pPr>
        <w:pStyle w:val="Default"/>
        <w:spacing w:before="120" w:after="120" w:line="280" w:lineRule="atLeast"/>
        <w:jc w:val="both"/>
        <w:rPr>
          <w:rFonts w:ascii="Univers 45 Light" w:hAnsi="Univers 45 Light" w:cs="Times New Roman"/>
          <w:color w:val="auto"/>
          <w:sz w:val="20"/>
          <w:szCs w:val="22"/>
          <w:lang w:eastAsia="en-US"/>
        </w:rPr>
      </w:pPr>
      <w:r w:rsidRPr="00975E6B">
        <w:rPr>
          <w:rFonts w:ascii="Univers 45 Light" w:hAnsi="Univers 45 Light" w:cs="Times New Roman"/>
          <w:color w:val="auto"/>
          <w:sz w:val="20"/>
          <w:szCs w:val="22"/>
          <w:lang w:eastAsia="en-US"/>
        </w:rPr>
        <w:t xml:space="preserve">Jurisdictions were asked to nominate relevant personnel to participate in the peer review, and to identify participants either at the hospital costing level or the jurisdiction level. Jurisdictions in </w:t>
      </w:r>
      <w:r w:rsidR="00D937C2" w:rsidRPr="00975E6B">
        <w:rPr>
          <w:rFonts w:ascii="Univers 45 Light" w:hAnsi="Univers 45 Light" w:cs="Times New Roman"/>
          <w:color w:val="auto"/>
          <w:sz w:val="20"/>
          <w:szCs w:val="22"/>
          <w:lang w:eastAsia="en-US"/>
        </w:rPr>
        <w:t>Queensland</w:t>
      </w:r>
      <w:r w:rsidRPr="00975E6B">
        <w:rPr>
          <w:rFonts w:ascii="Univers 45 Light" w:hAnsi="Univers 45 Light" w:cs="Times New Roman"/>
          <w:color w:val="auto"/>
          <w:sz w:val="20"/>
          <w:szCs w:val="22"/>
          <w:lang w:eastAsia="en-US"/>
        </w:rPr>
        <w:t>, S</w:t>
      </w:r>
      <w:r w:rsidR="00BE14A6">
        <w:rPr>
          <w:rFonts w:ascii="Univers 45 Light" w:hAnsi="Univers 45 Light" w:cs="Times New Roman"/>
          <w:color w:val="auto"/>
          <w:sz w:val="20"/>
          <w:szCs w:val="22"/>
          <w:lang w:eastAsia="en-US"/>
        </w:rPr>
        <w:t xml:space="preserve">outh </w:t>
      </w:r>
      <w:r w:rsidRPr="00975E6B">
        <w:rPr>
          <w:rFonts w:ascii="Univers 45 Light" w:hAnsi="Univers 45 Light" w:cs="Times New Roman"/>
          <w:color w:val="auto"/>
          <w:sz w:val="20"/>
          <w:szCs w:val="22"/>
          <w:lang w:eastAsia="en-US"/>
        </w:rPr>
        <w:t>A</w:t>
      </w:r>
      <w:r w:rsidR="00BE14A6">
        <w:rPr>
          <w:rFonts w:ascii="Univers 45 Light" w:hAnsi="Univers 45 Light" w:cs="Times New Roman"/>
          <w:color w:val="auto"/>
          <w:sz w:val="20"/>
          <w:szCs w:val="22"/>
          <w:lang w:eastAsia="en-US"/>
        </w:rPr>
        <w:t>ustralia</w:t>
      </w:r>
      <w:r w:rsidRPr="00975E6B">
        <w:rPr>
          <w:rFonts w:ascii="Univers 45 Light" w:hAnsi="Univers 45 Light" w:cs="Times New Roman"/>
          <w:color w:val="auto"/>
          <w:sz w:val="20"/>
          <w:szCs w:val="22"/>
          <w:lang w:eastAsia="en-US"/>
        </w:rPr>
        <w:t xml:space="preserve">, </w:t>
      </w:r>
      <w:r w:rsidR="00D937C2" w:rsidRPr="00975E6B">
        <w:rPr>
          <w:rFonts w:ascii="Univers 45 Light" w:hAnsi="Univers 45 Light" w:cs="Times New Roman"/>
          <w:color w:val="auto"/>
          <w:sz w:val="20"/>
          <w:szCs w:val="22"/>
          <w:lang w:eastAsia="en-US"/>
        </w:rPr>
        <w:t>W</w:t>
      </w:r>
      <w:r w:rsidR="00BE14A6">
        <w:rPr>
          <w:rFonts w:ascii="Univers 45 Light" w:hAnsi="Univers 45 Light" w:cs="Times New Roman"/>
          <w:color w:val="auto"/>
          <w:sz w:val="20"/>
          <w:szCs w:val="22"/>
          <w:lang w:eastAsia="en-US"/>
        </w:rPr>
        <w:t xml:space="preserve">estern </w:t>
      </w:r>
      <w:r w:rsidR="00095453" w:rsidRPr="00975E6B">
        <w:rPr>
          <w:rFonts w:ascii="Univers 45 Light" w:hAnsi="Univers 45 Light" w:cs="Times New Roman"/>
          <w:color w:val="auto"/>
          <w:sz w:val="20"/>
          <w:szCs w:val="22"/>
          <w:lang w:eastAsia="en-US"/>
        </w:rPr>
        <w:t>A</w:t>
      </w:r>
      <w:r w:rsidR="00BE14A6">
        <w:rPr>
          <w:rFonts w:ascii="Univers 45 Light" w:hAnsi="Univers 45 Light" w:cs="Times New Roman"/>
          <w:color w:val="auto"/>
          <w:sz w:val="20"/>
          <w:szCs w:val="22"/>
          <w:lang w:eastAsia="en-US"/>
        </w:rPr>
        <w:t>ustralia</w:t>
      </w:r>
      <w:r w:rsidRPr="00975E6B">
        <w:rPr>
          <w:rFonts w:ascii="Univers 45 Light" w:hAnsi="Univers 45 Light" w:cs="Times New Roman"/>
          <w:color w:val="auto"/>
          <w:sz w:val="20"/>
          <w:szCs w:val="22"/>
          <w:lang w:eastAsia="en-US"/>
        </w:rPr>
        <w:t xml:space="preserve"> and </w:t>
      </w:r>
      <w:r w:rsidR="00CA6430" w:rsidRPr="00975E6B">
        <w:rPr>
          <w:rFonts w:ascii="Univers 45 Light" w:hAnsi="Univers 45 Light" w:cs="Times New Roman"/>
          <w:color w:val="auto"/>
          <w:sz w:val="20"/>
          <w:szCs w:val="22"/>
          <w:lang w:eastAsia="en-US"/>
        </w:rPr>
        <w:t>Tasmania</w:t>
      </w:r>
      <w:r w:rsidR="00F451B0" w:rsidRPr="00975E6B">
        <w:rPr>
          <w:rFonts w:ascii="Univers 45 Light" w:hAnsi="Univers 45 Light" w:cs="Times New Roman"/>
          <w:color w:val="auto"/>
          <w:sz w:val="20"/>
          <w:szCs w:val="22"/>
          <w:lang w:eastAsia="en-US"/>
        </w:rPr>
        <w:t xml:space="preserve"> </w:t>
      </w:r>
      <w:r w:rsidRPr="00975E6B">
        <w:rPr>
          <w:rFonts w:ascii="Univers 45 Light" w:hAnsi="Univers 45 Light" w:cs="Times New Roman"/>
          <w:color w:val="auto"/>
          <w:sz w:val="20"/>
          <w:szCs w:val="22"/>
          <w:lang w:eastAsia="en-US"/>
        </w:rPr>
        <w:t>nominated peers (all peers were jurisdiction representatives</w:t>
      </w:r>
      <w:r w:rsidR="002B7238" w:rsidRPr="00975E6B">
        <w:rPr>
          <w:rFonts w:ascii="Univers 45 Light" w:hAnsi="Univers 45 Light" w:cs="Times New Roman"/>
          <w:color w:val="auto"/>
          <w:sz w:val="20"/>
          <w:szCs w:val="22"/>
          <w:lang w:eastAsia="en-US"/>
        </w:rPr>
        <w:t>)</w:t>
      </w:r>
      <w:r w:rsidRPr="00975E6B">
        <w:rPr>
          <w:rFonts w:ascii="Univers 45 Light" w:hAnsi="Univers 45 Light" w:cs="Times New Roman"/>
          <w:color w:val="auto"/>
          <w:sz w:val="20"/>
          <w:szCs w:val="22"/>
          <w:lang w:eastAsia="en-US"/>
        </w:rPr>
        <w:t xml:space="preserve">. The remaining jurisdictions were unable to send representatives due to capacity, funding and timing constraints. Appendix A contains a list of the peer review participants. </w:t>
      </w:r>
    </w:p>
    <w:p w:rsidR="00B97082" w:rsidRPr="00975E6B" w:rsidRDefault="00B97082" w:rsidP="00B97082">
      <w:pPr>
        <w:pStyle w:val="Default"/>
        <w:spacing w:before="120" w:after="120" w:line="280" w:lineRule="atLeast"/>
        <w:jc w:val="both"/>
        <w:rPr>
          <w:rFonts w:ascii="Univers 45 Light" w:hAnsi="Univers 45 Light" w:cs="Times New Roman"/>
          <w:color w:val="auto"/>
          <w:sz w:val="20"/>
          <w:szCs w:val="22"/>
          <w:lang w:eastAsia="en-US"/>
        </w:rPr>
      </w:pPr>
      <w:r w:rsidRPr="00975E6B">
        <w:rPr>
          <w:rFonts w:ascii="Univers 45 Light" w:hAnsi="Univers 45 Light" w:cs="Times New Roman"/>
          <w:color w:val="auto"/>
          <w:sz w:val="20"/>
          <w:szCs w:val="22"/>
          <w:lang w:eastAsia="en-US"/>
        </w:rPr>
        <w:lastRenderedPageBreak/>
        <w:t xml:space="preserve">The peer review nominees selected their preferred locations and the host site was informed of the peer review selection. The nominees attended the meetings together with the KPMG review team, and were encouraged to </w:t>
      </w:r>
      <w:r w:rsidR="00100427" w:rsidRPr="00975E6B">
        <w:rPr>
          <w:rFonts w:ascii="Univers 45 Light" w:hAnsi="Univers 45 Light" w:cs="Times New Roman"/>
          <w:color w:val="auto"/>
          <w:sz w:val="20"/>
          <w:szCs w:val="22"/>
          <w:lang w:eastAsia="en-US"/>
        </w:rPr>
        <w:t xml:space="preserve">ask questions and </w:t>
      </w:r>
      <w:r w:rsidRPr="00975E6B">
        <w:rPr>
          <w:rFonts w:ascii="Univers 45 Light" w:hAnsi="Univers 45 Light" w:cs="Times New Roman"/>
          <w:color w:val="auto"/>
          <w:sz w:val="20"/>
          <w:szCs w:val="22"/>
          <w:lang w:eastAsia="en-US"/>
        </w:rPr>
        <w:t xml:space="preserve">actively participate </w:t>
      </w:r>
      <w:r w:rsidR="00100427" w:rsidRPr="00975E6B">
        <w:rPr>
          <w:rFonts w:ascii="Univers 45 Light" w:hAnsi="Univers 45 Light" w:cs="Times New Roman"/>
          <w:color w:val="auto"/>
          <w:sz w:val="20"/>
          <w:szCs w:val="22"/>
          <w:lang w:eastAsia="en-US"/>
        </w:rPr>
        <w:t>during the site visits.</w:t>
      </w:r>
      <w:r w:rsidR="00BA3F4B" w:rsidRPr="00975E6B">
        <w:rPr>
          <w:rFonts w:ascii="Univers 45 Light" w:hAnsi="Univers 45 Light" w:cs="Times New Roman"/>
          <w:color w:val="auto"/>
          <w:sz w:val="20"/>
          <w:szCs w:val="22"/>
          <w:lang w:eastAsia="en-US"/>
        </w:rPr>
        <w:t xml:space="preserve"> </w:t>
      </w:r>
    </w:p>
    <w:p w:rsidR="0049430F" w:rsidRPr="00975E6B" w:rsidRDefault="0049430F" w:rsidP="003B387A">
      <w:pPr>
        <w:pStyle w:val="Heading3"/>
        <w:numPr>
          <w:ilvl w:val="2"/>
          <w:numId w:val="77"/>
        </w:numPr>
      </w:pPr>
      <w:bookmarkStart w:id="23" w:name="_Toc433378272"/>
      <w:bookmarkStart w:id="24" w:name="_Toc433378472"/>
      <w:bookmarkStart w:id="25" w:name="_Toc433378669"/>
      <w:bookmarkStart w:id="26" w:name="_Toc433378866"/>
      <w:bookmarkStart w:id="27" w:name="_Toc433379063"/>
      <w:bookmarkStart w:id="28" w:name="_Toc433379260"/>
      <w:bookmarkStart w:id="29" w:name="_Ref434054856"/>
      <w:bookmarkEnd w:id="23"/>
      <w:bookmarkEnd w:id="24"/>
      <w:bookmarkEnd w:id="25"/>
      <w:bookmarkEnd w:id="26"/>
      <w:bookmarkEnd w:id="27"/>
      <w:bookmarkEnd w:id="28"/>
      <w:r w:rsidRPr="00431399">
        <w:t>Application</w:t>
      </w:r>
      <w:r w:rsidRPr="00975E6B">
        <w:t xml:space="preserve"> of </w:t>
      </w:r>
      <w:r w:rsidR="00955D74" w:rsidRPr="00975E6B">
        <w:t>AHPCS</w:t>
      </w:r>
      <w:bookmarkEnd w:id="29"/>
    </w:p>
    <w:p w:rsidR="00B33CC1" w:rsidRPr="00975E6B" w:rsidRDefault="00CF7BA9" w:rsidP="00B33CC1">
      <w:pPr>
        <w:pStyle w:val="Default"/>
        <w:spacing w:before="120" w:after="120" w:line="280" w:lineRule="atLeast"/>
        <w:jc w:val="both"/>
        <w:rPr>
          <w:rFonts w:ascii="Univers 45 Light" w:hAnsi="Univers 45 Light" w:cs="Times New Roman"/>
          <w:color w:val="auto"/>
          <w:sz w:val="20"/>
          <w:szCs w:val="22"/>
          <w:lang w:eastAsia="en-US"/>
        </w:rPr>
      </w:pPr>
      <w:r w:rsidRPr="00975E6B">
        <w:rPr>
          <w:rFonts w:ascii="Univers 45 Light" w:hAnsi="Univers 45 Light" w:cs="Times New Roman"/>
          <w:color w:val="auto"/>
          <w:sz w:val="20"/>
          <w:szCs w:val="22"/>
          <w:lang w:eastAsia="en-US"/>
        </w:rPr>
        <w:t xml:space="preserve">The objectives of the IFR </w:t>
      </w:r>
      <w:r w:rsidR="00C13C2C" w:rsidRPr="00975E6B">
        <w:rPr>
          <w:rFonts w:ascii="Univers 45 Light" w:hAnsi="Univers 45 Light" w:cs="Times New Roman"/>
          <w:color w:val="auto"/>
          <w:sz w:val="20"/>
          <w:szCs w:val="22"/>
          <w:lang w:eastAsia="en-US"/>
        </w:rPr>
        <w:t>for</w:t>
      </w:r>
      <w:r w:rsidR="009D69D0" w:rsidRPr="00975E6B">
        <w:rPr>
          <w:rFonts w:ascii="Univers 45 Light" w:hAnsi="Univers 45 Light" w:cs="Times New Roman"/>
          <w:color w:val="auto"/>
          <w:sz w:val="20"/>
          <w:szCs w:val="22"/>
          <w:lang w:eastAsia="en-US"/>
        </w:rPr>
        <w:t xml:space="preserve"> Round 18 </w:t>
      </w:r>
      <w:r w:rsidRPr="00975E6B">
        <w:rPr>
          <w:rFonts w:ascii="Univers 45 Light" w:hAnsi="Univers 45 Light" w:cs="Times New Roman"/>
          <w:color w:val="auto"/>
          <w:sz w:val="20"/>
          <w:szCs w:val="22"/>
          <w:lang w:eastAsia="en-US"/>
        </w:rPr>
        <w:t>include</w:t>
      </w:r>
      <w:r w:rsidR="006C4A23" w:rsidRPr="00975E6B">
        <w:rPr>
          <w:rFonts w:ascii="Univers 45 Light" w:hAnsi="Univers 45 Light" w:cs="Times New Roman"/>
          <w:color w:val="auto"/>
          <w:sz w:val="20"/>
          <w:szCs w:val="22"/>
          <w:lang w:eastAsia="en-US"/>
        </w:rPr>
        <w:t>d</w:t>
      </w:r>
      <w:r w:rsidRPr="00975E6B">
        <w:rPr>
          <w:rFonts w:ascii="Univers 45 Light" w:hAnsi="Univers 45 Light" w:cs="Times New Roman"/>
          <w:color w:val="auto"/>
          <w:sz w:val="20"/>
          <w:szCs w:val="22"/>
          <w:lang w:eastAsia="en-US"/>
        </w:rPr>
        <w:t xml:space="preserve"> the assessment of the consistency between</w:t>
      </w:r>
      <w:r w:rsidR="00955D74" w:rsidRPr="00975E6B">
        <w:rPr>
          <w:rFonts w:ascii="Univers 45 Light" w:hAnsi="Univers 45 Light" w:cs="Times New Roman"/>
          <w:color w:val="auto"/>
          <w:sz w:val="20"/>
          <w:szCs w:val="22"/>
          <w:lang w:eastAsia="en-US"/>
        </w:rPr>
        <w:t xml:space="preserve"> </w:t>
      </w:r>
      <w:r w:rsidR="00C13C2C" w:rsidRPr="00975E6B">
        <w:rPr>
          <w:rFonts w:ascii="Univers 45 Light" w:hAnsi="Univers 45 Light" w:cs="Times New Roman"/>
          <w:color w:val="auto"/>
          <w:sz w:val="20"/>
          <w:szCs w:val="22"/>
          <w:lang w:eastAsia="en-US"/>
        </w:rPr>
        <w:t>participating jurisdictions</w:t>
      </w:r>
      <w:r w:rsidRPr="00975E6B">
        <w:rPr>
          <w:rFonts w:ascii="Univers 45 Light" w:hAnsi="Univers 45 Light" w:cs="Times New Roman"/>
          <w:color w:val="auto"/>
          <w:sz w:val="20"/>
          <w:szCs w:val="22"/>
          <w:lang w:eastAsia="en-US"/>
        </w:rPr>
        <w:t xml:space="preserve"> </w:t>
      </w:r>
      <w:r w:rsidR="00C13C2C" w:rsidRPr="00975E6B">
        <w:rPr>
          <w:rFonts w:ascii="Univers 45 Light" w:hAnsi="Univers 45 Light" w:cs="Times New Roman"/>
          <w:color w:val="auto"/>
          <w:sz w:val="20"/>
          <w:szCs w:val="22"/>
          <w:lang w:eastAsia="en-US"/>
        </w:rPr>
        <w:t>in their</w:t>
      </w:r>
      <w:r w:rsidRPr="00975E6B">
        <w:rPr>
          <w:rFonts w:ascii="Univers 45 Light" w:hAnsi="Univers 45 Light" w:cs="Times New Roman"/>
          <w:color w:val="auto"/>
          <w:sz w:val="20"/>
          <w:szCs w:val="22"/>
          <w:lang w:eastAsia="en-US"/>
        </w:rPr>
        <w:t xml:space="preserve"> application of a selection of Version 3.1 </w:t>
      </w:r>
      <w:r w:rsidR="009D69D0" w:rsidRPr="00975E6B">
        <w:rPr>
          <w:rFonts w:ascii="Univers 45 Light" w:hAnsi="Univers 45 Light" w:cs="Times New Roman"/>
          <w:color w:val="auto"/>
          <w:sz w:val="20"/>
          <w:szCs w:val="22"/>
          <w:lang w:eastAsia="en-US"/>
        </w:rPr>
        <w:t>AHPCS</w:t>
      </w:r>
      <w:r w:rsidR="001D312E" w:rsidRPr="00975E6B">
        <w:rPr>
          <w:rFonts w:ascii="Univers 45 Light" w:hAnsi="Univers 45 Light" w:cs="Times New Roman"/>
          <w:color w:val="auto"/>
          <w:sz w:val="20"/>
          <w:szCs w:val="22"/>
          <w:lang w:eastAsia="en-US"/>
        </w:rPr>
        <w:t xml:space="preserve">. </w:t>
      </w:r>
      <w:r w:rsidRPr="00975E6B">
        <w:rPr>
          <w:rFonts w:ascii="Univers 45 Light" w:hAnsi="Univers 45 Light" w:cs="Times New Roman"/>
          <w:color w:val="auto"/>
          <w:sz w:val="20"/>
          <w:szCs w:val="22"/>
          <w:lang w:eastAsia="en-US"/>
        </w:rPr>
        <w:t xml:space="preserve">KPMG collected information </w:t>
      </w:r>
      <w:r w:rsidR="007C1102" w:rsidRPr="00975E6B">
        <w:rPr>
          <w:rFonts w:ascii="Univers 45 Light" w:hAnsi="Univers 45 Light" w:cs="Times New Roman"/>
          <w:color w:val="auto"/>
          <w:sz w:val="20"/>
          <w:szCs w:val="22"/>
          <w:lang w:eastAsia="en-US"/>
        </w:rPr>
        <w:t>from</w:t>
      </w:r>
      <w:r w:rsidRPr="00975E6B">
        <w:rPr>
          <w:rFonts w:ascii="Univers 45 Light" w:hAnsi="Univers 45 Light" w:cs="Times New Roman"/>
          <w:color w:val="auto"/>
          <w:sz w:val="20"/>
          <w:szCs w:val="22"/>
          <w:lang w:eastAsia="en-US"/>
        </w:rPr>
        <w:t xml:space="preserve"> the templates and discussions </w:t>
      </w:r>
      <w:r w:rsidR="004C3837" w:rsidRPr="00975E6B">
        <w:rPr>
          <w:rFonts w:ascii="Univers 45 Light" w:hAnsi="Univers 45 Light" w:cs="Times New Roman"/>
          <w:color w:val="auto"/>
          <w:sz w:val="20"/>
          <w:szCs w:val="22"/>
          <w:lang w:eastAsia="en-US"/>
        </w:rPr>
        <w:t xml:space="preserve">conducted </w:t>
      </w:r>
      <w:r w:rsidRPr="00975E6B">
        <w:rPr>
          <w:rFonts w:ascii="Univers 45 Light" w:hAnsi="Univers 45 Light" w:cs="Times New Roman"/>
          <w:color w:val="auto"/>
          <w:sz w:val="20"/>
          <w:szCs w:val="22"/>
          <w:lang w:eastAsia="en-US"/>
        </w:rPr>
        <w:t>with jurisdiction and hospital/LHN representatives to assist in meeting this objective</w:t>
      </w:r>
      <w:r w:rsidR="001D312E" w:rsidRPr="00975E6B">
        <w:rPr>
          <w:rFonts w:ascii="Univers 45 Light" w:hAnsi="Univers 45 Light" w:cs="Times New Roman"/>
          <w:color w:val="auto"/>
          <w:sz w:val="20"/>
          <w:szCs w:val="22"/>
          <w:lang w:eastAsia="en-US"/>
        </w:rPr>
        <w:t xml:space="preserve">. </w:t>
      </w:r>
      <w:r w:rsidRPr="00975E6B">
        <w:rPr>
          <w:rFonts w:ascii="Univers 45 Light" w:hAnsi="Univers 45 Light" w:cs="Times New Roman"/>
          <w:color w:val="auto"/>
          <w:sz w:val="20"/>
          <w:szCs w:val="22"/>
          <w:lang w:eastAsia="en-US"/>
        </w:rPr>
        <w:t xml:space="preserve">The jurisdiction chapters </w:t>
      </w:r>
      <w:r w:rsidR="00100427" w:rsidRPr="00975E6B">
        <w:rPr>
          <w:rFonts w:ascii="Univers 45 Light" w:hAnsi="Univers 45 Light" w:cs="Times New Roman"/>
          <w:color w:val="auto"/>
          <w:sz w:val="20"/>
          <w:szCs w:val="22"/>
          <w:lang w:eastAsia="en-US"/>
        </w:rPr>
        <w:t xml:space="preserve">include a summary of </w:t>
      </w:r>
      <w:r w:rsidRPr="00975E6B">
        <w:rPr>
          <w:rFonts w:ascii="Univers 45 Light" w:hAnsi="Univers 45 Light" w:cs="Times New Roman"/>
          <w:color w:val="auto"/>
          <w:sz w:val="20"/>
          <w:szCs w:val="22"/>
          <w:lang w:eastAsia="en-US"/>
        </w:rPr>
        <w:t>the application of the selected standards by the hospitals/LHNs and the jurisdiction</w:t>
      </w:r>
      <w:r w:rsidR="001D312E" w:rsidRPr="00975E6B">
        <w:rPr>
          <w:rFonts w:ascii="Univers 45 Light" w:hAnsi="Univers 45 Light" w:cs="Times New Roman"/>
          <w:color w:val="auto"/>
          <w:sz w:val="20"/>
          <w:szCs w:val="22"/>
          <w:lang w:eastAsia="en-US"/>
        </w:rPr>
        <w:t xml:space="preserve">. </w:t>
      </w:r>
      <w:r w:rsidR="00166E95" w:rsidRPr="00975E6B">
        <w:rPr>
          <w:rFonts w:ascii="Univers 45 Light" w:hAnsi="Univers 45 Light" w:cs="Times New Roman"/>
          <w:color w:val="auto"/>
          <w:sz w:val="20"/>
          <w:szCs w:val="22"/>
          <w:lang w:eastAsia="en-US"/>
        </w:rPr>
        <w:t>T</w:t>
      </w:r>
      <w:r w:rsidRPr="00975E6B">
        <w:rPr>
          <w:rFonts w:ascii="Univers 45 Light" w:hAnsi="Univers 45 Light" w:cs="Times New Roman"/>
          <w:color w:val="auto"/>
          <w:sz w:val="20"/>
          <w:szCs w:val="22"/>
          <w:lang w:eastAsia="en-US"/>
        </w:rPr>
        <w:t xml:space="preserve">he requirements of the selected standards </w:t>
      </w:r>
      <w:r w:rsidR="00166E95" w:rsidRPr="00975E6B">
        <w:rPr>
          <w:rFonts w:ascii="Univers 45 Light" w:hAnsi="Univers 45 Light" w:cs="Times New Roman"/>
          <w:color w:val="auto"/>
          <w:sz w:val="20"/>
          <w:szCs w:val="22"/>
          <w:lang w:eastAsia="en-US"/>
        </w:rPr>
        <w:t>are provided in</w:t>
      </w:r>
      <w:r w:rsidR="00197C01" w:rsidRPr="00975E6B">
        <w:rPr>
          <w:rFonts w:ascii="Univers 45 Light" w:hAnsi="Univers 45 Light" w:cs="Times New Roman"/>
          <w:color w:val="auto"/>
          <w:sz w:val="20"/>
          <w:szCs w:val="22"/>
          <w:lang w:eastAsia="en-US"/>
        </w:rPr>
        <w:t xml:space="preserve"> </w:t>
      </w:r>
      <w:r w:rsidR="00197C01" w:rsidRPr="00975E6B">
        <w:rPr>
          <w:rFonts w:ascii="Univers 45 Light" w:hAnsi="Univers 45 Light" w:cs="Times New Roman"/>
          <w:color w:val="auto"/>
          <w:sz w:val="20"/>
          <w:szCs w:val="22"/>
          <w:lang w:eastAsia="en-US"/>
        </w:rPr>
        <w:fldChar w:fldCharType="begin"/>
      </w:r>
      <w:r w:rsidR="00197C01" w:rsidRPr="00975E6B">
        <w:rPr>
          <w:rFonts w:ascii="Univers 45 Light" w:hAnsi="Univers 45 Light" w:cs="Times New Roman"/>
          <w:color w:val="auto"/>
          <w:sz w:val="20"/>
          <w:szCs w:val="22"/>
          <w:lang w:eastAsia="en-US"/>
        </w:rPr>
        <w:instrText xml:space="preserve"> REF _Ref434264868 \h  \* MERGEFORMAT </w:instrText>
      </w:r>
      <w:r w:rsidR="00197C01" w:rsidRPr="00975E6B">
        <w:rPr>
          <w:rFonts w:ascii="Univers 45 Light" w:hAnsi="Univers 45 Light" w:cs="Times New Roman"/>
          <w:color w:val="auto"/>
          <w:sz w:val="20"/>
          <w:szCs w:val="22"/>
          <w:lang w:eastAsia="en-US"/>
        </w:rPr>
      </w:r>
      <w:r w:rsidR="00197C01" w:rsidRPr="00975E6B">
        <w:rPr>
          <w:rFonts w:ascii="Univers 45 Light" w:hAnsi="Univers 45 Light" w:cs="Times New Roman"/>
          <w:color w:val="auto"/>
          <w:sz w:val="20"/>
          <w:szCs w:val="22"/>
          <w:lang w:eastAsia="en-US"/>
        </w:rPr>
        <w:fldChar w:fldCharType="separate"/>
      </w:r>
      <w:r w:rsidR="00154CF7" w:rsidRPr="00154CF7">
        <w:rPr>
          <w:rFonts w:ascii="Univers 45 Light" w:hAnsi="Univers 45 Light" w:cs="Times New Roman"/>
          <w:color w:val="auto"/>
          <w:sz w:val="20"/>
          <w:szCs w:val="22"/>
          <w:lang w:eastAsia="en-US"/>
        </w:rPr>
        <w:t>Table 3</w:t>
      </w:r>
      <w:r w:rsidR="00197C01" w:rsidRPr="00975E6B">
        <w:rPr>
          <w:rFonts w:ascii="Univers 45 Light" w:hAnsi="Univers 45 Light" w:cs="Times New Roman"/>
          <w:color w:val="auto"/>
          <w:sz w:val="20"/>
          <w:szCs w:val="22"/>
          <w:lang w:eastAsia="en-US"/>
        </w:rPr>
        <w:fldChar w:fldCharType="end"/>
      </w:r>
      <w:r w:rsidR="00B33CC1" w:rsidRPr="00975E6B">
        <w:rPr>
          <w:rFonts w:ascii="Univers 45 Light" w:hAnsi="Univers 45 Light" w:cs="Times New Roman"/>
          <w:color w:val="auto"/>
          <w:sz w:val="20"/>
          <w:szCs w:val="22"/>
          <w:lang w:eastAsia="en-US"/>
        </w:rPr>
        <w:t>.</w:t>
      </w:r>
    </w:p>
    <w:p w:rsidR="00CF7BA9" w:rsidRPr="00975E6B" w:rsidRDefault="00CF7BA9" w:rsidP="00CF7BA9">
      <w:pPr>
        <w:pStyle w:val="Caption"/>
      </w:pPr>
      <w:bookmarkStart w:id="30" w:name="_Ref432509956"/>
      <w:bookmarkStart w:id="31" w:name="_Ref434264868"/>
      <w:r w:rsidRPr="00975E6B">
        <w:t xml:space="preserve">Table </w:t>
      </w:r>
      <w:fldSimple w:instr=" SEQ Table \* ARABIC ">
        <w:r w:rsidR="00154CF7">
          <w:rPr>
            <w:noProof/>
          </w:rPr>
          <w:t>3</w:t>
        </w:r>
      </w:fldSimple>
      <w:bookmarkEnd w:id="30"/>
      <w:bookmarkEnd w:id="31"/>
      <w:r w:rsidRPr="00975E6B">
        <w:t xml:space="preserve"> – Application of Costing Standards – Round 18</w:t>
      </w:r>
    </w:p>
    <w:tbl>
      <w:tblPr>
        <w:tblStyle w:val="ListTable4-Accent11"/>
        <w:tblW w:w="5000" w:type="pct"/>
        <w:tblLayout w:type="fixed"/>
        <w:tblLook w:val="0620" w:firstRow="1" w:lastRow="0" w:firstColumn="0" w:lastColumn="0" w:noHBand="1" w:noVBand="1"/>
        <w:tblCaption w:val="Table 3 - Application of Costing Standards – Round 18"/>
        <w:tblDescription w:val="This table describes the requirements of the in-scope costing standards for the Round 18 Independent Financial Review.  The first column is the Costing standard Number, the second column is the Title of the costing standard and the third column is the requirement of the costing standard."/>
      </w:tblPr>
      <w:tblGrid>
        <w:gridCol w:w="1451"/>
        <w:gridCol w:w="2269"/>
        <w:gridCol w:w="5001"/>
      </w:tblGrid>
      <w:tr w:rsidR="00CF7BA9" w:rsidRPr="00975E6B" w:rsidTr="00E14378">
        <w:trPr>
          <w:cnfStyle w:val="100000000000" w:firstRow="1" w:lastRow="0" w:firstColumn="0" w:lastColumn="0" w:oddVBand="0" w:evenVBand="0" w:oddHBand="0" w:evenHBand="0" w:firstRowFirstColumn="0" w:firstRowLastColumn="0" w:lastRowFirstColumn="0" w:lastRowLastColumn="0"/>
          <w:tblHeader/>
        </w:trPr>
        <w:tc>
          <w:tcPr>
            <w:tcW w:w="832" w:type="pct"/>
            <w:tcBorders>
              <w:right w:val="single" w:sz="4" w:space="0" w:color="548DD4" w:themeColor="text2" w:themeTint="99"/>
            </w:tcBorders>
            <w:shd w:val="clear" w:color="auto" w:fill="002060"/>
            <w:noWrap/>
          </w:tcPr>
          <w:p w:rsidR="00CF7BA9" w:rsidRPr="00975E6B" w:rsidRDefault="00CF7BA9" w:rsidP="00E45167">
            <w:r w:rsidRPr="00975E6B">
              <w:t>No.</w:t>
            </w:r>
          </w:p>
        </w:tc>
        <w:tc>
          <w:tcPr>
            <w:tcW w:w="1301" w:type="pct"/>
            <w:tcBorders>
              <w:left w:val="single" w:sz="4" w:space="0" w:color="548DD4" w:themeColor="text2" w:themeTint="99"/>
            </w:tcBorders>
            <w:shd w:val="clear" w:color="auto" w:fill="002060"/>
          </w:tcPr>
          <w:p w:rsidR="00CF7BA9" w:rsidRPr="00975E6B" w:rsidRDefault="00CF7BA9" w:rsidP="00E45167">
            <w:r w:rsidRPr="00975E6B">
              <w:t>Title</w:t>
            </w:r>
          </w:p>
        </w:tc>
        <w:tc>
          <w:tcPr>
            <w:tcW w:w="2867" w:type="pct"/>
            <w:tcBorders>
              <w:left w:val="single" w:sz="4" w:space="0" w:color="548DD4" w:themeColor="text2" w:themeTint="99"/>
            </w:tcBorders>
            <w:shd w:val="clear" w:color="auto" w:fill="002060"/>
          </w:tcPr>
          <w:p w:rsidR="00CF7BA9" w:rsidRPr="00975E6B" w:rsidRDefault="00CF7BA9" w:rsidP="00E45167">
            <w:r w:rsidRPr="00975E6B">
              <w:t>Standard</w:t>
            </w:r>
          </w:p>
        </w:tc>
      </w:tr>
      <w:tr w:rsidR="00CF7BA9" w:rsidRPr="00975E6B" w:rsidTr="00F71180">
        <w:tc>
          <w:tcPr>
            <w:tcW w:w="832" w:type="pct"/>
            <w:tcBorders>
              <w:right w:val="single" w:sz="4" w:space="0" w:color="548DD4" w:themeColor="text2" w:themeTint="99"/>
            </w:tcBorders>
            <w:noWrap/>
          </w:tcPr>
          <w:p w:rsidR="00CF7BA9" w:rsidRPr="00975E6B" w:rsidRDefault="00CF7BA9" w:rsidP="00E45167">
            <w:pPr>
              <w:pStyle w:val="BodyText"/>
              <w:jc w:val="left"/>
            </w:pPr>
            <w:r w:rsidRPr="00975E6B">
              <w:t>SCP 1.004</w:t>
            </w:r>
          </w:p>
        </w:tc>
        <w:tc>
          <w:tcPr>
            <w:tcW w:w="1301" w:type="pct"/>
            <w:tcBorders>
              <w:left w:val="single" w:sz="4" w:space="0" w:color="548DD4" w:themeColor="text2" w:themeTint="99"/>
            </w:tcBorders>
          </w:tcPr>
          <w:p w:rsidR="00CF7BA9" w:rsidRPr="00975E6B" w:rsidRDefault="00CF7BA9" w:rsidP="00E45167">
            <w:pPr>
              <w:pStyle w:val="BodyText"/>
              <w:jc w:val="left"/>
            </w:pPr>
            <w:r w:rsidRPr="00975E6B">
              <w:t>Hospital Products in Scope</w:t>
            </w:r>
          </w:p>
        </w:tc>
        <w:tc>
          <w:tcPr>
            <w:tcW w:w="2867" w:type="pct"/>
            <w:tcBorders>
              <w:left w:val="single" w:sz="4" w:space="0" w:color="548DD4" w:themeColor="text2" w:themeTint="99"/>
            </w:tcBorders>
          </w:tcPr>
          <w:p w:rsidR="00CF7BA9" w:rsidRPr="00975E6B" w:rsidRDefault="00CF7BA9" w:rsidP="00E45167">
            <w:pPr>
              <w:pStyle w:val="BodyText"/>
              <w:jc w:val="left"/>
            </w:pPr>
            <w:r w:rsidRPr="00975E6B">
              <w:t>Hospitals will allocate costs to all hospital products grouped into the categories:</w:t>
            </w:r>
          </w:p>
          <w:p w:rsidR="00CF7BA9" w:rsidRPr="00975E6B" w:rsidRDefault="00CF7BA9" w:rsidP="00F26328">
            <w:pPr>
              <w:pStyle w:val="BodyText"/>
              <w:numPr>
                <w:ilvl w:val="0"/>
                <w:numId w:val="26"/>
              </w:numPr>
              <w:jc w:val="left"/>
            </w:pPr>
            <w:r w:rsidRPr="00975E6B">
              <w:t>Admitted patient products;</w:t>
            </w:r>
          </w:p>
          <w:p w:rsidR="00CF7BA9" w:rsidRPr="00975E6B" w:rsidRDefault="00CF7BA9" w:rsidP="00F26328">
            <w:pPr>
              <w:pStyle w:val="BodyText"/>
              <w:numPr>
                <w:ilvl w:val="0"/>
                <w:numId w:val="26"/>
              </w:numPr>
              <w:jc w:val="left"/>
            </w:pPr>
            <w:r w:rsidRPr="00975E6B">
              <w:t>Non-Admitted patient products;</w:t>
            </w:r>
          </w:p>
          <w:p w:rsidR="00CF7BA9" w:rsidRPr="00975E6B" w:rsidRDefault="00CF7BA9" w:rsidP="00F26328">
            <w:pPr>
              <w:pStyle w:val="BodyText"/>
              <w:numPr>
                <w:ilvl w:val="0"/>
                <w:numId w:val="26"/>
              </w:numPr>
              <w:jc w:val="left"/>
            </w:pPr>
            <w:r w:rsidRPr="00975E6B">
              <w:t>Emergency Department patient products;</w:t>
            </w:r>
          </w:p>
          <w:p w:rsidR="00CF7BA9" w:rsidRPr="00975E6B" w:rsidRDefault="00CF7BA9" w:rsidP="00F26328">
            <w:pPr>
              <w:pStyle w:val="BodyText"/>
              <w:numPr>
                <w:ilvl w:val="0"/>
                <w:numId w:val="26"/>
              </w:numPr>
              <w:jc w:val="left"/>
            </w:pPr>
            <w:r w:rsidRPr="00975E6B">
              <w:t xml:space="preserve">Teaching, Training and Research products; and </w:t>
            </w:r>
          </w:p>
          <w:p w:rsidR="00CF7BA9" w:rsidRPr="00975E6B" w:rsidRDefault="00CF7BA9" w:rsidP="00F26328">
            <w:pPr>
              <w:pStyle w:val="BodyText"/>
              <w:numPr>
                <w:ilvl w:val="0"/>
                <w:numId w:val="26"/>
              </w:numPr>
              <w:jc w:val="left"/>
            </w:pPr>
            <w:r w:rsidRPr="00975E6B">
              <w:t>Non-Patient products.</w:t>
            </w:r>
          </w:p>
        </w:tc>
      </w:tr>
      <w:tr w:rsidR="00CF7BA9" w:rsidRPr="00975E6B" w:rsidTr="00F71180">
        <w:trPr>
          <w:trHeight w:val="1599"/>
        </w:trPr>
        <w:tc>
          <w:tcPr>
            <w:tcW w:w="832" w:type="pct"/>
            <w:tcBorders>
              <w:right w:val="single" w:sz="4" w:space="0" w:color="548DD4" w:themeColor="text2" w:themeTint="99"/>
            </w:tcBorders>
            <w:noWrap/>
          </w:tcPr>
          <w:p w:rsidR="00CF7BA9" w:rsidRPr="00975E6B" w:rsidRDefault="00CF7BA9" w:rsidP="00E45167">
            <w:pPr>
              <w:pStyle w:val="BodyText"/>
              <w:jc w:val="left"/>
            </w:pPr>
            <w:r w:rsidRPr="00975E6B">
              <w:t>SCP 2.003</w:t>
            </w:r>
          </w:p>
        </w:tc>
        <w:tc>
          <w:tcPr>
            <w:tcW w:w="1301" w:type="pct"/>
            <w:tcBorders>
              <w:left w:val="single" w:sz="4" w:space="0" w:color="548DD4" w:themeColor="text2" w:themeTint="99"/>
            </w:tcBorders>
          </w:tcPr>
          <w:p w:rsidR="00CF7BA9" w:rsidRPr="00975E6B" w:rsidRDefault="00CF7BA9" w:rsidP="00E45167">
            <w:pPr>
              <w:pStyle w:val="BodyText"/>
              <w:jc w:val="left"/>
            </w:pPr>
            <w:r w:rsidRPr="00975E6B">
              <w:t>Product Costs in Scope</w:t>
            </w:r>
          </w:p>
        </w:tc>
        <w:tc>
          <w:tcPr>
            <w:tcW w:w="2867" w:type="pct"/>
            <w:tcBorders>
              <w:left w:val="single" w:sz="4" w:space="0" w:color="548DD4" w:themeColor="text2" w:themeTint="99"/>
            </w:tcBorders>
          </w:tcPr>
          <w:p w:rsidR="00CF7BA9" w:rsidRPr="00975E6B" w:rsidRDefault="00CF7BA9" w:rsidP="00E45167">
            <w:pPr>
              <w:pStyle w:val="BodyText"/>
              <w:jc w:val="left"/>
            </w:pPr>
            <w:r w:rsidRPr="00975E6B">
              <w:t xml:space="preserve">Include, in the product costing process, all costs incurred by, or on behalf of the hospital, that are necessarily incurred in the production of patient and non-patient products, subject to the specific exclusion that the costs of time provided by medical specialists to treat private patients that are not directly met by the hospital, are not to be imputed. </w:t>
            </w:r>
          </w:p>
        </w:tc>
      </w:tr>
      <w:tr w:rsidR="00CF7BA9" w:rsidRPr="00975E6B" w:rsidTr="00F71180">
        <w:tc>
          <w:tcPr>
            <w:tcW w:w="832" w:type="pct"/>
            <w:tcBorders>
              <w:right w:val="single" w:sz="4" w:space="0" w:color="548DD4" w:themeColor="text2" w:themeTint="99"/>
            </w:tcBorders>
            <w:noWrap/>
          </w:tcPr>
          <w:p w:rsidR="00CF7BA9" w:rsidRPr="00975E6B" w:rsidRDefault="00CF7BA9" w:rsidP="00E45167">
            <w:pPr>
              <w:pStyle w:val="BodyText"/>
              <w:jc w:val="left"/>
            </w:pPr>
            <w:r w:rsidRPr="00975E6B">
              <w:t>SCP 2A.003</w:t>
            </w:r>
          </w:p>
        </w:tc>
        <w:tc>
          <w:tcPr>
            <w:tcW w:w="1301" w:type="pct"/>
            <w:tcBorders>
              <w:left w:val="single" w:sz="4" w:space="0" w:color="548DD4" w:themeColor="text2" w:themeTint="99"/>
            </w:tcBorders>
          </w:tcPr>
          <w:p w:rsidR="00CF7BA9" w:rsidRPr="00975E6B" w:rsidRDefault="00CF7BA9" w:rsidP="00E45167">
            <w:pPr>
              <w:pStyle w:val="BodyText"/>
              <w:jc w:val="left"/>
            </w:pPr>
            <w:r w:rsidRPr="00975E6B">
              <w:t>Teaching and Training Costs</w:t>
            </w:r>
          </w:p>
        </w:tc>
        <w:tc>
          <w:tcPr>
            <w:tcW w:w="2867" w:type="pct"/>
            <w:tcBorders>
              <w:left w:val="single" w:sz="4" w:space="0" w:color="548DD4" w:themeColor="text2" w:themeTint="99"/>
            </w:tcBorders>
          </w:tcPr>
          <w:p w:rsidR="00CF7BA9" w:rsidRPr="00975E6B" w:rsidRDefault="00CF7BA9" w:rsidP="00EC75FC">
            <w:pPr>
              <w:pStyle w:val="BodyText"/>
              <w:jc w:val="left"/>
            </w:pPr>
            <w:r w:rsidRPr="00975E6B">
              <w:t xml:space="preserve">All costs should be allocated to the ‘teaching and training’ sub-product where direct teaching and training is clearly the purpose of the cost centre. A portion of the costs of other cost centres should be allocated to the ‘teaching and training’ sub-product where there is a robust and justifiable method of identifying the costs attributable to direct teaching and training activities. </w:t>
            </w:r>
          </w:p>
        </w:tc>
      </w:tr>
      <w:tr w:rsidR="00CF7BA9" w:rsidRPr="00975E6B" w:rsidTr="00F71180">
        <w:tc>
          <w:tcPr>
            <w:tcW w:w="832" w:type="pct"/>
            <w:tcBorders>
              <w:right w:val="single" w:sz="4" w:space="0" w:color="548DD4" w:themeColor="text2" w:themeTint="99"/>
            </w:tcBorders>
            <w:noWrap/>
          </w:tcPr>
          <w:p w:rsidR="00CF7BA9" w:rsidRPr="00975E6B" w:rsidRDefault="00CF7BA9" w:rsidP="00E45167">
            <w:pPr>
              <w:pStyle w:val="BodyText"/>
              <w:jc w:val="left"/>
            </w:pPr>
            <w:r w:rsidRPr="00975E6B">
              <w:t>SCP 2B.002</w:t>
            </w:r>
          </w:p>
        </w:tc>
        <w:tc>
          <w:tcPr>
            <w:tcW w:w="1301" w:type="pct"/>
            <w:tcBorders>
              <w:left w:val="single" w:sz="4" w:space="0" w:color="548DD4" w:themeColor="text2" w:themeTint="99"/>
            </w:tcBorders>
          </w:tcPr>
          <w:p w:rsidR="00CF7BA9" w:rsidRPr="00975E6B" w:rsidRDefault="00CF7BA9" w:rsidP="00E45167">
            <w:pPr>
              <w:pStyle w:val="BodyText"/>
              <w:jc w:val="left"/>
            </w:pPr>
            <w:r w:rsidRPr="00975E6B">
              <w:t>Research Costs</w:t>
            </w:r>
          </w:p>
        </w:tc>
        <w:tc>
          <w:tcPr>
            <w:tcW w:w="2867" w:type="pct"/>
            <w:tcBorders>
              <w:left w:val="single" w:sz="4" w:space="0" w:color="548DD4" w:themeColor="text2" w:themeTint="99"/>
            </w:tcBorders>
          </w:tcPr>
          <w:p w:rsidR="00CF7BA9" w:rsidRPr="00975E6B" w:rsidRDefault="00CF7BA9" w:rsidP="00EC75FC">
            <w:pPr>
              <w:pStyle w:val="BodyText"/>
              <w:jc w:val="left"/>
            </w:pPr>
            <w:r w:rsidRPr="00975E6B">
              <w:t xml:space="preserve">All costs should be allocated to the ‘research’ sub-product where direct research is clearly the purpose of the cost centre. A portion of the costs of other cost centres should be allocated to the ‘research’ sub-product where there is a robust and justifiable method </w:t>
            </w:r>
            <w:r w:rsidRPr="00975E6B">
              <w:lastRenderedPageBreak/>
              <w:t xml:space="preserve">of identifying those costs attributable to direct research activities. </w:t>
            </w:r>
          </w:p>
        </w:tc>
      </w:tr>
      <w:tr w:rsidR="00CF7BA9" w:rsidRPr="00975E6B" w:rsidTr="00F71180">
        <w:trPr>
          <w:trHeight w:val="516"/>
        </w:trPr>
        <w:tc>
          <w:tcPr>
            <w:tcW w:w="832" w:type="pct"/>
            <w:tcBorders>
              <w:right w:val="single" w:sz="4" w:space="0" w:color="548DD4" w:themeColor="text2" w:themeTint="99"/>
            </w:tcBorders>
            <w:noWrap/>
          </w:tcPr>
          <w:p w:rsidR="00CF7BA9" w:rsidRPr="00975E6B" w:rsidRDefault="00CF7BA9" w:rsidP="00E45167">
            <w:pPr>
              <w:pStyle w:val="BodyText"/>
              <w:jc w:val="left"/>
            </w:pPr>
            <w:r w:rsidRPr="00975E6B">
              <w:lastRenderedPageBreak/>
              <w:t>SCP 3.001</w:t>
            </w:r>
          </w:p>
        </w:tc>
        <w:tc>
          <w:tcPr>
            <w:tcW w:w="1301" w:type="pct"/>
            <w:tcBorders>
              <w:left w:val="single" w:sz="4" w:space="0" w:color="548DD4" w:themeColor="text2" w:themeTint="99"/>
            </w:tcBorders>
          </w:tcPr>
          <w:p w:rsidR="00CF7BA9" w:rsidRPr="00975E6B" w:rsidRDefault="00CF7BA9" w:rsidP="00E45167">
            <w:pPr>
              <w:pStyle w:val="BodyText"/>
              <w:jc w:val="left"/>
            </w:pPr>
            <w:r w:rsidRPr="00975E6B">
              <w:t>Matching Production and Cost</w:t>
            </w:r>
          </w:p>
        </w:tc>
        <w:tc>
          <w:tcPr>
            <w:tcW w:w="2867" w:type="pct"/>
            <w:tcBorders>
              <w:left w:val="single" w:sz="4" w:space="0" w:color="548DD4" w:themeColor="text2" w:themeTint="99"/>
            </w:tcBorders>
          </w:tcPr>
          <w:p w:rsidR="00CF7BA9" w:rsidRPr="00975E6B" w:rsidRDefault="00CF7BA9" w:rsidP="00E45167">
            <w:pPr>
              <w:pStyle w:val="BodyText"/>
              <w:jc w:val="left"/>
            </w:pPr>
            <w:r w:rsidRPr="00975E6B">
              <w:t xml:space="preserve">For the purposes of product costing, the costs taken from the general ledger and other sources will be manipulated so as to achieve the best match of production to cost measures at the levels of the whole hospital, each product category, each cost centre within a product category, and each end-class within a product category. </w:t>
            </w:r>
          </w:p>
        </w:tc>
      </w:tr>
      <w:tr w:rsidR="00CF7BA9" w:rsidRPr="00975E6B" w:rsidTr="00F71180">
        <w:tc>
          <w:tcPr>
            <w:tcW w:w="832" w:type="pct"/>
            <w:tcBorders>
              <w:right w:val="single" w:sz="4" w:space="0" w:color="548DD4" w:themeColor="text2" w:themeTint="99"/>
            </w:tcBorders>
            <w:noWrap/>
          </w:tcPr>
          <w:p w:rsidR="00CF7BA9" w:rsidRPr="00975E6B" w:rsidRDefault="00CF7BA9" w:rsidP="00E45167">
            <w:pPr>
              <w:pStyle w:val="BodyText"/>
              <w:jc w:val="left"/>
            </w:pPr>
            <w:r w:rsidRPr="00975E6B">
              <w:t>SCP 3A.001</w:t>
            </w:r>
          </w:p>
        </w:tc>
        <w:tc>
          <w:tcPr>
            <w:tcW w:w="1301" w:type="pct"/>
            <w:tcBorders>
              <w:left w:val="single" w:sz="4" w:space="0" w:color="548DD4" w:themeColor="text2" w:themeTint="99"/>
            </w:tcBorders>
          </w:tcPr>
          <w:p w:rsidR="00CF7BA9" w:rsidRPr="00975E6B" w:rsidRDefault="00CF7BA9" w:rsidP="00E45167">
            <w:pPr>
              <w:pStyle w:val="BodyText"/>
              <w:jc w:val="left"/>
            </w:pPr>
            <w:r w:rsidRPr="00975E6B">
              <w:t>Matching Production and Cost – Overhead Cost Allocation</w:t>
            </w:r>
          </w:p>
        </w:tc>
        <w:tc>
          <w:tcPr>
            <w:tcW w:w="2867" w:type="pct"/>
            <w:tcBorders>
              <w:left w:val="single" w:sz="4" w:space="0" w:color="548DD4" w:themeColor="text2" w:themeTint="99"/>
            </w:tcBorders>
          </w:tcPr>
          <w:p w:rsidR="00CF7BA9" w:rsidRPr="00975E6B" w:rsidRDefault="00CF7BA9" w:rsidP="00E45167">
            <w:pPr>
              <w:pStyle w:val="BodyText"/>
              <w:jc w:val="left"/>
            </w:pPr>
            <w:r w:rsidRPr="00975E6B">
              <w:t xml:space="preserve">All costs accumulated in overhead cost centres should be allocated to final cost centres before any partitioning of costs into product categories is undertaken. </w:t>
            </w:r>
          </w:p>
        </w:tc>
      </w:tr>
      <w:tr w:rsidR="00CF7BA9" w:rsidRPr="00975E6B" w:rsidTr="00F71180">
        <w:tc>
          <w:tcPr>
            <w:tcW w:w="832" w:type="pct"/>
            <w:tcBorders>
              <w:right w:val="single" w:sz="4" w:space="0" w:color="548DD4" w:themeColor="text2" w:themeTint="99"/>
            </w:tcBorders>
            <w:noWrap/>
          </w:tcPr>
          <w:p w:rsidR="00CF7BA9" w:rsidRPr="00975E6B" w:rsidRDefault="00CF7BA9" w:rsidP="00E45167">
            <w:pPr>
              <w:pStyle w:val="BodyText"/>
              <w:jc w:val="left"/>
            </w:pPr>
            <w:r w:rsidRPr="00975E6B">
              <w:t>SCP 3B.001</w:t>
            </w:r>
          </w:p>
        </w:tc>
        <w:tc>
          <w:tcPr>
            <w:tcW w:w="1301" w:type="pct"/>
            <w:tcBorders>
              <w:left w:val="single" w:sz="4" w:space="0" w:color="548DD4" w:themeColor="text2" w:themeTint="99"/>
            </w:tcBorders>
          </w:tcPr>
          <w:p w:rsidR="00CF7BA9" w:rsidRPr="00975E6B" w:rsidRDefault="00CF7BA9" w:rsidP="00E45167">
            <w:pPr>
              <w:pStyle w:val="BodyText"/>
              <w:jc w:val="left"/>
            </w:pPr>
            <w:r w:rsidRPr="00975E6B">
              <w:t>Matching Production and Cost – Costing all Products</w:t>
            </w:r>
          </w:p>
        </w:tc>
        <w:tc>
          <w:tcPr>
            <w:tcW w:w="2867" w:type="pct"/>
            <w:tcBorders>
              <w:left w:val="single" w:sz="4" w:space="0" w:color="548DD4" w:themeColor="text2" w:themeTint="99"/>
            </w:tcBorders>
          </w:tcPr>
          <w:p w:rsidR="00CF7BA9" w:rsidRPr="00975E6B" w:rsidRDefault="00CF7BA9" w:rsidP="00E45167">
            <w:pPr>
              <w:pStyle w:val="BodyText"/>
              <w:jc w:val="left"/>
            </w:pPr>
            <w:r w:rsidRPr="00975E6B">
              <w:t xml:space="preserve">All costs should be accounted for in the costing process and allocated, as appropriate, across all </w:t>
            </w:r>
            <w:proofErr w:type="gramStart"/>
            <w:r w:rsidRPr="00975E6B">
              <w:t>patient</w:t>
            </w:r>
            <w:proofErr w:type="gramEnd"/>
            <w:r w:rsidRPr="00975E6B">
              <w:t xml:space="preserve"> and non-patient products generated by the hospital in the costing (fiscal) period. </w:t>
            </w:r>
          </w:p>
        </w:tc>
      </w:tr>
      <w:tr w:rsidR="00CF7BA9" w:rsidRPr="00975E6B" w:rsidTr="00F71180">
        <w:tc>
          <w:tcPr>
            <w:tcW w:w="832" w:type="pct"/>
            <w:tcBorders>
              <w:right w:val="single" w:sz="4" w:space="0" w:color="548DD4" w:themeColor="text2" w:themeTint="99"/>
            </w:tcBorders>
            <w:noWrap/>
          </w:tcPr>
          <w:p w:rsidR="00CF7BA9" w:rsidRPr="00975E6B" w:rsidRDefault="00CF7BA9" w:rsidP="00E45167">
            <w:pPr>
              <w:pStyle w:val="BodyText"/>
              <w:jc w:val="left"/>
            </w:pPr>
            <w:r w:rsidRPr="00975E6B">
              <w:t>SCP 3C.001</w:t>
            </w:r>
          </w:p>
        </w:tc>
        <w:tc>
          <w:tcPr>
            <w:tcW w:w="1301" w:type="pct"/>
            <w:tcBorders>
              <w:left w:val="single" w:sz="4" w:space="0" w:color="548DD4" w:themeColor="text2" w:themeTint="99"/>
            </w:tcBorders>
          </w:tcPr>
          <w:p w:rsidR="00CF7BA9" w:rsidRPr="00975E6B" w:rsidRDefault="00CF7BA9" w:rsidP="00E45167">
            <w:pPr>
              <w:pStyle w:val="BodyText"/>
              <w:jc w:val="left"/>
            </w:pPr>
            <w:r w:rsidRPr="00975E6B">
              <w:t>Matching Production and Cost – Commercial Business Entities</w:t>
            </w:r>
          </w:p>
        </w:tc>
        <w:tc>
          <w:tcPr>
            <w:tcW w:w="2867" w:type="pct"/>
            <w:tcBorders>
              <w:left w:val="single" w:sz="4" w:space="0" w:color="548DD4" w:themeColor="text2" w:themeTint="99"/>
            </w:tcBorders>
          </w:tcPr>
          <w:p w:rsidR="00CF7BA9" w:rsidRPr="00975E6B" w:rsidRDefault="00CF7BA9" w:rsidP="00E45167">
            <w:pPr>
              <w:pStyle w:val="BodyText"/>
              <w:jc w:val="left"/>
            </w:pPr>
            <w:r w:rsidRPr="00975E6B">
              <w:t xml:space="preserve">Commercial business entities should be treated as non-patient products for the purposes of product costing. </w:t>
            </w:r>
          </w:p>
        </w:tc>
      </w:tr>
      <w:tr w:rsidR="00CF7BA9" w:rsidRPr="00975E6B" w:rsidTr="00F71180">
        <w:tc>
          <w:tcPr>
            <w:tcW w:w="832" w:type="pct"/>
            <w:tcBorders>
              <w:right w:val="single" w:sz="4" w:space="0" w:color="548DD4" w:themeColor="text2" w:themeTint="99"/>
            </w:tcBorders>
            <w:noWrap/>
          </w:tcPr>
          <w:p w:rsidR="00CF7BA9" w:rsidRPr="00975E6B" w:rsidRDefault="00CF7BA9" w:rsidP="00E45167">
            <w:pPr>
              <w:pStyle w:val="BodyText"/>
              <w:jc w:val="left"/>
            </w:pPr>
            <w:r w:rsidRPr="00975E6B">
              <w:t>SCP 3E.001</w:t>
            </w:r>
          </w:p>
        </w:tc>
        <w:tc>
          <w:tcPr>
            <w:tcW w:w="1301" w:type="pct"/>
            <w:tcBorders>
              <w:left w:val="single" w:sz="4" w:space="0" w:color="548DD4" w:themeColor="text2" w:themeTint="99"/>
            </w:tcBorders>
          </w:tcPr>
          <w:p w:rsidR="00CF7BA9" w:rsidRPr="00975E6B" w:rsidRDefault="00CF7BA9" w:rsidP="00E45167">
            <w:pPr>
              <w:pStyle w:val="BodyText"/>
              <w:jc w:val="left"/>
            </w:pPr>
            <w:r w:rsidRPr="00975E6B">
              <w:t>Matching Production and Cost – Offsets and Recoveries</w:t>
            </w:r>
          </w:p>
        </w:tc>
        <w:tc>
          <w:tcPr>
            <w:tcW w:w="2867" w:type="pct"/>
            <w:tcBorders>
              <w:left w:val="single" w:sz="4" w:space="0" w:color="548DD4" w:themeColor="text2" w:themeTint="99"/>
            </w:tcBorders>
          </w:tcPr>
          <w:p w:rsidR="00CF7BA9" w:rsidRPr="00975E6B" w:rsidRDefault="00CF7BA9" w:rsidP="00E45167">
            <w:pPr>
              <w:pStyle w:val="BodyText"/>
              <w:jc w:val="left"/>
            </w:pPr>
            <w:r w:rsidRPr="00975E6B">
              <w:t xml:space="preserve">Hospitals will not offset revenue against costs but cost recoveries may be offset against cost where appropriate. </w:t>
            </w:r>
          </w:p>
        </w:tc>
      </w:tr>
      <w:tr w:rsidR="00CF7BA9" w:rsidRPr="00975E6B" w:rsidTr="00F71180">
        <w:tc>
          <w:tcPr>
            <w:tcW w:w="832" w:type="pct"/>
            <w:tcBorders>
              <w:right w:val="single" w:sz="4" w:space="0" w:color="548DD4" w:themeColor="text2" w:themeTint="99"/>
            </w:tcBorders>
            <w:noWrap/>
          </w:tcPr>
          <w:p w:rsidR="00CF7BA9" w:rsidRPr="00975E6B" w:rsidRDefault="00CF7BA9" w:rsidP="00E45167">
            <w:pPr>
              <w:pStyle w:val="BodyText"/>
              <w:jc w:val="left"/>
            </w:pPr>
            <w:r w:rsidRPr="00975E6B">
              <w:t>SCP 3G.001</w:t>
            </w:r>
          </w:p>
        </w:tc>
        <w:tc>
          <w:tcPr>
            <w:tcW w:w="1301" w:type="pct"/>
            <w:tcBorders>
              <w:left w:val="single" w:sz="4" w:space="0" w:color="548DD4" w:themeColor="text2" w:themeTint="99"/>
            </w:tcBorders>
          </w:tcPr>
          <w:p w:rsidR="00CF7BA9" w:rsidRPr="00975E6B" w:rsidRDefault="00CF7BA9" w:rsidP="00E45167">
            <w:pPr>
              <w:pStyle w:val="BodyText"/>
              <w:jc w:val="left"/>
            </w:pPr>
            <w:r w:rsidRPr="00975E6B">
              <w:t>Matching Production and Cost – Reconciliation to Source Data</w:t>
            </w:r>
          </w:p>
        </w:tc>
        <w:tc>
          <w:tcPr>
            <w:tcW w:w="2867" w:type="pct"/>
            <w:tcBorders>
              <w:left w:val="single" w:sz="4" w:space="0" w:color="548DD4" w:themeColor="text2" w:themeTint="99"/>
            </w:tcBorders>
          </w:tcPr>
          <w:p w:rsidR="00CF7BA9" w:rsidRPr="00975E6B" w:rsidRDefault="00CF7BA9" w:rsidP="00E45167">
            <w:pPr>
              <w:pStyle w:val="BodyText"/>
              <w:jc w:val="left"/>
            </w:pPr>
            <w:r w:rsidRPr="00975E6B">
              <w:t xml:space="preserve">Hospitals will produce a statement that reconciles the activity and cost data outputs of the product costing process to the activity and costs that were captured in the source data. </w:t>
            </w:r>
          </w:p>
        </w:tc>
      </w:tr>
      <w:tr w:rsidR="00CF7BA9" w:rsidRPr="00975E6B" w:rsidTr="00F71180">
        <w:tc>
          <w:tcPr>
            <w:tcW w:w="832" w:type="pct"/>
            <w:tcBorders>
              <w:right w:val="single" w:sz="4" w:space="0" w:color="548DD4" w:themeColor="text2" w:themeTint="99"/>
            </w:tcBorders>
            <w:noWrap/>
          </w:tcPr>
          <w:p w:rsidR="00CF7BA9" w:rsidRPr="00975E6B" w:rsidRDefault="00CF7BA9" w:rsidP="00E45167">
            <w:pPr>
              <w:pStyle w:val="BodyText"/>
              <w:jc w:val="left"/>
            </w:pPr>
            <w:r w:rsidRPr="00975E6B">
              <w:t>GL2.004</w:t>
            </w:r>
          </w:p>
        </w:tc>
        <w:tc>
          <w:tcPr>
            <w:tcW w:w="1301" w:type="pct"/>
            <w:tcBorders>
              <w:left w:val="single" w:sz="4" w:space="0" w:color="548DD4" w:themeColor="text2" w:themeTint="99"/>
            </w:tcBorders>
          </w:tcPr>
          <w:p w:rsidR="00CF7BA9" w:rsidRPr="00975E6B" w:rsidRDefault="00CF7BA9" w:rsidP="00E45167">
            <w:pPr>
              <w:pStyle w:val="BodyText"/>
              <w:jc w:val="left"/>
            </w:pPr>
            <w:r w:rsidRPr="00975E6B">
              <w:t>Account Code Mapping to Line Items</w:t>
            </w:r>
          </w:p>
        </w:tc>
        <w:tc>
          <w:tcPr>
            <w:tcW w:w="2867" w:type="pct"/>
            <w:tcBorders>
              <w:left w:val="single" w:sz="4" w:space="0" w:color="548DD4" w:themeColor="text2" w:themeTint="99"/>
            </w:tcBorders>
          </w:tcPr>
          <w:p w:rsidR="00CF7BA9" w:rsidRPr="00975E6B" w:rsidRDefault="00CF7BA9" w:rsidP="00E45167">
            <w:pPr>
              <w:pStyle w:val="BodyText"/>
              <w:jc w:val="left"/>
            </w:pPr>
            <w:r w:rsidRPr="00975E6B">
              <w:t xml:space="preserve">Hospitals will map all in-scope costs to the standard list of line items. </w:t>
            </w:r>
          </w:p>
        </w:tc>
      </w:tr>
      <w:tr w:rsidR="00CF7BA9" w:rsidRPr="00975E6B" w:rsidTr="00F71180">
        <w:tc>
          <w:tcPr>
            <w:tcW w:w="832" w:type="pct"/>
            <w:tcBorders>
              <w:right w:val="single" w:sz="4" w:space="0" w:color="548DD4" w:themeColor="text2" w:themeTint="99"/>
            </w:tcBorders>
            <w:noWrap/>
          </w:tcPr>
          <w:p w:rsidR="00CF7BA9" w:rsidRPr="00975E6B" w:rsidRDefault="00CF7BA9" w:rsidP="00E45167">
            <w:pPr>
              <w:pStyle w:val="BodyText"/>
              <w:jc w:val="left"/>
            </w:pPr>
            <w:r w:rsidRPr="00975E6B">
              <w:t>COST 5.002</w:t>
            </w:r>
          </w:p>
        </w:tc>
        <w:tc>
          <w:tcPr>
            <w:tcW w:w="1301" w:type="pct"/>
            <w:tcBorders>
              <w:left w:val="single" w:sz="4" w:space="0" w:color="548DD4" w:themeColor="text2" w:themeTint="99"/>
            </w:tcBorders>
          </w:tcPr>
          <w:p w:rsidR="00CF7BA9" w:rsidRPr="00975E6B" w:rsidRDefault="00CF7BA9" w:rsidP="00E45167">
            <w:pPr>
              <w:pStyle w:val="BodyText"/>
              <w:jc w:val="left"/>
            </w:pPr>
            <w:r w:rsidRPr="00975E6B">
              <w:t>Treatment of Work-In-Progress Costs</w:t>
            </w:r>
          </w:p>
        </w:tc>
        <w:tc>
          <w:tcPr>
            <w:tcW w:w="2867" w:type="pct"/>
            <w:tcBorders>
              <w:left w:val="single" w:sz="4" w:space="0" w:color="548DD4" w:themeColor="text2" w:themeTint="99"/>
            </w:tcBorders>
          </w:tcPr>
          <w:p w:rsidR="00197C01" w:rsidRPr="00975E6B" w:rsidRDefault="00CF7BA9" w:rsidP="00E45167">
            <w:pPr>
              <w:pStyle w:val="BodyText"/>
              <w:jc w:val="left"/>
            </w:pPr>
            <w:r w:rsidRPr="00975E6B">
              <w:t xml:space="preserve">Each patient is allocated their proportion of costs in the reporting period regardless of whether the service event is completed or commenced and that the cost and activity is reported in each period. </w:t>
            </w:r>
          </w:p>
        </w:tc>
      </w:tr>
    </w:tbl>
    <w:p w:rsidR="00664CB0" w:rsidRPr="00975E6B" w:rsidRDefault="00664CB0" w:rsidP="00F71180">
      <w:pPr>
        <w:rPr>
          <w:bCs/>
          <w:i/>
          <w:sz w:val="16"/>
          <w:szCs w:val="16"/>
        </w:rPr>
      </w:pPr>
      <w:r w:rsidRPr="00975E6B">
        <w:rPr>
          <w:bCs/>
          <w:i/>
          <w:sz w:val="16"/>
          <w:szCs w:val="16"/>
        </w:rPr>
        <w:t>Source: Australian Hospital Patient Costing Standards Version 3.1</w:t>
      </w:r>
    </w:p>
    <w:p w:rsidR="00115AB7" w:rsidRPr="00975E6B" w:rsidRDefault="00115AB7" w:rsidP="003B387A">
      <w:pPr>
        <w:pStyle w:val="Heading2"/>
        <w:numPr>
          <w:ilvl w:val="1"/>
          <w:numId w:val="77"/>
        </w:numPr>
      </w:pPr>
      <w:bookmarkStart w:id="32" w:name="_Toc444523643"/>
      <w:r w:rsidRPr="00975E6B">
        <w:lastRenderedPageBreak/>
        <w:t>Structure of the report</w:t>
      </w:r>
      <w:bookmarkEnd w:id="32"/>
    </w:p>
    <w:p w:rsidR="00115AB7" w:rsidRPr="00975E6B" w:rsidRDefault="00115AB7" w:rsidP="00115AB7">
      <w:pPr>
        <w:pStyle w:val="BodyText"/>
        <w:rPr>
          <w:szCs w:val="20"/>
        </w:rPr>
      </w:pPr>
      <w:r w:rsidRPr="00975E6B">
        <w:rPr>
          <w:szCs w:val="20"/>
        </w:rPr>
        <w:t>This report provides an overall summary and findings by jurisdiction and for each participating site. The report includes recommendations for IHPA and the jurisdictions to consider in future rounds of the IFR, with the aim of improving the consistency and transparency of NHCDC submissions. The remainder of the report is structured as follows:</w:t>
      </w:r>
    </w:p>
    <w:tbl>
      <w:tblPr>
        <w:tblStyle w:val="ListTable4-Accent11"/>
        <w:tblW w:w="5000" w:type="pct"/>
        <w:tblLayout w:type="fixed"/>
        <w:tblLook w:val="0620" w:firstRow="1" w:lastRow="0" w:firstColumn="0" w:lastColumn="0" w:noHBand="1" w:noVBand="1"/>
        <w:tblCaption w:val="Structure of the report"/>
        <w:tblDescription w:val="This table describes the remaining sections of the report.  The first column is the section title and the second column is the description of what is included in the section."/>
      </w:tblPr>
      <w:tblGrid>
        <w:gridCol w:w="2470"/>
        <w:gridCol w:w="6251"/>
      </w:tblGrid>
      <w:tr w:rsidR="00115AB7" w:rsidRPr="00975E6B" w:rsidTr="00E14378">
        <w:trPr>
          <w:cnfStyle w:val="100000000000" w:firstRow="1" w:lastRow="0" w:firstColumn="0" w:lastColumn="0" w:oddVBand="0" w:evenVBand="0" w:oddHBand="0" w:evenHBand="0" w:firstRowFirstColumn="0" w:firstRowLastColumn="0" w:lastRowFirstColumn="0" w:lastRowLastColumn="0"/>
          <w:tblHeader/>
        </w:trPr>
        <w:tc>
          <w:tcPr>
            <w:tcW w:w="1416" w:type="pct"/>
            <w:tcBorders>
              <w:right w:val="single" w:sz="4" w:space="0" w:color="548DD4" w:themeColor="text2" w:themeTint="99"/>
            </w:tcBorders>
            <w:shd w:val="clear" w:color="auto" w:fill="002060"/>
            <w:noWrap/>
          </w:tcPr>
          <w:p w:rsidR="00115AB7" w:rsidRPr="00975E6B" w:rsidRDefault="00115AB7" w:rsidP="00887033">
            <w:r w:rsidRPr="00975E6B">
              <w:t>Section</w:t>
            </w:r>
          </w:p>
        </w:tc>
        <w:tc>
          <w:tcPr>
            <w:tcW w:w="3584" w:type="pct"/>
            <w:tcBorders>
              <w:left w:val="single" w:sz="4" w:space="0" w:color="548DD4" w:themeColor="text2" w:themeTint="99"/>
            </w:tcBorders>
            <w:shd w:val="clear" w:color="auto" w:fill="002060"/>
          </w:tcPr>
          <w:p w:rsidR="00115AB7" w:rsidRPr="00975E6B" w:rsidRDefault="00115AB7" w:rsidP="00887033">
            <w:r w:rsidRPr="00975E6B">
              <w:t>Description</w:t>
            </w:r>
          </w:p>
        </w:tc>
      </w:tr>
      <w:tr w:rsidR="00115AB7" w:rsidRPr="00975E6B" w:rsidTr="00F71180">
        <w:tc>
          <w:tcPr>
            <w:tcW w:w="1416" w:type="pct"/>
            <w:tcBorders>
              <w:right w:val="single" w:sz="4" w:space="0" w:color="548DD4" w:themeColor="text2" w:themeTint="99"/>
            </w:tcBorders>
            <w:noWrap/>
          </w:tcPr>
          <w:p w:rsidR="00115AB7" w:rsidRPr="00975E6B" w:rsidRDefault="008F7FB1" w:rsidP="00887033">
            <w:pPr>
              <w:pStyle w:val="BodyText"/>
              <w:jc w:val="left"/>
            </w:pPr>
            <w:r w:rsidRPr="00975E6B">
              <w:t>Findings of the review</w:t>
            </w:r>
          </w:p>
        </w:tc>
        <w:tc>
          <w:tcPr>
            <w:tcW w:w="3584" w:type="pct"/>
            <w:tcBorders>
              <w:left w:val="single" w:sz="4" w:space="0" w:color="548DD4" w:themeColor="text2" w:themeTint="99"/>
            </w:tcBorders>
          </w:tcPr>
          <w:p w:rsidR="00115AB7" w:rsidRPr="00975E6B" w:rsidRDefault="00115AB7" w:rsidP="00887033">
            <w:pPr>
              <w:pStyle w:val="BodyText"/>
              <w:jc w:val="left"/>
            </w:pPr>
            <w:r w:rsidRPr="00975E6B">
              <w:t>Provides a summary of the findings from the Round 18 IFR and improvements for future NHCDC rounds.</w:t>
            </w:r>
          </w:p>
        </w:tc>
      </w:tr>
      <w:tr w:rsidR="00115AB7" w:rsidRPr="00975E6B" w:rsidTr="00F71180">
        <w:tc>
          <w:tcPr>
            <w:tcW w:w="1416" w:type="pct"/>
            <w:tcBorders>
              <w:right w:val="single" w:sz="4" w:space="0" w:color="548DD4" w:themeColor="text2" w:themeTint="99"/>
            </w:tcBorders>
            <w:noWrap/>
          </w:tcPr>
          <w:p w:rsidR="00115AB7" w:rsidRPr="00975E6B" w:rsidRDefault="00115AB7" w:rsidP="00887033">
            <w:pPr>
              <w:pStyle w:val="BodyText"/>
              <w:jc w:val="left"/>
            </w:pPr>
            <w:r w:rsidRPr="00975E6B">
              <w:t>Hospital chapters</w:t>
            </w:r>
          </w:p>
        </w:tc>
        <w:tc>
          <w:tcPr>
            <w:tcW w:w="3584" w:type="pct"/>
            <w:tcBorders>
              <w:left w:val="single" w:sz="4" w:space="0" w:color="548DD4" w:themeColor="text2" w:themeTint="99"/>
            </w:tcBorders>
          </w:tcPr>
          <w:p w:rsidR="00115AB7" w:rsidRPr="00975E6B" w:rsidRDefault="00115AB7" w:rsidP="00887033">
            <w:pPr>
              <w:pStyle w:val="BodyText"/>
              <w:jc w:val="left"/>
            </w:pPr>
            <w:r w:rsidRPr="00975E6B">
              <w:t>Presents the costing and reconciliation process for each of the seven participating jurisdictions and their nominated hospitals.</w:t>
            </w:r>
          </w:p>
        </w:tc>
      </w:tr>
      <w:tr w:rsidR="00115AB7" w:rsidRPr="00975E6B" w:rsidTr="00F71180">
        <w:tc>
          <w:tcPr>
            <w:tcW w:w="1416" w:type="pct"/>
            <w:tcBorders>
              <w:right w:val="single" w:sz="4" w:space="0" w:color="548DD4" w:themeColor="text2" w:themeTint="99"/>
            </w:tcBorders>
            <w:noWrap/>
          </w:tcPr>
          <w:p w:rsidR="00115AB7" w:rsidRPr="00975E6B" w:rsidRDefault="00115AB7" w:rsidP="00887033">
            <w:pPr>
              <w:pStyle w:val="BodyText"/>
              <w:jc w:val="left"/>
            </w:pPr>
            <w:r w:rsidRPr="00975E6B">
              <w:t>IHPA process review</w:t>
            </w:r>
          </w:p>
        </w:tc>
        <w:tc>
          <w:tcPr>
            <w:tcW w:w="3584" w:type="pct"/>
            <w:tcBorders>
              <w:left w:val="single" w:sz="4" w:space="0" w:color="548DD4" w:themeColor="text2" w:themeTint="99"/>
            </w:tcBorders>
          </w:tcPr>
          <w:p w:rsidR="00115AB7" w:rsidRPr="00975E6B" w:rsidRDefault="00115AB7" w:rsidP="00887033">
            <w:pPr>
              <w:pStyle w:val="BodyText"/>
              <w:jc w:val="left"/>
            </w:pPr>
            <w:r w:rsidRPr="00975E6B">
              <w:t>Presents the findings of IHPA’s processes for receiving and reviewing data, through to the storing of data in IHPA’s national database.</w:t>
            </w:r>
          </w:p>
        </w:tc>
      </w:tr>
      <w:tr w:rsidR="00115AB7" w:rsidRPr="00975E6B" w:rsidTr="00F71180">
        <w:tc>
          <w:tcPr>
            <w:tcW w:w="1416" w:type="pct"/>
            <w:tcBorders>
              <w:right w:val="single" w:sz="4" w:space="0" w:color="548DD4" w:themeColor="text2" w:themeTint="99"/>
            </w:tcBorders>
            <w:noWrap/>
          </w:tcPr>
          <w:p w:rsidR="00115AB7" w:rsidRPr="00975E6B" w:rsidRDefault="00115AB7" w:rsidP="00115AB7">
            <w:pPr>
              <w:pStyle w:val="BodyText"/>
              <w:jc w:val="left"/>
            </w:pPr>
            <w:r w:rsidRPr="00975E6B">
              <w:t>Appendix A</w:t>
            </w:r>
          </w:p>
        </w:tc>
        <w:tc>
          <w:tcPr>
            <w:tcW w:w="3584" w:type="pct"/>
            <w:tcBorders>
              <w:left w:val="single" w:sz="4" w:space="0" w:color="548DD4" w:themeColor="text2" w:themeTint="99"/>
            </w:tcBorders>
          </w:tcPr>
          <w:p w:rsidR="00115AB7" w:rsidRPr="00975E6B" w:rsidRDefault="00115AB7" w:rsidP="00115AB7">
            <w:pPr>
              <w:pStyle w:val="BodyText"/>
              <w:jc w:val="left"/>
            </w:pPr>
            <w:r w:rsidRPr="00975E6B">
              <w:t>Provides an overview of patient level costing and how it applies in the NHCDC context.</w:t>
            </w:r>
          </w:p>
        </w:tc>
      </w:tr>
      <w:tr w:rsidR="00115AB7" w:rsidRPr="00975E6B" w:rsidTr="00F71180">
        <w:tc>
          <w:tcPr>
            <w:tcW w:w="1416" w:type="pct"/>
            <w:tcBorders>
              <w:right w:val="single" w:sz="4" w:space="0" w:color="548DD4" w:themeColor="text2" w:themeTint="99"/>
            </w:tcBorders>
            <w:noWrap/>
          </w:tcPr>
          <w:p w:rsidR="00115AB7" w:rsidRPr="00975E6B" w:rsidRDefault="00115AB7" w:rsidP="00115AB7">
            <w:pPr>
              <w:pStyle w:val="BodyText"/>
              <w:jc w:val="left"/>
            </w:pPr>
            <w:r w:rsidRPr="00975E6B">
              <w:t>Appendix B</w:t>
            </w:r>
          </w:p>
        </w:tc>
        <w:tc>
          <w:tcPr>
            <w:tcW w:w="3584" w:type="pct"/>
            <w:tcBorders>
              <w:left w:val="single" w:sz="4" w:space="0" w:color="548DD4" w:themeColor="text2" w:themeTint="99"/>
            </w:tcBorders>
          </w:tcPr>
          <w:p w:rsidR="00115AB7" w:rsidRPr="00975E6B" w:rsidRDefault="00115AB7" w:rsidP="00887033">
            <w:pPr>
              <w:pStyle w:val="BodyText"/>
              <w:jc w:val="left"/>
            </w:pPr>
            <w:r w:rsidRPr="00975E6B">
              <w:t>Contains a list of all attendees at the site visits.</w:t>
            </w:r>
          </w:p>
        </w:tc>
      </w:tr>
    </w:tbl>
    <w:p w:rsidR="00596937" w:rsidRPr="00431399" w:rsidRDefault="00AC5C28" w:rsidP="003B387A">
      <w:pPr>
        <w:pStyle w:val="Heading1"/>
        <w:numPr>
          <w:ilvl w:val="0"/>
          <w:numId w:val="77"/>
        </w:numPr>
      </w:pPr>
      <w:bookmarkStart w:id="33" w:name="_Toc434584606"/>
      <w:bookmarkStart w:id="34" w:name="_Toc434584975"/>
      <w:bookmarkStart w:id="35" w:name="_Toc434585112"/>
      <w:bookmarkStart w:id="36" w:name="_Ref435427061"/>
      <w:bookmarkStart w:id="37" w:name="_Toc444523644"/>
      <w:bookmarkEnd w:id="33"/>
      <w:bookmarkEnd w:id="34"/>
      <w:bookmarkEnd w:id="35"/>
      <w:r w:rsidRPr="00431399">
        <w:lastRenderedPageBreak/>
        <w:t>Findings of the review</w:t>
      </w:r>
      <w:bookmarkEnd w:id="36"/>
      <w:bookmarkEnd w:id="37"/>
    </w:p>
    <w:p w:rsidR="00431399" w:rsidRDefault="001E034E" w:rsidP="00431399">
      <w:pPr>
        <w:pStyle w:val="BodyText"/>
        <w:rPr>
          <w:szCs w:val="20"/>
        </w:rPr>
      </w:pPr>
      <w:r w:rsidRPr="00975E6B">
        <w:rPr>
          <w:szCs w:val="20"/>
        </w:rPr>
        <w:t xml:space="preserve">This section summarises the findings of the </w:t>
      </w:r>
      <w:r w:rsidR="00BE14A6">
        <w:rPr>
          <w:szCs w:val="20"/>
        </w:rPr>
        <w:t>National Hospital Cost Data Collection</w:t>
      </w:r>
      <w:r w:rsidR="00BE14A6" w:rsidRPr="00975E6B">
        <w:rPr>
          <w:szCs w:val="20"/>
        </w:rPr>
        <w:t xml:space="preserve"> </w:t>
      </w:r>
      <w:r w:rsidR="00BE14A6">
        <w:rPr>
          <w:szCs w:val="20"/>
        </w:rPr>
        <w:t>(</w:t>
      </w:r>
      <w:r w:rsidR="006A0668" w:rsidRPr="00975E6B">
        <w:rPr>
          <w:szCs w:val="20"/>
        </w:rPr>
        <w:t>NHCDC</w:t>
      </w:r>
      <w:r w:rsidR="00BE14A6">
        <w:rPr>
          <w:szCs w:val="20"/>
        </w:rPr>
        <w:t>)</w:t>
      </w:r>
      <w:r w:rsidR="006A0668" w:rsidRPr="00975E6B">
        <w:rPr>
          <w:szCs w:val="20"/>
        </w:rPr>
        <w:t xml:space="preserve"> </w:t>
      </w:r>
      <w:r w:rsidRPr="00975E6B">
        <w:rPr>
          <w:szCs w:val="20"/>
        </w:rPr>
        <w:t xml:space="preserve">Round 18 </w:t>
      </w:r>
      <w:r w:rsidR="00BE14A6">
        <w:rPr>
          <w:szCs w:val="20"/>
        </w:rPr>
        <w:t>Independent Financial Review (</w:t>
      </w:r>
      <w:r w:rsidRPr="00975E6B">
        <w:rPr>
          <w:szCs w:val="20"/>
        </w:rPr>
        <w:t>IFR</w:t>
      </w:r>
      <w:r w:rsidR="00BE14A6">
        <w:rPr>
          <w:szCs w:val="20"/>
        </w:rPr>
        <w:t>)</w:t>
      </w:r>
      <w:r w:rsidRPr="00975E6B">
        <w:rPr>
          <w:szCs w:val="20"/>
        </w:rPr>
        <w:t>, including overall observations based on the information collected in the financial review templates and through engagement with jurisdictions and costing staff during the site visits with the participating hospitals</w:t>
      </w:r>
      <w:r w:rsidR="00F00CAB" w:rsidRPr="00975E6B">
        <w:rPr>
          <w:szCs w:val="20"/>
        </w:rPr>
        <w:t xml:space="preserve"> or </w:t>
      </w:r>
      <w:r w:rsidR="00BE14A6">
        <w:rPr>
          <w:szCs w:val="20"/>
        </w:rPr>
        <w:t>local hospital networks (</w:t>
      </w:r>
      <w:r w:rsidRPr="00975E6B">
        <w:rPr>
          <w:szCs w:val="20"/>
        </w:rPr>
        <w:t>LHNs</w:t>
      </w:r>
      <w:r w:rsidR="00BE14A6">
        <w:rPr>
          <w:szCs w:val="20"/>
        </w:rPr>
        <w:t>)</w:t>
      </w:r>
      <w:r w:rsidRPr="00975E6B">
        <w:rPr>
          <w:szCs w:val="20"/>
        </w:rPr>
        <w:t xml:space="preserve">. </w:t>
      </w:r>
    </w:p>
    <w:p w:rsidR="00AC5C28" w:rsidRPr="00975E6B" w:rsidRDefault="00AC5C28" w:rsidP="003B387A">
      <w:pPr>
        <w:pStyle w:val="Heading2"/>
        <w:numPr>
          <w:ilvl w:val="1"/>
          <w:numId w:val="77"/>
        </w:numPr>
      </w:pPr>
      <w:bookmarkStart w:id="38" w:name="_Toc444523645"/>
      <w:r w:rsidRPr="00975E6B">
        <w:t>Summary of findings</w:t>
      </w:r>
      <w:bookmarkEnd w:id="38"/>
    </w:p>
    <w:p w:rsidR="000D34F7" w:rsidRPr="00975E6B" w:rsidRDefault="000D34F7" w:rsidP="001E034E">
      <w:pPr>
        <w:pStyle w:val="BodyText"/>
      </w:pPr>
      <w:r w:rsidRPr="00975E6B">
        <w:t>In Round 18, jurisdictions continued to improve their processes for Activity Based Funding</w:t>
      </w:r>
      <w:r w:rsidR="00EB3F67" w:rsidRPr="00975E6B">
        <w:t xml:space="preserve"> (ABF)</w:t>
      </w:r>
      <w:r w:rsidRPr="00975E6B">
        <w:t xml:space="preserve">, demonstrating the recognised value of a collection such as the NHCDC to be a well-informed evidence base, and the need for it to be fit-for-purpose. This was </w:t>
      </w:r>
      <w:r w:rsidR="001265C2" w:rsidRPr="00975E6B">
        <w:t>demonstrat</w:t>
      </w:r>
      <w:r w:rsidRPr="00975E6B">
        <w:t xml:space="preserve">ed by a number of developments across jurisdictions and shows the </w:t>
      </w:r>
      <w:r w:rsidR="00951241" w:rsidRPr="00975E6B">
        <w:t xml:space="preserve">growing </w:t>
      </w:r>
      <w:r w:rsidRPr="00975E6B">
        <w:t>emphasis placed on data quality</w:t>
      </w:r>
      <w:r w:rsidR="00951241" w:rsidRPr="00975E6B">
        <w:t xml:space="preserve"> </w:t>
      </w:r>
      <w:r w:rsidRPr="00975E6B">
        <w:t xml:space="preserve">as costing data is increasingly </w:t>
      </w:r>
      <w:r w:rsidR="00951241" w:rsidRPr="00975E6B">
        <w:t>used</w:t>
      </w:r>
      <w:r w:rsidR="00E6123F" w:rsidRPr="00975E6B">
        <w:t xml:space="preserve"> to</w:t>
      </w:r>
      <w:r w:rsidRPr="00975E6B">
        <w:t xml:space="preserve"> inform the management </w:t>
      </w:r>
      <w:r w:rsidR="00951241" w:rsidRPr="00975E6B">
        <w:t>and funding of public health services</w:t>
      </w:r>
      <w:r w:rsidR="001265C2" w:rsidRPr="00975E6B">
        <w:t xml:space="preserve"> nationally</w:t>
      </w:r>
      <w:r w:rsidRPr="00975E6B">
        <w:t>.</w:t>
      </w:r>
    </w:p>
    <w:p w:rsidR="00EB3F67" w:rsidRPr="00975E6B" w:rsidRDefault="00EB3F67" w:rsidP="001E034E">
      <w:pPr>
        <w:pStyle w:val="BodyText"/>
      </w:pPr>
      <w:r w:rsidRPr="00975E6B">
        <w:t xml:space="preserve">In recognition of the ongoing development of ABF and the move to greater Activity Based Management practices within </w:t>
      </w:r>
      <w:r w:rsidR="00E6123F" w:rsidRPr="00975E6B">
        <w:t>our</w:t>
      </w:r>
      <w:r w:rsidRPr="00975E6B">
        <w:t xml:space="preserve"> health services, </w:t>
      </w:r>
      <w:r w:rsidR="00D344AC" w:rsidRPr="00975E6B">
        <w:t>recommendations are made in areas where</w:t>
      </w:r>
      <w:r w:rsidR="0034470F" w:rsidRPr="00975E6B">
        <w:t xml:space="preserve"> </w:t>
      </w:r>
      <w:r w:rsidR="005D6937" w:rsidRPr="00975E6B">
        <w:t>opportunities for improvement</w:t>
      </w:r>
      <w:r w:rsidR="00F7063A" w:rsidRPr="00975E6B">
        <w:t xml:space="preserve"> </w:t>
      </w:r>
      <w:r w:rsidR="0034470F" w:rsidRPr="00975E6B">
        <w:t>were identified</w:t>
      </w:r>
      <w:r w:rsidR="00D344AC" w:rsidRPr="00975E6B">
        <w:t xml:space="preserve"> by the review team.</w:t>
      </w:r>
      <w:r w:rsidR="00F7063A" w:rsidRPr="00975E6B">
        <w:t xml:space="preserve"> </w:t>
      </w:r>
      <w:r w:rsidR="00D344AC" w:rsidRPr="00975E6B">
        <w:t xml:space="preserve">The recommendations are </w:t>
      </w:r>
      <w:r w:rsidR="0034470F" w:rsidRPr="00975E6B">
        <w:t xml:space="preserve">discussed </w:t>
      </w:r>
      <w:r w:rsidR="00F7063A" w:rsidRPr="00975E6B">
        <w:t xml:space="preserve">to facilitate </w:t>
      </w:r>
      <w:r w:rsidR="005D6937" w:rsidRPr="00975E6B">
        <w:t xml:space="preserve">improvements </w:t>
      </w:r>
      <w:r w:rsidR="00F7063A" w:rsidRPr="00975E6B">
        <w:t xml:space="preserve">of </w:t>
      </w:r>
      <w:r w:rsidR="00D344AC" w:rsidRPr="00975E6B">
        <w:t xml:space="preserve">financial </w:t>
      </w:r>
      <w:r w:rsidR="00F7063A" w:rsidRPr="00975E6B">
        <w:t xml:space="preserve">reconciliation and NHCDC submission processes </w:t>
      </w:r>
      <w:r w:rsidR="005D6937" w:rsidRPr="00975E6B">
        <w:t>in</w:t>
      </w:r>
      <w:r w:rsidR="00D344AC" w:rsidRPr="00975E6B">
        <w:t xml:space="preserve"> future rounds</w:t>
      </w:r>
      <w:r w:rsidR="00F7063A" w:rsidRPr="00975E6B">
        <w:t xml:space="preserve">. </w:t>
      </w:r>
    </w:p>
    <w:p w:rsidR="001E034E" w:rsidRPr="00975E6B" w:rsidRDefault="000D34F7" w:rsidP="003B387A">
      <w:pPr>
        <w:pStyle w:val="Heading2"/>
        <w:numPr>
          <w:ilvl w:val="1"/>
          <w:numId w:val="77"/>
        </w:numPr>
      </w:pPr>
      <w:bookmarkStart w:id="39" w:name="_Toc434584612"/>
      <w:bookmarkStart w:id="40" w:name="_Toc434584981"/>
      <w:bookmarkStart w:id="41" w:name="_Toc434585118"/>
      <w:bookmarkStart w:id="42" w:name="_Toc444523646"/>
      <w:bookmarkEnd w:id="39"/>
      <w:bookmarkEnd w:id="40"/>
      <w:bookmarkEnd w:id="41"/>
      <w:r w:rsidRPr="00431399">
        <w:t>Developments</w:t>
      </w:r>
      <w:r w:rsidRPr="00975E6B">
        <w:t xml:space="preserve"> </w:t>
      </w:r>
      <w:r w:rsidR="00951241" w:rsidRPr="00975E6B">
        <w:t>in Round 18</w:t>
      </w:r>
      <w:bookmarkEnd w:id="42"/>
    </w:p>
    <w:p w:rsidR="001E034E" w:rsidRPr="00975E6B" w:rsidRDefault="001E034E" w:rsidP="001E034E">
      <w:pPr>
        <w:pStyle w:val="BodyText"/>
      </w:pPr>
      <w:r w:rsidRPr="00975E6B">
        <w:t>Jurisdictions are seeking to improve their costing methodologies and reconciliation processes on an ongoing basis</w:t>
      </w:r>
      <w:r w:rsidR="007844CB" w:rsidRPr="00975E6B">
        <w:t xml:space="preserve"> </w:t>
      </w:r>
      <w:r w:rsidRPr="00975E6B">
        <w:t>to improve the cost information available to hospitals and the jurisdiction</w:t>
      </w:r>
      <w:r w:rsidR="0054525B" w:rsidRPr="00975E6B">
        <w:t>s.</w:t>
      </w:r>
    </w:p>
    <w:p w:rsidR="001E034E" w:rsidRPr="00975E6B" w:rsidRDefault="001E034E" w:rsidP="001E034E">
      <w:pPr>
        <w:pStyle w:val="BodyText"/>
      </w:pPr>
      <w:r w:rsidRPr="00975E6B">
        <w:t xml:space="preserve">The following </w:t>
      </w:r>
      <w:r w:rsidR="00CD57A9" w:rsidRPr="00975E6B">
        <w:t xml:space="preserve">key initiatives </w:t>
      </w:r>
      <w:r w:rsidR="00FF1FBF" w:rsidRPr="00975E6B">
        <w:t xml:space="preserve">were </w:t>
      </w:r>
      <w:r w:rsidR="00951241" w:rsidRPr="00975E6B">
        <w:t>implemented in Round 18</w:t>
      </w:r>
      <w:r w:rsidRPr="00975E6B">
        <w:t>:</w:t>
      </w:r>
    </w:p>
    <w:p w:rsidR="001E034E" w:rsidRPr="00975E6B" w:rsidRDefault="001E034E" w:rsidP="00F26328">
      <w:pPr>
        <w:pStyle w:val="BodyText"/>
        <w:numPr>
          <w:ilvl w:val="0"/>
          <w:numId w:val="49"/>
        </w:numPr>
      </w:pPr>
      <w:r w:rsidRPr="00975E6B">
        <w:rPr>
          <w:b/>
          <w:i/>
        </w:rPr>
        <w:t>New costing software</w:t>
      </w:r>
      <w:r w:rsidRPr="00975E6B">
        <w:t xml:space="preserve"> – Both </w:t>
      </w:r>
      <w:r w:rsidR="00CA6430" w:rsidRPr="00975E6B">
        <w:t>Tasmania</w:t>
      </w:r>
      <w:r w:rsidR="00F00CAB" w:rsidRPr="00975E6B">
        <w:t xml:space="preserve"> </w:t>
      </w:r>
      <w:r w:rsidRPr="00975E6B">
        <w:t xml:space="preserve">and </w:t>
      </w:r>
      <w:r w:rsidR="00F00CAB" w:rsidRPr="00975E6B">
        <w:t xml:space="preserve">the </w:t>
      </w:r>
      <w:r w:rsidR="00AF6A4D" w:rsidRPr="00975E6B">
        <w:t>Northern Territory (</w:t>
      </w:r>
      <w:r w:rsidRPr="00975E6B">
        <w:t>NT</w:t>
      </w:r>
      <w:r w:rsidR="00AF6A4D" w:rsidRPr="00975E6B">
        <w:t>)</w:t>
      </w:r>
      <w:r w:rsidRPr="00975E6B">
        <w:t xml:space="preserve"> implemented new software for patient level costing. </w:t>
      </w:r>
      <w:r w:rsidR="00CA6430" w:rsidRPr="00975E6B">
        <w:t>Tasmania</w:t>
      </w:r>
      <w:r w:rsidR="00AF6A4D" w:rsidRPr="00975E6B">
        <w:t xml:space="preserve"> </w:t>
      </w:r>
      <w:r w:rsidRPr="00975E6B">
        <w:t>implemented User Cost and NT implemented Power Performance Manager 2 (PPM2)</w:t>
      </w:r>
      <w:r w:rsidR="007844CB" w:rsidRPr="00975E6B">
        <w:t>.</w:t>
      </w:r>
    </w:p>
    <w:p w:rsidR="001E034E" w:rsidRPr="00975E6B" w:rsidRDefault="001E034E" w:rsidP="00F26328">
      <w:pPr>
        <w:pStyle w:val="BodyText"/>
        <w:numPr>
          <w:ilvl w:val="0"/>
          <w:numId w:val="49"/>
        </w:numPr>
      </w:pPr>
      <w:r w:rsidRPr="00975E6B">
        <w:rPr>
          <w:b/>
          <w:i/>
        </w:rPr>
        <w:t xml:space="preserve">Improved costing methodology </w:t>
      </w:r>
      <w:r w:rsidRPr="00975E6B">
        <w:t>– NT introduced a more robust approach to costing</w:t>
      </w:r>
      <w:r w:rsidR="00163308" w:rsidRPr="00975E6B">
        <w:t>. C</w:t>
      </w:r>
      <w:r w:rsidRPr="00975E6B">
        <w:t xml:space="preserve">osts such as </w:t>
      </w:r>
      <w:r w:rsidR="00486570" w:rsidRPr="00975E6B">
        <w:t>inter-hospital</w:t>
      </w:r>
      <w:r w:rsidRPr="00975E6B">
        <w:t xml:space="preserve"> </w:t>
      </w:r>
      <w:r w:rsidR="00486570" w:rsidRPr="00975E6B">
        <w:t xml:space="preserve">patient transport </w:t>
      </w:r>
      <w:r w:rsidR="007844CB" w:rsidRPr="00975E6B">
        <w:t>are</w:t>
      </w:r>
      <w:r w:rsidR="00163308" w:rsidRPr="00975E6B">
        <w:t xml:space="preserve"> </w:t>
      </w:r>
      <w:r w:rsidRPr="00975E6B">
        <w:t>now included at the patient level</w:t>
      </w:r>
      <w:r w:rsidR="00C50DA9" w:rsidRPr="00975E6B">
        <w:t xml:space="preserve">. </w:t>
      </w:r>
      <w:r w:rsidR="00163308" w:rsidRPr="00975E6B">
        <w:t xml:space="preserve">The </w:t>
      </w:r>
      <w:r w:rsidR="007844CB" w:rsidRPr="00975E6B">
        <w:t xml:space="preserve">NT </w:t>
      </w:r>
      <w:r w:rsidR="00163308" w:rsidRPr="00975E6B">
        <w:t>allocation metho</w:t>
      </w:r>
      <w:r w:rsidRPr="00975E6B">
        <w:t>dologies for a range of costs such as salaries and wages and pharmacy (separation of P</w:t>
      </w:r>
      <w:r w:rsidR="00095453" w:rsidRPr="00975E6B">
        <w:t xml:space="preserve">harmaceutical </w:t>
      </w:r>
      <w:r w:rsidRPr="00975E6B">
        <w:t>B</w:t>
      </w:r>
      <w:r w:rsidR="00095453" w:rsidRPr="00975E6B">
        <w:t xml:space="preserve">enefits </w:t>
      </w:r>
      <w:r w:rsidRPr="00975E6B">
        <w:t>S</w:t>
      </w:r>
      <w:r w:rsidR="00095453" w:rsidRPr="00975E6B">
        <w:t>cheme (PBS)</w:t>
      </w:r>
      <w:r w:rsidRPr="00975E6B">
        <w:t xml:space="preserve"> and non-PBS)</w:t>
      </w:r>
      <w:r w:rsidR="00163308" w:rsidRPr="00975E6B">
        <w:t xml:space="preserve"> h</w:t>
      </w:r>
      <w:r w:rsidR="007844CB" w:rsidRPr="00975E6B">
        <w:t xml:space="preserve">ave </w:t>
      </w:r>
      <w:r w:rsidR="00163308" w:rsidRPr="00975E6B">
        <w:t>also been improved</w:t>
      </w:r>
      <w:r w:rsidR="007844CB" w:rsidRPr="00975E6B">
        <w:t>.</w:t>
      </w:r>
    </w:p>
    <w:p w:rsidR="001E034E" w:rsidRPr="00975E6B" w:rsidRDefault="001E034E" w:rsidP="00F26328">
      <w:pPr>
        <w:pStyle w:val="BodyText"/>
        <w:numPr>
          <w:ilvl w:val="0"/>
          <w:numId w:val="49"/>
        </w:numPr>
      </w:pPr>
      <w:r w:rsidRPr="00975E6B">
        <w:rPr>
          <w:b/>
          <w:i/>
        </w:rPr>
        <w:t xml:space="preserve">Increased frequency of costing processes </w:t>
      </w:r>
      <w:r w:rsidRPr="00975E6B">
        <w:t xml:space="preserve">– </w:t>
      </w:r>
      <w:r w:rsidR="00AF6A4D" w:rsidRPr="00975E6B">
        <w:t>South Australia (</w:t>
      </w:r>
      <w:r w:rsidRPr="00975E6B">
        <w:t>SA</w:t>
      </w:r>
      <w:r w:rsidR="00AF6A4D" w:rsidRPr="00975E6B">
        <w:t>)</w:t>
      </w:r>
      <w:r w:rsidRPr="00975E6B">
        <w:t xml:space="preserve"> </w:t>
      </w:r>
      <w:r w:rsidR="00095453" w:rsidRPr="00975E6B">
        <w:t>is</w:t>
      </w:r>
      <w:r w:rsidRPr="00975E6B">
        <w:t xml:space="preserve"> transitioning to more frequent, formalised costing processes in an effort to identify anomalies in cost data earlier</w:t>
      </w:r>
      <w:r w:rsidR="007844CB" w:rsidRPr="00975E6B">
        <w:t>.</w:t>
      </w:r>
    </w:p>
    <w:p w:rsidR="00163308" w:rsidRDefault="001E034E" w:rsidP="00F26328">
      <w:pPr>
        <w:pStyle w:val="BodyText"/>
        <w:numPr>
          <w:ilvl w:val="0"/>
          <w:numId w:val="49"/>
        </w:numPr>
      </w:pPr>
      <w:r w:rsidRPr="00975E6B">
        <w:rPr>
          <w:b/>
          <w:i/>
        </w:rPr>
        <w:t>AHPCS Version 3.1 compliance project</w:t>
      </w:r>
      <w:r w:rsidRPr="00975E6B">
        <w:t xml:space="preserve"> </w:t>
      </w:r>
      <w:r w:rsidR="00AF6A4D" w:rsidRPr="00975E6B">
        <w:t>–</w:t>
      </w:r>
      <w:r w:rsidRPr="00975E6B">
        <w:t xml:space="preserve"> W</w:t>
      </w:r>
      <w:r w:rsidR="00AF6A4D" w:rsidRPr="00975E6B">
        <w:t>estern Australia (W</w:t>
      </w:r>
      <w:r w:rsidRPr="00975E6B">
        <w:t>A</w:t>
      </w:r>
      <w:r w:rsidR="00AF6A4D" w:rsidRPr="00975E6B">
        <w:t>)</w:t>
      </w:r>
      <w:r w:rsidRPr="00975E6B">
        <w:t xml:space="preserve"> undertook an internal AHPCS Version 3.1 compliance project and developed educational tools and documentation to enhance hospital costing</w:t>
      </w:r>
      <w:r w:rsidR="00C50DA9" w:rsidRPr="00975E6B">
        <w:t xml:space="preserve">. </w:t>
      </w:r>
      <w:r w:rsidRPr="00975E6B">
        <w:t xml:space="preserve">The compliance project highlighted </w:t>
      </w:r>
      <w:r w:rsidR="00955272" w:rsidRPr="00975E6B">
        <w:t xml:space="preserve">that </w:t>
      </w:r>
      <w:r w:rsidRPr="00975E6B">
        <w:t>WA health services were compliant with 86</w:t>
      </w:r>
      <w:r w:rsidR="00DA7807" w:rsidRPr="00975E6B">
        <w:t> percent</w:t>
      </w:r>
      <w:r w:rsidRPr="00975E6B">
        <w:t xml:space="preserve"> of the AHPCS, partially compliant with 11</w:t>
      </w:r>
      <w:r w:rsidR="00DA7807" w:rsidRPr="00975E6B">
        <w:t> percent</w:t>
      </w:r>
      <w:r w:rsidRPr="00975E6B">
        <w:t xml:space="preserve"> of the AHPCS and</w:t>
      </w:r>
      <w:r w:rsidR="00163308" w:rsidRPr="00975E6B">
        <w:t xml:space="preserve"> non-compliant with</w:t>
      </w:r>
      <w:r w:rsidRPr="00975E6B">
        <w:t xml:space="preserve"> 3</w:t>
      </w:r>
      <w:r w:rsidR="00DA7807" w:rsidRPr="00975E6B">
        <w:t> percent</w:t>
      </w:r>
      <w:r w:rsidRPr="00975E6B">
        <w:t xml:space="preserve"> </w:t>
      </w:r>
      <w:r w:rsidR="00163308" w:rsidRPr="00975E6B">
        <w:t>of the AHPCS</w:t>
      </w:r>
      <w:r w:rsidRPr="00975E6B">
        <w:t xml:space="preserve"> (</w:t>
      </w:r>
      <w:r w:rsidR="006E35B5" w:rsidRPr="00975E6B">
        <w:t>representing</w:t>
      </w:r>
      <w:r w:rsidRPr="00975E6B">
        <w:t xml:space="preserve"> one standard </w:t>
      </w:r>
      <w:r w:rsidR="00163308" w:rsidRPr="00975E6B">
        <w:t>–</w:t>
      </w:r>
      <w:r w:rsidRPr="00975E6B">
        <w:t xml:space="preserve"> </w:t>
      </w:r>
      <w:r w:rsidRPr="003D346B">
        <w:rPr>
          <w:i/>
        </w:rPr>
        <w:t>SCP 3F.001 Matching Production and Cost – Order Request Point</w:t>
      </w:r>
      <w:r w:rsidRPr="00975E6B">
        <w:t>).</w:t>
      </w:r>
    </w:p>
    <w:p w:rsidR="00E8783D" w:rsidRPr="00975E6B" w:rsidRDefault="00E8783D" w:rsidP="00F26328">
      <w:pPr>
        <w:pStyle w:val="BodyText"/>
        <w:numPr>
          <w:ilvl w:val="0"/>
          <w:numId w:val="49"/>
        </w:numPr>
      </w:pPr>
      <w:r>
        <w:rPr>
          <w:b/>
          <w:i/>
        </w:rPr>
        <w:lastRenderedPageBreak/>
        <w:t xml:space="preserve">Improved quality assurance tools </w:t>
      </w:r>
      <w:r>
        <w:t>– New South Wales (NSW) implemented a new web-based tool to facilitate</w:t>
      </w:r>
      <w:r w:rsidRPr="00556E54">
        <w:t xml:space="preserve"> the review and correction of </w:t>
      </w:r>
      <w:r w:rsidR="00153031">
        <w:t xml:space="preserve">the </w:t>
      </w:r>
      <w:r w:rsidR="00153031" w:rsidRPr="00572C27">
        <w:t xml:space="preserve">District and Network Return </w:t>
      </w:r>
      <w:r w:rsidR="00153031">
        <w:t>(</w:t>
      </w:r>
      <w:r w:rsidRPr="00556E54">
        <w:t>DNR</w:t>
      </w:r>
      <w:r w:rsidR="00153031">
        <w:t>)</w:t>
      </w:r>
      <w:r w:rsidRPr="00556E54">
        <w:t xml:space="preserve"> submissions during the draft submission period</w:t>
      </w:r>
      <w:r>
        <w:t>. This review was previously undertaken via the use of spreadsheets.</w:t>
      </w:r>
    </w:p>
    <w:p w:rsidR="001E034E" w:rsidRPr="00975E6B" w:rsidRDefault="001E034E" w:rsidP="003B387A">
      <w:pPr>
        <w:pStyle w:val="Heading2"/>
        <w:numPr>
          <w:ilvl w:val="1"/>
          <w:numId w:val="77"/>
        </w:numPr>
      </w:pPr>
      <w:bookmarkStart w:id="43" w:name="_Toc435468578"/>
      <w:bookmarkStart w:id="44" w:name="_Ref434321640"/>
      <w:bookmarkStart w:id="45" w:name="_Ref434321784"/>
      <w:bookmarkStart w:id="46" w:name="_Toc444523647"/>
      <w:bookmarkEnd w:id="43"/>
      <w:r w:rsidRPr="00431399">
        <w:t>Observations</w:t>
      </w:r>
      <w:r w:rsidRPr="00975E6B">
        <w:t xml:space="preserve"> from the Round 18 IFR</w:t>
      </w:r>
      <w:bookmarkEnd w:id="44"/>
      <w:bookmarkEnd w:id="45"/>
      <w:bookmarkEnd w:id="46"/>
    </w:p>
    <w:p w:rsidR="00163308" w:rsidRPr="00975E6B" w:rsidRDefault="00163308" w:rsidP="00532F1B">
      <w:pPr>
        <w:pStyle w:val="Heading3"/>
        <w:numPr>
          <w:ilvl w:val="2"/>
          <w:numId w:val="77"/>
        </w:numPr>
      </w:pPr>
      <w:r w:rsidRPr="00975E6B">
        <w:t>Reconciliation of financial data</w:t>
      </w:r>
    </w:p>
    <w:p w:rsidR="00951241" w:rsidRPr="00975E6B" w:rsidRDefault="00446453" w:rsidP="001E034E">
      <w:pPr>
        <w:pStyle w:val="BodyText"/>
      </w:pPr>
      <w:r w:rsidRPr="00975E6B">
        <w:t xml:space="preserve">Financial data was gathered through the data collection templates </w:t>
      </w:r>
      <w:r w:rsidR="001D3EDD" w:rsidRPr="00975E6B">
        <w:t xml:space="preserve">completed for each participating site. </w:t>
      </w:r>
      <w:r w:rsidR="001E034E" w:rsidRPr="00975E6B">
        <w:t xml:space="preserve">Based on discussions during the site visits and a review of the templates, </w:t>
      </w:r>
      <w:r w:rsidR="00CD1518">
        <w:t>all</w:t>
      </w:r>
      <w:r w:rsidR="00213482" w:rsidRPr="00975E6B">
        <w:t xml:space="preserve"> </w:t>
      </w:r>
      <w:r w:rsidR="007835E5" w:rsidRPr="00975E6B">
        <w:t xml:space="preserve">jurisdictions </w:t>
      </w:r>
      <w:r w:rsidRPr="00975E6B">
        <w:t xml:space="preserve">demonstrated </w:t>
      </w:r>
      <w:r w:rsidR="001D3EDD" w:rsidRPr="00975E6B">
        <w:t xml:space="preserve">that accurate and complete </w:t>
      </w:r>
      <w:r w:rsidR="001E034E" w:rsidRPr="00975E6B">
        <w:t xml:space="preserve">financial reconciliation processes </w:t>
      </w:r>
      <w:r w:rsidR="00B667F5" w:rsidRPr="00975E6B">
        <w:t>a</w:t>
      </w:r>
      <w:r w:rsidRPr="00975E6B">
        <w:t>re in place</w:t>
      </w:r>
      <w:r w:rsidR="001D3EDD" w:rsidRPr="00975E6B">
        <w:t xml:space="preserve"> at the hospital/LHN level, and jurisdictional level. </w:t>
      </w:r>
      <w:r w:rsidR="00314BB4">
        <w:t>Although not formalised, the financial reconciliation proce</w:t>
      </w:r>
      <w:r w:rsidR="00267703">
        <w:t>ss is robust in</w:t>
      </w:r>
      <w:r w:rsidR="003E7BF7" w:rsidRPr="00975E6B">
        <w:t xml:space="preserve"> Victoria</w:t>
      </w:r>
      <w:r w:rsidR="00314BB4">
        <w:t>. It is noted that a formalised reconciliation process has been implemented by Victoria for the Round 19 NHCDC.</w:t>
      </w:r>
    </w:p>
    <w:p w:rsidR="001D3EDD" w:rsidRPr="00975E6B" w:rsidRDefault="001D3EDD" w:rsidP="001E034E">
      <w:pPr>
        <w:pStyle w:val="BodyText"/>
      </w:pPr>
      <w:r w:rsidRPr="00975E6B">
        <w:t xml:space="preserve">On review of the data flow from the </w:t>
      </w:r>
      <w:r w:rsidR="008F7FB1" w:rsidRPr="00975E6B">
        <w:t>hospital/LHN</w:t>
      </w:r>
      <w:r w:rsidRPr="00975E6B">
        <w:t xml:space="preserve"> to jurisdiction and through to submission in IHPA’s national data</w:t>
      </w:r>
      <w:r w:rsidR="008F7FB1" w:rsidRPr="00975E6B">
        <w:t>set</w:t>
      </w:r>
      <w:r w:rsidRPr="00975E6B">
        <w:t>, m</w:t>
      </w:r>
      <w:r w:rsidR="001E034E" w:rsidRPr="00975E6B">
        <w:t xml:space="preserve">inor variances </w:t>
      </w:r>
      <w:r w:rsidR="00163308" w:rsidRPr="00975E6B">
        <w:t xml:space="preserve">in the reconciliations </w:t>
      </w:r>
      <w:r w:rsidR="001E034E" w:rsidRPr="00975E6B">
        <w:t xml:space="preserve">were noted for </w:t>
      </w:r>
      <w:r w:rsidR="00163308" w:rsidRPr="00975E6B">
        <w:t xml:space="preserve">five of </w:t>
      </w:r>
      <w:r w:rsidR="001E034E" w:rsidRPr="00975E6B">
        <w:t>the 14</w:t>
      </w:r>
      <w:r w:rsidR="00B667F5" w:rsidRPr="00975E6B">
        <w:t> </w:t>
      </w:r>
      <w:r w:rsidR="001E034E" w:rsidRPr="00975E6B">
        <w:t>hospitals</w:t>
      </w:r>
      <w:r w:rsidR="004F4DCB" w:rsidRPr="00975E6B">
        <w:t>/LHNs</w:t>
      </w:r>
      <w:r w:rsidR="001E034E" w:rsidRPr="00975E6B">
        <w:t xml:space="preserve"> sampled</w:t>
      </w:r>
      <w:r w:rsidRPr="00975E6B">
        <w:t xml:space="preserve">. Where these variances were </w:t>
      </w:r>
      <w:r w:rsidR="0040035E" w:rsidRPr="00975E6B">
        <w:t>noted</w:t>
      </w:r>
      <w:r w:rsidRPr="00975E6B">
        <w:t xml:space="preserve">, the review team </w:t>
      </w:r>
      <w:r w:rsidR="003E7BF7" w:rsidRPr="00975E6B">
        <w:t xml:space="preserve">sought </w:t>
      </w:r>
      <w:r w:rsidRPr="00975E6B">
        <w:t xml:space="preserve">to identify the causes of </w:t>
      </w:r>
      <w:r w:rsidR="003E7BF7" w:rsidRPr="00975E6B">
        <w:t xml:space="preserve">the </w:t>
      </w:r>
      <w:r w:rsidRPr="00975E6B">
        <w:t xml:space="preserve">variance with the </w:t>
      </w:r>
      <w:r w:rsidR="00053372" w:rsidRPr="00975E6B">
        <w:t>relevant sites</w:t>
      </w:r>
      <w:r w:rsidR="00314B5A" w:rsidRPr="00975E6B">
        <w:t>.</w:t>
      </w:r>
      <w:r w:rsidR="005D6937" w:rsidRPr="00975E6B">
        <w:t xml:space="preserve"> These variations were predominantly due to timing issues, and </w:t>
      </w:r>
      <w:r w:rsidR="005E32A8" w:rsidRPr="00975E6B">
        <w:t>w</w:t>
      </w:r>
      <w:r w:rsidR="003E7BF7" w:rsidRPr="00975E6B">
        <w:t>ere not</w:t>
      </w:r>
      <w:r w:rsidR="005E32A8" w:rsidRPr="00975E6B">
        <w:t xml:space="preserve"> of a material size or nature.</w:t>
      </w:r>
    </w:p>
    <w:p w:rsidR="001E034E" w:rsidRPr="00975E6B" w:rsidRDefault="001D3EDD" w:rsidP="001E034E">
      <w:pPr>
        <w:pStyle w:val="BodyText"/>
      </w:pPr>
      <w:r w:rsidRPr="00975E6B">
        <w:t xml:space="preserve">A </w:t>
      </w:r>
      <w:r w:rsidR="001E034E" w:rsidRPr="00975E6B">
        <w:t>summar</w:t>
      </w:r>
      <w:r w:rsidRPr="00975E6B">
        <w:t xml:space="preserve">y of the variances identified </w:t>
      </w:r>
      <w:r w:rsidR="003A5CC8">
        <w:t>is</w:t>
      </w:r>
      <w:r w:rsidR="003A5CC8" w:rsidRPr="00975E6B">
        <w:t xml:space="preserve"> </w:t>
      </w:r>
      <w:r w:rsidRPr="00975E6B">
        <w:t>provided</w:t>
      </w:r>
      <w:r w:rsidR="001E034E" w:rsidRPr="00975E6B">
        <w:t xml:space="preserve"> below:</w:t>
      </w:r>
    </w:p>
    <w:p w:rsidR="001E034E" w:rsidRPr="00975E6B" w:rsidRDefault="001E034E" w:rsidP="00F26328">
      <w:pPr>
        <w:pStyle w:val="BodyText"/>
        <w:numPr>
          <w:ilvl w:val="0"/>
          <w:numId w:val="54"/>
        </w:numPr>
      </w:pPr>
      <w:r w:rsidRPr="00975E6B">
        <w:t>In V</w:t>
      </w:r>
      <w:r w:rsidR="004F4DCB" w:rsidRPr="00975E6B">
        <w:t>ictoria</w:t>
      </w:r>
      <w:r w:rsidRPr="00975E6B">
        <w:t xml:space="preserve">, a variance of $158,855 </w:t>
      </w:r>
      <w:r w:rsidR="00AE0B9C" w:rsidRPr="00975E6B">
        <w:t xml:space="preserve">(0.03 percent of allocated costs) </w:t>
      </w:r>
      <w:r w:rsidRPr="00975E6B">
        <w:t>between the costs allocated to patients and the costed products submitted to the jurisdiction was noted for St</w:t>
      </w:r>
      <w:r w:rsidR="004F4DCB" w:rsidRPr="00975E6B">
        <w:t> </w:t>
      </w:r>
      <w:r w:rsidRPr="00975E6B">
        <w:t xml:space="preserve">Vincent’s Hospital. However, total costs received by </w:t>
      </w:r>
      <w:r w:rsidR="00906629" w:rsidRPr="00975E6B">
        <w:t xml:space="preserve">the </w:t>
      </w:r>
      <w:r w:rsidRPr="00975E6B">
        <w:t>jurisdiction reconciled to the costs allocated to patients</w:t>
      </w:r>
      <w:r w:rsidR="00A71EA2" w:rsidRPr="00975E6B">
        <w:t>.</w:t>
      </w:r>
    </w:p>
    <w:p w:rsidR="00906629" w:rsidRPr="00975E6B" w:rsidRDefault="00906629" w:rsidP="00F26328">
      <w:pPr>
        <w:pStyle w:val="BodyText"/>
        <w:numPr>
          <w:ilvl w:val="0"/>
          <w:numId w:val="54"/>
        </w:numPr>
      </w:pPr>
      <w:r w:rsidRPr="00975E6B">
        <w:t>In WA, a variance of $</w:t>
      </w:r>
      <w:r w:rsidR="001D19B3" w:rsidRPr="00975E6B">
        <w:t>269,821</w:t>
      </w:r>
      <w:r w:rsidR="00AE0B9C" w:rsidRPr="00975E6B">
        <w:t xml:space="preserve"> (0.1 percent of hospital expenditure)</w:t>
      </w:r>
      <w:r w:rsidRPr="00975E6B">
        <w:t xml:space="preserve"> between the total hospital expenditure and the costs allocated to patients was noted for Rockingham General Hospital. A variance of $2.8 million</w:t>
      </w:r>
      <w:r w:rsidR="00A71EA2" w:rsidRPr="00975E6B">
        <w:t xml:space="preserve"> (1.5 percent of allocated costs)</w:t>
      </w:r>
      <w:r w:rsidRPr="00975E6B">
        <w:t xml:space="preserve"> between the costs allocated to patients and the costed products submitted to the jurisdiction was also noted for Rockingham General Hospital</w:t>
      </w:r>
      <w:r w:rsidR="00A71EA2" w:rsidRPr="00975E6B">
        <w:t>.</w:t>
      </w:r>
    </w:p>
    <w:p w:rsidR="00906629" w:rsidRPr="00975E6B" w:rsidRDefault="00A71EA2" w:rsidP="00F26328">
      <w:pPr>
        <w:pStyle w:val="BodyText"/>
        <w:numPr>
          <w:ilvl w:val="0"/>
          <w:numId w:val="54"/>
        </w:numPr>
      </w:pPr>
      <w:r w:rsidRPr="00975E6B">
        <w:t>A variance of $172,426 was</w:t>
      </w:r>
      <w:r w:rsidR="00906629" w:rsidRPr="00975E6B">
        <w:t xml:space="preserve"> noted </w:t>
      </w:r>
      <w:r w:rsidRPr="00975E6B">
        <w:t xml:space="preserve">for the Royal Hobart Hospital in </w:t>
      </w:r>
      <w:r w:rsidR="00CA6430" w:rsidRPr="00975E6B">
        <w:t>Tasmania</w:t>
      </w:r>
      <w:r w:rsidR="00DB39C1" w:rsidRPr="00975E6B">
        <w:t xml:space="preserve"> </w:t>
      </w:r>
      <w:r w:rsidRPr="00975E6B">
        <w:t>(0.05</w:t>
      </w:r>
      <w:r w:rsidR="004A00EE" w:rsidRPr="00975E6B">
        <w:t> </w:t>
      </w:r>
      <w:r w:rsidRPr="00975E6B">
        <w:t>percent of the costs submitted to IHPA)</w:t>
      </w:r>
      <w:r w:rsidR="00906629" w:rsidRPr="00975E6B">
        <w:t xml:space="preserve"> between the product level costs submitted to IHPA by the jurisdiction and the total costs received by IHPA</w:t>
      </w:r>
      <w:r w:rsidR="00C50DA9" w:rsidRPr="00975E6B">
        <w:t>.</w:t>
      </w:r>
      <w:r w:rsidR="00906629" w:rsidRPr="00975E6B">
        <w:t xml:space="preserve"> </w:t>
      </w:r>
    </w:p>
    <w:p w:rsidR="00A71EA2" w:rsidRPr="00975E6B" w:rsidRDefault="00A71EA2" w:rsidP="00F26328">
      <w:pPr>
        <w:pStyle w:val="BodyText"/>
        <w:numPr>
          <w:ilvl w:val="0"/>
          <w:numId w:val="54"/>
        </w:numPr>
      </w:pPr>
      <w:r w:rsidRPr="00975E6B">
        <w:t xml:space="preserve">A variance of $28,733 was noted for the Lyell </w:t>
      </w:r>
      <w:proofErr w:type="spellStart"/>
      <w:r w:rsidRPr="00975E6B">
        <w:t>McEwin</w:t>
      </w:r>
      <w:proofErr w:type="spellEnd"/>
      <w:r w:rsidRPr="00975E6B">
        <w:t xml:space="preserve"> Hospital in SA (0.01 percent of the costs submitted to IHPA) between the product level costs submitted to IHPA by the jurisdiction and the total costs received by IHPA. </w:t>
      </w:r>
    </w:p>
    <w:p w:rsidR="00A71EA2" w:rsidRPr="00975E6B" w:rsidRDefault="00A71EA2" w:rsidP="00F26328">
      <w:pPr>
        <w:pStyle w:val="BodyText"/>
        <w:numPr>
          <w:ilvl w:val="0"/>
          <w:numId w:val="54"/>
        </w:numPr>
      </w:pPr>
      <w:r w:rsidRPr="00975E6B">
        <w:t xml:space="preserve">A variance of $12,435 was noted for the Modbury Hospital in SA (0.01 percent of the costs submitted to IHPA) between the product level costs submitted to IHPA by the jurisdiction and the total costs received by IHPA. </w:t>
      </w:r>
    </w:p>
    <w:p w:rsidR="001E034E" w:rsidRPr="00975E6B" w:rsidRDefault="00906629" w:rsidP="001E034E">
      <w:pPr>
        <w:pStyle w:val="BodyText"/>
      </w:pPr>
      <w:r w:rsidRPr="00975E6B">
        <w:t>Despite these variances, n</w:t>
      </w:r>
      <w:r w:rsidR="001E034E" w:rsidRPr="00975E6B">
        <w:t xml:space="preserve">othing </w:t>
      </w:r>
      <w:r w:rsidR="004A00EE" w:rsidRPr="00975E6B">
        <w:t>was identified</w:t>
      </w:r>
      <w:r w:rsidR="001E034E" w:rsidRPr="00975E6B">
        <w:t xml:space="preserve"> </w:t>
      </w:r>
      <w:r w:rsidRPr="00975E6B">
        <w:t xml:space="preserve">during the IFR </w:t>
      </w:r>
      <w:r w:rsidR="001E034E" w:rsidRPr="00975E6B">
        <w:t>to suggest that the financial data was not fit for submission</w:t>
      </w:r>
      <w:r w:rsidR="004A00EE" w:rsidRPr="00975E6B">
        <w:t xml:space="preserve"> to the NHCDC for Round 18</w:t>
      </w:r>
      <w:r w:rsidR="001E034E" w:rsidRPr="00975E6B">
        <w:t xml:space="preserve">. </w:t>
      </w:r>
    </w:p>
    <w:p w:rsidR="001E034E" w:rsidRPr="00975E6B" w:rsidRDefault="001E034E" w:rsidP="00532F1B">
      <w:pPr>
        <w:pStyle w:val="Heading3"/>
        <w:numPr>
          <w:ilvl w:val="2"/>
          <w:numId w:val="77"/>
        </w:numPr>
      </w:pPr>
      <w:r w:rsidRPr="00975E6B">
        <w:lastRenderedPageBreak/>
        <w:t>Teaching, Training and Research</w:t>
      </w:r>
    </w:p>
    <w:p w:rsidR="001E034E" w:rsidRPr="00975E6B" w:rsidRDefault="001E034E" w:rsidP="001E034E">
      <w:pPr>
        <w:pStyle w:val="BodyText"/>
      </w:pPr>
      <w:r w:rsidRPr="00975E6B">
        <w:t xml:space="preserve">The approach to costing </w:t>
      </w:r>
      <w:r w:rsidR="004A00EE" w:rsidRPr="00975E6B">
        <w:t>teaching, training and research (</w:t>
      </w:r>
      <w:r w:rsidRPr="00975E6B">
        <w:t>TTR</w:t>
      </w:r>
      <w:r w:rsidR="004A00EE" w:rsidRPr="00975E6B">
        <w:t>)</w:t>
      </w:r>
      <w:r w:rsidRPr="00975E6B">
        <w:t xml:space="preserve"> </w:t>
      </w:r>
      <w:r w:rsidR="00314B5A" w:rsidRPr="00975E6B">
        <w:t xml:space="preserve">varies </w:t>
      </w:r>
      <w:r w:rsidRPr="00975E6B">
        <w:t xml:space="preserve">across jurisdictions. </w:t>
      </w:r>
      <w:r w:rsidR="003E7BF7" w:rsidRPr="00975E6B">
        <w:t xml:space="preserve">The variation can be </w:t>
      </w:r>
      <w:r w:rsidR="0066050A" w:rsidRPr="00975E6B">
        <w:t>attributed</w:t>
      </w:r>
      <w:r w:rsidRPr="00975E6B">
        <w:t xml:space="preserve"> to </w:t>
      </w:r>
      <w:r w:rsidR="0066050A" w:rsidRPr="00975E6B">
        <w:t xml:space="preserve">different </w:t>
      </w:r>
      <w:r w:rsidRPr="00975E6B">
        <w:t>cost centre structure</w:t>
      </w:r>
      <w:r w:rsidR="0066050A" w:rsidRPr="00975E6B">
        <w:t>s</w:t>
      </w:r>
      <w:r w:rsidR="00906629" w:rsidRPr="00975E6B">
        <w:t xml:space="preserve"> at the hospital/LHN level</w:t>
      </w:r>
      <w:r w:rsidRPr="00975E6B">
        <w:t xml:space="preserve">, </w:t>
      </w:r>
      <w:r w:rsidR="0066050A" w:rsidRPr="00975E6B">
        <w:t xml:space="preserve">adherence to </w:t>
      </w:r>
      <w:r w:rsidR="00906629" w:rsidRPr="00975E6B">
        <w:t>jurisdiction</w:t>
      </w:r>
      <w:r w:rsidRPr="00975E6B">
        <w:t xml:space="preserve"> costing guidelines and the costing methodology adopted</w:t>
      </w:r>
      <w:r w:rsidR="00C50DA9" w:rsidRPr="00975E6B">
        <w:t xml:space="preserve">. </w:t>
      </w:r>
      <w:r w:rsidRPr="00975E6B">
        <w:t>For example:</w:t>
      </w:r>
    </w:p>
    <w:p w:rsidR="001E034E" w:rsidRPr="00975E6B" w:rsidRDefault="001E034E" w:rsidP="00F26328">
      <w:pPr>
        <w:pStyle w:val="BodyText"/>
        <w:numPr>
          <w:ilvl w:val="0"/>
          <w:numId w:val="29"/>
        </w:numPr>
      </w:pPr>
      <w:r w:rsidRPr="00975E6B">
        <w:t>Some jurisdictions cost TTR and assign</w:t>
      </w:r>
      <w:r w:rsidR="003E7BF7" w:rsidRPr="00975E6B">
        <w:t xml:space="preserve"> it</w:t>
      </w:r>
      <w:r w:rsidRPr="00975E6B">
        <w:t xml:space="preserve"> to a virtual or dummy patient</w:t>
      </w:r>
      <w:r w:rsidR="00A71EA2" w:rsidRPr="00975E6B">
        <w:t xml:space="preserve"> and </w:t>
      </w:r>
      <w:r w:rsidRPr="00975E6B">
        <w:t>then exclude</w:t>
      </w:r>
      <w:r w:rsidR="00A71EA2" w:rsidRPr="00975E6B">
        <w:t xml:space="preserve"> the costs</w:t>
      </w:r>
      <w:r w:rsidRPr="00975E6B">
        <w:t xml:space="preserve"> prior to NHCDC submission</w:t>
      </w:r>
      <w:r w:rsidR="00A71EA2" w:rsidRPr="00975E6B">
        <w:t>.</w:t>
      </w:r>
    </w:p>
    <w:p w:rsidR="001E034E" w:rsidRPr="00975E6B" w:rsidRDefault="001E034E" w:rsidP="00F26328">
      <w:pPr>
        <w:pStyle w:val="BodyText"/>
        <w:numPr>
          <w:ilvl w:val="0"/>
          <w:numId w:val="29"/>
        </w:numPr>
      </w:pPr>
      <w:r w:rsidRPr="00975E6B">
        <w:t>Some jurisdictions do not cost to a TTR product and allocate costs across all patients</w:t>
      </w:r>
      <w:r w:rsidR="00A71EA2" w:rsidRPr="00975E6B">
        <w:t>.</w:t>
      </w:r>
    </w:p>
    <w:p w:rsidR="001E034E" w:rsidRPr="00975E6B" w:rsidRDefault="001E034E" w:rsidP="00F26328">
      <w:pPr>
        <w:pStyle w:val="BodyText"/>
        <w:numPr>
          <w:ilvl w:val="0"/>
          <w:numId w:val="29"/>
        </w:numPr>
      </w:pPr>
      <w:r w:rsidRPr="00975E6B">
        <w:t>Some jurisdictions use a combination of these methods depending on the cost centre structure</w:t>
      </w:r>
      <w:r w:rsidR="00C50DA9" w:rsidRPr="00975E6B">
        <w:t xml:space="preserve">. </w:t>
      </w:r>
    </w:p>
    <w:p w:rsidR="001E034E" w:rsidRPr="00975E6B" w:rsidRDefault="001E034E" w:rsidP="001E034E">
      <w:pPr>
        <w:pStyle w:val="BodyText"/>
      </w:pPr>
      <w:r w:rsidRPr="00975E6B">
        <w:t xml:space="preserve">NT was the only jurisdiction to submit </w:t>
      </w:r>
      <w:r w:rsidR="004A00EE" w:rsidRPr="00975E6B">
        <w:t xml:space="preserve">teaching </w:t>
      </w:r>
      <w:r w:rsidRPr="00975E6B">
        <w:t xml:space="preserve">and </w:t>
      </w:r>
      <w:r w:rsidR="004A00EE" w:rsidRPr="00975E6B">
        <w:t xml:space="preserve">training </w:t>
      </w:r>
      <w:r w:rsidR="006A0668" w:rsidRPr="00975E6B">
        <w:t xml:space="preserve">product </w:t>
      </w:r>
      <w:r w:rsidRPr="00975E6B">
        <w:t>costs to the Round 18 NHCDC</w:t>
      </w:r>
      <w:r w:rsidR="00C50DA9" w:rsidRPr="00975E6B">
        <w:t xml:space="preserve">. </w:t>
      </w:r>
      <w:r w:rsidRPr="00975E6B">
        <w:t xml:space="preserve">NT allocates </w:t>
      </w:r>
      <w:r w:rsidR="006A49C2" w:rsidRPr="00975E6B">
        <w:t xml:space="preserve">teaching </w:t>
      </w:r>
      <w:r w:rsidRPr="00975E6B">
        <w:t xml:space="preserve">and </w:t>
      </w:r>
      <w:r w:rsidR="006A49C2" w:rsidRPr="00975E6B">
        <w:t xml:space="preserve">training </w:t>
      </w:r>
      <w:r w:rsidRPr="00975E6B">
        <w:t xml:space="preserve">costs using </w:t>
      </w:r>
      <w:r w:rsidR="006A49C2" w:rsidRPr="00975E6B">
        <w:t>product fractions (</w:t>
      </w:r>
      <w:r w:rsidRPr="00975E6B">
        <w:t>PFRAC</w:t>
      </w:r>
      <w:r w:rsidR="006A49C2" w:rsidRPr="00975E6B">
        <w:t>s)</w:t>
      </w:r>
      <w:r w:rsidRPr="00975E6B">
        <w:t xml:space="preserve">. </w:t>
      </w:r>
    </w:p>
    <w:p w:rsidR="001E034E" w:rsidRPr="00975E6B" w:rsidRDefault="001E034E" w:rsidP="00532F1B">
      <w:pPr>
        <w:pStyle w:val="Heading3"/>
        <w:numPr>
          <w:ilvl w:val="2"/>
          <w:numId w:val="77"/>
        </w:numPr>
      </w:pPr>
      <w:r w:rsidRPr="00975E6B">
        <w:t>ICU, ATSI &amp; Private Patients</w:t>
      </w:r>
    </w:p>
    <w:p w:rsidR="001E034E" w:rsidRPr="00975E6B" w:rsidRDefault="00F87F42" w:rsidP="001E034E">
      <w:pPr>
        <w:pStyle w:val="BodyText"/>
      </w:pPr>
      <w:r w:rsidRPr="00975E6B">
        <w:t xml:space="preserve">Jurisdictions do not adjust the costing methodology to inflate for the costs of Intensive Care Unit, Aboriginal and Torres Strait Islander </w:t>
      </w:r>
      <w:r w:rsidR="00153031">
        <w:t xml:space="preserve">(ATSI) </w:t>
      </w:r>
      <w:r w:rsidRPr="00975E6B">
        <w:t>and private patients. These patients are costed in the same manner as all patients and are allocated costs based on the resources they consume.</w:t>
      </w:r>
      <w:r w:rsidR="00C50DA9" w:rsidRPr="00975E6B">
        <w:t xml:space="preserve"> </w:t>
      </w:r>
      <w:r w:rsidR="001E034E" w:rsidRPr="00975E6B">
        <w:t xml:space="preserve">It should be noted that for ATSI patients, NT stated: </w:t>
      </w:r>
    </w:p>
    <w:p w:rsidR="001E034E" w:rsidRPr="00975E6B" w:rsidRDefault="001E034E" w:rsidP="00F26328">
      <w:pPr>
        <w:pStyle w:val="BodyText"/>
        <w:numPr>
          <w:ilvl w:val="0"/>
          <w:numId w:val="41"/>
        </w:numPr>
        <w:ind w:left="318" w:hanging="284"/>
        <w:jc w:val="left"/>
      </w:pPr>
      <w:r w:rsidRPr="00975E6B">
        <w:t>Health services have a number of Indigenous only cost centres, i.e. 100</w:t>
      </w:r>
      <w:r w:rsidR="00DA7807" w:rsidRPr="00975E6B">
        <w:t> percent</w:t>
      </w:r>
      <w:r w:rsidRPr="00975E6B">
        <w:t xml:space="preserve"> of costs are applied to ATSI patients</w:t>
      </w:r>
      <w:r w:rsidR="004C3D61" w:rsidRPr="00975E6B">
        <w:t>.</w:t>
      </w:r>
    </w:p>
    <w:p w:rsidR="001E034E" w:rsidRPr="00975E6B" w:rsidRDefault="001E034E" w:rsidP="00F26328">
      <w:pPr>
        <w:pStyle w:val="BodyText"/>
        <w:numPr>
          <w:ilvl w:val="0"/>
          <w:numId w:val="41"/>
        </w:numPr>
        <w:ind w:left="318" w:hanging="284"/>
        <w:jc w:val="left"/>
      </w:pPr>
      <w:r w:rsidRPr="00975E6B">
        <w:t>Indigenous Patient Liaison Officers and Aboriginal Health Worker costs are only allocated to ATSI patients.</w:t>
      </w:r>
    </w:p>
    <w:p w:rsidR="001E034E" w:rsidRPr="00975E6B" w:rsidRDefault="001E034E" w:rsidP="00532F1B">
      <w:pPr>
        <w:pStyle w:val="Heading3"/>
        <w:numPr>
          <w:ilvl w:val="2"/>
          <w:numId w:val="77"/>
        </w:numPr>
      </w:pPr>
      <w:r w:rsidRPr="00975E6B">
        <w:t>Activity Data and Feeder Data</w:t>
      </w:r>
    </w:p>
    <w:p w:rsidR="00CC6705" w:rsidRPr="00975E6B" w:rsidRDefault="001E034E" w:rsidP="003D346B">
      <w:pPr>
        <w:pStyle w:val="BodyText"/>
      </w:pPr>
      <w:r w:rsidRPr="00975E6B">
        <w:t xml:space="preserve">Activity data is presented as </w:t>
      </w:r>
      <w:r w:rsidR="00366F39" w:rsidRPr="00975E6B">
        <w:t>admitted</w:t>
      </w:r>
      <w:r w:rsidR="00846982" w:rsidRPr="00975E6B">
        <w:t xml:space="preserve"> acute</w:t>
      </w:r>
      <w:r w:rsidRPr="00975E6B">
        <w:t xml:space="preserve">, emergency and </w:t>
      </w:r>
      <w:r w:rsidR="009079A4" w:rsidRPr="00975E6B">
        <w:t xml:space="preserve">non-admitted </w:t>
      </w:r>
      <w:r w:rsidRPr="00975E6B">
        <w:t xml:space="preserve">where an episode or encounter number can be found to link feeder data. Feeder data is hospital dependant and the quality of linking data to activity is dependent upon the quality of information found in the feeder. </w:t>
      </w:r>
      <w:r w:rsidR="000B16CA" w:rsidRPr="003613F6">
        <w:t xml:space="preserve">Despite the high linking ratio between the </w:t>
      </w:r>
      <w:proofErr w:type="gramStart"/>
      <w:r w:rsidR="000B16CA" w:rsidRPr="003613F6">
        <w:t>feeder</w:t>
      </w:r>
      <w:proofErr w:type="gramEnd"/>
      <w:r w:rsidR="000B16CA" w:rsidRPr="003613F6">
        <w:t xml:space="preserve"> records in the </w:t>
      </w:r>
      <w:r w:rsidR="000B16CA">
        <w:t>source systems</w:t>
      </w:r>
      <w:r w:rsidR="000B16CA" w:rsidRPr="003613F6">
        <w:t xml:space="preserve"> and those allocated to patients, costing system records were not provided for four of six feeders at Princess Margaret Hospital.</w:t>
      </w:r>
    </w:p>
    <w:p w:rsidR="006A0668" w:rsidRPr="00975E6B" w:rsidRDefault="006A0668" w:rsidP="006A0668">
      <w:pPr>
        <w:pStyle w:val="BodyText"/>
      </w:pPr>
      <w:r w:rsidRPr="00975E6B">
        <w:t>Based on the feeder system information provided for all sampled hospital</w:t>
      </w:r>
      <w:r w:rsidR="00893E73">
        <w:t>s</w:t>
      </w:r>
      <w:r w:rsidRPr="00975E6B">
        <w:t xml:space="preserve">, the number of records linked from source to product was significant with a 90 percent link or match for the majority of feeder systems. </w:t>
      </w:r>
      <w:r w:rsidR="00E06940" w:rsidRPr="00975E6B">
        <w:t xml:space="preserve">The average linking ratio across all sampled hospitals and their feeders was </w:t>
      </w:r>
      <w:r w:rsidR="00370BFE">
        <w:t>95</w:t>
      </w:r>
      <w:r w:rsidR="00E142AF">
        <w:t>.2</w:t>
      </w:r>
      <w:r w:rsidR="00E06940" w:rsidRPr="00975E6B">
        <w:t xml:space="preserve"> percent. </w:t>
      </w:r>
      <w:r w:rsidRPr="00975E6B">
        <w:t xml:space="preserve">This percentage demonstrates that jurisdictions and hospitals have made significant improvements to ensure that the resources consumed can be identified by patient, which ensures greater rigour to the composition of costed patient output. </w:t>
      </w:r>
      <w:r w:rsidR="006E35B5" w:rsidRPr="00975E6B">
        <w:fldChar w:fldCharType="begin"/>
      </w:r>
      <w:r w:rsidR="006E35B5" w:rsidRPr="00975E6B">
        <w:instrText xml:space="preserve"> REF _Ref435538298 \h </w:instrText>
      </w:r>
      <w:r w:rsidR="00975E6B">
        <w:instrText xml:space="preserve"> \* MERGEFORMAT </w:instrText>
      </w:r>
      <w:r w:rsidR="006E35B5" w:rsidRPr="00975E6B">
        <w:fldChar w:fldCharType="separate"/>
      </w:r>
      <w:r w:rsidR="00154CF7" w:rsidRPr="00975E6B">
        <w:t xml:space="preserve">Figure </w:t>
      </w:r>
      <w:r w:rsidR="00154CF7">
        <w:rPr>
          <w:noProof/>
        </w:rPr>
        <w:t>1</w:t>
      </w:r>
      <w:r w:rsidR="006E35B5" w:rsidRPr="00975E6B">
        <w:fldChar w:fldCharType="end"/>
      </w:r>
      <w:r w:rsidR="006E35B5" w:rsidRPr="00975E6B">
        <w:t xml:space="preserve"> presents a high level comparison of the average linking ratio for all feeders and the number of feeders for </w:t>
      </w:r>
      <w:r w:rsidR="00287958" w:rsidRPr="00975E6B">
        <w:t xml:space="preserve">each of </w:t>
      </w:r>
      <w:r w:rsidR="006E35B5" w:rsidRPr="00975E6B">
        <w:t xml:space="preserve">the sampled hospitals. </w:t>
      </w:r>
      <w:r w:rsidR="00287958" w:rsidRPr="00975E6B">
        <w:t xml:space="preserve">The size of each hospital (represented by a </w:t>
      </w:r>
      <w:r w:rsidR="006E35B5" w:rsidRPr="00975E6B">
        <w:t xml:space="preserve">bubble) </w:t>
      </w:r>
      <w:r w:rsidR="00287958" w:rsidRPr="00975E6B">
        <w:t>reflects</w:t>
      </w:r>
      <w:r w:rsidR="006E35B5" w:rsidRPr="00975E6B">
        <w:t xml:space="preserve"> the total </w:t>
      </w:r>
      <w:r w:rsidR="00287958" w:rsidRPr="00975E6B">
        <w:t xml:space="preserve">number of </w:t>
      </w:r>
      <w:r w:rsidR="006E35B5" w:rsidRPr="00975E6B">
        <w:t>records from the</w:t>
      </w:r>
      <w:r w:rsidR="00287958" w:rsidRPr="00975E6B">
        <w:t xml:space="preserve"> hospital’s </w:t>
      </w:r>
      <w:r w:rsidR="006E35B5" w:rsidRPr="00975E6B">
        <w:t>feeder systems.</w:t>
      </w:r>
    </w:p>
    <w:p w:rsidR="006E35B5" w:rsidRDefault="006E35B5" w:rsidP="003D1169">
      <w:pPr>
        <w:pStyle w:val="Caption"/>
      </w:pPr>
      <w:bookmarkStart w:id="47" w:name="_Ref435538298"/>
      <w:r w:rsidRPr="00975E6B">
        <w:lastRenderedPageBreak/>
        <w:t xml:space="preserve">Figure </w:t>
      </w:r>
      <w:fldSimple w:instr=" SEQ Figure \* ARABIC ">
        <w:r w:rsidR="00154CF7">
          <w:rPr>
            <w:noProof/>
          </w:rPr>
          <w:t>1</w:t>
        </w:r>
      </w:fldSimple>
      <w:bookmarkEnd w:id="47"/>
      <w:r w:rsidRPr="00975E6B">
        <w:t xml:space="preserve">: Comparison of </w:t>
      </w:r>
      <w:r w:rsidR="00287958" w:rsidRPr="00975E6B">
        <w:t xml:space="preserve">the sampled hospitals - </w:t>
      </w:r>
      <w:r w:rsidRPr="00975E6B">
        <w:t>average linking ratio and number of feeders</w:t>
      </w:r>
    </w:p>
    <w:p w:rsidR="00370BFE" w:rsidRDefault="00370BFE" w:rsidP="00CD1518">
      <w:r>
        <w:rPr>
          <w:noProof/>
          <w:lang w:eastAsia="en-AU"/>
        </w:rPr>
        <w:drawing>
          <wp:inline distT="0" distB="0" distL="0" distR="0" wp14:anchorId="461FEB8C" wp14:editId="519C33D9">
            <wp:extent cx="5308600" cy="2937934"/>
            <wp:effectExtent l="0" t="0" r="25400" b="15240"/>
            <wp:docPr id="15" name="Chart 15" descr="Figure 1 compares the average linking ratio with the number of hospital feeder systems for all 14 hospitals.  The horizontal axis is the number of feeders and the vertical axis is the average linking ratio.  The hospitals have not been identified, but each hospital is represented by a bubble." title="Figure 1: Comparison of the sampled hospitals - average linking ratio and number of feeders"/>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287958" w:rsidRPr="00975E6B" w:rsidRDefault="00287958" w:rsidP="003D1169">
      <w:pPr>
        <w:rPr>
          <w:bCs/>
          <w:i/>
          <w:sz w:val="16"/>
          <w:szCs w:val="16"/>
        </w:rPr>
      </w:pPr>
      <w:r w:rsidRPr="00975E6B">
        <w:rPr>
          <w:bCs/>
          <w:i/>
          <w:sz w:val="16"/>
          <w:szCs w:val="16"/>
        </w:rPr>
        <w:t>Source</w:t>
      </w:r>
      <w:r w:rsidR="003E7BF7" w:rsidRPr="00975E6B">
        <w:rPr>
          <w:bCs/>
          <w:i/>
          <w:sz w:val="16"/>
          <w:szCs w:val="16"/>
        </w:rPr>
        <w:t>: KPMG, based on sampled hospital feeder system data</w:t>
      </w:r>
    </w:p>
    <w:p w:rsidR="006E35B5" w:rsidRPr="00975E6B" w:rsidRDefault="006E35B5" w:rsidP="006A0668">
      <w:pPr>
        <w:pStyle w:val="BodyText"/>
      </w:pPr>
      <w:r w:rsidRPr="00975E6B">
        <w:fldChar w:fldCharType="begin"/>
      </w:r>
      <w:r w:rsidRPr="00975E6B">
        <w:instrText xml:space="preserve"> REF _Ref435538298 \h </w:instrText>
      </w:r>
      <w:r w:rsidR="00975E6B">
        <w:instrText xml:space="preserve"> \* MERGEFORMAT </w:instrText>
      </w:r>
      <w:r w:rsidRPr="00975E6B">
        <w:fldChar w:fldCharType="separate"/>
      </w:r>
      <w:r w:rsidR="00154CF7" w:rsidRPr="00975E6B">
        <w:t xml:space="preserve">Figure </w:t>
      </w:r>
      <w:r w:rsidR="00154CF7">
        <w:rPr>
          <w:noProof/>
        </w:rPr>
        <w:t>1</w:t>
      </w:r>
      <w:r w:rsidRPr="00975E6B">
        <w:fldChar w:fldCharType="end"/>
      </w:r>
      <w:r w:rsidRPr="00975E6B">
        <w:t xml:space="preserve"> </w:t>
      </w:r>
      <w:r w:rsidR="00153031">
        <w:t>illustrate</w:t>
      </w:r>
      <w:r w:rsidR="00153031" w:rsidRPr="00975E6B">
        <w:t xml:space="preserve">s </w:t>
      </w:r>
      <w:r w:rsidRPr="00975E6B">
        <w:t>that the average linking ratio (across all feeders) is above 90</w:t>
      </w:r>
      <w:r w:rsidR="00153031">
        <w:t> </w:t>
      </w:r>
      <w:r w:rsidRPr="00975E6B">
        <w:t xml:space="preserve">percent for all sampled </w:t>
      </w:r>
      <w:r w:rsidR="005E32A8" w:rsidRPr="00975E6B">
        <w:t xml:space="preserve">hospitals. </w:t>
      </w:r>
      <w:r w:rsidRPr="00975E6B">
        <w:t xml:space="preserve">Furthermore, the </w:t>
      </w:r>
      <w:r w:rsidR="005E32A8" w:rsidRPr="00975E6B">
        <w:t>accuracy in feeder system</w:t>
      </w:r>
      <w:r w:rsidR="003E7BF7" w:rsidRPr="00975E6B">
        <w:t>s</w:t>
      </w:r>
      <w:r w:rsidR="005E32A8" w:rsidRPr="00975E6B">
        <w:t xml:space="preserve"> remains high as the number of records processed by the hospital increases</w:t>
      </w:r>
      <w:r w:rsidRPr="00975E6B">
        <w:t>.</w:t>
      </w:r>
    </w:p>
    <w:p w:rsidR="006A0668" w:rsidRPr="00975E6B" w:rsidRDefault="006A0668" w:rsidP="006A0668">
      <w:pPr>
        <w:pStyle w:val="BodyText"/>
      </w:pPr>
      <w:r w:rsidRPr="00975E6B">
        <w:t>Common variances were noted in pharmacy systems, for reasons such as repeat prescriptions being filled up to 12 months from the original encounter and where the activity related to services provided to patients at other facilities. Other feeder systems such as pathology, imaging and prosthetics experienced variances due to issues of data quality at source with inappropriate date of service fields being populated</w:t>
      </w:r>
      <w:r w:rsidR="004862C4" w:rsidRPr="00975E6B">
        <w:t xml:space="preserve"> (a</w:t>
      </w:r>
      <w:r w:rsidR="00CC1E4A" w:rsidRPr="00975E6B">
        <w:t>ccurate dates of service</w:t>
      </w:r>
      <w:r w:rsidRPr="00975E6B">
        <w:t xml:space="preserve"> enables linking using episode numbers</w:t>
      </w:r>
      <w:r w:rsidR="004862C4" w:rsidRPr="00975E6B">
        <w:t>)</w:t>
      </w:r>
      <w:r w:rsidRPr="00975E6B">
        <w:t xml:space="preserve">. It should be noted that most of these systems are not audited for their own primary purpose, let alone for costing purposes. </w:t>
      </w:r>
    </w:p>
    <w:p w:rsidR="001E034E" w:rsidRPr="00975E6B" w:rsidRDefault="00906629" w:rsidP="001E034E">
      <w:pPr>
        <w:pStyle w:val="BodyText"/>
      </w:pPr>
      <w:r w:rsidRPr="00975E6B">
        <w:t>For 13 of the 14 hospitals</w:t>
      </w:r>
      <w:r w:rsidR="00B27D1D" w:rsidRPr="00975E6B">
        <w:t>/LHNs</w:t>
      </w:r>
      <w:r w:rsidRPr="00975E6B">
        <w:t xml:space="preserve"> sampled, n</w:t>
      </w:r>
      <w:r w:rsidR="001E034E" w:rsidRPr="00975E6B">
        <w:t xml:space="preserve">o variances were noted in the transfer of activity data from </w:t>
      </w:r>
      <w:r w:rsidRPr="00975E6B">
        <w:t xml:space="preserve">the </w:t>
      </w:r>
      <w:r w:rsidR="001E034E" w:rsidRPr="00975E6B">
        <w:t>hospitals/LHNs</w:t>
      </w:r>
      <w:r w:rsidR="006C69F8" w:rsidRPr="00975E6B">
        <w:t>,</w:t>
      </w:r>
      <w:r w:rsidR="001E034E" w:rsidRPr="00975E6B">
        <w:t xml:space="preserve"> to the jurisdiction and </w:t>
      </w:r>
      <w:r w:rsidR="006C69F8" w:rsidRPr="00975E6B">
        <w:t>then onto</w:t>
      </w:r>
      <w:r w:rsidR="001E034E" w:rsidRPr="00975E6B">
        <w:t xml:space="preserve"> IHPA. A variance was noted for St</w:t>
      </w:r>
      <w:r w:rsidR="00B27D1D" w:rsidRPr="00975E6B">
        <w:t> </w:t>
      </w:r>
      <w:r w:rsidR="001E034E" w:rsidRPr="00975E6B">
        <w:t xml:space="preserve">Vincent’s Hospital in </w:t>
      </w:r>
      <w:r w:rsidR="00B64F77" w:rsidRPr="00975E6B">
        <w:t>Victoria</w:t>
      </w:r>
      <w:r w:rsidR="001E034E" w:rsidRPr="00975E6B">
        <w:t xml:space="preserve"> between the activity submitted</w:t>
      </w:r>
      <w:r w:rsidR="006C69F8" w:rsidRPr="00975E6B">
        <w:t xml:space="preserve"> to</w:t>
      </w:r>
      <w:r w:rsidR="00945873" w:rsidRPr="00975E6B">
        <w:t>,</w:t>
      </w:r>
      <w:r w:rsidR="001E034E" w:rsidRPr="00975E6B">
        <w:t xml:space="preserve"> and the activity received by</w:t>
      </w:r>
      <w:r w:rsidR="00945873" w:rsidRPr="00975E6B">
        <w:t>,</w:t>
      </w:r>
      <w:r w:rsidR="001E034E" w:rsidRPr="00975E6B">
        <w:t xml:space="preserve"> the jurisdiction. This variance represented 0.1</w:t>
      </w:r>
      <w:r w:rsidR="00DA7807" w:rsidRPr="00975E6B">
        <w:t> percent</w:t>
      </w:r>
      <w:r w:rsidR="001E034E" w:rsidRPr="00975E6B">
        <w:t xml:space="preserve"> of the total data submitted to the jurisdiction</w:t>
      </w:r>
      <w:r w:rsidR="00962729">
        <w:t xml:space="preserve"> and related to timing issues</w:t>
      </w:r>
      <w:r w:rsidR="001E034E" w:rsidRPr="00975E6B">
        <w:t>.</w:t>
      </w:r>
    </w:p>
    <w:p w:rsidR="001E034E" w:rsidRPr="00975E6B" w:rsidRDefault="001E034E" w:rsidP="00532F1B">
      <w:pPr>
        <w:pStyle w:val="Heading3"/>
        <w:numPr>
          <w:ilvl w:val="2"/>
          <w:numId w:val="77"/>
        </w:numPr>
      </w:pPr>
      <w:r w:rsidRPr="00975E6B">
        <w:t xml:space="preserve">Treatment of </w:t>
      </w:r>
      <w:r w:rsidR="00DA7807" w:rsidRPr="00975E6B">
        <w:t>WIP</w:t>
      </w:r>
    </w:p>
    <w:p w:rsidR="002C412E" w:rsidRDefault="00DB1C0A" w:rsidP="002C412E">
      <w:pPr>
        <w:pStyle w:val="BodyText"/>
      </w:pPr>
      <w:r>
        <w:t xml:space="preserve">On review of the AHPCS </w:t>
      </w:r>
      <w:r w:rsidR="002C412E" w:rsidRPr="00975E6B">
        <w:rPr>
          <w:i/>
        </w:rPr>
        <w:t xml:space="preserve">COST 5.002: Treatment of </w:t>
      </w:r>
      <w:r w:rsidR="002C412E" w:rsidRPr="008A0838">
        <w:rPr>
          <w:i/>
        </w:rPr>
        <w:t>Work</w:t>
      </w:r>
      <w:r w:rsidR="002C412E">
        <w:rPr>
          <w:i/>
        </w:rPr>
        <w:t>-</w:t>
      </w:r>
      <w:r w:rsidR="002C412E" w:rsidRPr="00BA09D6">
        <w:rPr>
          <w:i/>
        </w:rPr>
        <w:t>In</w:t>
      </w:r>
      <w:r w:rsidR="002C412E">
        <w:rPr>
          <w:i/>
        </w:rPr>
        <w:t>-</w:t>
      </w:r>
      <w:r w:rsidR="002C412E" w:rsidRPr="00BA09D6">
        <w:rPr>
          <w:i/>
        </w:rPr>
        <w:t>Progress</w:t>
      </w:r>
      <w:r w:rsidR="002C412E" w:rsidRPr="00975E6B">
        <w:t xml:space="preserve"> </w:t>
      </w:r>
      <w:r w:rsidR="002C412E">
        <w:rPr>
          <w:i/>
        </w:rPr>
        <w:t xml:space="preserve">Costs, </w:t>
      </w:r>
      <w:r w:rsidR="002C412E" w:rsidRPr="00975E6B">
        <w:t xml:space="preserve">jurisdictions </w:t>
      </w:r>
      <w:r w:rsidR="009A7D2E">
        <w:t xml:space="preserve">were found to apply </w:t>
      </w:r>
      <w:r w:rsidR="002C412E" w:rsidRPr="00975E6B">
        <w:t xml:space="preserve">similar approaches to costing </w:t>
      </w:r>
      <w:r w:rsidR="002C412E">
        <w:t>work-i</w:t>
      </w:r>
      <w:r w:rsidR="002C412E" w:rsidRPr="00975E6B">
        <w:t>n</w:t>
      </w:r>
      <w:r w:rsidR="002C412E">
        <w:t>-p</w:t>
      </w:r>
      <w:r w:rsidR="002C412E" w:rsidRPr="00975E6B">
        <w:t>rogress (WIP) (where patient admission and discharge occur in different financial years) for each of the sampled hospitals.</w:t>
      </w:r>
      <w:r w:rsidR="002C412E">
        <w:t xml:space="preserve"> However, the treatment and reporting of WIP costs to the NHCDC in Round 18 was found to vary significantly between jurisdictions. While IHPA produced a circular to guide jurisdictions in reporting these costs, during</w:t>
      </w:r>
      <w:r w:rsidR="002C412E" w:rsidRPr="00975E6B">
        <w:t xml:space="preserve"> the </w:t>
      </w:r>
      <w:r w:rsidR="002C412E">
        <w:t>review</w:t>
      </w:r>
      <w:r w:rsidR="002C412E" w:rsidRPr="00975E6B">
        <w:t xml:space="preserve"> a number of jurisdictional representatives indicated that they were not willing to escalate WIP costs as </w:t>
      </w:r>
      <w:r w:rsidR="002C412E">
        <w:t xml:space="preserve">per IHPA’s guidelines. </w:t>
      </w:r>
    </w:p>
    <w:p w:rsidR="002C412E" w:rsidRPr="00975E6B" w:rsidRDefault="002C412E" w:rsidP="002C412E">
      <w:pPr>
        <w:pStyle w:val="BodyText"/>
      </w:pPr>
      <w:r>
        <w:t xml:space="preserve">The guidelines </w:t>
      </w:r>
      <w:r w:rsidRPr="00975E6B">
        <w:t xml:space="preserve">advise that all </w:t>
      </w:r>
      <w:r>
        <w:t xml:space="preserve">costs incurred in a previous round should have an escalation factor applied </w:t>
      </w:r>
      <w:r w:rsidRPr="00975E6B">
        <w:t>to bring them into real dollars</w:t>
      </w:r>
      <w:r>
        <w:t xml:space="preserve">. This was considered incorrect by some </w:t>
      </w:r>
      <w:r>
        <w:lastRenderedPageBreak/>
        <w:t xml:space="preserve">representatives on the basis that </w:t>
      </w:r>
      <w:r w:rsidRPr="00975E6B">
        <w:t>costs should remain as reported in the year they were collected</w:t>
      </w:r>
      <w:r>
        <w:t>,</w:t>
      </w:r>
      <w:r w:rsidRPr="00975E6B">
        <w:t xml:space="preserve"> </w:t>
      </w:r>
      <w:r>
        <w:t>and</w:t>
      </w:r>
      <w:r w:rsidRPr="00975E6B">
        <w:t xml:space="preserve"> </w:t>
      </w:r>
      <w:r>
        <w:t>that applying an</w:t>
      </w:r>
      <w:r w:rsidRPr="00975E6B">
        <w:t xml:space="preserve"> escalation factor </w:t>
      </w:r>
      <w:r>
        <w:t>would undermine</w:t>
      </w:r>
      <w:r w:rsidRPr="00975E6B">
        <w:t xml:space="preserve"> the </w:t>
      </w:r>
      <w:r>
        <w:t>value</w:t>
      </w:r>
      <w:r w:rsidRPr="00975E6B">
        <w:t xml:space="preserve"> </w:t>
      </w:r>
      <w:r>
        <w:t>of</w:t>
      </w:r>
      <w:r w:rsidRPr="00975E6B">
        <w:t xml:space="preserve"> the NHCDC data set </w:t>
      </w:r>
      <w:r>
        <w:t>as a benchmarking tool across years. The following wa</w:t>
      </w:r>
      <w:r w:rsidRPr="00975E6B">
        <w:t xml:space="preserve">s noted about the adjustments for </w:t>
      </w:r>
      <w:r>
        <w:t xml:space="preserve">reporting </w:t>
      </w:r>
      <w:r w:rsidRPr="00975E6B">
        <w:t xml:space="preserve">WIP </w:t>
      </w:r>
      <w:r>
        <w:t>to</w:t>
      </w:r>
      <w:r w:rsidRPr="00975E6B">
        <w:t xml:space="preserve"> the </w:t>
      </w:r>
      <w:r>
        <w:t>NHCDC for Round 18</w:t>
      </w:r>
      <w:r w:rsidRPr="00975E6B">
        <w:t>:</w:t>
      </w:r>
    </w:p>
    <w:p w:rsidR="002C412E" w:rsidRPr="00975E6B" w:rsidRDefault="002C412E" w:rsidP="00F26328">
      <w:pPr>
        <w:pStyle w:val="BodyText"/>
        <w:numPr>
          <w:ilvl w:val="0"/>
          <w:numId w:val="51"/>
        </w:numPr>
      </w:pPr>
      <w:r w:rsidRPr="00975E6B">
        <w:t>All jurisdictions submitted costs for hospitals for admitted and discharged patients in 2013/14.</w:t>
      </w:r>
    </w:p>
    <w:p w:rsidR="002C412E" w:rsidRPr="00975E6B" w:rsidRDefault="002C412E" w:rsidP="00F26328">
      <w:pPr>
        <w:pStyle w:val="BodyText"/>
        <w:numPr>
          <w:ilvl w:val="0"/>
          <w:numId w:val="51"/>
        </w:numPr>
      </w:pPr>
      <w:r w:rsidRPr="00975E6B">
        <w:t xml:space="preserve">Costs for patients not discharged at 30 June 2014 were excluded by all jurisdictions. </w:t>
      </w:r>
    </w:p>
    <w:p w:rsidR="002C412E" w:rsidRPr="00975E6B" w:rsidRDefault="002C412E" w:rsidP="00F26328">
      <w:pPr>
        <w:pStyle w:val="BodyText"/>
        <w:numPr>
          <w:ilvl w:val="0"/>
          <w:numId w:val="51"/>
        </w:numPr>
      </w:pPr>
      <w:r w:rsidRPr="00975E6B">
        <w:t>Costs for patients discharged in 2013/14 but incurred in prior years were submitted by all jurisdictions, with the exception of NT.</w:t>
      </w:r>
    </w:p>
    <w:p w:rsidR="002C412E" w:rsidRPr="00975E6B" w:rsidRDefault="002C412E" w:rsidP="00F26328">
      <w:pPr>
        <w:pStyle w:val="BodyText"/>
        <w:numPr>
          <w:ilvl w:val="0"/>
          <w:numId w:val="51"/>
        </w:numPr>
      </w:pPr>
      <w:r w:rsidRPr="00975E6B">
        <w:t>NT adopted a new costing system for the Round 18 NHCDC submission and as such no prior year WIP was included.</w:t>
      </w:r>
    </w:p>
    <w:p w:rsidR="002C412E" w:rsidRPr="00975E6B" w:rsidRDefault="002C412E" w:rsidP="00F26328">
      <w:pPr>
        <w:pStyle w:val="BodyText"/>
        <w:numPr>
          <w:ilvl w:val="0"/>
          <w:numId w:val="51"/>
        </w:numPr>
      </w:pPr>
      <w:r w:rsidRPr="00975E6B">
        <w:t>WA did not include WIP costs prior to 2012/13 as it adopted a new costing system in Round</w:t>
      </w:r>
      <w:r>
        <w:t> </w:t>
      </w:r>
      <w:r w:rsidRPr="00975E6B">
        <w:t>17.</w:t>
      </w:r>
    </w:p>
    <w:p w:rsidR="002C412E" w:rsidRPr="00975E6B" w:rsidRDefault="002C412E" w:rsidP="00F26328">
      <w:pPr>
        <w:pStyle w:val="BodyText"/>
        <w:numPr>
          <w:ilvl w:val="0"/>
          <w:numId w:val="51"/>
        </w:numPr>
      </w:pPr>
      <w:r w:rsidRPr="00975E6B">
        <w:t>Both NSW and SA adjusted WIP for the escalation factor (where applicable) as prescribed by IHPA guidelines. Queensland, Tasmania, Victoria and WA did not adjust WIP for the escalation factor.</w:t>
      </w:r>
    </w:p>
    <w:p w:rsidR="001E034E" w:rsidRPr="003D346B" w:rsidRDefault="001E034E" w:rsidP="00532F1B">
      <w:pPr>
        <w:pStyle w:val="Heading3"/>
        <w:numPr>
          <w:ilvl w:val="2"/>
          <w:numId w:val="77"/>
        </w:numPr>
      </w:pPr>
      <w:r w:rsidRPr="003D346B">
        <w:t>Application of AHPCS Version 3.1</w:t>
      </w:r>
    </w:p>
    <w:p w:rsidR="001E034E" w:rsidRPr="00975E6B" w:rsidRDefault="001E034E" w:rsidP="001E034E">
      <w:pPr>
        <w:pStyle w:val="BodyText"/>
      </w:pPr>
      <w:r w:rsidRPr="00975E6B">
        <w:t>The application of the selected standards from AHPCS Version 3.1 across the jurisdictions was mostly consistent with the exception of the following:</w:t>
      </w:r>
    </w:p>
    <w:p w:rsidR="00962729" w:rsidRPr="00616472" w:rsidRDefault="001D0896" w:rsidP="00F26328">
      <w:pPr>
        <w:pStyle w:val="BodyText"/>
        <w:numPr>
          <w:ilvl w:val="0"/>
          <w:numId w:val="55"/>
        </w:numPr>
      </w:pPr>
      <w:r w:rsidRPr="00975E6B">
        <w:rPr>
          <w:i/>
        </w:rPr>
        <w:t>SCP 2.003: Product Costs in Scope</w:t>
      </w:r>
      <w:r w:rsidRPr="00975E6B">
        <w:t xml:space="preserve"> </w:t>
      </w:r>
      <w:r w:rsidR="00962729">
        <w:t xml:space="preserve">– The following items are noted in relation to the </w:t>
      </w:r>
      <w:r w:rsidR="00962729" w:rsidRPr="00616472">
        <w:t>application of this cost standard:</w:t>
      </w:r>
    </w:p>
    <w:p w:rsidR="001D0896" w:rsidRPr="00F87AA7" w:rsidRDefault="001D0896" w:rsidP="00F26328">
      <w:pPr>
        <w:pStyle w:val="BodyText"/>
        <w:numPr>
          <w:ilvl w:val="0"/>
          <w:numId w:val="55"/>
        </w:numPr>
        <w:tabs>
          <w:tab w:val="clear" w:pos="340"/>
          <w:tab w:val="num" w:pos="680"/>
        </w:tabs>
        <w:ind w:left="680"/>
      </w:pPr>
      <w:r w:rsidRPr="00F87AA7">
        <w:t>Depreciation and Amortisation is excluded from the Victoria hospital submissions.</w:t>
      </w:r>
    </w:p>
    <w:p w:rsidR="00962729" w:rsidRPr="00F87AA7" w:rsidRDefault="00962729" w:rsidP="00F26328">
      <w:pPr>
        <w:pStyle w:val="BodyText"/>
        <w:numPr>
          <w:ilvl w:val="0"/>
          <w:numId w:val="55"/>
        </w:numPr>
        <w:tabs>
          <w:tab w:val="clear" w:pos="340"/>
          <w:tab w:val="num" w:pos="680"/>
        </w:tabs>
        <w:ind w:left="680"/>
      </w:pPr>
      <w:r w:rsidRPr="00F87AA7">
        <w:t>NSW LHDs do not submit S100 drugs for non-admitted services.</w:t>
      </w:r>
    </w:p>
    <w:p w:rsidR="00962729" w:rsidRPr="00616472" w:rsidRDefault="00962729" w:rsidP="00F26328">
      <w:pPr>
        <w:pStyle w:val="BodyText"/>
        <w:numPr>
          <w:ilvl w:val="0"/>
          <w:numId w:val="55"/>
        </w:numPr>
        <w:tabs>
          <w:tab w:val="clear" w:pos="340"/>
          <w:tab w:val="num" w:pos="680"/>
        </w:tabs>
        <w:ind w:left="680"/>
      </w:pPr>
      <w:r w:rsidRPr="00F87AA7">
        <w:t>Patient travel costs are significant in NT</w:t>
      </w:r>
      <w:r w:rsidR="00F87AA7" w:rsidRPr="008B40BB">
        <w:t>.</w:t>
      </w:r>
    </w:p>
    <w:p w:rsidR="001D0896" w:rsidRPr="00975E6B" w:rsidRDefault="001D0896" w:rsidP="00F26328">
      <w:pPr>
        <w:pStyle w:val="BodyText"/>
        <w:numPr>
          <w:ilvl w:val="0"/>
          <w:numId w:val="55"/>
        </w:numPr>
      </w:pPr>
      <w:r w:rsidRPr="00975E6B">
        <w:rPr>
          <w:i/>
        </w:rPr>
        <w:t>SCP 2A.003: Teaching and training Costs and SCP 2B.002: Research Costs</w:t>
      </w:r>
      <w:r w:rsidRPr="00975E6B">
        <w:t xml:space="preserve"> – Jurisdictions adopt varied approaches to TTR costs.</w:t>
      </w:r>
    </w:p>
    <w:p w:rsidR="001D0896" w:rsidRPr="00975E6B" w:rsidRDefault="001D0896" w:rsidP="00F26328">
      <w:pPr>
        <w:pStyle w:val="BodyText"/>
        <w:numPr>
          <w:ilvl w:val="0"/>
          <w:numId w:val="55"/>
        </w:numPr>
      </w:pPr>
      <w:r w:rsidRPr="00975E6B">
        <w:rPr>
          <w:i/>
        </w:rPr>
        <w:t xml:space="preserve">SCP 3C.001: Matching Production and Cost – Commercial Business Entities </w:t>
      </w:r>
      <w:r w:rsidRPr="00975E6B">
        <w:t>– the hospitals sampled for Victoria did not exclude the costs of entities such as the café from hospital expenditure, however, it was noted that these costs were not significant.</w:t>
      </w:r>
    </w:p>
    <w:p w:rsidR="00FF09D7" w:rsidRDefault="001D0896" w:rsidP="00F26328">
      <w:pPr>
        <w:pStyle w:val="BodyText"/>
        <w:numPr>
          <w:ilvl w:val="0"/>
          <w:numId w:val="55"/>
        </w:numPr>
      </w:pPr>
      <w:r w:rsidRPr="00975E6B">
        <w:rPr>
          <w:i/>
        </w:rPr>
        <w:t>GL 2.004: Account Code Mapping to Line Items</w:t>
      </w:r>
      <w:r w:rsidRPr="00975E6B">
        <w:t xml:space="preserve"> - </w:t>
      </w:r>
      <w:r w:rsidR="00962729" w:rsidRPr="00962729">
        <w:t>Victorian cost data is mapped to the NHCDC by the jurisdiction based on data submitted by hospitals to the VCDC rather than mapped directly by hospitals</w:t>
      </w:r>
      <w:r w:rsidRPr="00975E6B">
        <w:t xml:space="preserve">. </w:t>
      </w:r>
      <w:r w:rsidR="00FF09D7">
        <w:t>This applies to the NSW submission also (i.e</w:t>
      </w:r>
      <w:r w:rsidR="00E8783D">
        <w:t>.</w:t>
      </w:r>
      <w:r w:rsidR="00FF09D7">
        <w:t xml:space="preserve"> the ABF Taskforce in NSW maps the NSW codes to the NHCDC.) </w:t>
      </w:r>
    </w:p>
    <w:p w:rsidR="001D0896" w:rsidRPr="00975E6B" w:rsidRDefault="001D0896" w:rsidP="008B40BB">
      <w:pPr>
        <w:pStyle w:val="BodyText"/>
        <w:ind w:left="340"/>
      </w:pPr>
      <w:r w:rsidRPr="00975E6B">
        <w:t>Furthermore, Queensland and NSW noted in the interview process that there were inconsistencies in the Depreciation reporting requirement between the AHPCS and the NHCDC</w:t>
      </w:r>
      <w:r w:rsidR="008F7FB1" w:rsidRPr="00975E6B">
        <w:t xml:space="preserve"> Data Request Specifications</w:t>
      </w:r>
      <w:r w:rsidRPr="00975E6B">
        <w:t xml:space="preserve"> </w:t>
      </w:r>
      <w:r w:rsidR="008F7FB1" w:rsidRPr="00975E6B">
        <w:t>(</w:t>
      </w:r>
      <w:r w:rsidRPr="00975E6B">
        <w:t>DRS</w:t>
      </w:r>
      <w:r w:rsidR="008F7FB1" w:rsidRPr="00975E6B">
        <w:t>)</w:t>
      </w:r>
      <w:r w:rsidRPr="00975E6B">
        <w:t>. Specifically the AHPCS requires Depreciation (</w:t>
      </w:r>
      <w:proofErr w:type="spellStart"/>
      <w:r w:rsidRPr="00975E6B">
        <w:t>Deprec</w:t>
      </w:r>
      <w:proofErr w:type="spellEnd"/>
      <w:r w:rsidRPr="00975E6B">
        <w:t xml:space="preserve">) in full whilst the DRS </w:t>
      </w:r>
      <w:proofErr w:type="gramStart"/>
      <w:r w:rsidRPr="00975E6B">
        <w:t>requires</w:t>
      </w:r>
      <w:proofErr w:type="gramEnd"/>
      <w:r w:rsidRPr="00975E6B">
        <w:t xml:space="preserve"> depreciation to be split for Building Depreciation (</w:t>
      </w:r>
      <w:proofErr w:type="spellStart"/>
      <w:r w:rsidRPr="00975E6B">
        <w:t>DeprecB</w:t>
      </w:r>
      <w:proofErr w:type="spellEnd"/>
      <w:r w:rsidRPr="00975E6B">
        <w:t>) and Equipment Depreciation (</w:t>
      </w:r>
      <w:proofErr w:type="spellStart"/>
      <w:r w:rsidRPr="00975E6B">
        <w:t>DeprecE</w:t>
      </w:r>
      <w:proofErr w:type="spellEnd"/>
      <w:r w:rsidRPr="00975E6B">
        <w:t xml:space="preserve">) at NHCDC line item level. </w:t>
      </w:r>
    </w:p>
    <w:p w:rsidR="001D0896" w:rsidRPr="00975E6B" w:rsidRDefault="001D0896" w:rsidP="00F26328">
      <w:pPr>
        <w:pStyle w:val="BodyText"/>
        <w:numPr>
          <w:ilvl w:val="0"/>
          <w:numId w:val="66"/>
        </w:numPr>
      </w:pPr>
      <w:r w:rsidRPr="00975E6B">
        <w:rPr>
          <w:i/>
        </w:rPr>
        <w:lastRenderedPageBreak/>
        <w:t>COST 5.002: Treatment of Work-In-Progress Costs</w:t>
      </w:r>
      <w:r w:rsidRPr="00975E6B">
        <w:t xml:space="preserve"> – NT did not include WIP from prior years in Round 18 due to the introduction of new costing software. Likewise, for WA, any costs prior to 2012/13 were not included as new costing software was implemented in Round 17.</w:t>
      </w:r>
    </w:p>
    <w:p w:rsidR="00314B5A" w:rsidRPr="00975E6B" w:rsidRDefault="001E034E" w:rsidP="003B387A">
      <w:pPr>
        <w:pStyle w:val="Heading2"/>
        <w:numPr>
          <w:ilvl w:val="1"/>
          <w:numId w:val="77"/>
        </w:numPr>
      </w:pPr>
      <w:bookmarkStart w:id="48" w:name="_Toc435440342"/>
      <w:bookmarkStart w:id="49" w:name="_Toc435468581"/>
      <w:bookmarkStart w:id="50" w:name="_Toc435440343"/>
      <w:bookmarkStart w:id="51" w:name="_Toc435468582"/>
      <w:bookmarkStart w:id="52" w:name="_Toc435440344"/>
      <w:bookmarkStart w:id="53" w:name="_Toc435468583"/>
      <w:bookmarkStart w:id="54" w:name="_Toc435440345"/>
      <w:bookmarkStart w:id="55" w:name="_Toc435468584"/>
      <w:bookmarkStart w:id="56" w:name="_Toc435440346"/>
      <w:bookmarkStart w:id="57" w:name="_Toc435468585"/>
      <w:bookmarkStart w:id="58" w:name="_Toc444523648"/>
      <w:bookmarkEnd w:id="48"/>
      <w:bookmarkEnd w:id="49"/>
      <w:bookmarkEnd w:id="50"/>
      <w:bookmarkEnd w:id="51"/>
      <w:bookmarkEnd w:id="52"/>
      <w:bookmarkEnd w:id="53"/>
      <w:bookmarkEnd w:id="54"/>
      <w:bookmarkEnd w:id="55"/>
      <w:bookmarkEnd w:id="56"/>
      <w:bookmarkEnd w:id="57"/>
      <w:r w:rsidRPr="006C3F19">
        <w:t>Recommendations</w:t>
      </w:r>
      <w:bookmarkEnd w:id="58"/>
    </w:p>
    <w:p w:rsidR="00314B5A" w:rsidRPr="00975E6B" w:rsidRDefault="0036121B" w:rsidP="00F71180">
      <w:pPr>
        <w:pStyle w:val="BodyText"/>
      </w:pPr>
      <w:r w:rsidRPr="00975E6B">
        <w:t xml:space="preserve">Noting the changes and developments implemented for Round 18 by jurisdictions and IHPA, the review team </w:t>
      </w:r>
      <w:r w:rsidR="007806D9" w:rsidRPr="00975E6B">
        <w:t xml:space="preserve">sought </w:t>
      </w:r>
      <w:r w:rsidRPr="00975E6B">
        <w:t xml:space="preserve">to identify potential areas where NHCDC processes could be improved to further enhance the value of NHCDC data and better streamline the submission process going forward. </w:t>
      </w:r>
      <w:r w:rsidR="008F7FB1" w:rsidRPr="00975E6B">
        <w:t xml:space="preserve">Four </w:t>
      </w:r>
      <w:r w:rsidRPr="00975E6B">
        <w:t xml:space="preserve">key recommendations are made to improve data and processes for future NHCDC rounds. </w:t>
      </w:r>
    </w:p>
    <w:p w:rsidR="001E034E" w:rsidRPr="00975E6B" w:rsidRDefault="001E034E" w:rsidP="003B387A">
      <w:pPr>
        <w:pStyle w:val="Heading3"/>
        <w:numPr>
          <w:ilvl w:val="2"/>
          <w:numId w:val="77"/>
        </w:numPr>
      </w:pPr>
      <w:r w:rsidRPr="00975E6B">
        <w:t>Reconciliation templates</w:t>
      </w:r>
    </w:p>
    <w:p w:rsidR="00314B5A" w:rsidRPr="00975E6B" w:rsidRDefault="007806D9" w:rsidP="001E034E">
      <w:pPr>
        <w:pStyle w:val="BodyText"/>
      </w:pPr>
      <w:r w:rsidRPr="00975E6B">
        <w:t>For reconciliation purposes, i</w:t>
      </w:r>
      <w:r w:rsidR="001E034E" w:rsidRPr="00975E6B">
        <w:t xml:space="preserve">t is important that the submission of cost and activity data can be followed from the hospital GL, to the jurisdiction for adjustments and finally to IHPA for storage in the NHCDC national dataset. </w:t>
      </w:r>
      <w:r w:rsidR="00213482" w:rsidRPr="00975E6B">
        <w:t>This improves the transparency and robustness of the financial reconciliation process.</w:t>
      </w:r>
    </w:p>
    <w:p w:rsidR="001E034E" w:rsidRPr="00975E6B" w:rsidRDefault="000122F5" w:rsidP="001E034E">
      <w:pPr>
        <w:pStyle w:val="BodyText"/>
      </w:pPr>
      <w:r w:rsidRPr="00975E6B">
        <w:t>To facilitate this process, it is recommended that financial</w:t>
      </w:r>
      <w:r w:rsidR="001E034E" w:rsidRPr="00975E6B">
        <w:t xml:space="preserve"> reconciliation templates </w:t>
      </w:r>
      <w:r w:rsidRPr="00975E6B">
        <w:t xml:space="preserve">form </w:t>
      </w:r>
      <w:r w:rsidR="001E034E" w:rsidRPr="00975E6B">
        <w:t xml:space="preserve">part of the NHCDC submission </w:t>
      </w:r>
      <w:r w:rsidRPr="00975E6B">
        <w:t xml:space="preserve">process for </w:t>
      </w:r>
      <w:r w:rsidR="001E034E" w:rsidRPr="00975E6B">
        <w:t xml:space="preserve">jurisdictions. </w:t>
      </w:r>
      <w:r w:rsidRPr="00975E6B">
        <w:t>I</w:t>
      </w:r>
      <w:r w:rsidR="001E034E" w:rsidRPr="00975E6B">
        <w:t xml:space="preserve">mportant </w:t>
      </w:r>
      <w:r w:rsidRPr="00975E6B">
        <w:t xml:space="preserve">factors to </w:t>
      </w:r>
      <w:r w:rsidR="001E034E" w:rsidRPr="00975E6B">
        <w:t xml:space="preserve">consider </w:t>
      </w:r>
      <w:r w:rsidRPr="00975E6B">
        <w:t xml:space="preserve">when </w:t>
      </w:r>
      <w:r w:rsidR="001E034E" w:rsidRPr="00975E6B">
        <w:t>implement</w:t>
      </w:r>
      <w:r w:rsidRPr="00975E6B">
        <w:t>ing</w:t>
      </w:r>
      <w:r w:rsidR="001E034E" w:rsidRPr="00975E6B">
        <w:t xml:space="preserve"> this recommendation</w:t>
      </w:r>
      <w:r w:rsidRPr="00975E6B">
        <w:t xml:space="preserve"> include</w:t>
      </w:r>
      <w:r w:rsidR="001E034E" w:rsidRPr="00975E6B">
        <w:t>:</w:t>
      </w:r>
    </w:p>
    <w:p w:rsidR="001E034E" w:rsidRPr="00975E6B" w:rsidRDefault="00053562" w:rsidP="00F26328">
      <w:pPr>
        <w:pStyle w:val="BodyText"/>
        <w:numPr>
          <w:ilvl w:val="0"/>
          <w:numId w:val="50"/>
        </w:numPr>
      </w:pPr>
      <w:r w:rsidRPr="00975E6B">
        <w:t xml:space="preserve">The templates, </w:t>
      </w:r>
      <w:r w:rsidR="00393BBE" w:rsidRPr="00975E6B">
        <w:t>covering</w:t>
      </w:r>
      <w:r w:rsidRPr="00975E6B">
        <w:t xml:space="preserve"> both financial and activity data, should present the end-to-end reconciliation. That is, data should flow from the hospital to the jurisdiction and to IHPA for transformation and storage in the NHCDC national dataset. Detail should be provided for all adjustments at each step of the process.</w:t>
      </w:r>
    </w:p>
    <w:p w:rsidR="001E034E" w:rsidRPr="00975E6B" w:rsidRDefault="001E034E" w:rsidP="00F26328">
      <w:pPr>
        <w:pStyle w:val="BodyText"/>
        <w:numPr>
          <w:ilvl w:val="0"/>
          <w:numId w:val="50"/>
        </w:numPr>
      </w:pPr>
      <w:r w:rsidRPr="00975E6B">
        <w:t xml:space="preserve">The templates submitted by the jurisdictions </w:t>
      </w:r>
      <w:r w:rsidR="00053562" w:rsidRPr="00975E6B">
        <w:t>sh</w:t>
      </w:r>
      <w:r w:rsidRPr="00975E6B">
        <w:t>ould include the hospital/LHN and jurisdiction information</w:t>
      </w:r>
      <w:r w:rsidR="00395C44" w:rsidRPr="00975E6B">
        <w:t xml:space="preserve">. </w:t>
      </w:r>
      <w:r w:rsidRPr="00975E6B">
        <w:t xml:space="preserve">IHPA </w:t>
      </w:r>
      <w:r w:rsidR="00053562" w:rsidRPr="00975E6B">
        <w:t>should</w:t>
      </w:r>
      <w:r w:rsidRPr="00975E6B">
        <w:t xml:space="preserve"> complete the remainder of the template post data transformation and </w:t>
      </w:r>
      <w:r w:rsidR="00053562" w:rsidRPr="00975E6B">
        <w:t>return</w:t>
      </w:r>
      <w:r w:rsidRPr="00975E6B">
        <w:t xml:space="preserve"> to jurisdictions</w:t>
      </w:r>
      <w:r w:rsidR="00053562" w:rsidRPr="00975E6B">
        <w:t>.</w:t>
      </w:r>
    </w:p>
    <w:p w:rsidR="001E034E" w:rsidRPr="00975E6B" w:rsidRDefault="001E034E" w:rsidP="00F26328">
      <w:pPr>
        <w:pStyle w:val="BodyText"/>
        <w:numPr>
          <w:ilvl w:val="0"/>
          <w:numId w:val="29"/>
        </w:numPr>
      </w:pPr>
      <w:r w:rsidRPr="00975E6B">
        <w:t xml:space="preserve">Variances in the approaches and/or software implemented </w:t>
      </w:r>
      <w:r w:rsidR="00053562" w:rsidRPr="00975E6B">
        <w:t xml:space="preserve">by </w:t>
      </w:r>
      <w:r w:rsidRPr="00975E6B">
        <w:t xml:space="preserve">each of the jurisdictions </w:t>
      </w:r>
      <w:r w:rsidR="00053562" w:rsidRPr="00975E6B">
        <w:t>should</w:t>
      </w:r>
      <w:r w:rsidRPr="00975E6B">
        <w:t xml:space="preserve"> be considered in the design of templates</w:t>
      </w:r>
      <w:r w:rsidR="00053562" w:rsidRPr="00975E6B">
        <w:t xml:space="preserve"> </w:t>
      </w:r>
      <w:r w:rsidRPr="00975E6B">
        <w:t>to ensure there is flexibility in the completion of the templates to account for the</w:t>
      </w:r>
      <w:r w:rsidR="00395C44" w:rsidRPr="00975E6B">
        <w:t>se</w:t>
      </w:r>
      <w:r w:rsidRPr="00975E6B">
        <w:t xml:space="preserve"> difference</w:t>
      </w:r>
      <w:r w:rsidR="00053562" w:rsidRPr="00975E6B">
        <w:t>s.</w:t>
      </w:r>
    </w:p>
    <w:p w:rsidR="001E034E" w:rsidRPr="00975E6B" w:rsidRDefault="001E034E" w:rsidP="00F26328">
      <w:pPr>
        <w:pStyle w:val="BodyText"/>
        <w:numPr>
          <w:ilvl w:val="0"/>
          <w:numId w:val="29"/>
        </w:numPr>
      </w:pPr>
      <w:r w:rsidRPr="00975E6B">
        <w:t>To ensure the validity and robustness of these templates, the requirement for executive level sign off before submission should be considered</w:t>
      </w:r>
      <w:r w:rsidR="00053562" w:rsidRPr="00975E6B">
        <w:t>.</w:t>
      </w:r>
    </w:p>
    <w:p w:rsidR="00FC678B" w:rsidRPr="00975E6B" w:rsidRDefault="001E034E" w:rsidP="00F26328">
      <w:pPr>
        <w:pStyle w:val="BodyText"/>
        <w:numPr>
          <w:ilvl w:val="0"/>
          <w:numId w:val="29"/>
        </w:numPr>
      </w:pPr>
      <w:r w:rsidRPr="00975E6B">
        <w:t xml:space="preserve">Reconciliations of cost and activity data to source data is considered best practice and is already included in </w:t>
      </w:r>
      <w:r w:rsidRPr="00214C3C">
        <w:rPr>
          <w:i/>
        </w:rPr>
        <w:t>SCP 3G.001</w:t>
      </w:r>
      <w:r w:rsidR="00214C3C" w:rsidRPr="00214C3C">
        <w:rPr>
          <w:i/>
        </w:rPr>
        <w:t xml:space="preserve"> – Matching Production and Cost – Reconciliation to Source Data</w:t>
      </w:r>
      <w:r w:rsidRPr="00975E6B">
        <w:t xml:space="preserve"> of Version 3.1 AHPCS. The requirement to submit an end-to-end reconciliation template as part of NHCDC submission should be included in the AHPCS</w:t>
      </w:r>
      <w:r w:rsidR="00C50DA9" w:rsidRPr="00975E6B">
        <w:t xml:space="preserve">. </w:t>
      </w:r>
    </w:p>
    <w:p w:rsidR="00CF682E" w:rsidRPr="00975E6B" w:rsidRDefault="00CF682E" w:rsidP="003B387A">
      <w:pPr>
        <w:pStyle w:val="Heading3"/>
        <w:numPr>
          <w:ilvl w:val="2"/>
          <w:numId w:val="77"/>
        </w:numPr>
      </w:pPr>
      <w:r w:rsidRPr="00975E6B">
        <w:t>WIP and the escalation factor</w:t>
      </w:r>
    </w:p>
    <w:p w:rsidR="0001693B" w:rsidRDefault="00CF682E" w:rsidP="00CF682E">
      <w:pPr>
        <w:pStyle w:val="BodyText"/>
      </w:pPr>
      <w:r w:rsidRPr="00975E6B">
        <w:t xml:space="preserve">In its current form, </w:t>
      </w:r>
      <w:r w:rsidR="00B37DB4">
        <w:t xml:space="preserve">the </w:t>
      </w:r>
      <w:r w:rsidRPr="00975E6B">
        <w:t xml:space="preserve">AHPCS </w:t>
      </w:r>
      <w:r w:rsidRPr="00975E6B">
        <w:rPr>
          <w:i/>
        </w:rPr>
        <w:t>COST 5.002: Treatment of WIP</w:t>
      </w:r>
      <w:r w:rsidRPr="00975E6B">
        <w:t xml:space="preserve"> requires WIP to be reported and applied at the patient level. It does not provide guidance on how to cost WIP, or whether WIP costs from prior years </w:t>
      </w:r>
      <w:r w:rsidR="0001693B">
        <w:t>should</w:t>
      </w:r>
      <w:r w:rsidRPr="00975E6B">
        <w:t xml:space="preserve"> be escalated. In addition, the current NHCDC submission </w:t>
      </w:r>
      <w:r w:rsidR="0001693B">
        <w:t xml:space="preserve">requirements </w:t>
      </w:r>
      <w:r w:rsidRPr="00975E6B">
        <w:t xml:space="preserve">do not </w:t>
      </w:r>
      <w:r w:rsidR="0001693B">
        <w:t>allow</w:t>
      </w:r>
      <w:r w:rsidR="0001693B" w:rsidRPr="00975E6B">
        <w:t xml:space="preserve"> </w:t>
      </w:r>
      <w:r w:rsidRPr="00975E6B">
        <w:t xml:space="preserve">IHPA to identify WIP costs. </w:t>
      </w:r>
      <w:r w:rsidR="00245824">
        <w:t>I</w:t>
      </w:r>
      <w:r w:rsidR="0001693B">
        <w:t xml:space="preserve">HPA provides guidelines for </w:t>
      </w:r>
      <w:r w:rsidR="00524052">
        <w:t xml:space="preserve">reporting </w:t>
      </w:r>
      <w:r w:rsidR="00524052">
        <w:lastRenderedPageBreak/>
        <w:t>WIP</w:t>
      </w:r>
      <w:r w:rsidR="0001693B">
        <w:t xml:space="preserve"> to the NHCDC that includes the application of </w:t>
      </w:r>
      <w:r w:rsidR="00524052">
        <w:t xml:space="preserve">an </w:t>
      </w:r>
      <w:r w:rsidR="0001693B">
        <w:t xml:space="preserve">escalation factor </w:t>
      </w:r>
      <w:r w:rsidR="00245824">
        <w:t xml:space="preserve">however, </w:t>
      </w:r>
      <w:r w:rsidR="00524052">
        <w:t xml:space="preserve">it was clear from the review </w:t>
      </w:r>
      <w:r w:rsidR="008F7FB1" w:rsidRPr="00975E6B">
        <w:t>interviews</w:t>
      </w:r>
      <w:r w:rsidR="00524052">
        <w:t xml:space="preserve"> that </w:t>
      </w:r>
      <w:r w:rsidR="008F7FB1" w:rsidRPr="00975E6B">
        <w:t>jurisdiction</w:t>
      </w:r>
      <w:r w:rsidR="00524052">
        <w:t>s</w:t>
      </w:r>
      <w:r w:rsidR="0001693B">
        <w:t xml:space="preserve"> </w:t>
      </w:r>
      <w:r w:rsidR="00524052">
        <w:t xml:space="preserve">treat and report WIP costs differently. </w:t>
      </w:r>
    </w:p>
    <w:p w:rsidR="00CF682E" w:rsidRPr="00975E6B" w:rsidRDefault="00245824" w:rsidP="00CF682E">
      <w:pPr>
        <w:pStyle w:val="BodyText"/>
      </w:pPr>
      <w:r>
        <w:t>To ensure greater consistency in reporting these costs, i</w:t>
      </w:r>
      <w:r w:rsidR="00CF682E" w:rsidRPr="00975E6B">
        <w:t xml:space="preserve">t is recommended that IHPA consider methods for improving the </w:t>
      </w:r>
      <w:r w:rsidR="00393BBE" w:rsidRPr="00975E6B">
        <w:t xml:space="preserve">costing and </w:t>
      </w:r>
      <w:r w:rsidR="00CF682E" w:rsidRPr="00975E6B">
        <w:t>reporting of WIP</w:t>
      </w:r>
      <w:r w:rsidR="008F7FB1" w:rsidRPr="00975E6B">
        <w:t xml:space="preserve"> and escalation</w:t>
      </w:r>
      <w:r w:rsidR="00CF682E" w:rsidRPr="00975E6B">
        <w:t>, either through the NHCDC submission</w:t>
      </w:r>
      <w:r w:rsidR="005538F7" w:rsidRPr="00975E6B">
        <w:t>, the AHPCS</w:t>
      </w:r>
      <w:r w:rsidR="00CF682E" w:rsidRPr="00975E6B">
        <w:t xml:space="preserve"> or through other reporting methods. For example</w:t>
      </w:r>
      <w:r>
        <w:t>,</w:t>
      </w:r>
      <w:r w:rsidR="00CF682E" w:rsidRPr="00975E6B">
        <w:t xml:space="preserve"> a WIP cost centre could be included in the NHCDC submission which would make WIP identifiable, providing IHPA with WIP visibility</w:t>
      </w:r>
      <w:r w:rsidR="005D12ED" w:rsidRPr="00975E6B">
        <w:t xml:space="preserve">. </w:t>
      </w:r>
      <w:r w:rsidR="008F7FB1" w:rsidRPr="00975E6B">
        <w:t xml:space="preserve">In addition, a separate escalation cost centre would provide IHPA with flexibility to either include or exclude </w:t>
      </w:r>
      <w:r w:rsidR="00AC599C">
        <w:t>WIP</w:t>
      </w:r>
      <w:r w:rsidR="00AC599C" w:rsidRPr="00975E6B">
        <w:t xml:space="preserve"> </w:t>
      </w:r>
      <w:r w:rsidR="008F7FB1" w:rsidRPr="00975E6B">
        <w:t xml:space="preserve">from </w:t>
      </w:r>
      <w:r w:rsidR="00AC599C">
        <w:t>the NHCDC</w:t>
      </w:r>
      <w:r w:rsidR="008F7FB1" w:rsidRPr="00975E6B">
        <w:t xml:space="preserve"> and address cost (benchmarking) and price adjustment requirements.</w:t>
      </w:r>
    </w:p>
    <w:p w:rsidR="001E034E" w:rsidRPr="00975E6B" w:rsidRDefault="001E034E" w:rsidP="003B387A">
      <w:pPr>
        <w:pStyle w:val="Heading3"/>
        <w:numPr>
          <w:ilvl w:val="2"/>
          <w:numId w:val="77"/>
        </w:numPr>
      </w:pPr>
      <w:r w:rsidRPr="00975E6B">
        <w:t xml:space="preserve">Application of </w:t>
      </w:r>
      <w:r w:rsidR="00395C44" w:rsidRPr="00975E6B">
        <w:t xml:space="preserve">the </w:t>
      </w:r>
      <w:r w:rsidRPr="00975E6B">
        <w:t>AHPCS</w:t>
      </w:r>
    </w:p>
    <w:p w:rsidR="001E034E" w:rsidRPr="00975E6B" w:rsidRDefault="00053562" w:rsidP="001E034E">
      <w:pPr>
        <w:pStyle w:val="BodyText"/>
      </w:pPr>
      <w:r w:rsidRPr="00975E6B">
        <w:t xml:space="preserve">A signed jurisdiction statement in relation to the application of the AHPCS should be included in the NHCDC submission. </w:t>
      </w:r>
      <w:r w:rsidR="00CF682E" w:rsidRPr="00975E6B">
        <w:t xml:space="preserve">It was observed during the review that the sign off process varied across jurisdictions at both hospital and Departmental level. </w:t>
      </w:r>
      <w:r w:rsidR="001E034E" w:rsidRPr="00975E6B">
        <w:t xml:space="preserve">The consistency of application of the AHPCS is important for ensuring the NHCDC is comparable across a range of factors such as jurisdictions, DRGs, </w:t>
      </w:r>
      <w:r w:rsidR="00395C44" w:rsidRPr="00975E6B">
        <w:t xml:space="preserve">and </w:t>
      </w:r>
      <w:r w:rsidR="001E034E" w:rsidRPr="00975E6B">
        <w:t>hospital settings etc. Most jurisdictions have their own costing guidelines that are applied by hospitals/LHNs within that jurisdiction</w:t>
      </w:r>
      <w:r w:rsidR="00C50DA9" w:rsidRPr="00975E6B">
        <w:t xml:space="preserve">. </w:t>
      </w:r>
      <w:r w:rsidR="001E034E" w:rsidRPr="00975E6B">
        <w:t xml:space="preserve">While the majority of the guidelines align to </w:t>
      </w:r>
      <w:r w:rsidR="00395C44" w:rsidRPr="00975E6B">
        <w:t xml:space="preserve">the </w:t>
      </w:r>
      <w:r w:rsidR="001E034E" w:rsidRPr="00975E6B">
        <w:t>AHPCS in the most part, there will be some differences that should be communicated to the NHCDC</w:t>
      </w:r>
      <w:r w:rsidRPr="00975E6B">
        <w:t xml:space="preserve"> through the statement</w:t>
      </w:r>
      <w:r w:rsidR="001E034E" w:rsidRPr="00975E6B">
        <w:t>.</w:t>
      </w:r>
      <w:r w:rsidR="00393BBE" w:rsidRPr="00975E6B">
        <w:t xml:space="preserve"> A signed statement should require jurisdictions to confirm that they have applied the AHPCS, or identify where the standards were not applied and reasons therefore.</w:t>
      </w:r>
    </w:p>
    <w:p w:rsidR="001109DD" w:rsidRPr="00975E6B" w:rsidRDefault="00053562" w:rsidP="001E034E">
      <w:pPr>
        <w:pStyle w:val="BodyText"/>
      </w:pPr>
      <w:r w:rsidRPr="00975E6B">
        <w:t xml:space="preserve">The timing of this recommendation may need to be considered further in light of any review of </w:t>
      </w:r>
      <w:r w:rsidR="00395C44" w:rsidRPr="00975E6B">
        <w:t xml:space="preserve">the </w:t>
      </w:r>
      <w:r w:rsidRPr="00975E6B">
        <w:t xml:space="preserve">AHPCS undertaken by IHPA. </w:t>
      </w:r>
    </w:p>
    <w:p w:rsidR="001E034E" w:rsidRPr="00975E6B" w:rsidRDefault="001E034E" w:rsidP="003B387A">
      <w:pPr>
        <w:pStyle w:val="Heading3"/>
        <w:numPr>
          <w:ilvl w:val="2"/>
          <w:numId w:val="77"/>
        </w:numPr>
      </w:pPr>
      <w:r w:rsidRPr="00975E6B">
        <w:t>Teaching, Training and Research</w:t>
      </w:r>
    </w:p>
    <w:p w:rsidR="00C626AB" w:rsidRPr="00975E6B" w:rsidRDefault="008F7FB1" w:rsidP="00CD1518">
      <w:pPr>
        <w:pStyle w:val="BodyText"/>
      </w:pPr>
      <w:r w:rsidRPr="00975E6B">
        <w:t>The development of a TTR classification system was included as a recommendation in the Round 17 IFR.</w:t>
      </w:r>
      <w:r w:rsidR="001E034E" w:rsidRPr="00975E6B">
        <w:t xml:space="preserve"> It is understood that IHPA is currently developing a TTR classification system and it is recommended that this continues in an effort to improve clarity over TTR activities and consistency across jurisdictions for future NHCDC rounds.</w:t>
      </w:r>
    </w:p>
    <w:p w:rsidR="00972129" w:rsidRPr="00975E6B" w:rsidRDefault="00972129" w:rsidP="003B387A">
      <w:pPr>
        <w:pStyle w:val="Heading1"/>
        <w:numPr>
          <w:ilvl w:val="0"/>
          <w:numId w:val="77"/>
        </w:numPr>
      </w:pPr>
      <w:bookmarkStart w:id="59" w:name="_Toc435440348"/>
      <w:bookmarkStart w:id="60" w:name="_Toc435468587"/>
      <w:bookmarkStart w:id="61" w:name="_Toc434584986"/>
      <w:bookmarkStart w:id="62" w:name="_Toc434585123"/>
      <w:bookmarkStart w:id="63" w:name="_Toc434584987"/>
      <w:bookmarkStart w:id="64" w:name="_Toc434585124"/>
      <w:bookmarkStart w:id="65" w:name="_Toc434584988"/>
      <w:bookmarkStart w:id="66" w:name="_Toc434585125"/>
      <w:bookmarkStart w:id="67" w:name="_Toc434266760"/>
      <w:bookmarkStart w:id="68" w:name="_Toc434325444"/>
      <w:bookmarkStart w:id="69" w:name="_Toc434266761"/>
      <w:bookmarkStart w:id="70" w:name="_Toc434325445"/>
      <w:bookmarkStart w:id="71" w:name="_Toc434266762"/>
      <w:bookmarkStart w:id="72" w:name="_Toc434325446"/>
      <w:bookmarkStart w:id="73" w:name="_Toc434266763"/>
      <w:bookmarkStart w:id="74" w:name="_Toc434325447"/>
      <w:bookmarkStart w:id="75" w:name="_Toc434266764"/>
      <w:bookmarkStart w:id="76" w:name="_Toc434325448"/>
      <w:bookmarkStart w:id="77" w:name="_Toc434266765"/>
      <w:bookmarkStart w:id="78" w:name="_Toc434325449"/>
      <w:bookmarkStart w:id="79" w:name="_Toc434266766"/>
      <w:bookmarkStart w:id="80" w:name="_Toc434325450"/>
      <w:bookmarkStart w:id="81" w:name="_Toc434266767"/>
      <w:bookmarkStart w:id="82" w:name="_Toc434325451"/>
      <w:bookmarkStart w:id="83" w:name="_Toc434266768"/>
      <w:bookmarkStart w:id="84" w:name="_Toc434325452"/>
      <w:bookmarkStart w:id="85" w:name="_Toc434266769"/>
      <w:bookmarkStart w:id="86" w:name="_Toc434325453"/>
      <w:bookmarkStart w:id="87" w:name="_Toc434266770"/>
      <w:bookmarkStart w:id="88" w:name="_Toc434325454"/>
      <w:bookmarkStart w:id="89" w:name="_Toc434266771"/>
      <w:bookmarkStart w:id="90" w:name="_Toc434325455"/>
      <w:bookmarkStart w:id="91" w:name="_Toc434266772"/>
      <w:bookmarkStart w:id="92" w:name="_Toc434325456"/>
      <w:bookmarkStart w:id="93" w:name="_Toc434266773"/>
      <w:bookmarkStart w:id="94" w:name="_Toc434325457"/>
      <w:bookmarkStart w:id="95" w:name="_Toc434266774"/>
      <w:bookmarkStart w:id="96" w:name="_Toc434325458"/>
      <w:bookmarkStart w:id="97" w:name="_Toc434266775"/>
      <w:bookmarkStart w:id="98" w:name="_Toc434325459"/>
      <w:bookmarkStart w:id="99" w:name="_Toc434266776"/>
      <w:bookmarkStart w:id="100" w:name="_Toc434325460"/>
      <w:bookmarkStart w:id="101" w:name="_Toc434266777"/>
      <w:bookmarkStart w:id="102" w:name="_Toc434325461"/>
      <w:bookmarkStart w:id="103" w:name="_Toc434266778"/>
      <w:bookmarkStart w:id="104" w:name="_Toc434325462"/>
      <w:bookmarkStart w:id="105" w:name="_Toc434266779"/>
      <w:bookmarkStart w:id="106" w:name="_Toc434325463"/>
      <w:bookmarkStart w:id="107" w:name="_Toc434266780"/>
      <w:bookmarkStart w:id="108" w:name="_Toc434325464"/>
      <w:bookmarkStart w:id="109" w:name="_Toc434266781"/>
      <w:bookmarkStart w:id="110" w:name="_Toc434325465"/>
      <w:bookmarkStart w:id="111" w:name="_Toc434266782"/>
      <w:bookmarkStart w:id="112" w:name="_Toc434325466"/>
      <w:bookmarkStart w:id="113" w:name="_Toc434266783"/>
      <w:bookmarkStart w:id="114" w:name="_Toc434325467"/>
      <w:bookmarkStart w:id="115" w:name="_Toc434266784"/>
      <w:bookmarkStart w:id="116" w:name="_Toc434325468"/>
      <w:bookmarkStart w:id="117" w:name="_Toc434266785"/>
      <w:bookmarkStart w:id="118" w:name="_Toc434325469"/>
      <w:bookmarkStart w:id="119" w:name="_Toc434266786"/>
      <w:bookmarkStart w:id="120" w:name="_Toc434325470"/>
      <w:bookmarkStart w:id="121" w:name="_Toc434266787"/>
      <w:bookmarkStart w:id="122" w:name="_Toc434325471"/>
      <w:bookmarkStart w:id="123" w:name="_Toc434266788"/>
      <w:bookmarkStart w:id="124" w:name="_Toc434325472"/>
      <w:bookmarkStart w:id="125" w:name="_Toc434266789"/>
      <w:bookmarkStart w:id="126" w:name="_Toc434325473"/>
      <w:bookmarkStart w:id="127" w:name="_Toc434266790"/>
      <w:bookmarkStart w:id="128" w:name="_Toc434325474"/>
      <w:bookmarkStart w:id="129" w:name="_Toc434266791"/>
      <w:bookmarkStart w:id="130" w:name="_Toc434325475"/>
      <w:bookmarkStart w:id="131" w:name="_Toc434266792"/>
      <w:bookmarkStart w:id="132" w:name="_Toc434325476"/>
      <w:bookmarkStart w:id="133" w:name="_Toc434266793"/>
      <w:bookmarkStart w:id="134" w:name="_Toc434325477"/>
      <w:bookmarkStart w:id="135" w:name="_Toc434266794"/>
      <w:bookmarkStart w:id="136" w:name="_Toc434325478"/>
      <w:bookmarkStart w:id="137" w:name="_Toc434266795"/>
      <w:bookmarkStart w:id="138" w:name="_Toc434325479"/>
      <w:bookmarkStart w:id="139" w:name="_Toc433378283"/>
      <w:bookmarkStart w:id="140" w:name="_Toc433378483"/>
      <w:bookmarkStart w:id="141" w:name="_Toc433378680"/>
      <w:bookmarkStart w:id="142" w:name="_Toc433378877"/>
      <w:bookmarkStart w:id="143" w:name="_Toc433379074"/>
      <w:bookmarkStart w:id="144" w:name="_Toc433379271"/>
      <w:bookmarkStart w:id="145" w:name="_Toc433378284"/>
      <w:bookmarkStart w:id="146" w:name="_Toc433378484"/>
      <w:bookmarkStart w:id="147" w:name="_Toc433378681"/>
      <w:bookmarkStart w:id="148" w:name="_Toc433378878"/>
      <w:bookmarkStart w:id="149" w:name="_Toc433379075"/>
      <w:bookmarkStart w:id="150" w:name="_Toc433379272"/>
      <w:bookmarkStart w:id="151" w:name="_Toc433378290"/>
      <w:bookmarkStart w:id="152" w:name="_Toc433378490"/>
      <w:bookmarkStart w:id="153" w:name="_Toc433378687"/>
      <w:bookmarkStart w:id="154" w:name="_Toc433378884"/>
      <w:bookmarkStart w:id="155" w:name="_Toc433379081"/>
      <w:bookmarkStart w:id="156" w:name="_Toc433379278"/>
      <w:bookmarkStart w:id="157" w:name="_Toc433378291"/>
      <w:bookmarkStart w:id="158" w:name="_Toc433378491"/>
      <w:bookmarkStart w:id="159" w:name="_Toc433378688"/>
      <w:bookmarkStart w:id="160" w:name="_Toc433378885"/>
      <w:bookmarkStart w:id="161" w:name="_Toc433379082"/>
      <w:bookmarkStart w:id="162" w:name="_Toc433379279"/>
      <w:bookmarkStart w:id="163" w:name="_Toc433378292"/>
      <w:bookmarkStart w:id="164" w:name="_Toc433378492"/>
      <w:bookmarkStart w:id="165" w:name="_Toc433378689"/>
      <w:bookmarkStart w:id="166" w:name="_Toc433378886"/>
      <w:bookmarkStart w:id="167" w:name="_Toc433379083"/>
      <w:bookmarkStart w:id="168" w:name="_Toc433379280"/>
      <w:bookmarkStart w:id="169" w:name="_Toc433378293"/>
      <w:bookmarkStart w:id="170" w:name="_Toc433378493"/>
      <w:bookmarkStart w:id="171" w:name="_Toc433378690"/>
      <w:bookmarkStart w:id="172" w:name="_Toc433378887"/>
      <w:bookmarkStart w:id="173" w:name="_Toc433379084"/>
      <w:bookmarkStart w:id="174" w:name="_Toc433379281"/>
      <w:bookmarkStart w:id="175" w:name="_Toc433378294"/>
      <w:bookmarkStart w:id="176" w:name="_Toc433378494"/>
      <w:bookmarkStart w:id="177" w:name="_Toc433378691"/>
      <w:bookmarkStart w:id="178" w:name="_Toc433378888"/>
      <w:bookmarkStart w:id="179" w:name="_Toc433379085"/>
      <w:bookmarkStart w:id="180" w:name="_Toc433379282"/>
      <w:bookmarkStart w:id="181" w:name="_Toc433378295"/>
      <w:bookmarkStart w:id="182" w:name="_Toc433378495"/>
      <w:bookmarkStart w:id="183" w:name="_Toc433378692"/>
      <w:bookmarkStart w:id="184" w:name="_Toc433378889"/>
      <w:bookmarkStart w:id="185" w:name="_Toc433379086"/>
      <w:bookmarkStart w:id="186" w:name="_Toc433379283"/>
      <w:bookmarkStart w:id="187" w:name="_Toc433378296"/>
      <w:bookmarkStart w:id="188" w:name="_Toc433378496"/>
      <w:bookmarkStart w:id="189" w:name="_Toc433378693"/>
      <w:bookmarkStart w:id="190" w:name="_Toc433378890"/>
      <w:bookmarkStart w:id="191" w:name="_Toc433379087"/>
      <w:bookmarkStart w:id="192" w:name="_Toc433379284"/>
      <w:bookmarkStart w:id="193" w:name="_Toc433378297"/>
      <w:bookmarkStart w:id="194" w:name="_Toc433378497"/>
      <w:bookmarkStart w:id="195" w:name="_Toc433378694"/>
      <w:bookmarkStart w:id="196" w:name="_Toc433378891"/>
      <w:bookmarkStart w:id="197" w:name="_Toc433379088"/>
      <w:bookmarkStart w:id="198" w:name="_Toc433379285"/>
      <w:bookmarkStart w:id="199" w:name="_Toc433378303"/>
      <w:bookmarkStart w:id="200" w:name="_Toc433378503"/>
      <w:bookmarkStart w:id="201" w:name="_Toc433378700"/>
      <w:bookmarkStart w:id="202" w:name="_Toc433378897"/>
      <w:bookmarkStart w:id="203" w:name="_Toc433379094"/>
      <w:bookmarkStart w:id="204" w:name="_Toc433379291"/>
      <w:bookmarkStart w:id="205" w:name="_Toc433378304"/>
      <w:bookmarkStart w:id="206" w:name="_Toc433378504"/>
      <w:bookmarkStart w:id="207" w:name="_Toc433378701"/>
      <w:bookmarkStart w:id="208" w:name="_Toc433378898"/>
      <w:bookmarkStart w:id="209" w:name="_Toc433379095"/>
      <w:bookmarkStart w:id="210" w:name="_Toc433379292"/>
      <w:bookmarkStart w:id="211" w:name="_Toc433378305"/>
      <w:bookmarkStart w:id="212" w:name="_Toc433378505"/>
      <w:bookmarkStart w:id="213" w:name="_Toc433378702"/>
      <w:bookmarkStart w:id="214" w:name="_Toc433378899"/>
      <w:bookmarkStart w:id="215" w:name="_Toc433379096"/>
      <w:bookmarkStart w:id="216" w:name="_Toc433379293"/>
      <w:bookmarkStart w:id="217" w:name="_Toc433378307"/>
      <w:bookmarkStart w:id="218" w:name="_Toc433378507"/>
      <w:bookmarkStart w:id="219" w:name="_Toc433378704"/>
      <w:bookmarkStart w:id="220" w:name="_Toc433378901"/>
      <w:bookmarkStart w:id="221" w:name="_Toc433379098"/>
      <w:bookmarkStart w:id="222" w:name="_Toc433379295"/>
      <w:bookmarkStart w:id="223" w:name="_Toc433378308"/>
      <w:bookmarkStart w:id="224" w:name="_Toc433378508"/>
      <w:bookmarkStart w:id="225" w:name="_Toc433378705"/>
      <w:bookmarkStart w:id="226" w:name="_Toc433378902"/>
      <w:bookmarkStart w:id="227" w:name="_Toc433379099"/>
      <w:bookmarkStart w:id="228" w:name="_Toc433379296"/>
      <w:bookmarkStart w:id="229" w:name="_Toc433378310"/>
      <w:bookmarkStart w:id="230" w:name="_Toc433378510"/>
      <w:bookmarkStart w:id="231" w:name="_Toc433378707"/>
      <w:bookmarkStart w:id="232" w:name="_Toc433378904"/>
      <w:bookmarkStart w:id="233" w:name="_Toc433379101"/>
      <w:bookmarkStart w:id="234" w:name="_Toc433379298"/>
      <w:bookmarkStart w:id="235" w:name="_Toc433378312"/>
      <w:bookmarkStart w:id="236" w:name="_Toc433378512"/>
      <w:bookmarkStart w:id="237" w:name="_Toc433378709"/>
      <w:bookmarkStart w:id="238" w:name="_Toc433378906"/>
      <w:bookmarkStart w:id="239" w:name="_Toc433379103"/>
      <w:bookmarkStart w:id="240" w:name="_Toc433379300"/>
      <w:bookmarkStart w:id="241" w:name="_Toc433378318"/>
      <w:bookmarkStart w:id="242" w:name="_Toc433378518"/>
      <w:bookmarkStart w:id="243" w:name="_Toc433378715"/>
      <w:bookmarkStart w:id="244" w:name="_Toc433378912"/>
      <w:bookmarkStart w:id="245" w:name="_Toc433379109"/>
      <w:bookmarkStart w:id="246" w:name="_Toc433379306"/>
      <w:bookmarkStart w:id="247" w:name="_Toc433378319"/>
      <w:bookmarkStart w:id="248" w:name="_Toc433378519"/>
      <w:bookmarkStart w:id="249" w:name="_Toc433378716"/>
      <w:bookmarkStart w:id="250" w:name="_Toc433378913"/>
      <w:bookmarkStart w:id="251" w:name="_Toc433379110"/>
      <w:bookmarkStart w:id="252" w:name="_Toc433379307"/>
      <w:bookmarkStart w:id="253" w:name="_Toc433378320"/>
      <w:bookmarkStart w:id="254" w:name="_Toc433378520"/>
      <w:bookmarkStart w:id="255" w:name="_Toc433378717"/>
      <w:bookmarkStart w:id="256" w:name="_Toc433378914"/>
      <w:bookmarkStart w:id="257" w:name="_Toc433379111"/>
      <w:bookmarkStart w:id="258" w:name="_Toc433379308"/>
      <w:bookmarkStart w:id="259" w:name="_Toc433378321"/>
      <w:bookmarkStart w:id="260" w:name="_Toc433378521"/>
      <w:bookmarkStart w:id="261" w:name="_Toc433378718"/>
      <w:bookmarkStart w:id="262" w:name="_Toc433378915"/>
      <w:bookmarkStart w:id="263" w:name="_Toc433379112"/>
      <w:bookmarkStart w:id="264" w:name="_Toc433379309"/>
      <w:bookmarkStart w:id="265" w:name="_Toc433378322"/>
      <w:bookmarkStart w:id="266" w:name="_Toc433378522"/>
      <w:bookmarkStart w:id="267" w:name="_Toc433378719"/>
      <w:bookmarkStart w:id="268" w:name="_Toc433378916"/>
      <w:bookmarkStart w:id="269" w:name="_Toc433379113"/>
      <w:bookmarkStart w:id="270" w:name="_Toc433379310"/>
      <w:bookmarkStart w:id="271" w:name="_Toc433378323"/>
      <w:bookmarkStart w:id="272" w:name="_Toc433378523"/>
      <w:bookmarkStart w:id="273" w:name="_Toc433378720"/>
      <w:bookmarkStart w:id="274" w:name="_Toc433378917"/>
      <w:bookmarkStart w:id="275" w:name="_Toc433379114"/>
      <w:bookmarkStart w:id="276" w:name="_Toc433379311"/>
      <w:bookmarkStart w:id="277" w:name="_Toc433378324"/>
      <w:bookmarkStart w:id="278" w:name="_Toc433378524"/>
      <w:bookmarkStart w:id="279" w:name="_Toc433378721"/>
      <w:bookmarkStart w:id="280" w:name="_Toc433378918"/>
      <w:bookmarkStart w:id="281" w:name="_Toc433379115"/>
      <w:bookmarkStart w:id="282" w:name="_Toc433379312"/>
      <w:bookmarkStart w:id="283" w:name="_Toc433378325"/>
      <w:bookmarkStart w:id="284" w:name="_Toc433378525"/>
      <w:bookmarkStart w:id="285" w:name="_Toc433378722"/>
      <w:bookmarkStart w:id="286" w:name="_Toc433378919"/>
      <w:bookmarkStart w:id="287" w:name="_Toc433379116"/>
      <w:bookmarkStart w:id="288" w:name="_Toc433379313"/>
      <w:bookmarkStart w:id="289" w:name="_Toc433378332"/>
      <w:bookmarkStart w:id="290" w:name="_Toc433378532"/>
      <w:bookmarkStart w:id="291" w:name="_Toc433378729"/>
      <w:bookmarkStart w:id="292" w:name="_Toc433378926"/>
      <w:bookmarkStart w:id="293" w:name="_Toc433379123"/>
      <w:bookmarkStart w:id="294" w:name="_Toc433379320"/>
      <w:bookmarkStart w:id="295" w:name="_Toc433378333"/>
      <w:bookmarkStart w:id="296" w:name="_Toc433378533"/>
      <w:bookmarkStart w:id="297" w:name="_Toc433378730"/>
      <w:bookmarkStart w:id="298" w:name="_Toc433378927"/>
      <w:bookmarkStart w:id="299" w:name="_Toc433379124"/>
      <w:bookmarkStart w:id="300" w:name="_Toc433379321"/>
      <w:bookmarkStart w:id="301" w:name="_Toc433378335"/>
      <w:bookmarkStart w:id="302" w:name="_Toc433378535"/>
      <w:bookmarkStart w:id="303" w:name="_Toc433378732"/>
      <w:bookmarkStart w:id="304" w:name="_Toc433378929"/>
      <w:bookmarkStart w:id="305" w:name="_Toc433379126"/>
      <w:bookmarkStart w:id="306" w:name="_Toc433379323"/>
      <w:bookmarkStart w:id="307" w:name="_Toc433378336"/>
      <w:bookmarkStart w:id="308" w:name="_Toc433378536"/>
      <w:bookmarkStart w:id="309" w:name="_Toc433378733"/>
      <w:bookmarkStart w:id="310" w:name="_Toc433378930"/>
      <w:bookmarkStart w:id="311" w:name="_Toc433379127"/>
      <w:bookmarkStart w:id="312" w:name="_Toc433379324"/>
      <w:bookmarkStart w:id="313" w:name="_Toc433378338"/>
      <w:bookmarkStart w:id="314" w:name="_Toc433378538"/>
      <w:bookmarkStart w:id="315" w:name="_Toc433378735"/>
      <w:bookmarkStart w:id="316" w:name="_Toc433378932"/>
      <w:bookmarkStart w:id="317" w:name="_Toc433379129"/>
      <w:bookmarkStart w:id="318" w:name="_Toc433379326"/>
      <w:bookmarkStart w:id="319" w:name="_Toc433378340"/>
      <w:bookmarkStart w:id="320" w:name="_Toc433378540"/>
      <w:bookmarkStart w:id="321" w:name="_Toc433378737"/>
      <w:bookmarkStart w:id="322" w:name="_Toc433378934"/>
      <w:bookmarkStart w:id="323" w:name="_Toc433379131"/>
      <w:bookmarkStart w:id="324" w:name="_Toc433379328"/>
      <w:bookmarkStart w:id="325" w:name="_Toc433378346"/>
      <w:bookmarkStart w:id="326" w:name="_Toc433378546"/>
      <w:bookmarkStart w:id="327" w:name="_Toc433378743"/>
      <w:bookmarkStart w:id="328" w:name="_Toc433378940"/>
      <w:bookmarkStart w:id="329" w:name="_Toc433379137"/>
      <w:bookmarkStart w:id="330" w:name="_Toc433379334"/>
      <w:bookmarkStart w:id="331" w:name="_Toc433378347"/>
      <w:bookmarkStart w:id="332" w:name="_Toc433378547"/>
      <w:bookmarkStart w:id="333" w:name="_Toc433378744"/>
      <w:bookmarkStart w:id="334" w:name="_Toc433378941"/>
      <w:bookmarkStart w:id="335" w:name="_Toc433379138"/>
      <w:bookmarkStart w:id="336" w:name="_Toc433379335"/>
      <w:bookmarkStart w:id="337" w:name="_Toc433378348"/>
      <w:bookmarkStart w:id="338" w:name="_Toc433378548"/>
      <w:bookmarkStart w:id="339" w:name="_Toc433378745"/>
      <w:bookmarkStart w:id="340" w:name="_Toc433378942"/>
      <w:bookmarkStart w:id="341" w:name="_Toc433379139"/>
      <w:bookmarkStart w:id="342" w:name="_Toc433379336"/>
      <w:bookmarkStart w:id="343" w:name="_Toc433378349"/>
      <w:bookmarkStart w:id="344" w:name="_Toc433378549"/>
      <w:bookmarkStart w:id="345" w:name="_Toc433378746"/>
      <w:bookmarkStart w:id="346" w:name="_Toc433378943"/>
      <w:bookmarkStart w:id="347" w:name="_Toc433379140"/>
      <w:bookmarkStart w:id="348" w:name="_Toc433379337"/>
      <w:bookmarkStart w:id="349" w:name="_Toc433378350"/>
      <w:bookmarkStart w:id="350" w:name="_Toc433378550"/>
      <w:bookmarkStart w:id="351" w:name="_Toc433378747"/>
      <w:bookmarkStart w:id="352" w:name="_Toc433378944"/>
      <w:bookmarkStart w:id="353" w:name="_Toc433379141"/>
      <w:bookmarkStart w:id="354" w:name="_Toc433379338"/>
      <w:bookmarkStart w:id="355" w:name="_Toc433378351"/>
      <w:bookmarkStart w:id="356" w:name="_Toc433378551"/>
      <w:bookmarkStart w:id="357" w:name="_Toc433378748"/>
      <w:bookmarkStart w:id="358" w:name="_Toc433378945"/>
      <w:bookmarkStart w:id="359" w:name="_Toc433379142"/>
      <w:bookmarkStart w:id="360" w:name="_Toc433379339"/>
      <w:bookmarkStart w:id="361" w:name="_Toc433378352"/>
      <w:bookmarkStart w:id="362" w:name="_Toc433378552"/>
      <w:bookmarkStart w:id="363" w:name="_Toc433378749"/>
      <w:bookmarkStart w:id="364" w:name="_Toc433378946"/>
      <w:bookmarkStart w:id="365" w:name="_Toc433379143"/>
      <w:bookmarkStart w:id="366" w:name="_Toc433379340"/>
      <w:bookmarkStart w:id="367" w:name="_Toc433378353"/>
      <w:bookmarkStart w:id="368" w:name="_Toc433378553"/>
      <w:bookmarkStart w:id="369" w:name="_Toc433378750"/>
      <w:bookmarkStart w:id="370" w:name="_Toc433378947"/>
      <w:bookmarkStart w:id="371" w:name="_Toc433379144"/>
      <w:bookmarkStart w:id="372" w:name="_Toc433379341"/>
      <w:bookmarkStart w:id="373" w:name="_Toc433378360"/>
      <w:bookmarkStart w:id="374" w:name="_Toc433378560"/>
      <w:bookmarkStart w:id="375" w:name="_Toc433378757"/>
      <w:bookmarkStart w:id="376" w:name="_Toc433378954"/>
      <w:bookmarkStart w:id="377" w:name="_Toc433379151"/>
      <w:bookmarkStart w:id="378" w:name="_Toc433379348"/>
      <w:bookmarkStart w:id="379" w:name="_Toc433378361"/>
      <w:bookmarkStart w:id="380" w:name="_Toc433378561"/>
      <w:bookmarkStart w:id="381" w:name="_Toc433378758"/>
      <w:bookmarkStart w:id="382" w:name="_Toc433378955"/>
      <w:bookmarkStart w:id="383" w:name="_Toc433379152"/>
      <w:bookmarkStart w:id="384" w:name="_Toc433379349"/>
      <w:bookmarkStart w:id="385" w:name="_Toc433378363"/>
      <w:bookmarkStart w:id="386" w:name="_Toc433378563"/>
      <w:bookmarkStart w:id="387" w:name="_Toc433378760"/>
      <w:bookmarkStart w:id="388" w:name="_Toc433378957"/>
      <w:bookmarkStart w:id="389" w:name="_Toc433379154"/>
      <w:bookmarkStart w:id="390" w:name="_Toc433379351"/>
      <w:bookmarkStart w:id="391" w:name="_Toc433378364"/>
      <w:bookmarkStart w:id="392" w:name="_Toc433378564"/>
      <w:bookmarkStart w:id="393" w:name="_Toc433378761"/>
      <w:bookmarkStart w:id="394" w:name="_Toc433378958"/>
      <w:bookmarkStart w:id="395" w:name="_Toc433379155"/>
      <w:bookmarkStart w:id="396" w:name="_Toc433379352"/>
      <w:bookmarkStart w:id="397" w:name="_Toc433378366"/>
      <w:bookmarkStart w:id="398" w:name="_Toc433378566"/>
      <w:bookmarkStart w:id="399" w:name="_Toc433378763"/>
      <w:bookmarkStart w:id="400" w:name="_Toc433378960"/>
      <w:bookmarkStart w:id="401" w:name="_Toc433379157"/>
      <w:bookmarkStart w:id="402" w:name="_Toc433379354"/>
      <w:bookmarkStart w:id="403" w:name="_Toc433378368"/>
      <w:bookmarkStart w:id="404" w:name="_Toc433378568"/>
      <w:bookmarkStart w:id="405" w:name="_Toc433378765"/>
      <w:bookmarkStart w:id="406" w:name="_Toc433378962"/>
      <w:bookmarkStart w:id="407" w:name="_Toc433379159"/>
      <w:bookmarkStart w:id="408" w:name="_Toc433379356"/>
      <w:bookmarkStart w:id="409" w:name="_Toc433378374"/>
      <w:bookmarkStart w:id="410" w:name="_Toc433378574"/>
      <w:bookmarkStart w:id="411" w:name="_Toc433378771"/>
      <w:bookmarkStart w:id="412" w:name="_Toc433378968"/>
      <w:bookmarkStart w:id="413" w:name="_Toc433379165"/>
      <w:bookmarkStart w:id="414" w:name="_Toc433379362"/>
      <w:bookmarkStart w:id="415" w:name="_Toc433378375"/>
      <w:bookmarkStart w:id="416" w:name="_Toc433378575"/>
      <w:bookmarkStart w:id="417" w:name="_Toc433378772"/>
      <w:bookmarkStart w:id="418" w:name="_Toc433378969"/>
      <w:bookmarkStart w:id="419" w:name="_Toc433379166"/>
      <w:bookmarkStart w:id="420" w:name="_Toc433379363"/>
      <w:bookmarkStart w:id="421" w:name="_Toc433378376"/>
      <w:bookmarkStart w:id="422" w:name="_Toc433378576"/>
      <w:bookmarkStart w:id="423" w:name="_Toc433378773"/>
      <w:bookmarkStart w:id="424" w:name="_Toc433378970"/>
      <w:bookmarkStart w:id="425" w:name="_Toc433379167"/>
      <w:bookmarkStart w:id="426" w:name="_Toc433379364"/>
      <w:bookmarkStart w:id="427" w:name="_Toc433378377"/>
      <w:bookmarkStart w:id="428" w:name="_Toc433378577"/>
      <w:bookmarkStart w:id="429" w:name="_Toc433378774"/>
      <w:bookmarkStart w:id="430" w:name="_Toc433378971"/>
      <w:bookmarkStart w:id="431" w:name="_Toc433379168"/>
      <w:bookmarkStart w:id="432" w:name="_Toc433379365"/>
      <w:bookmarkStart w:id="433" w:name="_Toc433378378"/>
      <w:bookmarkStart w:id="434" w:name="_Toc433378578"/>
      <w:bookmarkStart w:id="435" w:name="_Toc433378775"/>
      <w:bookmarkStart w:id="436" w:name="_Toc433378972"/>
      <w:bookmarkStart w:id="437" w:name="_Toc433379169"/>
      <w:bookmarkStart w:id="438" w:name="_Toc433379366"/>
      <w:bookmarkStart w:id="439" w:name="_Toc433378379"/>
      <w:bookmarkStart w:id="440" w:name="_Toc433378579"/>
      <w:bookmarkStart w:id="441" w:name="_Toc433378776"/>
      <w:bookmarkStart w:id="442" w:name="_Toc433378973"/>
      <w:bookmarkStart w:id="443" w:name="_Toc433379170"/>
      <w:bookmarkStart w:id="444" w:name="_Toc433379367"/>
      <w:bookmarkStart w:id="445" w:name="_Toc433378380"/>
      <w:bookmarkStart w:id="446" w:name="_Toc433378580"/>
      <w:bookmarkStart w:id="447" w:name="_Toc433378777"/>
      <w:bookmarkStart w:id="448" w:name="_Toc433378974"/>
      <w:bookmarkStart w:id="449" w:name="_Toc433379171"/>
      <w:bookmarkStart w:id="450" w:name="_Toc433379368"/>
      <w:bookmarkStart w:id="451" w:name="_Toc433378381"/>
      <w:bookmarkStart w:id="452" w:name="_Toc433378581"/>
      <w:bookmarkStart w:id="453" w:name="_Toc433378778"/>
      <w:bookmarkStart w:id="454" w:name="_Toc433378975"/>
      <w:bookmarkStart w:id="455" w:name="_Toc433379172"/>
      <w:bookmarkStart w:id="456" w:name="_Toc433379369"/>
      <w:bookmarkStart w:id="457" w:name="_Toc433378388"/>
      <w:bookmarkStart w:id="458" w:name="_Toc433378588"/>
      <w:bookmarkStart w:id="459" w:name="_Toc433378785"/>
      <w:bookmarkStart w:id="460" w:name="_Toc433378982"/>
      <w:bookmarkStart w:id="461" w:name="_Toc433379179"/>
      <w:bookmarkStart w:id="462" w:name="_Toc433379376"/>
      <w:bookmarkStart w:id="463" w:name="_Toc433378389"/>
      <w:bookmarkStart w:id="464" w:name="_Toc433378589"/>
      <w:bookmarkStart w:id="465" w:name="_Toc433378786"/>
      <w:bookmarkStart w:id="466" w:name="_Toc433378983"/>
      <w:bookmarkStart w:id="467" w:name="_Toc433379180"/>
      <w:bookmarkStart w:id="468" w:name="_Toc433379377"/>
      <w:bookmarkStart w:id="469" w:name="_Toc433378391"/>
      <w:bookmarkStart w:id="470" w:name="_Toc433378591"/>
      <w:bookmarkStart w:id="471" w:name="_Toc433378788"/>
      <w:bookmarkStart w:id="472" w:name="_Toc433378985"/>
      <w:bookmarkStart w:id="473" w:name="_Toc433379182"/>
      <w:bookmarkStart w:id="474" w:name="_Toc433379379"/>
      <w:bookmarkStart w:id="475" w:name="_Toc433378392"/>
      <w:bookmarkStart w:id="476" w:name="_Toc433378592"/>
      <w:bookmarkStart w:id="477" w:name="_Toc433378789"/>
      <w:bookmarkStart w:id="478" w:name="_Toc433378986"/>
      <w:bookmarkStart w:id="479" w:name="_Toc433379183"/>
      <w:bookmarkStart w:id="480" w:name="_Toc433379380"/>
      <w:bookmarkStart w:id="481" w:name="_Toc433378394"/>
      <w:bookmarkStart w:id="482" w:name="_Toc433378594"/>
      <w:bookmarkStart w:id="483" w:name="_Toc433378791"/>
      <w:bookmarkStart w:id="484" w:name="_Toc433378988"/>
      <w:bookmarkStart w:id="485" w:name="_Toc433379185"/>
      <w:bookmarkStart w:id="486" w:name="_Toc433379382"/>
      <w:bookmarkStart w:id="487" w:name="_Toc433378396"/>
      <w:bookmarkStart w:id="488" w:name="_Toc433378596"/>
      <w:bookmarkStart w:id="489" w:name="_Toc433378793"/>
      <w:bookmarkStart w:id="490" w:name="_Toc433378990"/>
      <w:bookmarkStart w:id="491" w:name="_Toc433379187"/>
      <w:bookmarkStart w:id="492" w:name="_Toc433379384"/>
      <w:bookmarkStart w:id="493" w:name="_Toc433378402"/>
      <w:bookmarkStart w:id="494" w:name="_Toc433378602"/>
      <w:bookmarkStart w:id="495" w:name="_Toc433378799"/>
      <w:bookmarkStart w:id="496" w:name="_Toc433378996"/>
      <w:bookmarkStart w:id="497" w:name="_Toc433379193"/>
      <w:bookmarkStart w:id="498" w:name="_Toc433379390"/>
      <w:bookmarkStart w:id="499" w:name="_Toc433378403"/>
      <w:bookmarkStart w:id="500" w:name="_Toc433378603"/>
      <w:bookmarkStart w:id="501" w:name="_Toc433378800"/>
      <w:bookmarkStart w:id="502" w:name="_Toc433378997"/>
      <w:bookmarkStart w:id="503" w:name="_Toc433379194"/>
      <w:bookmarkStart w:id="504" w:name="_Toc433379391"/>
      <w:bookmarkStart w:id="505" w:name="_Toc433378404"/>
      <w:bookmarkStart w:id="506" w:name="_Toc433378604"/>
      <w:bookmarkStart w:id="507" w:name="_Toc433378801"/>
      <w:bookmarkStart w:id="508" w:name="_Toc433378998"/>
      <w:bookmarkStart w:id="509" w:name="_Toc433379195"/>
      <w:bookmarkStart w:id="510" w:name="_Toc433379392"/>
      <w:bookmarkStart w:id="511" w:name="_Toc433378405"/>
      <w:bookmarkStart w:id="512" w:name="_Toc433378605"/>
      <w:bookmarkStart w:id="513" w:name="_Toc433378802"/>
      <w:bookmarkStart w:id="514" w:name="_Toc433378999"/>
      <w:bookmarkStart w:id="515" w:name="_Toc433379196"/>
      <w:bookmarkStart w:id="516" w:name="_Toc433379393"/>
      <w:bookmarkStart w:id="517" w:name="_Toc433378406"/>
      <w:bookmarkStart w:id="518" w:name="_Toc433378606"/>
      <w:bookmarkStart w:id="519" w:name="_Toc433378803"/>
      <w:bookmarkStart w:id="520" w:name="_Toc433379000"/>
      <w:bookmarkStart w:id="521" w:name="_Toc433379197"/>
      <w:bookmarkStart w:id="522" w:name="_Toc433379394"/>
      <w:bookmarkStart w:id="523" w:name="_Toc433378407"/>
      <w:bookmarkStart w:id="524" w:name="_Toc433378607"/>
      <w:bookmarkStart w:id="525" w:name="_Toc433378804"/>
      <w:bookmarkStart w:id="526" w:name="_Toc433379001"/>
      <w:bookmarkStart w:id="527" w:name="_Toc433379198"/>
      <w:bookmarkStart w:id="528" w:name="_Toc433379395"/>
      <w:bookmarkStart w:id="529" w:name="_Toc433378408"/>
      <w:bookmarkStart w:id="530" w:name="_Toc433378608"/>
      <w:bookmarkStart w:id="531" w:name="_Toc433378805"/>
      <w:bookmarkStart w:id="532" w:name="_Toc433379002"/>
      <w:bookmarkStart w:id="533" w:name="_Toc433379199"/>
      <w:bookmarkStart w:id="534" w:name="_Toc433379396"/>
      <w:bookmarkStart w:id="535" w:name="_Toc433378409"/>
      <w:bookmarkStart w:id="536" w:name="_Toc433378609"/>
      <w:bookmarkStart w:id="537" w:name="_Toc433378806"/>
      <w:bookmarkStart w:id="538" w:name="_Toc433379003"/>
      <w:bookmarkStart w:id="539" w:name="_Toc433379200"/>
      <w:bookmarkStart w:id="540" w:name="_Toc433379397"/>
      <w:bookmarkStart w:id="541" w:name="_Toc433378416"/>
      <w:bookmarkStart w:id="542" w:name="_Toc433378616"/>
      <w:bookmarkStart w:id="543" w:name="_Toc433378813"/>
      <w:bookmarkStart w:id="544" w:name="_Toc433379010"/>
      <w:bookmarkStart w:id="545" w:name="_Toc433379207"/>
      <w:bookmarkStart w:id="546" w:name="_Toc433379404"/>
      <w:bookmarkStart w:id="547" w:name="_Toc433378417"/>
      <w:bookmarkStart w:id="548" w:name="_Toc433378617"/>
      <w:bookmarkStart w:id="549" w:name="_Toc433378814"/>
      <w:bookmarkStart w:id="550" w:name="_Toc433379011"/>
      <w:bookmarkStart w:id="551" w:name="_Toc433379208"/>
      <w:bookmarkStart w:id="552" w:name="_Toc433379405"/>
      <w:bookmarkStart w:id="553" w:name="_Toc433378419"/>
      <w:bookmarkStart w:id="554" w:name="_Toc433378619"/>
      <w:bookmarkStart w:id="555" w:name="_Toc433378816"/>
      <w:bookmarkStart w:id="556" w:name="_Toc433379013"/>
      <w:bookmarkStart w:id="557" w:name="_Toc433379210"/>
      <w:bookmarkStart w:id="558" w:name="_Toc433379407"/>
      <w:bookmarkStart w:id="559" w:name="_Toc433378420"/>
      <w:bookmarkStart w:id="560" w:name="_Toc433378620"/>
      <w:bookmarkStart w:id="561" w:name="_Toc433378817"/>
      <w:bookmarkStart w:id="562" w:name="_Toc433379014"/>
      <w:bookmarkStart w:id="563" w:name="_Toc433379211"/>
      <w:bookmarkStart w:id="564" w:name="_Toc433379408"/>
      <w:bookmarkStart w:id="565" w:name="_Toc433378422"/>
      <w:bookmarkStart w:id="566" w:name="_Toc433378622"/>
      <w:bookmarkStart w:id="567" w:name="_Toc433378819"/>
      <w:bookmarkStart w:id="568" w:name="_Toc433379016"/>
      <w:bookmarkStart w:id="569" w:name="_Toc433379213"/>
      <w:bookmarkStart w:id="570" w:name="_Toc433379410"/>
      <w:bookmarkStart w:id="571" w:name="_Toc433378424"/>
      <w:bookmarkStart w:id="572" w:name="_Toc433378624"/>
      <w:bookmarkStart w:id="573" w:name="_Toc433378821"/>
      <w:bookmarkStart w:id="574" w:name="_Toc433379018"/>
      <w:bookmarkStart w:id="575" w:name="_Toc433379215"/>
      <w:bookmarkStart w:id="576" w:name="_Toc433379412"/>
      <w:bookmarkStart w:id="577" w:name="_Toc433378430"/>
      <w:bookmarkStart w:id="578" w:name="_Toc433378630"/>
      <w:bookmarkStart w:id="579" w:name="_Toc433378827"/>
      <w:bookmarkStart w:id="580" w:name="_Toc433379024"/>
      <w:bookmarkStart w:id="581" w:name="_Toc433379221"/>
      <w:bookmarkStart w:id="582" w:name="_Toc433379418"/>
      <w:bookmarkStart w:id="583" w:name="_Toc433378431"/>
      <w:bookmarkStart w:id="584" w:name="_Toc433378631"/>
      <w:bookmarkStart w:id="585" w:name="_Toc433378828"/>
      <w:bookmarkStart w:id="586" w:name="_Toc433379025"/>
      <w:bookmarkStart w:id="587" w:name="_Toc433379222"/>
      <w:bookmarkStart w:id="588" w:name="_Toc433379419"/>
      <w:bookmarkStart w:id="589" w:name="_Toc433378432"/>
      <w:bookmarkStart w:id="590" w:name="_Toc433378632"/>
      <w:bookmarkStart w:id="591" w:name="_Toc433378829"/>
      <w:bookmarkStart w:id="592" w:name="_Toc433379026"/>
      <w:bookmarkStart w:id="593" w:name="_Toc433379223"/>
      <w:bookmarkStart w:id="594" w:name="_Toc433379420"/>
      <w:bookmarkStart w:id="595" w:name="_Toc433378433"/>
      <w:bookmarkStart w:id="596" w:name="_Toc433378633"/>
      <w:bookmarkStart w:id="597" w:name="_Toc433378830"/>
      <w:bookmarkStart w:id="598" w:name="_Toc433379027"/>
      <w:bookmarkStart w:id="599" w:name="_Toc433379224"/>
      <w:bookmarkStart w:id="600" w:name="_Toc433379421"/>
      <w:bookmarkStart w:id="601" w:name="_Toc433378434"/>
      <w:bookmarkStart w:id="602" w:name="_Toc433378634"/>
      <w:bookmarkStart w:id="603" w:name="_Toc433378831"/>
      <w:bookmarkStart w:id="604" w:name="_Toc433379028"/>
      <w:bookmarkStart w:id="605" w:name="_Toc433379225"/>
      <w:bookmarkStart w:id="606" w:name="_Toc433379422"/>
      <w:bookmarkStart w:id="607" w:name="_Toc433378435"/>
      <w:bookmarkStart w:id="608" w:name="_Toc433378635"/>
      <w:bookmarkStart w:id="609" w:name="_Toc433378832"/>
      <w:bookmarkStart w:id="610" w:name="_Toc433379029"/>
      <w:bookmarkStart w:id="611" w:name="_Toc433379226"/>
      <w:bookmarkStart w:id="612" w:name="_Toc433379423"/>
      <w:bookmarkStart w:id="613" w:name="_Toc433378436"/>
      <w:bookmarkStart w:id="614" w:name="_Toc433378636"/>
      <w:bookmarkStart w:id="615" w:name="_Toc433378833"/>
      <w:bookmarkStart w:id="616" w:name="_Toc433379030"/>
      <w:bookmarkStart w:id="617" w:name="_Toc433379227"/>
      <w:bookmarkStart w:id="618" w:name="_Toc433379424"/>
      <w:bookmarkStart w:id="619" w:name="_Toc433378437"/>
      <w:bookmarkStart w:id="620" w:name="_Toc433378637"/>
      <w:bookmarkStart w:id="621" w:name="_Toc433378834"/>
      <w:bookmarkStart w:id="622" w:name="_Toc433379031"/>
      <w:bookmarkStart w:id="623" w:name="_Toc433379228"/>
      <w:bookmarkStart w:id="624" w:name="_Toc433379425"/>
      <w:bookmarkStart w:id="625" w:name="_Toc433378444"/>
      <w:bookmarkStart w:id="626" w:name="_Toc433378644"/>
      <w:bookmarkStart w:id="627" w:name="_Toc433378841"/>
      <w:bookmarkStart w:id="628" w:name="_Toc433379038"/>
      <w:bookmarkStart w:id="629" w:name="_Toc433379235"/>
      <w:bookmarkStart w:id="630" w:name="_Toc433379432"/>
      <w:bookmarkStart w:id="631" w:name="_Toc433378445"/>
      <w:bookmarkStart w:id="632" w:name="_Toc433378645"/>
      <w:bookmarkStart w:id="633" w:name="_Toc433378842"/>
      <w:bookmarkStart w:id="634" w:name="_Toc433379039"/>
      <w:bookmarkStart w:id="635" w:name="_Toc433379236"/>
      <w:bookmarkStart w:id="636" w:name="_Toc433379433"/>
      <w:bookmarkStart w:id="637" w:name="_Toc433378447"/>
      <w:bookmarkStart w:id="638" w:name="_Toc433378647"/>
      <w:bookmarkStart w:id="639" w:name="_Toc433378844"/>
      <w:bookmarkStart w:id="640" w:name="_Toc433379041"/>
      <w:bookmarkStart w:id="641" w:name="_Toc433379238"/>
      <w:bookmarkStart w:id="642" w:name="_Toc433379435"/>
      <w:bookmarkStart w:id="643" w:name="_Toc433378448"/>
      <w:bookmarkStart w:id="644" w:name="_Toc433378648"/>
      <w:bookmarkStart w:id="645" w:name="_Toc433378845"/>
      <w:bookmarkStart w:id="646" w:name="_Toc433379042"/>
      <w:bookmarkStart w:id="647" w:name="_Toc433379239"/>
      <w:bookmarkStart w:id="648" w:name="_Toc433379436"/>
      <w:bookmarkStart w:id="649" w:name="_Toc433378450"/>
      <w:bookmarkStart w:id="650" w:name="_Toc433378650"/>
      <w:bookmarkStart w:id="651" w:name="_Toc433378847"/>
      <w:bookmarkStart w:id="652" w:name="_Toc433379044"/>
      <w:bookmarkStart w:id="653" w:name="_Toc433379241"/>
      <w:bookmarkStart w:id="654" w:name="_Toc433379438"/>
      <w:bookmarkStart w:id="655" w:name="_Toc433378452"/>
      <w:bookmarkStart w:id="656" w:name="_Toc433378652"/>
      <w:bookmarkStart w:id="657" w:name="_Toc433378849"/>
      <w:bookmarkStart w:id="658" w:name="_Toc433379046"/>
      <w:bookmarkStart w:id="659" w:name="_Toc433379243"/>
      <w:bookmarkStart w:id="660" w:name="_Toc433379440"/>
      <w:bookmarkStart w:id="661" w:name="_Toc434584989"/>
      <w:bookmarkStart w:id="662" w:name="_Toc434585126"/>
      <w:bookmarkStart w:id="663" w:name="_Toc444523649"/>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r w:rsidRPr="00975E6B">
        <w:lastRenderedPageBreak/>
        <w:t>New South Wales</w:t>
      </w:r>
      <w:bookmarkEnd w:id="663"/>
    </w:p>
    <w:p w:rsidR="00972129" w:rsidRPr="00975E6B" w:rsidRDefault="00972129" w:rsidP="003B387A">
      <w:pPr>
        <w:pStyle w:val="Heading2"/>
        <w:numPr>
          <w:ilvl w:val="1"/>
          <w:numId w:val="77"/>
        </w:numPr>
      </w:pPr>
      <w:bookmarkStart w:id="664" w:name="_Toc430248633"/>
      <w:bookmarkStart w:id="665" w:name="_Toc444523650"/>
      <w:r w:rsidRPr="006C3F19">
        <w:t>Jurisdictional</w:t>
      </w:r>
      <w:r w:rsidRPr="00975E6B">
        <w:t xml:space="preserve"> overview</w:t>
      </w:r>
      <w:bookmarkEnd w:id="664"/>
      <w:bookmarkEnd w:id="665"/>
    </w:p>
    <w:p w:rsidR="00972129" w:rsidRPr="00975E6B" w:rsidRDefault="00972129" w:rsidP="003B387A">
      <w:pPr>
        <w:pStyle w:val="Heading3"/>
        <w:numPr>
          <w:ilvl w:val="2"/>
          <w:numId w:val="77"/>
        </w:numPr>
      </w:pPr>
      <w:r w:rsidRPr="006C3F19">
        <w:t>Management</w:t>
      </w:r>
      <w:r w:rsidRPr="00975E6B">
        <w:t xml:space="preserve"> of NHCDC process</w:t>
      </w:r>
    </w:p>
    <w:p w:rsidR="00572C27" w:rsidRPr="00572C27" w:rsidRDefault="00572C27" w:rsidP="00616472">
      <w:pPr>
        <w:spacing w:before="120" w:after="120" w:line="280" w:lineRule="atLeast"/>
        <w:jc w:val="both"/>
        <w:rPr>
          <w:szCs w:val="22"/>
        </w:rPr>
      </w:pPr>
      <w:r w:rsidRPr="00572C27">
        <w:rPr>
          <w:szCs w:val="22"/>
        </w:rPr>
        <w:t xml:space="preserve">New South Wales </w:t>
      </w:r>
      <w:r w:rsidR="004E0E7A">
        <w:rPr>
          <w:szCs w:val="22"/>
        </w:rPr>
        <w:t xml:space="preserve">(NSW) </w:t>
      </w:r>
      <w:r w:rsidRPr="00572C27">
        <w:rPr>
          <w:szCs w:val="22"/>
        </w:rPr>
        <w:t>is structured as 15 Local Health Districts (LHDs) (</w:t>
      </w:r>
      <w:r w:rsidR="004E0E7A">
        <w:rPr>
          <w:szCs w:val="22"/>
        </w:rPr>
        <w:t>eight</w:t>
      </w:r>
      <w:r w:rsidR="004E0E7A" w:rsidRPr="00572C27">
        <w:rPr>
          <w:szCs w:val="22"/>
        </w:rPr>
        <w:t xml:space="preserve"> </w:t>
      </w:r>
      <w:r w:rsidRPr="00572C27">
        <w:rPr>
          <w:szCs w:val="22"/>
        </w:rPr>
        <w:t xml:space="preserve">covering metropolitan areas and </w:t>
      </w:r>
      <w:r w:rsidR="004E0E7A">
        <w:rPr>
          <w:szCs w:val="22"/>
        </w:rPr>
        <w:t>seven</w:t>
      </w:r>
      <w:r w:rsidR="004E0E7A" w:rsidRPr="00572C27">
        <w:rPr>
          <w:szCs w:val="22"/>
        </w:rPr>
        <w:t xml:space="preserve"> </w:t>
      </w:r>
      <w:r w:rsidRPr="00572C27">
        <w:rPr>
          <w:szCs w:val="22"/>
        </w:rPr>
        <w:t xml:space="preserve">in rural areas) with </w:t>
      </w:r>
      <w:r w:rsidR="004E0E7A">
        <w:rPr>
          <w:szCs w:val="22"/>
        </w:rPr>
        <w:t>three</w:t>
      </w:r>
      <w:r w:rsidR="004E0E7A" w:rsidRPr="00572C27">
        <w:rPr>
          <w:szCs w:val="22"/>
        </w:rPr>
        <w:t xml:space="preserve"> </w:t>
      </w:r>
      <w:r w:rsidRPr="00572C27">
        <w:rPr>
          <w:szCs w:val="22"/>
        </w:rPr>
        <w:t>Speciality Networks (SHNs) which focus on children’s and paediatric services, forensic mental health, justice health and the public hospital services provided by St Vincent’s Health. Published financial statements are reported at the LHD/SHN level.</w:t>
      </w:r>
    </w:p>
    <w:p w:rsidR="00572C27" w:rsidRPr="00572C27" w:rsidRDefault="00572C27">
      <w:pPr>
        <w:spacing w:before="120" w:after="120" w:line="280" w:lineRule="atLeast"/>
        <w:jc w:val="both"/>
        <w:rPr>
          <w:szCs w:val="22"/>
        </w:rPr>
      </w:pPr>
      <w:r w:rsidRPr="00572C27">
        <w:rPr>
          <w:szCs w:val="22"/>
        </w:rPr>
        <w:t>Each of these LHD/SHNs is responsible for preparing, processing and submitting the patient level costing</w:t>
      </w:r>
      <w:r w:rsidR="00873964">
        <w:rPr>
          <w:szCs w:val="22"/>
        </w:rPr>
        <w:t xml:space="preserve">. </w:t>
      </w:r>
      <w:r w:rsidRPr="00572C27">
        <w:rPr>
          <w:szCs w:val="22"/>
        </w:rPr>
        <w:t>The NSW patient level costing is known as the District and Network Return (DNR) and consists of an expense file and three activity files (inpatient, emergency department and non-admitted encounters)</w:t>
      </w:r>
      <w:r w:rsidR="00873964">
        <w:rPr>
          <w:szCs w:val="22"/>
        </w:rPr>
        <w:t xml:space="preserve">. </w:t>
      </w:r>
      <w:r w:rsidRPr="00572C27">
        <w:rPr>
          <w:szCs w:val="22"/>
        </w:rPr>
        <w:t>The A</w:t>
      </w:r>
      <w:r>
        <w:rPr>
          <w:szCs w:val="22"/>
        </w:rPr>
        <w:t xml:space="preserve">ctivity Based </w:t>
      </w:r>
      <w:r w:rsidRPr="00572C27">
        <w:rPr>
          <w:szCs w:val="22"/>
        </w:rPr>
        <w:t>F</w:t>
      </w:r>
      <w:r>
        <w:rPr>
          <w:szCs w:val="22"/>
        </w:rPr>
        <w:t>unding (ABF)</w:t>
      </w:r>
      <w:r w:rsidRPr="00572C27">
        <w:rPr>
          <w:szCs w:val="22"/>
        </w:rPr>
        <w:t xml:space="preserve"> Taskforce does not alter the DNR submissions received from LHD/SHNs (apart from Work in Progress).</w:t>
      </w:r>
    </w:p>
    <w:p w:rsidR="00572C27" w:rsidRPr="00572C27" w:rsidRDefault="00572C27">
      <w:pPr>
        <w:spacing w:before="120" w:after="120" w:line="280" w:lineRule="atLeast"/>
        <w:jc w:val="both"/>
        <w:rPr>
          <w:szCs w:val="22"/>
        </w:rPr>
      </w:pPr>
      <w:r w:rsidRPr="00572C27">
        <w:rPr>
          <w:szCs w:val="22"/>
        </w:rPr>
        <w:t>The DNR is a single submission used for a number of purposes, such as the development of the State Price and the NHCDC submission</w:t>
      </w:r>
      <w:r w:rsidR="00873964">
        <w:rPr>
          <w:szCs w:val="22"/>
        </w:rPr>
        <w:t xml:space="preserve">. </w:t>
      </w:r>
      <w:r w:rsidRPr="00572C27">
        <w:rPr>
          <w:szCs w:val="22"/>
        </w:rPr>
        <w:t>The use of one submission facilitates reconciliation between a number of returns such as the NHCDC, Public Hospitals Establishment Collection and the Health Expenditure Report.</w:t>
      </w:r>
    </w:p>
    <w:p w:rsidR="00572C27" w:rsidRPr="00572C27" w:rsidRDefault="00572C27">
      <w:pPr>
        <w:spacing w:before="120" w:after="120" w:line="280" w:lineRule="atLeast"/>
        <w:jc w:val="both"/>
        <w:rPr>
          <w:szCs w:val="22"/>
        </w:rPr>
      </w:pPr>
      <w:r w:rsidRPr="00572C27">
        <w:rPr>
          <w:szCs w:val="22"/>
        </w:rPr>
        <w:t xml:space="preserve">The </w:t>
      </w:r>
      <w:r w:rsidR="00977934">
        <w:rPr>
          <w:szCs w:val="22"/>
        </w:rPr>
        <w:t>Power Performance Manager (</w:t>
      </w:r>
      <w:r w:rsidRPr="00572C27">
        <w:rPr>
          <w:szCs w:val="22"/>
        </w:rPr>
        <w:t>PPM</w:t>
      </w:r>
      <w:r w:rsidR="00977934">
        <w:rPr>
          <w:szCs w:val="22"/>
        </w:rPr>
        <w:t>)</w:t>
      </w:r>
      <w:r w:rsidRPr="00572C27">
        <w:rPr>
          <w:szCs w:val="22"/>
        </w:rPr>
        <w:t xml:space="preserve"> costing application is used by all LHD/SHNs for the DNR</w:t>
      </w:r>
      <w:r w:rsidR="00873964">
        <w:rPr>
          <w:szCs w:val="22"/>
        </w:rPr>
        <w:t xml:space="preserve">. </w:t>
      </w:r>
      <w:r w:rsidRPr="00572C27">
        <w:rPr>
          <w:szCs w:val="22"/>
        </w:rPr>
        <w:t>The ABF Taskforce is responsible for developing a range of tools such as the database that extracts the inpatient and emergency department data from the Health Information Exchange and formats the various files for loading into PPM</w:t>
      </w:r>
      <w:r w:rsidR="00873964">
        <w:rPr>
          <w:szCs w:val="22"/>
        </w:rPr>
        <w:t xml:space="preserve">. </w:t>
      </w:r>
      <w:r w:rsidRPr="00572C27">
        <w:rPr>
          <w:szCs w:val="22"/>
        </w:rPr>
        <w:t>The ABF Taskforce also provides technical support and assistance to the costing officers in the LHD/SHNs.</w:t>
      </w:r>
    </w:p>
    <w:p w:rsidR="00572C27" w:rsidRPr="00572C27" w:rsidRDefault="00572C27">
      <w:pPr>
        <w:spacing w:before="120" w:after="120" w:line="280" w:lineRule="atLeast"/>
        <w:jc w:val="both"/>
        <w:rPr>
          <w:szCs w:val="22"/>
        </w:rPr>
      </w:pPr>
      <w:r w:rsidRPr="00572C27">
        <w:rPr>
          <w:szCs w:val="22"/>
        </w:rPr>
        <w:t xml:space="preserve">Costing is performed at the </w:t>
      </w:r>
      <w:r w:rsidR="00977934">
        <w:rPr>
          <w:szCs w:val="22"/>
        </w:rPr>
        <w:t>six</w:t>
      </w:r>
      <w:r w:rsidR="00977934" w:rsidRPr="00572C27">
        <w:rPr>
          <w:szCs w:val="22"/>
        </w:rPr>
        <w:t xml:space="preserve"> </w:t>
      </w:r>
      <w:r w:rsidRPr="00572C27">
        <w:rPr>
          <w:szCs w:val="22"/>
        </w:rPr>
        <w:t>and 12 month points of the fiscal year, allowing any errors to be identified at the halfway point for correction before the full year submission.</w:t>
      </w:r>
      <w:r>
        <w:rPr>
          <w:szCs w:val="22"/>
        </w:rPr>
        <w:t xml:space="preserve"> </w:t>
      </w:r>
      <w:r w:rsidRPr="00572C27">
        <w:rPr>
          <w:szCs w:val="22"/>
        </w:rPr>
        <w:t>NSW has an integrated quality assurance process that includes:</w:t>
      </w:r>
    </w:p>
    <w:p w:rsidR="00572C27" w:rsidRPr="00CC054E" w:rsidRDefault="00572C27" w:rsidP="0026742C">
      <w:pPr>
        <w:pStyle w:val="ListParagraph"/>
        <w:numPr>
          <w:ilvl w:val="0"/>
          <w:numId w:val="72"/>
        </w:numPr>
        <w:spacing w:before="120" w:after="120" w:line="280" w:lineRule="atLeast"/>
        <w:jc w:val="both"/>
      </w:pPr>
      <w:r w:rsidRPr="008B40BB">
        <w:rPr>
          <w:sz w:val="20"/>
        </w:rPr>
        <w:t>A Costing Standards User Group (CSUG) where standards are tabled and endorsed</w:t>
      </w:r>
      <w:r>
        <w:rPr>
          <w:sz w:val="20"/>
        </w:rPr>
        <w:t>.</w:t>
      </w:r>
    </w:p>
    <w:p w:rsidR="00572C27" w:rsidRPr="00CC054E" w:rsidRDefault="000C19A6" w:rsidP="0026742C">
      <w:pPr>
        <w:pStyle w:val="ListParagraph"/>
        <w:numPr>
          <w:ilvl w:val="0"/>
          <w:numId w:val="72"/>
        </w:numPr>
        <w:spacing w:before="120" w:after="120" w:line="280" w:lineRule="atLeast"/>
        <w:jc w:val="both"/>
      </w:pPr>
      <w:r>
        <w:rPr>
          <w:sz w:val="20"/>
        </w:rPr>
        <w:t>P</w:t>
      </w:r>
      <w:r w:rsidRPr="008B40BB">
        <w:rPr>
          <w:sz w:val="20"/>
        </w:rPr>
        <w:t xml:space="preserve">ublishing </w:t>
      </w:r>
      <w:r>
        <w:rPr>
          <w:sz w:val="20"/>
        </w:rPr>
        <w:t>t</w:t>
      </w:r>
      <w:r w:rsidRPr="008B40BB">
        <w:rPr>
          <w:sz w:val="20"/>
        </w:rPr>
        <w:t>he NSW Cost Accounting Guidelines</w:t>
      </w:r>
      <w:r>
        <w:rPr>
          <w:sz w:val="20"/>
        </w:rPr>
        <w:t>.</w:t>
      </w:r>
    </w:p>
    <w:p w:rsidR="00572C27" w:rsidRPr="00CC054E" w:rsidRDefault="00572C27" w:rsidP="0026742C">
      <w:pPr>
        <w:pStyle w:val="ListParagraph"/>
        <w:numPr>
          <w:ilvl w:val="0"/>
          <w:numId w:val="72"/>
        </w:numPr>
        <w:spacing w:before="120" w:after="120" w:line="280" w:lineRule="atLeast"/>
        <w:jc w:val="both"/>
      </w:pPr>
      <w:r w:rsidRPr="008B40BB">
        <w:rPr>
          <w:sz w:val="20"/>
        </w:rPr>
        <w:t>Validation checks in the PPM DNR Module (such as checking the relationship between cost and length of stay), some of which must be passed for the DNR Expense file to be generated by the LHD/SHNs</w:t>
      </w:r>
      <w:r>
        <w:rPr>
          <w:sz w:val="20"/>
        </w:rPr>
        <w:t>.</w:t>
      </w:r>
    </w:p>
    <w:p w:rsidR="00572C27" w:rsidRPr="00CC054E" w:rsidRDefault="00572C27" w:rsidP="0026742C">
      <w:pPr>
        <w:pStyle w:val="ListParagraph"/>
        <w:numPr>
          <w:ilvl w:val="0"/>
          <w:numId w:val="72"/>
        </w:numPr>
        <w:spacing w:before="120" w:after="120" w:line="280" w:lineRule="atLeast"/>
        <w:jc w:val="both"/>
      </w:pPr>
      <w:r w:rsidRPr="008B40BB">
        <w:rPr>
          <w:sz w:val="20"/>
        </w:rPr>
        <w:t>Validation checks on submission of the DNR expense and activity files by the LHD/SHNs to the ABF Taskforce to ensure compliance with approved entity reporting structure and file format requirements.</w:t>
      </w:r>
    </w:p>
    <w:p w:rsidR="00572C27" w:rsidRPr="00CC054E" w:rsidRDefault="00572C27" w:rsidP="0026742C">
      <w:pPr>
        <w:pStyle w:val="ListParagraph"/>
        <w:numPr>
          <w:ilvl w:val="0"/>
          <w:numId w:val="72"/>
        </w:numPr>
        <w:spacing w:before="120" w:after="120" w:line="280" w:lineRule="atLeast"/>
        <w:jc w:val="both"/>
      </w:pPr>
      <w:r w:rsidRPr="008B40BB">
        <w:rPr>
          <w:sz w:val="20"/>
        </w:rPr>
        <w:t>A draft submission period during which 52 patient level data quality tests are performed and fed back to the LHD/SHN costing officers for review and correction as required</w:t>
      </w:r>
      <w:r w:rsidR="00873964">
        <w:rPr>
          <w:sz w:val="20"/>
        </w:rPr>
        <w:t xml:space="preserve">. </w:t>
      </w:r>
      <w:r w:rsidRPr="008B40BB">
        <w:rPr>
          <w:sz w:val="20"/>
        </w:rPr>
        <w:t>During the draft submission period, LHD/SHNs may submit any number of times to correct cost allocation issues</w:t>
      </w:r>
      <w:r w:rsidR="00873964">
        <w:rPr>
          <w:sz w:val="20"/>
        </w:rPr>
        <w:t xml:space="preserve">. </w:t>
      </w:r>
      <w:r w:rsidRPr="008B40BB">
        <w:rPr>
          <w:sz w:val="20"/>
        </w:rPr>
        <w:t>Some of the tests are scored to enable a calculation for each LHD/SHN</w:t>
      </w:r>
      <w:r w:rsidR="00962695">
        <w:rPr>
          <w:sz w:val="20"/>
        </w:rPr>
        <w:t>.</w:t>
      </w:r>
    </w:p>
    <w:p w:rsidR="00572C27" w:rsidRPr="00CC054E" w:rsidRDefault="00572C27" w:rsidP="0026742C">
      <w:pPr>
        <w:pStyle w:val="ListParagraph"/>
        <w:numPr>
          <w:ilvl w:val="0"/>
          <w:numId w:val="72"/>
        </w:numPr>
        <w:spacing w:before="120" w:after="120" w:line="280" w:lineRule="atLeast"/>
        <w:jc w:val="both"/>
      </w:pPr>
      <w:r w:rsidRPr="008B40BB">
        <w:rPr>
          <w:sz w:val="20"/>
        </w:rPr>
        <w:lastRenderedPageBreak/>
        <w:t xml:space="preserve">The completion of a LHD/SHN Chief Executive letter and reconciliation schedule, that reconciles with the published financial statements, to formally </w:t>
      </w:r>
      <w:proofErr w:type="gramStart"/>
      <w:r w:rsidRPr="008B40BB">
        <w:rPr>
          <w:sz w:val="20"/>
        </w:rPr>
        <w:t>advise</w:t>
      </w:r>
      <w:proofErr w:type="gramEnd"/>
      <w:r w:rsidRPr="008B40BB">
        <w:rPr>
          <w:sz w:val="20"/>
        </w:rPr>
        <w:t xml:space="preserve"> of the finalisation of the DNR submission</w:t>
      </w:r>
      <w:r w:rsidR="00962695">
        <w:rPr>
          <w:sz w:val="20"/>
        </w:rPr>
        <w:t>.</w:t>
      </w:r>
    </w:p>
    <w:p w:rsidR="00572C27" w:rsidRPr="00572C27" w:rsidRDefault="00572C27" w:rsidP="00616472">
      <w:pPr>
        <w:spacing w:before="120" w:after="120" w:line="280" w:lineRule="atLeast"/>
        <w:jc w:val="both"/>
        <w:rPr>
          <w:szCs w:val="22"/>
        </w:rPr>
      </w:pPr>
      <w:r w:rsidRPr="00572C27">
        <w:rPr>
          <w:szCs w:val="22"/>
        </w:rPr>
        <w:t>The ABF Taskforce is responsible for formatting and consolidating the LHD/SHN patient level costed data for the NHCDC</w:t>
      </w:r>
      <w:r w:rsidR="00873964">
        <w:rPr>
          <w:szCs w:val="22"/>
        </w:rPr>
        <w:t xml:space="preserve">. </w:t>
      </w:r>
      <w:r w:rsidRPr="00572C27">
        <w:rPr>
          <w:szCs w:val="22"/>
        </w:rPr>
        <w:t xml:space="preserve">Only </w:t>
      </w:r>
      <w:r w:rsidR="00962695">
        <w:rPr>
          <w:szCs w:val="22"/>
        </w:rPr>
        <w:t xml:space="preserve">patient level data is submitted </w:t>
      </w:r>
      <w:r w:rsidRPr="00572C27">
        <w:rPr>
          <w:szCs w:val="22"/>
        </w:rPr>
        <w:t>for ABF facilities for the NHCDC</w:t>
      </w:r>
      <w:r w:rsidR="00873964">
        <w:rPr>
          <w:szCs w:val="22"/>
        </w:rPr>
        <w:t xml:space="preserve">. </w:t>
      </w:r>
      <w:r w:rsidRPr="00572C27">
        <w:rPr>
          <w:szCs w:val="22"/>
        </w:rPr>
        <w:t>Records that fail the IHPA validation checks are excluded from the submission.</w:t>
      </w:r>
      <w:r>
        <w:rPr>
          <w:szCs w:val="22"/>
        </w:rPr>
        <w:t xml:space="preserve"> </w:t>
      </w:r>
      <w:r w:rsidRPr="00572C27">
        <w:rPr>
          <w:szCs w:val="22"/>
        </w:rPr>
        <w:t>Once finalised, the Secretary</w:t>
      </w:r>
      <w:r w:rsidR="00977934">
        <w:rPr>
          <w:szCs w:val="22"/>
        </w:rPr>
        <w:t xml:space="preserve"> of</w:t>
      </w:r>
      <w:r w:rsidRPr="00572C27">
        <w:rPr>
          <w:szCs w:val="22"/>
        </w:rPr>
        <w:t xml:space="preserve"> NSW Health sends a letter to IHPA advising of the finalised submission.</w:t>
      </w:r>
    </w:p>
    <w:p w:rsidR="00972129" w:rsidRPr="00975E6B" w:rsidRDefault="007806D9">
      <w:pPr>
        <w:spacing w:before="120" w:after="120" w:line="280" w:lineRule="atLeast"/>
        <w:jc w:val="both"/>
        <w:rPr>
          <w:szCs w:val="22"/>
        </w:rPr>
      </w:pPr>
      <w:r w:rsidRPr="00975E6B">
        <w:rPr>
          <w:szCs w:val="22"/>
        </w:rPr>
        <w:t xml:space="preserve">NSW nominated three LHDs to participate in the review for Round 18, Western </w:t>
      </w:r>
      <w:r w:rsidR="00F235F2">
        <w:rPr>
          <w:szCs w:val="22"/>
        </w:rPr>
        <w:t>Sydney</w:t>
      </w:r>
      <w:r w:rsidR="00F235F2" w:rsidRPr="00975E6B">
        <w:rPr>
          <w:szCs w:val="22"/>
        </w:rPr>
        <w:t xml:space="preserve"> </w:t>
      </w:r>
      <w:r w:rsidRPr="00975E6B">
        <w:rPr>
          <w:szCs w:val="22"/>
        </w:rPr>
        <w:t xml:space="preserve">LHD, </w:t>
      </w:r>
      <w:r w:rsidRPr="00975E6B">
        <w:t xml:space="preserve">Illawarra and Shoalhaven LHD, and the Northern NSW LHD. </w:t>
      </w:r>
    </w:p>
    <w:p w:rsidR="00972129" w:rsidRPr="00975E6B" w:rsidRDefault="00972129" w:rsidP="006C3F19">
      <w:pPr>
        <w:pStyle w:val="Heading4"/>
        <w:numPr>
          <w:ilvl w:val="0"/>
          <w:numId w:val="0"/>
        </w:numPr>
        <w:ind w:left="720" w:hanging="720"/>
      </w:pPr>
      <w:r w:rsidRPr="00975E6B">
        <w:t>Work In Progress</w:t>
      </w:r>
    </w:p>
    <w:p w:rsidR="00962695" w:rsidRDefault="00972129" w:rsidP="00972129">
      <w:r w:rsidRPr="00975E6B">
        <w:t xml:space="preserve">The ABF Taskforce makes </w:t>
      </w:r>
      <w:r w:rsidR="00850523" w:rsidRPr="00975E6B">
        <w:t>work</w:t>
      </w:r>
      <w:r w:rsidR="00D440E7">
        <w:t>-</w:t>
      </w:r>
      <w:r w:rsidR="00D440E7" w:rsidRPr="00975E6B">
        <w:t>in</w:t>
      </w:r>
      <w:r w:rsidR="00D440E7">
        <w:t>-</w:t>
      </w:r>
      <w:r w:rsidR="00850523" w:rsidRPr="00975E6B">
        <w:t>progress (</w:t>
      </w:r>
      <w:r w:rsidRPr="00975E6B">
        <w:t>WIP</w:t>
      </w:r>
      <w:r w:rsidR="00850523" w:rsidRPr="00975E6B">
        <w:t>)</w:t>
      </w:r>
      <w:r w:rsidRPr="00975E6B">
        <w:t xml:space="preserve"> </w:t>
      </w:r>
      <w:r w:rsidR="00850523" w:rsidRPr="00975E6B">
        <w:t xml:space="preserve">patient </w:t>
      </w:r>
      <w:r w:rsidRPr="00975E6B">
        <w:t xml:space="preserve">adjustments required for the NHCDC submission. WIP is included for two prior NHCDC rounds. </w:t>
      </w:r>
      <w:r w:rsidR="00850523" w:rsidRPr="00975E6B">
        <w:t>NSW Health</w:t>
      </w:r>
      <w:r w:rsidRPr="00975E6B">
        <w:t xml:space="preserve"> also includes an escalation factor for WIP and applies it at </w:t>
      </w:r>
      <w:r w:rsidR="00977934">
        <w:t xml:space="preserve">the </w:t>
      </w:r>
      <w:r w:rsidRPr="00975E6B">
        <w:t xml:space="preserve">line item level as per </w:t>
      </w:r>
      <w:r w:rsidR="00977934">
        <w:t>IHPA’s</w:t>
      </w:r>
      <w:r w:rsidR="00977934" w:rsidRPr="00975E6B">
        <w:t xml:space="preserve"> </w:t>
      </w:r>
      <w:r w:rsidRPr="00975E6B">
        <w:t>circular</w:t>
      </w:r>
      <w:r w:rsidR="00977934">
        <w:t xml:space="preserve"> for reporting </w:t>
      </w:r>
      <w:r w:rsidR="006C5495">
        <w:t>WIP costs in Round 18</w:t>
      </w:r>
      <w:r w:rsidRPr="00975E6B">
        <w:t>. Further discussion of WIP is included in the analysis for each LHD.</w:t>
      </w:r>
      <w:r w:rsidRPr="00975E6B" w:rsidDel="008F4F3A">
        <w:t xml:space="preserve"> </w:t>
      </w:r>
      <w:bookmarkStart w:id="666" w:name="_Toc430248635"/>
    </w:p>
    <w:p w:rsidR="00962695" w:rsidRPr="00975E6B" w:rsidRDefault="00962695" w:rsidP="006C3F19">
      <w:pPr>
        <w:pStyle w:val="Heading4"/>
        <w:numPr>
          <w:ilvl w:val="0"/>
          <w:numId w:val="0"/>
        </w:numPr>
        <w:ind w:left="720" w:hanging="720"/>
      </w:pPr>
      <w:r w:rsidRPr="00975E6B">
        <w:t>Key initiatives since Round 17 NHCDC</w:t>
      </w:r>
      <w:r w:rsidRPr="00975E6B" w:rsidDel="007A24FF">
        <w:t xml:space="preserve"> </w:t>
      </w:r>
    </w:p>
    <w:p w:rsidR="00962695" w:rsidRDefault="00962695" w:rsidP="00972129">
      <w:r>
        <w:t>The following initiative</w:t>
      </w:r>
      <w:r w:rsidR="00EF0CBA">
        <w:t>s</w:t>
      </w:r>
      <w:r>
        <w:t xml:space="preserve"> were implemented by NSW </w:t>
      </w:r>
      <w:r w:rsidR="00EF0CBA">
        <w:t>since</w:t>
      </w:r>
      <w:r>
        <w:t xml:space="preserve"> the Round 17 NHCDC:</w:t>
      </w:r>
    </w:p>
    <w:p w:rsidR="00962695" w:rsidRPr="00CC054E" w:rsidRDefault="00962695" w:rsidP="0026742C">
      <w:pPr>
        <w:pStyle w:val="ListParagraph"/>
        <w:numPr>
          <w:ilvl w:val="0"/>
          <w:numId w:val="72"/>
        </w:numPr>
        <w:spacing w:before="120" w:after="120" w:line="280" w:lineRule="atLeast"/>
        <w:jc w:val="both"/>
      </w:pPr>
      <w:r w:rsidRPr="008B40BB">
        <w:rPr>
          <w:sz w:val="20"/>
        </w:rPr>
        <w:t xml:space="preserve">An additional 14 hospitals were submitted in Round 18. These hospitals - Casino, Macksville, Maclean, </w:t>
      </w:r>
      <w:r w:rsidR="000C19A6">
        <w:rPr>
          <w:sz w:val="20"/>
        </w:rPr>
        <w:t>Inv</w:t>
      </w:r>
      <w:r w:rsidR="000C19A6" w:rsidRPr="008B40BB">
        <w:rPr>
          <w:sz w:val="20"/>
        </w:rPr>
        <w:t>erell</w:t>
      </w:r>
      <w:r w:rsidRPr="008B40BB">
        <w:rPr>
          <w:sz w:val="20"/>
        </w:rPr>
        <w:t xml:space="preserve">, Moree, Mudgee, Cowra, Forbes, Lithgow, </w:t>
      </w:r>
      <w:proofErr w:type="spellStart"/>
      <w:r w:rsidRPr="008B40BB">
        <w:rPr>
          <w:sz w:val="20"/>
        </w:rPr>
        <w:t>Parkes</w:t>
      </w:r>
      <w:proofErr w:type="spellEnd"/>
      <w:r w:rsidRPr="008B40BB">
        <w:rPr>
          <w:sz w:val="20"/>
        </w:rPr>
        <w:t>, Deniliquin, Cooma, Cessnock and Singleton were submitted as they are ABF Hospitals from 2015/16.</w:t>
      </w:r>
    </w:p>
    <w:p w:rsidR="00962695" w:rsidRPr="00CC054E" w:rsidRDefault="00962695" w:rsidP="0026742C">
      <w:pPr>
        <w:pStyle w:val="ListParagraph"/>
        <w:numPr>
          <w:ilvl w:val="0"/>
          <w:numId w:val="72"/>
        </w:numPr>
        <w:spacing w:before="120" w:after="120" w:line="280" w:lineRule="atLeast"/>
        <w:jc w:val="both"/>
      </w:pPr>
      <w:r w:rsidRPr="008B40BB">
        <w:rPr>
          <w:sz w:val="20"/>
        </w:rPr>
        <w:t xml:space="preserve">There was a significant increase in </w:t>
      </w:r>
      <w:r w:rsidR="00EF0CBA">
        <w:rPr>
          <w:sz w:val="20"/>
        </w:rPr>
        <w:t>n</w:t>
      </w:r>
      <w:r w:rsidRPr="008B40BB">
        <w:rPr>
          <w:sz w:val="20"/>
        </w:rPr>
        <w:t>on</w:t>
      </w:r>
      <w:r w:rsidR="00EF0CBA">
        <w:rPr>
          <w:sz w:val="20"/>
        </w:rPr>
        <w:t>-a</w:t>
      </w:r>
      <w:r w:rsidRPr="008B40BB">
        <w:rPr>
          <w:sz w:val="20"/>
        </w:rPr>
        <w:t xml:space="preserve">dmitted </w:t>
      </w:r>
      <w:r w:rsidR="00EF0CBA">
        <w:rPr>
          <w:sz w:val="20"/>
        </w:rPr>
        <w:t>p</w:t>
      </w:r>
      <w:r w:rsidRPr="008B40BB">
        <w:rPr>
          <w:sz w:val="20"/>
        </w:rPr>
        <w:t>atient service events with the expanded availability of patient level data.</w:t>
      </w:r>
    </w:p>
    <w:p w:rsidR="006C3F19" w:rsidRPr="006C3F19" w:rsidRDefault="00962695" w:rsidP="0026742C">
      <w:pPr>
        <w:pStyle w:val="ListParagraph"/>
        <w:numPr>
          <w:ilvl w:val="0"/>
          <w:numId w:val="72"/>
        </w:numPr>
        <w:spacing w:before="120" w:after="120" w:line="280" w:lineRule="atLeast"/>
        <w:jc w:val="both"/>
      </w:pPr>
      <w:r w:rsidRPr="008B40BB">
        <w:rPr>
          <w:sz w:val="20"/>
        </w:rPr>
        <w:t xml:space="preserve">The </w:t>
      </w:r>
      <w:r w:rsidR="00EF0CBA">
        <w:rPr>
          <w:sz w:val="20"/>
        </w:rPr>
        <w:t>q</w:t>
      </w:r>
      <w:r w:rsidRPr="008B40BB">
        <w:rPr>
          <w:sz w:val="20"/>
        </w:rPr>
        <w:t xml:space="preserve">uality </w:t>
      </w:r>
      <w:r w:rsidR="00EF0CBA">
        <w:rPr>
          <w:sz w:val="20"/>
        </w:rPr>
        <w:t>a</w:t>
      </w:r>
      <w:r w:rsidRPr="008B40BB">
        <w:rPr>
          <w:sz w:val="20"/>
        </w:rPr>
        <w:t>ssurance processes were further enhanced during Round 18 with the development of a web based tool to facilitate the review and correction of DNR submissions during the draft submission period</w:t>
      </w:r>
      <w:r w:rsidR="00873964">
        <w:rPr>
          <w:sz w:val="20"/>
        </w:rPr>
        <w:t xml:space="preserve">. </w:t>
      </w:r>
      <w:r w:rsidRPr="008B40BB">
        <w:rPr>
          <w:sz w:val="20"/>
        </w:rPr>
        <w:t>This tool replaced spreadsheets that were distributed on a daily basis.</w:t>
      </w:r>
      <w:bookmarkStart w:id="667" w:name="_Toc435425580"/>
      <w:bookmarkStart w:id="668" w:name="_Toc435440351"/>
      <w:bookmarkStart w:id="669" w:name="_Toc435468590"/>
      <w:bookmarkStart w:id="670" w:name="_Toc435425581"/>
      <w:bookmarkStart w:id="671" w:name="_Toc435440352"/>
      <w:bookmarkStart w:id="672" w:name="_Toc435468591"/>
      <w:bookmarkEnd w:id="666"/>
      <w:bookmarkEnd w:id="667"/>
      <w:bookmarkEnd w:id="668"/>
      <w:bookmarkEnd w:id="669"/>
      <w:bookmarkEnd w:id="670"/>
      <w:bookmarkEnd w:id="671"/>
      <w:bookmarkEnd w:id="672"/>
    </w:p>
    <w:p w:rsidR="006C3F19" w:rsidRDefault="006C3F19" w:rsidP="003B387A">
      <w:pPr>
        <w:pStyle w:val="Heading2"/>
        <w:numPr>
          <w:ilvl w:val="1"/>
          <w:numId w:val="77"/>
        </w:numPr>
      </w:pPr>
      <w:bookmarkStart w:id="673" w:name="_Toc444523651"/>
      <w:r w:rsidRPr="006C3F19">
        <w:t>Western Sydney Local Health District</w:t>
      </w:r>
      <w:bookmarkEnd w:id="673"/>
    </w:p>
    <w:p w:rsidR="00972129" w:rsidRPr="00975E6B" w:rsidRDefault="00972129" w:rsidP="003B387A">
      <w:pPr>
        <w:pStyle w:val="Heading3"/>
        <w:numPr>
          <w:ilvl w:val="2"/>
          <w:numId w:val="77"/>
        </w:numPr>
      </w:pPr>
      <w:r w:rsidRPr="00975E6B">
        <w:t>Overview</w:t>
      </w:r>
    </w:p>
    <w:p w:rsidR="006C3F19" w:rsidRDefault="00972129" w:rsidP="006C3F19">
      <w:r w:rsidRPr="00975E6B">
        <w:t>The Western Sydney LHD is responsible for providing primary and secondary health care for people living in the Auburn, Blacktown, the Hills Shire, Holroyd and Parramatta Local Government Areas and tertiary care to residents of the Greater Western Sydney Region. It includes the Auburn, Cumberland, Blacktown, Mount Druitt (two campuses) and Westmead hospitals, and an extensive network of community health centres. Western Sydney LHD employs almost 9,500 people, and has a large research and teaching program which enjoys a national and international reputation</w:t>
      </w:r>
      <w:r w:rsidRPr="00975E6B">
        <w:rPr>
          <w:vertAlign w:val="superscript"/>
        </w:rPr>
        <w:footnoteReference w:id="1"/>
      </w:r>
      <w:r w:rsidRPr="00975E6B">
        <w:t xml:space="preserve">. </w:t>
      </w:r>
    </w:p>
    <w:p w:rsidR="006C3F19" w:rsidRPr="00975E6B" w:rsidRDefault="006C3F19" w:rsidP="003B387A">
      <w:pPr>
        <w:pStyle w:val="Heading3"/>
        <w:numPr>
          <w:ilvl w:val="2"/>
          <w:numId w:val="77"/>
        </w:numPr>
      </w:pPr>
      <w:r>
        <w:lastRenderedPageBreak/>
        <w:t>Financial data</w:t>
      </w:r>
    </w:p>
    <w:p w:rsidR="00972129" w:rsidRPr="00975E6B" w:rsidRDefault="00972129" w:rsidP="00972129">
      <w:pPr>
        <w:spacing w:before="120" w:after="120" w:line="280" w:lineRule="atLeast"/>
        <w:jc w:val="both"/>
        <w:rPr>
          <w:szCs w:val="22"/>
        </w:rPr>
      </w:pPr>
      <w:r w:rsidRPr="00975E6B">
        <w:rPr>
          <w:szCs w:val="22"/>
        </w:rPr>
        <w:t>For the Round 18 IFR, representatives from NSW Health completed the IFR templates and participated in consultations during the review. Representatives of Western Sydney LHD also attended the site visit.</w:t>
      </w:r>
    </w:p>
    <w:p w:rsidR="00972129" w:rsidRPr="00975E6B" w:rsidRDefault="00972129" w:rsidP="00972129">
      <w:pPr>
        <w:spacing w:before="120" w:after="120" w:line="280" w:lineRule="atLeast"/>
        <w:jc w:val="both"/>
        <w:rPr>
          <w:szCs w:val="22"/>
        </w:rPr>
      </w:pPr>
      <w:r w:rsidRPr="00975E6B">
        <w:rPr>
          <w:szCs w:val="22"/>
        </w:rPr>
        <w:fldChar w:fldCharType="begin"/>
      </w:r>
      <w:r w:rsidRPr="00975E6B">
        <w:rPr>
          <w:szCs w:val="22"/>
        </w:rPr>
        <w:instrText xml:space="preserve"> REF _Ref433205697 \h </w:instrText>
      </w:r>
      <w:r w:rsidR="007468AE" w:rsidRPr="00975E6B">
        <w:rPr>
          <w:szCs w:val="22"/>
        </w:rPr>
        <w:instrText xml:space="preserve"> \* MERGEFORMAT </w:instrText>
      </w:r>
      <w:r w:rsidRPr="00975E6B">
        <w:rPr>
          <w:szCs w:val="22"/>
        </w:rPr>
      </w:r>
      <w:r w:rsidRPr="00975E6B">
        <w:rPr>
          <w:szCs w:val="22"/>
        </w:rPr>
        <w:fldChar w:fldCharType="separate"/>
      </w:r>
      <w:r w:rsidR="00154CF7" w:rsidRPr="00154CF7">
        <w:rPr>
          <w:bCs/>
        </w:rPr>
        <w:t xml:space="preserve">Table </w:t>
      </w:r>
      <w:r w:rsidR="00154CF7" w:rsidRPr="00154CF7">
        <w:rPr>
          <w:bCs/>
          <w:noProof/>
        </w:rPr>
        <w:t>4</w:t>
      </w:r>
      <w:r w:rsidRPr="00975E6B">
        <w:rPr>
          <w:szCs w:val="22"/>
        </w:rPr>
        <w:fldChar w:fldCharType="end"/>
      </w:r>
      <w:r w:rsidRPr="00975E6B">
        <w:rPr>
          <w:szCs w:val="22"/>
        </w:rPr>
        <w:t xml:space="preserve"> presents a summary of Western Sydney LHD’s costs, commencing with extraction of the </w:t>
      </w:r>
      <w:r w:rsidR="00850523" w:rsidRPr="00975E6B">
        <w:rPr>
          <w:szCs w:val="22"/>
        </w:rPr>
        <w:t>general ledger (</w:t>
      </w:r>
      <w:r w:rsidRPr="00975E6B">
        <w:rPr>
          <w:szCs w:val="22"/>
        </w:rPr>
        <w:t>GL</w:t>
      </w:r>
      <w:r w:rsidR="00850523" w:rsidRPr="00975E6B">
        <w:rPr>
          <w:szCs w:val="22"/>
        </w:rPr>
        <w:t>)</w:t>
      </w:r>
      <w:r w:rsidRPr="00975E6B">
        <w:rPr>
          <w:szCs w:val="22"/>
        </w:rPr>
        <w:t xml:space="preserve"> through to the final NHCDC costs for the LHD for Round 18.</w:t>
      </w:r>
    </w:p>
    <w:p w:rsidR="00972129" w:rsidRPr="00975E6B" w:rsidRDefault="00972129" w:rsidP="00972129">
      <w:pPr>
        <w:spacing w:before="120" w:after="120" w:line="280" w:lineRule="atLeast"/>
        <w:jc w:val="both"/>
        <w:rPr>
          <w:szCs w:val="22"/>
        </w:rPr>
      </w:pPr>
    </w:p>
    <w:p w:rsidR="00972129" w:rsidRPr="00975E6B" w:rsidRDefault="00972129" w:rsidP="00972129">
      <w:pPr>
        <w:keepNext/>
        <w:spacing w:before="120" w:after="120"/>
        <w:rPr>
          <w:bCs/>
          <w:i/>
        </w:rPr>
        <w:sectPr w:rsidR="00972129" w:rsidRPr="00975E6B" w:rsidSect="00835E8A">
          <w:headerReference w:type="default" r:id="rId17"/>
          <w:footerReference w:type="default" r:id="rId18"/>
          <w:endnotePr>
            <w:numFmt w:val="decimal"/>
          </w:endnotePr>
          <w:pgSz w:w="11907" w:h="16840" w:code="9"/>
          <w:pgMar w:top="1964" w:right="1474" w:bottom="1588" w:left="1474" w:header="958" w:footer="737" w:gutter="454"/>
          <w:cols w:space="720"/>
          <w:docGrid w:linePitch="272"/>
        </w:sectPr>
      </w:pPr>
    </w:p>
    <w:p w:rsidR="00972129" w:rsidRPr="00975E6B" w:rsidRDefault="00972129" w:rsidP="00972129">
      <w:pPr>
        <w:keepNext/>
        <w:spacing w:before="120" w:after="120"/>
        <w:rPr>
          <w:bCs/>
          <w:i/>
        </w:rPr>
      </w:pPr>
      <w:bookmarkStart w:id="674" w:name="_Ref433205697"/>
      <w:r w:rsidRPr="00975E6B">
        <w:rPr>
          <w:bCs/>
          <w:i/>
        </w:rPr>
        <w:lastRenderedPageBreak/>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4</w:t>
      </w:r>
      <w:r w:rsidRPr="00975E6B">
        <w:rPr>
          <w:bCs/>
          <w:i/>
          <w:noProof/>
        </w:rPr>
        <w:fldChar w:fldCharType="end"/>
      </w:r>
      <w:bookmarkEnd w:id="674"/>
      <w:r w:rsidRPr="00975E6B">
        <w:rPr>
          <w:bCs/>
          <w:i/>
        </w:rPr>
        <w:t xml:space="preserve"> – Round 18 NHCDC Reconciliation – Western Sydney LHD </w:t>
      </w:r>
    </w:p>
    <w:p w:rsidR="00972129" w:rsidRPr="00975E6B" w:rsidRDefault="007939A0" w:rsidP="00972129">
      <w:pPr>
        <w:spacing w:before="120" w:after="120" w:line="280" w:lineRule="atLeast"/>
        <w:jc w:val="both"/>
        <w:rPr>
          <w:szCs w:val="22"/>
        </w:rPr>
      </w:pPr>
      <w:r>
        <w:rPr>
          <w:noProof/>
          <w:szCs w:val="22"/>
          <w:lang w:eastAsia="en-AU"/>
        </w:rPr>
        <w:drawing>
          <wp:inline distT="0" distB="0" distL="0" distR="0" wp14:anchorId="707DEB70" wp14:editId="29BE1F33">
            <wp:extent cx="8501380" cy="3228975"/>
            <wp:effectExtent l="0" t="0" r="0" b="9525"/>
            <wp:docPr id="71" name="Picture 1" descr="This table presents the financial reconciliation of expenditure for Round 18 for Western Sydney LHD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 title="Table 4 - Round 18 NHCDC Reconciliation - Western Sydney LH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is table presents the financial reconciliation of expenditure for Round 18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8501380" cy="3228975"/>
                    </a:xfrm>
                    <a:prstGeom prst="rect">
                      <a:avLst/>
                    </a:prstGeom>
                    <a:noFill/>
                    <a:ln>
                      <a:noFill/>
                    </a:ln>
                  </pic:spPr>
                </pic:pic>
              </a:graphicData>
            </a:graphic>
          </wp:inline>
        </w:drawing>
      </w:r>
    </w:p>
    <w:p w:rsidR="00972129" w:rsidRPr="00975E6B" w:rsidRDefault="00972129" w:rsidP="00972129">
      <w:pPr>
        <w:rPr>
          <w:bCs/>
          <w:i/>
          <w:sz w:val="16"/>
          <w:szCs w:val="16"/>
        </w:rPr>
      </w:pPr>
      <w:r w:rsidRPr="00975E6B">
        <w:rPr>
          <w:bCs/>
          <w:i/>
          <w:sz w:val="16"/>
          <w:szCs w:val="16"/>
        </w:rPr>
        <w:t xml:space="preserve">Source: KPMG based on data supplied by Western Sydney LHD, jurisdiction and IHPA </w:t>
      </w:r>
    </w:p>
    <w:p w:rsidR="00972129" w:rsidRPr="00975E6B" w:rsidRDefault="00972129" w:rsidP="00972129">
      <w:pPr>
        <w:rPr>
          <w:bCs/>
          <w:i/>
          <w:sz w:val="16"/>
          <w:szCs w:val="16"/>
        </w:rPr>
      </w:pPr>
      <w:r w:rsidRPr="00975E6B">
        <w:rPr>
          <w:bCs/>
          <w:i/>
          <w:sz w:val="16"/>
          <w:szCs w:val="16"/>
        </w:rPr>
        <w:t>* These figures include admitted emergency costs.</w:t>
      </w:r>
    </w:p>
    <w:p w:rsidR="00972129" w:rsidRPr="00975E6B" w:rsidRDefault="00972129" w:rsidP="00972129"/>
    <w:p w:rsidR="00972129" w:rsidRPr="00975E6B" w:rsidRDefault="00972129" w:rsidP="00972129">
      <w:pPr>
        <w:keepNext/>
        <w:spacing w:before="120" w:after="120"/>
        <w:rPr>
          <w:bCs/>
          <w:i/>
        </w:rPr>
        <w:sectPr w:rsidR="00972129" w:rsidRPr="00975E6B" w:rsidSect="00835E8A">
          <w:endnotePr>
            <w:numFmt w:val="decimal"/>
          </w:endnotePr>
          <w:pgSz w:w="16840" w:h="11907" w:orient="landscape" w:code="9"/>
          <w:pgMar w:top="1474" w:right="1964" w:bottom="1474" w:left="1588" w:header="958" w:footer="737" w:gutter="454"/>
          <w:cols w:space="720"/>
          <w:docGrid w:linePitch="272"/>
        </w:sectPr>
      </w:pPr>
    </w:p>
    <w:p w:rsidR="00972129" w:rsidRPr="00975E6B" w:rsidRDefault="00972129" w:rsidP="006C3F19">
      <w:pPr>
        <w:pStyle w:val="Heading4"/>
        <w:numPr>
          <w:ilvl w:val="0"/>
          <w:numId w:val="0"/>
        </w:numPr>
        <w:ind w:left="720" w:hanging="720"/>
      </w:pPr>
      <w:r w:rsidRPr="00975E6B">
        <w:lastRenderedPageBreak/>
        <w:t>Explanation of reconciliation items</w:t>
      </w:r>
    </w:p>
    <w:p w:rsidR="00972129" w:rsidRPr="00975E6B" w:rsidRDefault="00972129" w:rsidP="00972129">
      <w:pPr>
        <w:spacing w:before="120" w:after="120" w:line="280" w:lineRule="atLeast"/>
        <w:jc w:val="both"/>
        <w:rPr>
          <w:szCs w:val="22"/>
        </w:rPr>
      </w:pPr>
      <w:r w:rsidRPr="00975E6B">
        <w:rPr>
          <w:szCs w:val="22"/>
        </w:rPr>
        <w:fldChar w:fldCharType="begin"/>
      </w:r>
      <w:r w:rsidRPr="00975E6B">
        <w:rPr>
          <w:szCs w:val="22"/>
        </w:rPr>
        <w:instrText xml:space="preserve"> REF _Ref434483571 \h </w:instrText>
      </w:r>
      <w:r w:rsidR="00975E6B">
        <w:rPr>
          <w:szCs w:val="22"/>
        </w:rPr>
        <w:instrText xml:space="preserve"> \* MERGEFORMAT </w:instrText>
      </w:r>
      <w:r w:rsidRPr="00975E6B">
        <w:rPr>
          <w:szCs w:val="22"/>
        </w:rPr>
      </w:r>
      <w:r w:rsidRPr="00975E6B">
        <w:rPr>
          <w:szCs w:val="22"/>
        </w:rPr>
        <w:fldChar w:fldCharType="separate"/>
      </w:r>
      <w:r w:rsidR="00154CF7" w:rsidRPr="00154CF7">
        <w:rPr>
          <w:bCs/>
        </w:rPr>
        <w:t xml:space="preserve">Table </w:t>
      </w:r>
      <w:r w:rsidR="00154CF7" w:rsidRPr="00154CF7">
        <w:rPr>
          <w:bCs/>
          <w:noProof/>
        </w:rPr>
        <w:t>5</w:t>
      </w:r>
      <w:r w:rsidRPr="00975E6B">
        <w:rPr>
          <w:szCs w:val="22"/>
        </w:rPr>
        <w:fldChar w:fldCharType="end"/>
      </w:r>
      <w:r w:rsidRPr="00975E6B">
        <w:rPr>
          <w:szCs w:val="22"/>
        </w:rPr>
        <w:t xml:space="preserve"> discusses each of the reconciliation items including adjustments, inclusions and exclusions to the </w:t>
      </w:r>
      <w:r w:rsidR="00851875" w:rsidRPr="00975E6B">
        <w:rPr>
          <w:szCs w:val="22"/>
        </w:rPr>
        <w:t>GL</w:t>
      </w:r>
      <w:r w:rsidRPr="00975E6B">
        <w:rPr>
          <w:szCs w:val="22"/>
        </w:rPr>
        <w:t>.</w:t>
      </w:r>
    </w:p>
    <w:p w:rsidR="00972129" w:rsidRPr="00975E6B" w:rsidRDefault="00972129" w:rsidP="00972129">
      <w:pPr>
        <w:keepNext/>
        <w:spacing w:before="120" w:after="120"/>
        <w:rPr>
          <w:bCs/>
          <w:i/>
        </w:rPr>
      </w:pPr>
      <w:bookmarkStart w:id="675" w:name="_Ref434483571"/>
      <w:r w:rsidRPr="00975E6B">
        <w:rPr>
          <w:bCs/>
          <w:i/>
        </w:rPr>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5</w:t>
      </w:r>
      <w:r w:rsidRPr="00975E6B">
        <w:rPr>
          <w:bCs/>
          <w:i/>
          <w:noProof/>
        </w:rPr>
        <w:fldChar w:fldCharType="end"/>
      </w:r>
      <w:bookmarkEnd w:id="675"/>
      <w:r w:rsidRPr="00975E6B">
        <w:rPr>
          <w:bCs/>
          <w:i/>
        </w:rPr>
        <w:t xml:space="preserve"> – Financial Reconciliation, explanation of items – Western Sydney LHD</w:t>
      </w:r>
    </w:p>
    <w:tbl>
      <w:tblPr>
        <w:tblStyle w:val="ListTable4-Accent11"/>
        <w:tblW w:w="5000" w:type="pct"/>
        <w:tblLayout w:type="fixed"/>
        <w:tblLook w:val="0620" w:firstRow="1" w:lastRow="0" w:firstColumn="0" w:lastColumn="0" w:noHBand="1" w:noVBand="1"/>
        <w:tblCaption w:val="Table 5 - Financial Reconciliation, explanation of items - Western Sydney LHD"/>
        <w:tblDescription w:val="This table describes the information presented in Table 4 for Western Sydney LHD.  The first column is the item number (A to K), the second column is the title of the item number and the third column is a description of the financial information included at that item."/>
      </w:tblPr>
      <w:tblGrid>
        <w:gridCol w:w="722"/>
        <w:gridCol w:w="2622"/>
        <w:gridCol w:w="5377"/>
      </w:tblGrid>
      <w:tr w:rsidR="00972129"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14" w:type="pct"/>
            <w:tcBorders>
              <w:right w:val="single" w:sz="4" w:space="0" w:color="548DD4" w:themeColor="text2" w:themeTint="99"/>
            </w:tcBorders>
            <w:shd w:val="clear" w:color="auto" w:fill="002060"/>
            <w:noWrap/>
          </w:tcPr>
          <w:p w:rsidR="00972129" w:rsidRPr="00975E6B" w:rsidRDefault="00972129" w:rsidP="00972129">
            <w:r w:rsidRPr="00975E6B">
              <w:t>Item</w:t>
            </w:r>
          </w:p>
        </w:tc>
        <w:tc>
          <w:tcPr>
            <w:tcW w:w="1503" w:type="pct"/>
            <w:tcBorders>
              <w:left w:val="single" w:sz="4" w:space="0" w:color="548DD4" w:themeColor="text2" w:themeTint="99"/>
            </w:tcBorders>
            <w:shd w:val="clear" w:color="auto" w:fill="002060"/>
          </w:tcPr>
          <w:p w:rsidR="00972129" w:rsidRPr="00975E6B" w:rsidRDefault="00972129" w:rsidP="00972129">
            <w:r w:rsidRPr="00975E6B">
              <w:t>Heading</w:t>
            </w:r>
          </w:p>
        </w:tc>
        <w:tc>
          <w:tcPr>
            <w:tcW w:w="3083" w:type="pct"/>
            <w:tcBorders>
              <w:left w:val="single" w:sz="4" w:space="0" w:color="548DD4" w:themeColor="text2" w:themeTint="99"/>
            </w:tcBorders>
            <w:shd w:val="clear" w:color="auto" w:fill="002060"/>
          </w:tcPr>
          <w:p w:rsidR="00972129" w:rsidRPr="00975E6B" w:rsidRDefault="00972129" w:rsidP="00972129">
            <w:r w:rsidRPr="00975E6B">
              <w:t>Discussion</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A</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General Ledger</w:t>
            </w:r>
          </w:p>
        </w:tc>
        <w:tc>
          <w:tcPr>
            <w:tcW w:w="3083" w:type="pct"/>
            <w:tcBorders>
              <w:left w:val="single" w:sz="4" w:space="0" w:color="548DD4" w:themeColor="text2" w:themeTint="99"/>
            </w:tcBorders>
          </w:tcPr>
          <w:p w:rsidR="00972129" w:rsidRPr="00975E6B" w:rsidRDefault="00972129">
            <w:pPr>
              <w:spacing w:before="120" w:after="120" w:line="280" w:lineRule="atLeast"/>
              <w:jc w:val="both"/>
              <w:rPr>
                <w:szCs w:val="22"/>
              </w:rPr>
            </w:pPr>
            <w:r w:rsidRPr="00975E6B">
              <w:rPr>
                <w:szCs w:val="22"/>
              </w:rPr>
              <w:t>The final GL extracted from NSW financial systems indicates expenditure for the LHD of $1.45 billion.</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B</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Adjustments to the GL</w:t>
            </w:r>
          </w:p>
        </w:tc>
        <w:tc>
          <w:tcPr>
            <w:tcW w:w="3083"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 xml:space="preserve">A number of adjustments are made to the GL. </w:t>
            </w:r>
            <w:r w:rsidR="00EF0CBA" w:rsidRPr="00EF0CBA">
              <w:rPr>
                <w:szCs w:val="22"/>
              </w:rPr>
              <w:t>Expenditure for salary packaging and information technology services hosted for other LHDs are excluded base on an agreed percentage split.</w:t>
            </w:r>
            <w:r w:rsidR="00EF0CBA">
              <w:rPr>
                <w:szCs w:val="22"/>
              </w:rPr>
              <w:t xml:space="preserve"> </w:t>
            </w:r>
            <w:r w:rsidRPr="00975E6B">
              <w:rPr>
                <w:szCs w:val="22"/>
              </w:rPr>
              <w:t>Combined, this excluded expenditure totals $4.1 million.</w:t>
            </w:r>
          </w:p>
          <w:p w:rsidR="00972129" w:rsidRPr="00975E6B" w:rsidRDefault="00972129" w:rsidP="00972129">
            <w:pPr>
              <w:spacing w:before="120" w:after="120" w:line="280" w:lineRule="atLeast"/>
              <w:jc w:val="both"/>
              <w:rPr>
                <w:szCs w:val="22"/>
              </w:rPr>
            </w:pPr>
            <w:r w:rsidRPr="00975E6B">
              <w:rPr>
                <w:szCs w:val="22"/>
              </w:rPr>
              <w:t>Expenditure items</w:t>
            </w:r>
            <w:r w:rsidR="00BA3F4B" w:rsidRPr="00975E6B">
              <w:rPr>
                <w:szCs w:val="22"/>
              </w:rPr>
              <w:t xml:space="preserve"> </w:t>
            </w:r>
            <w:r w:rsidRPr="00975E6B">
              <w:rPr>
                <w:szCs w:val="22"/>
              </w:rPr>
              <w:t>included relate to medical indemnity insurance which is held by NSW Health and is not included in the LHD GL. Expenditure included totals $20.3 million.</w:t>
            </w:r>
          </w:p>
          <w:p w:rsidR="00972129" w:rsidRPr="00975E6B" w:rsidRDefault="00972129">
            <w:pPr>
              <w:spacing w:before="120" w:after="120" w:line="280" w:lineRule="atLeast"/>
              <w:jc w:val="both"/>
              <w:rPr>
                <w:szCs w:val="22"/>
              </w:rPr>
            </w:pPr>
            <w:r w:rsidRPr="00975E6B">
              <w:rPr>
                <w:szCs w:val="22"/>
              </w:rPr>
              <w:t xml:space="preserve">These adjustments established an expenditure base for costing of $1.46 billion. This was approximately 101 percent of total expenditure reported in the </w:t>
            </w:r>
            <w:r w:rsidR="007806D9" w:rsidRPr="00975E6B">
              <w:rPr>
                <w:szCs w:val="22"/>
              </w:rPr>
              <w:t>GL</w:t>
            </w:r>
            <w:r w:rsidRPr="00975E6B">
              <w:rPr>
                <w:szCs w:val="22"/>
              </w:rPr>
              <w:t>.</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C</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Allocation of Costs</w:t>
            </w:r>
          </w:p>
        </w:tc>
        <w:tc>
          <w:tcPr>
            <w:tcW w:w="3083"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 xml:space="preserve">The Western Sydney LHD undertakes a process of reclass/transfers etc. between direct cost centres. The net effect of these reclass/transfers </w:t>
            </w:r>
            <w:r w:rsidR="00774BC8" w:rsidRPr="00975E6B">
              <w:rPr>
                <w:szCs w:val="22"/>
              </w:rPr>
              <w:t xml:space="preserve">was </w:t>
            </w:r>
            <w:r w:rsidRPr="00975E6B">
              <w:rPr>
                <w:szCs w:val="22"/>
              </w:rPr>
              <w:t>zero. Reclass/transfers are determined based on discussions with cost centre managers.</w:t>
            </w:r>
          </w:p>
          <w:p w:rsidR="00972129" w:rsidRPr="00975E6B" w:rsidRDefault="00972129" w:rsidP="00F26328">
            <w:pPr>
              <w:numPr>
                <w:ilvl w:val="0"/>
                <w:numId w:val="38"/>
              </w:numPr>
              <w:spacing w:before="120" w:after="120" w:line="280" w:lineRule="atLeast"/>
              <w:jc w:val="both"/>
              <w:rPr>
                <w:szCs w:val="22"/>
              </w:rPr>
            </w:pPr>
            <w:r w:rsidRPr="00975E6B">
              <w:rPr>
                <w:szCs w:val="22"/>
              </w:rPr>
              <w:t>It was observed that the total of all direct cost centres of $1.15 billion was allocated pre and post allocation.</w:t>
            </w:r>
          </w:p>
          <w:p w:rsidR="00972129" w:rsidRPr="00975E6B" w:rsidRDefault="00972129" w:rsidP="00F26328">
            <w:pPr>
              <w:numPr>
                <w:ilvl w:val="0"/>
                <w:numId w:val="38"/>
              </w:numPr>
              <w:spacing w:before="120" w:after="120" w:line="280" w:lineRule="atLeast"/>
              <w:jc w:val="both"/>
              <w:rPr>
                <w:szCs w:val="22"/>
              </w:rPr>
            </w:pPr>
            <w:r w:rsidRPr="00975E6B">
              <w:rPr>
                <w:szCs w:val="22"/>
              </w:rPr>
              <w:t>It was observed through the templates that all overheads of $316.6 million were allocated to direct cost centres, pre and post allocation.</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D</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Post Allocation Adjustments</w:t>
            </w:r>
          </w:p>
        </w:tc>
        <w:tc>
          <w:tcPr>
            <w:tcW w:w="3083"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No post allocation adjustments were made at the LHD level. It was observed through the template that overhead costs of $316.6 million and direct care costs of $1.15 billion reconcile to the expenditure base for costing of $1.46 billion.</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E</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Costed Products Submitted to jurisdiction</w:t>
            </w:r>
          </w:p>
        </w:tc>
        <w:tc>
          <w:tcPr>
            <w:tcW w:w="3083" w:type="pct"/>
            <w:tcBorders>
              <w:left w:val="single" w:sz="4" w:space="0" w:color="548DD4" w:themeColor="text2" w:themeTint="99"/>
            </w:tcBorders>
          </w:tcPr>
          <w:p w:rsidR="00972129" w:rsidRPr="00975E6B" w:rsidRDefault="00972129">
            <w:pPr>
              <w:spacing w:before="120" w:after="120" w:line="280" w:lineRule="atLeast"/>
              <w:jc w:val="both"/>
              <w:rPr>
                <w:szCs w:val="22"/>
              </w:rPr>
            </w:pPr>
            <w:r w:rsidRPr="00975E6B">
              <w:rPr>
                <w:szCs w:val="22"/>
              </w:rPr>
              <w:t xml:space="preserve">Costs derived by the jurisdiction and reported at product level reconcile to $1.46 billion. The LHD included </w:t>
            </w:r>
            <w:r w:rsidR="00E7664C" w:rsidRPr="00975E6B">
              <w:rPr>
                <w:szCs w:val="22"/>
              </w:rPr>
              <w:t>acute</w:t>
            </w:r>
            <w:r w:rsidRPr="00975E6B">
              <w:rPr>
                <w:szCs w:val="22"/>
              </w:rPr>
              <w:t xml:space="preserve">, </w:t>
            </w:r>
            <w:r w:rsidR="00E7664C" w:rsidRPr="00975E6B">
              <w:rPr>
                <w:szCs w:val="22"/>
              </w:rPr>
              <w:t>non</w:t>
            </w:r>
            <w:r w:rsidR="009079A4" w:rsidRPr="00975E6B">
              <w:rPr>
                <w:szCs w:val="22"/>
              </w:rPr>
              <w:t>-admitted</w:t>
            </w:r>
            <w:r w:rsidRPr="00975E6B">
              <w:rPr>
                <w:szCs w:val="22"/>
              </w:rPr>
              <w:t xml:space="preserve">, </w:t>
            </w:r>
            <w:r w:rsidR="00E7664C" w:rsidRPr="00975E6B">
              <w:rPr>
                <w:szCs w:val="22"/>
              </w:rPr>
              <w:t>emergency</w:t>
            </w:r>
            <w:r w:rsidRPr="00975E6B">
              <w:rPr>
                <w:szCs w:val="22"/>
              </w:rPr>
              <w:t xml:space="preserve">, </w:t>
            </w:r>
            <w:r w:rsidR="00E7664C" w:rsidRPr="00975E6B">
              <w:rPr>
                <w:szCs w:val="22"/>
              </w:rPr>
              <w:t>sub</w:t>
            </w:r>
            <w:r w:rsidRPr="00975E6B">
              <w:rPr>
                <w:szCs w:val="22"/>
              </w:rPr>
              <w:t xml:space="preserve">acute and </w:t>
            </w:r>
            <w:r w:rsidR="00E7664C" w:rsidRPr="00975E6B">
              <w:rPr>
                <w:szCs w:val="22"/>
              </w:rPr>
              <w:t xml:space="preserve">other </w:t>
            </w:r>
            <w:r w:rsidRPr="00975E6B">
              <w:rPr>
                <w:szCs w:val="22"/>
              </w:rPr>
              <w:t xml:space="preserve">costed products. </w:t>
            </w:r>
            <w:r w:rsidR="00E7664C" w:rsidRPr="00975E6B">
              <w:rPr>
                <w:szCs w:val="22"/>
              </w:rPr>
              <w:t>A</w:t>
            </w:r>
            <w:r w:rsidRPr="00975E6B">
              <w:rPr>
                <w:szCs w:val="22"/>
              </w:rPr>
              <w:t xml:space="preserve"> minor $4 variance between Item D and Item E</w:t>
            </w:r>
            <w:r w:rsidR="00E7664C" w:rsidRPr="00975E6B">
              <w:rPr>
                <w:szCs w:val="22"/>
              </w:rPr>
              <w:t xml:space="preserve"> was identified</w:t>
            </w:r>
            <w:r w:rsidRPr="00975E6B">
              <w:rPr>
                <w:szCs w:val="22"/>
              </w:rPr>
              <w:t>.</w:t>
            </w:r>
          </w:p>
        </w:tc>
      </w:tr>
      <w:tr w:rsidR="00972129" w:rsidRPr="00975E6B" w:rsidTr="00972129">
        <w:trPr>
          <w:trHeight w:val="285"/>
        </w:trPr>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lastRenderedPageBreak/>
              <w:t>F</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Costed Products received by jurisdiction</w:t>
            </w:r>
          </w:p>
        </w:tc>
        <w:tc>
          <w:tcPr>
            <w:tcW w:w="3083"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No variance was noted between Items E and F.</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G</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Final Adjustments</w:t>
            </w:r>
          </w:p>
        </w:tc>
        <w:tc>
          <w:tcPr>
            <w:tcW w:w="3083"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The jurisdiction makes adjustments to the cost data prior to submission to IHPA. These adjustments related to the inclusion of WIP (including WIP adjustment for the escalation factor), and exclusions of activity data and associated costs. The breakdown of adjustment items included:</w:t>
            </w:r>
          </w:p>
          <w:p w:rsidR="00972129" w:rsidRPr="00975E6B" w:rsidRDefault="00972129" w:rsidP="00F26328">
            <w:pPr>
              <w:numPr>
                <w:ilvl w:val="0"/>
                <w:numId w:val="38"/>
              </w:numPr>
              <w:spacing w:before="120" w:after="120" w:line="280" w:lineRule="atLeast"/>
              <w:jc w:val="both"/>
              <w:rPr>
                <w:szCs w:val="22"/>
              </w:rPr>
            </w:pPr>
            <w:r w:rsidRPr="00975E6B">
              <w:rPr>
                <w:szCs w:val="22"/>
              </w:rPr>
              <w:t>Non ABF Facilities of $43.1 million</w:t>
            </w:r>
            <w:r w:rsidR="007806D9" w:rsidRPr="00975E6B">
              <w:rPr>
                <w:szCs w:val="22"/>
              </w:rPr>
              <w:t>.</w:t>
            </w:r>
          </w:p>
          <w:p w:rsidR="00972129" w:rsidRPr="00975E6B" w:rsidRDefault="00972129" w:rsidP="00F26328">
            <w:pPr>
              <w:numPr>
                <w:ilvl w:val="0"/>
                <w:numId w:val="38"/>
              </w:numPr>
              <w:spacing w:before="120" w:after="120" w:line="280" w:lineRule="atLeast"/>
              <w:jc w:val="both"/>
              <w:rPr>
                <w:szCs w:val="22"/>
              </w:rPr>
            </w:pPr>
            <w:r w:rsidRPr="00975E6B">
              <w:rPr>
                <w:szCs w:val="22"/>
              </w:rPr>
              <w:t>ABF Facility Excluded Encounters of $168.3 million</w:t>
            </w:r>
            <w:r w:rsidR="007806D9" w:rsidRPr="00975E6B">
              <w:rPr>
                <w:szCs w:val="22"/>
              </w:rPr>
              <w:t>.</w:t>
            </w:r>
          </w:p>
          <w:p w:rsidR="00972129" w:rsidRPr="00975E6B" w:rsidRDefault="00972129" w:rsidP="00F26328">
            <w:pPr>
              <w:numPr>
                <w:ilvl w:val="0"/>
                <w:numId w:val="38"/>
              </w:numPr>
              <w:spacing w:before="120" w:after="120" w:line="280" w:lineRule="atLeast"/>
              <w:jc w:val="both"/>
              <w:rPr>
                <w:szCs w:val="22"/>
              </w:rPr>
            </w:pPr>
            <w:r w:rsidRPr="00975E6B">
              <w:rPr>
                <w:szCs w:val="22"/>
              </w:rPr>
              <w:t>ABF Facility Non Patient Level Products of $171.9 million</w:t>
            </w:r>
            <w:r w:rsidR="007806D9" w:rsidRPr="00975E6B">
              <w:rPr>
                <w:szCs w:val="22"/>
              </w:rPr>
              <w:t>.</w:t>
            </w:r>
          </w:p>
          <w:p w:rsidR="00972129" w:rsidRPr="00975E6B" w:rsidRDefault="00972129" w:rsidP="00F26328">
            <w:pPr>
              <w:numPr>
                <w:ilvl w:val="0"/>
                <w:numId w:val="38"/>
              </w:numPr>
              <w:spacing w:before="120" w:after="120" w:line="280" w:lineRule="atLeast"/>
              <w:jc w:val="both"/>
              <w:rPr>
                <w:szCs w:val="22"/>
              </w:rPr>
            </w:pPr>
            <w:r w:rsidRPr="00975E6B">
              <w:rPr>
                <w:szCs w:val="22"/>
              </w:rPr>
              <w:t>WIP escalation amount of $37 million</w:t>
            </w:r>
            <w:r w:rsidR="007806D9" w:rsidRPr="00975E6B">
              <w:rPr>
                <w:szCs w:val="22"/>
              </w:rPr>
              <w:t>.</w:t>
            </w:r>
            <w:r w:rsidRPr="00975E6B">
              <w:rPr>
                <w:szCs w:val="22"/>
              </w:rPr>
              <w:t xml:space="preserve"> </w:t>
            </w:r>
          </w:p>
          <w:p w:rsidR="00972129" w:rsidRPr="00975E6B" w:rsidRDefault="00972129" w:rsidP="00972129">
            <w:pPr>
              <w:spacing w:before="120" w:after="120" w:line="280" w:lineRule="atLeast"/>
              <w:jc w:val="both"/>
              <w:rPr>
                <w:szCs w:val="22"/>
              </w:rPr>
            </w:pPr>
            <w:r w:rsidRPr="00975E6B">
              <w:rPr>
                <w:szCs w:val="22"/>
              </w:rPr>
              <w:t>The total cost after these adjustments was $1.12 billion.</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H</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Costed Products submitted to IHPA</w:t>
            </w:r>
          </w:p>
        </w:tc>
        <w:tc>
          <w:tcPr>
            <w:tcW w:w="3083" w:type="pct"/>
            <w:tcBorders>
              <w:left w:val="single" w:sz="4" w:space="0" w:color="548DD4" w:themeColor="text2" w:themeTint="99"/>
            </w:tcBorders>
          </w:tcPr>
          <w:p w:rsidR="00972129" w:rsidRPr="00975E6B" w:rsidRDefault="00972129">
            <w:pPr>
              <w:spacing w:before="120" w:after="120" w:line="280" w:lineRule="atLeast"/>
              <w:jc w:val="both"/>
              <w:rPr>
                <w:szCs w:val="22"/>
              </w:rPr>
            </w:pPr>
            <w:r w:rsidRPr="00975E6B">
              <w:rPr>
                <w:szCs w:val="22"/>
              </w:rPr>
              <w:t xml:space="preserve">Costs derived by the jurisdiction and reported at product level reconcile to $1.12 billion. NSW Health included </w:t>
            </w:r>
            <w:r w:rsidR="00E7664C" w:rsidRPr="00975E6B">
              <w:rPr>
                <w:szCs w:val="22"/>
              </w:rPr>
              <w:t>acute</w:t>
            </w:r>
            <w:r w:rsidRPr="00975E6B">
              <w:rPr>
                <w:szCs w:val="22"/>
              </w:rPr>
              <w:t xml:space="preserve">, </w:t>
            </w:r>
            <w:r w:rsidR="00E7664C" w:rsidRPr="00975E6B">
              <w:rPr>
                <w:szCs w:val="22"/>
              </w:rPr>
              <w:t>non</w:t>
            </w:r>
            <w:r w:rsidR="009079A4" w:rsidRPr="00975E6B">
              <w:rPr>
                <w:szCs w:val="22"/>
              </w:rPr>
              <w:t>-admitted</w:t>
            </w:r>
            <w:r w:rsidRPr="00975E6B">
              <w:rPr>
                <w:szCs w:val="22"/>
              </w:rPr>
              <w:t xml:space="preserve">, </w:t>
            </w:r>
            <w:r w:rsidR="00E7664C" w:rsidRPr="00975E6B">
              <w:rPr>
                <w:szCs w:val="22"/>
              </w:rPr>
              <w:t>emergency</w:t>
            </w:r>
            <w:r w:rsidRPr="00975E6B">
              <w:rPr>
                <w:szCs w:val="22"/>
              </w:rPr>
              <w:t xml:space="preserve">, </w:t>
            </w:r>
            <w:r w:rsidR="00E7664C" w:rsidRPr="00975E6B">
              <w:rPr>
                <w:szCs w:val="22"/>
              </w:rPr>
              <w:t>sub</w:t>
            </w:r>
            <w:r w:rsidRPr="00975E6B">
              <w:rPr>
                <w:szCs w:val="22"/>
              </w:rPr>
              <w:t xml:space="preserve">acute and </w:t>
            </w:r>
            <w:r w:rsidR="00E7664C" w:rsidRPr="00975E6B">
              <w:rPr>
                <w:szCs w:val="22"/>
              </w:rPr>
              <w:t xml:space="preserve">other </w:t>
            </w:r>
            <w:r w:rsidRPr="00975E6B">
              <w:rPr>
                <w:szCs w:val="22"/>
              </w:rPr>
              <w:t xml:space="preserve">costed products. A minor $1 variance between Item G and Item H </w:t>
            </w:r>
            <w:r w:rsidR="00E7664C" w:rsidRPr="00975E6B">
              <w:rPr>
                <w:szCs w:val="22"/>
              </w:rPr>
              <w:t xml:space="preserve">was </w:t>
            </w:r>
            <w:r w:rsidRPr="00975E6B">
              <w:rPr>
                <w:szCs w:val="22"/>
              </w:rPr>
              <w:t>noted.</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I</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Total Products received by IHPA</w:t>
            </w:r>
          </w:p>
        </w:tc>
        <w:tc>
          <w:tcPr>
            <w:tcW w:w="3083" w:type="pct"/>
            <w:tcBorders>
              <w:left w:val="single" w:sz="4" w:space="0" w:color="548DD4" w:themeColor="text2" w:themeTint="99"/>
            </w:tcBorders>
          </w:tcPr>
          <w:p w:rsidR="00972129" w:rsidRPr="00975E6B" w:rsidRDefault="00972129">
            <w:pPr>
              <w:spacing w:before="120" w:after="120" w:line="280" w:lineRule="atLeast"/>
              <w:jc w:val="both"/>
              <w:rPr>
                <w:szCs w:val="22"/>
              </w:rPr>
            </w:pPr>
            <w:r w:rsidRPr="00975E6B">
              <w:rPr>
                <w:szCs w:val="22"/>
              </w:rPr>
              <w:t xml:space="preserve">Total costed products received by IHPA totalled $1.12 billion. There was no variance between costs submitted by the jurisdiction and costs received by IHPA. A minor $1 variance between Item H and Item I </w:t>
            </w:r>
            <w:r w:rsidR="00E7664C" w:rsidRPr="00975E6B">
              <w:rPr>
                <w:szCs w:val="22"/>
              </w:rPr>
              <w:t xml:space="preserve">was </w:t>
            </w:r>
            <w:r w:rsidRPr="00975E6B">
              <w:rPr>
                <w:szCs w:val="22"/>
              </w:rPr>
              <w:t>noted.</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J</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IHPA Adjustments</w:t>
            </w:r>
          </w:p>
        </w:tc>
        <w:tc>
          <w:tcPr>
            <w:tcW w:w="3083" w:type="pct"/>
            <w:tcBorders>
              <w:left w:val="single" w:sz="4" w:space="0" w:color="548DD4" w:themeColor="text2" w:themeTint="99"/>
            </w:tcBorders>
          </w:tcPr>
          <w:p w:rsidR="00972129" w:rsidRPr="00975E6B" w:rsidRDefault="00972129" w:rsidP="00972129">
            <w:pPr>
              <w:spacing w:before="120" w:after="120" w:line="280" w:lineRule="atLeast"/>
              <w:jc w:val="both"/>
              <w:rPr>
                <w:i/>
                <w:szCs w:val="22"/>
              </w:rPr>
            </w:pPr>
            <w:r w:rsidRPr="00975E6B">
              <w:rPr>
                <w:i/>
                <w:szCs w:val="22"/>
              </w:rPr>
              <w:t>Admitted Emergency</w:t>
            </w:r>
          </w:p>
          <w:p w:rsidR="00972129" w:rsidRPr="00975E6B" w:rsidRDefault="00972129">
            <w:pPr>
              <w:spacing w:before="120" w:after="120" w:line="280" w:lineRule="atLeast"/>
              <w:jc w:val="both"/>
              <w:rPr>
                <w:szCs w:val="22"/>
              </w:rPr>
            </w:pPr>
            <w:r w:rsidRPr="00975E6B">
              <w:rPr>
                <w:szCs w:val="22"/>
              </w:rPr>
              <w:t xml:space="preserve">Upon receipt of cost data, IHPA allocates the admitted emergency costs back to admitted patients for the purposes of reporting and analysis. Within IHPA’s reconciliation this amount </w:t>
            </w:r>
            <w:r w:rsidR="00774BC8" w:rsidRPr="00975E6B">
              <w:rPr>
                <w:szCs w:val="22"/>
              </w:rPr>
              <w:t xml:space="preserve">was </w:t>
            </w:r>
            <w:r w:rsidRPr="00975E6B">
              <w:rPr>
                <w:szCs w:val="22"/>
              </w:rPr>
              <w:t>a duplication of admitted emergency costs and not an additional cost. For Western Sydney LHD this amounted to $63.3 million.</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K</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Final NHCDC Costed Outputs</w:t>
            </w:r>
          </w:p>
        </w:tc>
        <w:tc>
          <w:tcPr>
            <w:tcW w:w="3083" w:type="pct"/>
            <w:tcBorders>
              <w:left w:val="single" w:sz="4" w:space="0" w:color="548DD4" w:themeColor="text2" w:themeTint="99"/>
            </w:tcBorders>
          </w:tcPr>
          <w:p w:rsidR="00972129" w:rsidRPr="00975E6B" w:rsidRDefault="00972129">
            <w:pPr>
              <w:spacing w:before="120" w:after="120" w:line="280" w:lineRule="atLeast"/>
              <w:jc w:val="both"/>
              <w:rPr>
                <w:szCs w:val="22"/>
              </w:rPr>
            </w:pPr>
            <w:r w:rsidRPr="00975E6B">
              <w:rPr>
                <w:szCs w:val="22"/>
              </w:rPr>
              <w:t xml:space="preserve">The final NHCDC costed data for Western Sydney LHD that was loaded into the National Round 18 cost data set </w:t>
            </w:r>
            <w:r w:rsidR="00774BC8" w:rsidRPr="00975E6B">
              <w:rPr>
                <w:szCs w:val="22"/>
              </w:rPr>
              <w:t xml:space="preserve">was </w:t>
            </w:r>
            <w:r w:rsidRPr="00975E6B">
              <w:rPr>
                <w:szCs w:val="22"/>
              </w:rPr>
              <w:t>$1.18 billion which includes the admitted emergency cost of $63.3 million.</w:t>
            </w:r>
          </w:p>
        </w:tc>
      </w:tr>
    </w:tbl>
    <w:p w:rsidR="00972129" w:rsidRPr="00975E6B" w:rsidRDefault="00664CB0" w:rsidP="00972129">
      <w:pPr>
        <w:spacing w:before="120" w:after="120" w:line="280" w:lineRule="atLeast"/>
        <w:jc w:val="both"/>
        <w:rPr>
          <w:szCs w:val="22"/>
        </w:rPr>
      </w:pPr>
      <w:r w:rsidRPr="00975E6B">
        <w:rPr>
          <w:bCs/>
          <w:i/>
          <w:sz w:val="16"/>
          <w:szCs w:val="16"/>
        </w:rPr>
        <w:t>Source: KPMG, based on Western Sydney LHD templates and review discussions</w:t>
      </w:r>
    </w:p>
    <w:p w:rsidR="00972129" w:rsidRPr="006C3F19" w:rsidRDefault="00972129" w:rsidP="003B387A">
      <w:pPr>
        <w:pStyle w:val="Heading3"/>
        <w:numPr>
          <w:ilvl w:val="2"/>
          <w:numId w:val="77"/>
        </w:numPr>
      </w:pPr>
      <w:r w:rsidRPr="006C3F19">
        <w:lastRenderedPageBreak/>
        <w:t>Activity data</w:t>
      </w:r>
    </w:p>
    <w:p w:rsidR="00972129" w:rsidRPr="00975E6B" w:rsidRDefault="00972129" w:rsidP="00972129">
      <w:pPr>
        <w:spacing w:before="120" w:after="120" w:line="280" w:lineRule="atLeast"/>
        <w:jc w:val="both"/>
        <w:rPr>
          <w:szCs w:val="22"/>
        </w:rPr>
      </w:pPr>
      <w:r w:rsidRPr="00975E6B">
        <w:rPr>
          <w:szCs w:val="22"/>
        </w:rPr>
        <w:fldChar w:fldCharType="begin"/>
      </w:r>
      <w:r w:rsidRPr="00975E6B">
        <w:rPr>
          <w:szCs w:val="22"/>
        </w:rPr>
        <w:instrText xml:space="preserve"> REF _Ref433266199 \h </w:instrText>
      </w:r>
      <w:r w:rsidR="007A24FF" w:rsidRPr="00975E6B">
        <w:rPr>
          <w:szCs w:val="22"/>
        </w:rPr>
        <w:instrText xml:space="preserve"> \* MERGEFORMAT </w:instrText>
      </w:r>
      <w:r w:rsidRPr="00975E6B">
        <w:rPr>
          <w:szCs w:val="22"/>
        </w:rPr>
      </w:r>
      <w:r w:rsidRPr="00975E6B">
        <w:rPr>
          <w:szCs w:val="22"/>
        </w:rPr>
        <w:fldChar w:fldCharType="separate"/>
      </w:r>
      <w:r w:rsidR="00154CF7" w:rsidRPr="00154CF7">
        <w:rPr>
          <w:bCs/>
        </w:rPr>
        <w:t xml:space="preserve">Table </w:t>
      </w:r>
      <w:r w:rsidR="00154CF7" w:rsidRPr="00154CF7">
        <w:rPr>
          <w:bCs/>
          <w:noProof/>
        </w:rPr>
        <w:t>6</w:t>
      </w:r>
      <w:r w:rsidRPr="00975E6B">
        <w:rPr>
          <w:szCs w:val="22"/>
        </w:rPr>
        <w:fldChar w:fldCharType="end"/>
      </w:r>
      <w:r w:rsidRPr="00975E6B">
        <w:rPr>
          <w:szCs w:val="22"/>
        </w:rPr>
        <w:t xml:space="preserve"> presents </w:t>
      </w:r>
      <w:r w:rsidR="00EF0CBA">
        <w:rPr>
          <w:szCs w:val="22"/>
        </w:rPr>
        <w:t xml:space="preserve">patient activity </w:t>
      </w:r>
      <w:r w:rsidRPr="00975E6B">
        <w:rPr>
          <w:szCs w:val="22"/>
        </w:rPr>
        <w:t>feeder data for Western Sydney LHD.</w:t>
      </w:r>
    </w:p>
    <w:p w:rsidR="00972129" w:rsidRDefault="00972129" w:rsidP="00972129">
      <w:pPr>
        <w:keepNext/>
        <w:spacing w:before="120" w:after="120"/>
        <w:rPr>
          <w:bCs/>
          <w:i/>
        </w:rPr>
      </w:pPr>
      <w:bookmarkStart w:id="676" w:name="_Ref433266199"/>
      <w:r w:rsidRPr="00975E6B">
        <w:rPr>
          <w:bCs/>
          <w:i/>
        </w:rPr>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6</w:t>
      </w:r>
      <w:r w:rsidRPr="00975E6B">
        <w:rPr>
          <w:bCs/>
          <w:i/>
          <w:noProof/>
        </w:rPr>
        <w:fldChar w:fldCharType="end"/>
      </w:r>
      <w:bookmarkEnd w:id="676"/>
      <w:r w:rsidR="00BA3F4B" w:rsidRPr="00975E6B">
        <w:rPr>
          <w:bCs/>
          <w:i/>
        </w:rPr>
        <w:t xml:space="preserve"> </w:t>
      </w:r>
      <w:r w:rsidRPr="00975E6B">
        <w:rPr>
          <w:bCs/>
          <w:i/>
        </w:rPr>
        <w:t>– Activity data – Western Sydney LHD</w:t>
      </w:r>
    </w:p>
    <w:tbl>
      <w:tblPr>
        <w:tblW w:w="5000" w:type="pct"/>
        <w:tblLook w:val="04A0" w:firstRow="1" w:lastRow="0" w:firstColumn="1" w:lastColumn="0" w:noHBand="0" w:noVBand="1"/>
        <w:tblCaption w:val="Table 6 - Activity data - Western Sydney LHD"/>
        <w:tblDescription w:val="This table presents activity and feeder data for Western Sydney LHD.  There are 11 columns.  Column 1 is the Data source, Column 2 is the number of records from source, Column 3 is the number of records in costing system, Column 4 is the variance between Column 2 and 3, Column 5 is the number of records linked to acute, column 6 is the number of records linked to emergency, Column 7 is the number of records linked to non-admitted, column 8 is the total linked records, column 9 is the number linked to other, column 10 is the number of unlinked records and column 11 is the % of linked to source."/>
      </w:tblPr>
      <w:tblGrid>
        <w:gridCol w:w="1312"/>
        <w:gridCol w:w="764"/>
        <w:gridCol w:w="764"/>
        <w:gridCol w:w="731"/>
        <w:gridCol w:w="697"/>
        <w:gridCol w:w="874"/>
        <w:gridCol w:w="764"/>
        <w:gridCol w:w="765"/>
        <w:gridCol w:w="701"/>
        <w:gridCol w:w="746"/>
        <w:gridCol w:w="603"/>
      </w:tblGrid>
      <w:tr w:rsidR="004D0865" w:rsidRPr="00662E77" w:rsidTr="00E14378">
        <w:trPr>
          <w:trHeight w:val="783"/>
        </w:trPr>
        <w:tc>
          <w:tcPr>
            <w:tcW w:w="727" w:type="pct"/>
            <w:tcBorders>
              <w:top w:val="single" w:sz="4" w:space="0" w:color="5B9BD5"/>
              <w:left w:val="single" w:sz="4" w:space="0" w:color="5B9BD5"/>
              <w:bottom w:val="nil"/>
              <w:right w:val="nil"/>
            </w:tcBorders>
            <w:shd w:val="clear" w:color="auto" w:fill="002060"/>
            <w:vAlign w:val="bottom"/>
            <w:hideMark/>
          </w:tcPr>
          <w:p w:rsidR="00662E77" w:rsidRPr="00CD1518" w:rsidRDefault="00662E77">
            <w:pPr>
              <w:spacing w:line="240" w:lineRule="auto"/>
              <w:rPr>
                <w:b/>
                <w:bCs/>
                <w:color w:val="FFFFFF"/>
                <w:sz w:val="12"/>
                <w:lang w:eastAsia="en-AU"/>
              </w:rPr>
            </w:pPr>
            <w:r w:rsidRPr="00CD1518">
              <w:rPr>
                <w:b/>
                <w:bCs/>
                <w:color w:val="FFFFFF"/>
                <w:sz w:val="12"/>
                <w:lang w:eastAsia="en-AU"/>
              </w:rPr>
              <w:t>Data</w:t>
            </w:r>
          </w:p>
        </w:tc>
        <w:tc>
          <w:tcPr>
            <w:tcW w:w="441" w:type="pct"/>
            <w:tcBorders>
              <w:top w:val="single" w:sz="4" w:space="0" w:color="5B9BD5"/>
              <w:left w:val="single" w:sz="4" w:space="0" w:color="5B9BD5"/>
              <w:bottom w:val="nil"/>
              <w:right w:val="single" w:sz="4" w:space="0" w:color="5B9BD5"/>
            </w:tcBorders>
            <w:shd w:val="clear" w:color="auto" w:fill="002060"/>
            <w:vAlign w:val="bottom"/>
            <w:hideMark/>
          </w:tcPr>
          <w:p w:rsidR="00662E77" w:rsidRPr="00CD1518" w:rsidRDefault="00662E77" w:rsidP="00662E77">
            <w:pPr>
              <w:spacing w:line="240" w:lineRule="auto"/>
              <w:jc w:val="center"/>
              <w:rPr>
                <w:b/>
                <w:bCs/>
                <w:color w:val="FFFFFF"/>
                <w:sz w:val="12"/>
                <w:lang w:eastAsia="en-AU"/>
              </w:rPr>
            </w:pPr>
            <w:r w:rsidRPr="00CD1518">
              <w:rPr>
                <w:b/>
                <w:bCs/>
                <w:color w:val="FFFFFF"/>
                <w:sz w:val="12"/>
                <w:lang w:eastAsia="en-AU"/>
              </w:rPr>
              <w:t># Records from Source</w:t>
            </w:r>
          </w:p>
        </w:tc>
        <w:tc>
          <w:tcPr>
            <w:tcW w:w="441" w:type="pct"/>
            <w:tcBorders>
              <w:top w:val="single" w:sz="4" w:space="0" w:color="5B9BD5"/>
              <w:left w:val="nil"/>
              <w:bottom w:val="nil"/>
              <w:right w:val="nil"/>
            </w:tcBorders>
            <w:shd w:val="clear" w:color="auto" w:fill="002060"/>
            <w:vAlign w:val="bottom"/>
            <w:hideMark/>
          </w:tcPr>
          <w:p w:rsidR="00662E77" w:rsidRPr="00CD1518" w:rsidRDefault="00662E77" w:rsidP="00662E77">
            <w:pPr>
              <w:spacing w:line="240" w:lineRule="auto"/>
              <w:jc w:val="center"/>
              <w:rPr>
                <w:b/>
                <w:bCs/>
                <w:color w:val="FFFFFF"/>
                <w:sz w:val="12"/>
                <w:lang w:eastAsia="en-AU"/>
              </w:rPr>
            </w:pPr>
            <w:r w:rsidRPr="00CD1518">
              <w:rPr>
                <w:b/>
                <w:bCs/>
                <w:color w:val="FFFFFF"/>
                <w:sz w:val="12"/>
                <w:lang w:eastAsia="en-AU"/>
              </w:rPr>
              <w:t># Records in costing system</w:t>
            </w:r>
          </w:p>
        </w:tc>
        <w:tc>
          <w:tcPr>
            <w:tcW w:w="422" w:type="pct"/>
            <w:tcBorders>
              <w:top w:val="single" w:sz="4" w:space="0" w:color="5B9BD5"/>
              <w:left w:val="single" w:sz="4" w:space="0" w:color="5B9BD5"/>
              <w:bottom w:val="nil"/>
              <w:right w:val="single" w:sz="4" w:space="0" w:color="5B9BD5"/>
            </w:tcBorders>
            <w:shd w:val="clear" w:color="auto" w:fill="002060"/>
            <w:vAlign w:val="bottom"/>
            <w:hideMark/>
          </w:tcPr>
          <w:p w:rsidR="00662E77" w:rsidRPr="00CD1518" w:rsidRDefault="00662E77" w:rsidP="00662E77">
            <w:pPr>
              <w:spacing w:line="240" w:lineRule="auto"/>
              <w:jc w:val="center"/>
              <w:rPr>
                <w:b/>
                <w:bCs/>
                <w:color w:val="FFFFFF"/>
                <w:sz w:val="12"/>
                <w:lang w:eastAsia="en-AU"/>
              </w:rPr>
            </w:pPr>
            <w:r w:rsidRPr="00CD1518">
              <w:rPr>
                <w:b/>
                <w:bCs/>
                <w:color w:val="FFFFFF"/>
                <w:sz w:val="12"/>
                <w:lang w:eastAsia="en-AU"/>
              </w:rPr>
              <w:t>Variance</w:t>
            </w:r>
          </w:p>
        </w:tc>
        <w:tc>
          <w:tcPr>
            <w:tcW w:w="398" w:type="pct"/>
            <w:tcBorders>
              <w:top w:val="single" w:sz="4" w:space="0" w:color="5B9BD5"/>
              <w:left w:val="nil"/>
              <w:bottom w:val="nil"/>
              <w:right w:val="nil"/>
            </w:tcBorders>
            <w:shd w:val="clear" w:color="auto" w:fill="002060"/>
            <w:vAlign w:val="bottom"/>
            <w:hideMark/>
          </w:tcPr>
          <w:p w:rsidR="00662E77" w:rsidRPr="00CD1518" w:rsidRDefault="00662E77" w:rsidP="00662E77">
            <w:pPr>
              <w:spacing w:line="240" w:lineRule="auto"/>
              <w:jc w:val="center"/>
              <w:rPr>
                <w:b/>
                <w:bCs/>
                <w:color w:val="FFFFFF"/>
                <w:sz w:val="12"/>
                <w:lang w:eastAsia="en-AU"/>
              </w:rPr>
            </w:pPr>
            <w:r w:rsidRPr="00CD1518">
              <w:rPr>
                <w:b/>
                <w:bCs/>
                <w:color w:val="FFFFFF"/>
                <w:sz w:val="12"/>
                <w:lang w:eastAsia="en-AU"/>
              </w:rPr>
              <w:t># Records linked to Acute</w:t>
            </w:r>
          </w:p>
        </w:tc>
        <w:tc>
          <w:tcPr>
            <w:tcW w:w="504" w:type="pct"/>
            <w:tcBorders>
              <w:top w:val="single" w:sz="4" w:space="0" w:color="5B9BD5"/>
              <w:left w:val="single" w:sz="4" w:space="0" w:color="5B9BD5"/>
              <w:bottom w:val="nil"/>
              <w:right w:val="single" w:sz="4" w:space="0" w:color="5B9BD5"/>
            </w:tcBorders>
            <w:shd w:val="clear" w:color="auto" w:fill="002060"/>
            <w:vAlign w:val="bottom"/>
            <w:hideMark/>
          </w:tcPr>
          <w:p w:rsidR="00662E77" w:rsidRPr="00CD1518" w:rsidRDefault="00662E77" w:rsidP="00662E77">
            <w:pPr>
              <w:spacing w:line="240" w:lineRule="auto"/>
              <w:jc w:val="center"/>
              <w:rPr>
                <w:b/>
                <w:bCs/>
                <w:color w:val="FFFFFF"/>
                <w:sz w:val="12"/>
                <w:lang w:eastAsia="en-AU"/>
              </w:rPr>
            </w:pPr>
            <w:r w:rsidRPr="00CD1518">
              <w:rPr>
                <w:b/>
                <w:bCs/>
                <w:color w:val="FFFFFF"/>
                <w:sz w:val="12"/>
                <w:lang w:eastAsia="en-AU"/>
              </w:rPr>
              <w:t># Records linked to Emergency</w:t>
            </w:r>
          </w:p>
        </w:tc>
        <w:tc>
          <w:tcPr>
            <w:tcW w:w="441" w:type="pct"/>
            <w:tcBorders>
              <w:top w:val="single" w:sz="4" w:space="0" w:color="5B9BD5"/>
              <w:left w:val="nil"/>
              <w:bottom w:val="nil"/>
              <w:right w:val="single" w:sz="4" w:space="0" w:color="5B9BD5"/>
            </w:tcBorders>
            <w:shd w:val="clear" w:color="auto" w:fill="002060"/>
            <w:vAlign w:val="bottom"/>
            <w:hideMark/>
          </w:tcPr>
          <w:p w:rsidR="00662E77" w:rsidRPr="00CD1518" w:rsidRDefault="00662E77" w:rsidP="00662E77">
            <w:pPr>
              <w:spacing w:line="240" w:lineRule="auto"/>
              <w:jc w:val="center"/>
              <w:rPr>
                <w:b/>
                <w:bCs/>
                <w:color w:val="FFFFFF"/>
                <w:sz w:val="12"/>
                <w:lang w:eastAsia="en-AU"/>
              </w:rPr>
            </w:pPr>
            <w:r w:rsidRPr="00CD1518">
              <w:rPr>
                <w:b/>
                <w:bCs/>
                <w:color w:val="FFFFFF"/>
                <w:sz w:val="12"/>
                <w:lang w:eastAsia="en-AU"/>
              </w:rPr>
              <w:t># Records linked to Non-admitted</w:t>
            </w:r>
          </w:p>
        </w:tc>
        <w:tc>
          <w:tcPr>
            <w:tcW w:w="441" w:type="pct"/>
            <w:tcBorders>
              <w:top w:val="single" w:sz="4" w:space="0" w:color="5B9BD5"/>
              <w:left w:val="nil"/>
              <w:bottom w:val="nil"/>
              <w:right w:val="single" w:sz="4" w:space="0" w:color="5B9BD5"/>
            </w:tcBorders>
            <w:shd w:val="clear" w:color="auto" w:fill="002060"/>
            <w:vAlign w:val="bottom"/>
            <w:hideMark/>
          </w:tcPr>
          <w:p w:rsidR="00662E77" w:rsidRPr="00CD1518" w:rsidRDefault="00662E77" w:rsidP="00662E77">
            <w:pPr>
              <w:spacing w:line="240" w:lineRule="auto"/>
              <w:jc w:val="center"/>
              <w:rPr>
                <w:b/>
                <w:bCs/>
                <w:color w:val="FFFFFF"/>
                <w:sz w:val="12"/>
                <w:lang w:eastAsia="en-AU"/>
              </w:rPr>
            </w:pPr>
            <w:r w:rsidRPr="00CD1518">
              <w:rPr>
                <w:b/>
                <w:bCs/>
                <w:color w:val="FFFFFF"/>
                <w:sz w:val="12"/>
                <w:lang w:eastAsia="en-AU"/>
              </w:rPr>
              <w:t>Total Linking Process to Products</w:t>
            </w:r>
          </w:p>
        </w:tc>
        <w:tc>
          <w:tcPr>
            <w:tcW w:w="398" w:type="pct"/>
            <w:tcBorders>
              <w:top w:val="single" w:sz="4" w:space="0" w:color="5B9BD5"/>
              <w:left w:val="nil"/>
              <w:bottom w:val="nil"/>
              <w:right w:val="nil"/>
            </w:tcBorders>
            <w:shd w:val="clear" w:color="auto" w:fill="002060"/>
            <w:vAlign w:val="bottom"/>
            <w:hideMark/>
          </w:tcPr>
          <w:p w:rsidR="00662E77" w:rsidRPr="00CD1518" w:rsidRDefault="00662E77" w:rsidP="00662E77">
            <w:pPr>
              <w:spacing w:line="240" w:lineRule="auto"/>
              <w:jc w:val="center"/>
              <w:rPr>
                <w:b/>
                <w:bCs/>
                <w:color w:val="FFFFFF"/>
                <w:sz w:val="12"/>
                <w:lang w:eastAsia="en-AU"/>
              </w:rPr>
            </w:pPr>
            <w:r w:rsidRPr="00CD1518">
              <w:rPr>
                <w:b/>
                <w:bCs/>
                <w:color w:val="FFFFFF"/>
                <w:sz w:val="12"/>
                <w:lang w:eastAsia="en-AU"/>
              </w:rPr>
              <w:t># Records linked to Other</w:t>
            </w:r>
          </w:p>
        </w:tc>
        <w:tc>
          <w:tcPr>
            <w:tcW w:w="430" w:type="pct"/>
            <w:tcBorders>
              <w:top w:val="single" w:sz="4" w:space="0" w:color="5B9BD5"/>
              <w:left w:val="single" w:sz="4" w:space="0" w:color="5B9BD5"/>
              <w:bottom w:val="nil"/>
              <w:right w:val="single" w:sz="4" w:space="0" w:color="5B9BD5"/>
            </w:tcBorders>
            <w:shd w:val="clear" w:color="auto" w:fill="002060"/>
            <w:vAlign w:val="bottom"/>
            <w:hideMark/>
          </w:tcPr>
          <w:p w:rsidR="00662E77" w:rsidRPr="00CD1518" w:rsidRDefault="00662E77" w:rsidP="00662E77">
            <w:pPr>
              <w:spacing w:line="240" w:lineRule="auto"/>
              <w:jc w:val="center"/>
              <w:rPr>
                <w:b/>
                <w:bCs/>
                <w:color w:val="FFFFFF"/>
                <w:sz w:val="12"/>
                <w:lang w:eastAsia="en-AU"/>
              </w:rPr>
            </w:pPr>
            <w:r w:rsidRPr="00CD1518">
              <w:rPr>
                <w:b/>
                <w:bCs/>
                <w:color w:val="FFFFFF"/>
                <w:sz w:val="12"/>
                <w:lang w:eastAsia="en-AU"/>
              </w:rPr>
              <w:t># Unlinked records</w:t>
            </w:r>
          </w:p>
        </w:tc>
        <w:tc>
          <w:tcPr>
            <w:tcW w:w="354" w:type="pct"/>
            <w:tcBorders>
              <w:top w:val="single" w:sz="4" w:space="0" w:color="5B9BD5"/>
              <w:left w:val="nil"/>
              <w:bottom w:val="nil"/>
              <w:right w:val="single" w:sz="4" w:space="0" w:color="5B9BD5"/>
            </w:tcBorders>
            <w:shd w:val="clear" w:color="auto" w:fill="002060"/>
            <w:vAlign w:val="bottom"/>
            <w:hideMark/>
          </w:tcPr>
          <w:p w:rsidR="00662E77" w:rsidRPr="00CD1518" w:rsidRDefault="00662E77" w:rsidP="00662E77">
            <w:pPr>
              <w:spacing w:line="240" w:lineRule="auto"/>
              <w:jc w:val="center"/>
              <w:rPr>
                <w:b/>
                <w:bCs/>
                <w:color w:val="FFFFFF"/>
                <w:sz w:val="12"/>
                <w:lang w:eastAsia="en-AU"/>
              </w:rPr>
            </w:pPr>
            <w:r w:rsidRPr="00CD1518">
              <w:rPr>
                <w:b/>
                <w:bCs/>
                <w:color w:val="FFFFFF"/>
                <w:sz w:val="12"/>
                <w:lang w:eastAsia="en-AU"/>
              </w:rPr>
              <w:t>% Linked</w:t>
            </w:r>
          </w:p>
        </w:tc>
      </w:tr>
      <w:tr w:rsidR="002A3D9D" w:rsidRPr="00662E77" w:rsidTr="00DD2074">
        <w:trPr>
          <w:trHeight w:val="290"/>
        </w:trPr>
        <w:tc>
          <w:tcPr>
            <w:tcW w:w="755" w:type="pct"/>
            <w:tcBorders>
              <w:top w:val="nil"/>
              <w:left w:val="single" w:sz="4" w:space="0" w:color="5B9BD5"/>
              <w:bottom w:val="nil"/>
              <w:right w:val="nil"/>
            </w:tcBorders>
            <w:shd w:val="clear" w:color="000000" w:fill="D0CECE"/>
            <w:noWrap/>
            <w:vAlign w:val="center"/>
            <w:hideMark/>
          </w:tcPr>
          <w:p w:rsidR="00DD2074" w:rsidRPr="00CD1518" w:rsidRDefault="00DD2074" w:rsidP="00DD2074">
            <w:pPr>
              <w:spacing w:line="240" w:lineRule="auto"/>
              <w:rPr>
                <w:b/>
                <w:bCs/>
                <w:color w:val="000000"/>
                <w:sz w:val="12"/>
                <w:lang w:eastAsia="en-AU"/>
              </w:rPr>
            </w:pPr>
            <w:r w:rsidRPr="00CD1518">
              <w:rPr>
                <w:b/>
                <w:bCs/>
                <w:color w:val="000000"/>
                <w:sz w:val="12"/>
                <w:lang w:eastAsia="en-AU"/>
              </w:rPr>
              <w:t>Activity Data</w:t>
            </w:r>
          </w:p>
        </w:tc>
        <w:tc>
          <w:tcPr>
            <w:tcW w:w="430" w:type="pct"/>
            <w:tcBorders>
              <w:top w:val="nil"/>
              <w:left w:val="single" w:sz="4" w:space="0" w:color="5B9BD5"/>
              <w:bottom w:val="nil"/>
              <w:right w:val="single" w:sz="4" w:space="0" w:color="5B9BD5"/>
            </w:tcBorders>
            <w:shd w:val="clear" w:color="000000" w:fill="D0CECE"/>
            <w:noWrap/>
            <w:vAlign w:val="center"/>
            <w:hideMark/>
          </w:tcPr>
          <w:p w:rsidR="00DD2074" w:rsidRPr="00DC6EA0" w:rsidRDefault="00DD2074" w:rsidP="00DD2074">
            <w:pPr>
              <w:spacing w:line="240" w:lineRule="auto"/>
              <w:jc w:val="right"/>
              <w:rPr>
                <w:bCs/>
                <w:color w:val="D0CECE"/>
                <w:sz w:val="12"/>
                <w:lang w:eastAsia="en-AU"/>
              </w:rPr>
            </w:pPr>
          </w:p>
        </w:tc>
        <w:tc>
          <w:tcPr>
            <w:tcW w:w="430" w:type="pct"/>
            <w:tcBorders>
              <w:top w:val="nil"/>
              <w:left w:val="nil"/>
              <w:bottom w:val="nil"/>
              <w:right w:val="nil"/>
            </w:tcBorders>
            <w:shd w:val="clear" w:color="000000" w:fill="D0CECE"/>
            <w:noWrap/>
            <w:vAlign w:val="center"/>
          </w:tcPr>
          <w:p w:rsidR="00DD2074" w:rsidRPr="00CD1518" w:rsidRDefault="00DD2074" w:rsidP="00DD2074">
            <w:pPr>
              <w:spacing w:line="240" w:lineRule="auto"/>
              <w:jc w:val="right"/>
              <w:rPr>
                <w:b/>
                <w:bCs/>
                <w:color w:val="000000"/>
                <w:sz w:val="12"/>
                <w:lang w:eastAsia="en-AU"/>
              </w:rPr>
            </w:pPr>
          </w:p>
        </w:tc>
        <w:tc>
          <w:tcPr>
            <w:tcW w:w="411" w:type="pct"/>
            <w:tcBorders>
              <w:top w:val="nil"/>
              <w:left w:val="single" w:sz="4" w:space="0" w:color="5B9BD5"/>
              <w:bottom w:val="nil"/>
              <w:right w:val="single" w:sz="4" w:space="0" w:color="5B9BD5"/>
            </w:tcBorders>
            <w:shd w:val="clear" w:color="000000" w:fill="D0CECE"/>
            <w:noWrap/>
            <w:vAlign w:val="center"/>
          </w:tcPr>
          <w:p w:rsidR="00DD2074" w:rsidRPr="00DC6EA0" w:rsidRDefault="00DD2074" w:rsidP="00DD2074">
            <w:pPr>
              <w:spacing w:line="240" w:lineRule="auto"/>
              <w:jc w:val="right"/>
              <w:rPr>
                <w:bCs/>
                <w:color w:val="000000"/>
                <w:sz w:val="12"/>
                <w:lang w:eastAsia="en-AU"/>
              </w:rPr>
            </w:pPr>
          </w:p>
        </w:tc>
        <w:tc>
          <w:tcPr>
            <w:tcW w:w="396" w:type="pct"/>
            <w:tcBorders>
              <w:top w:val="nil"/>
              <w:left w:val="nil"/>
              <w:bottom w:val="nil"/>
              <w:right w:val="nil"/>
            </w:tcBorders>
            <w:shd w:val="clear" w:color="000000" w:fill="D0CECE"/>
            <w:noWrap/>
            <w:vAlign w:val="center"/>
            <w:hideMark/>
          </w:tcPr>
          <w:p w:rsidR="00DD2074" w:rsidRPr="00CD1518" w:rsidRDefault="00DD2074" w:rsidP="00DD2074">
            <w:pPr>
              <w:spacing w:line="240" w:lineRule="auto"/>
              <w:jc w:val="right"/>
              <w:rPr>
                <w:b/>
                <w:bCs/>
                <w:color w:val="000000"/>
                <w:sz w:val="12"/>
                <w:lang w:eastAsia="en-AU"/>
              </w:rPr>
            </w:pPr>
            <w:r w:rsidRPr="00CD1518">
              <w:rPr>
                <w:b/>
                <w:bCs/>
                <w:color w:val="000000"/>
                <w:sz w:val="12"/>
                <w:lang w:eastAsia="en-AU"/>
              </w:rPr>
              <w:t> </w:t>
            </w:r>
          </w:p>
        </w:tc>
        <w:tc>
          <w:tcPr>
            <w:tcW w:w="491" w:type="pct"/>
            <w:tcBorders>
              <w:top w:val="nil"/>
              <w:left w:val="single" w:sz="4" w:space="0" w:color="5B9BD5"/>
              <w:bottom w:val="nil"/>
              <w:right w:val="single" w:sz="4" w:space="0" w:color="5B9BD5"/>
            </w:tcBorders>
            <w:shd w:val="clear" w:color="000000" w:fill="D0CECE"/>
            <w:noWrap/>
            <w:vAlign w:val="center"/>
            <w:hideMark/>
          </w:tcPr>
          <w:p w:rsidR="00DD2074" w:rsidRPr="00CD1518" w:rsidRDefault="00DD2074" w:rsidP="00DD2074">
            <w:pPr>
              <w:spacing w:line="240" w:lineRule="auto"/>
              <w:jc w:val="right"/>
              <w:rPr>
                <w:b/>
                <w:bCs/>
                <w:color w:val="000000"/>
                <w:sz w:val="12"/>
                <w:lang w:eastAsia="en-AU"/>
              </w:rPr>
            </w:pPr>
            <w:r w:rsidRPr="00CD1518">
              <w:rPr>
                <w:b/>
                <w:bCs/>
                <w:color w:val="000000"/>
                <w:sz w:val="12"/>
                <w:lang w:eastAsia="en-AU"/>
              </w:rPr>
              <w:t> </w:t>
            </w:r>
          </w:p>
        </w:tc>
        <w:tc>
          <w:tcPr>
            <w:tcW w:w="430" w:type="pct"/>
            <w:tcBorders>
              <w:top w:val="nil"/>
              <w:left w:val="nil"/>
              <w:bottom w:val="nil"/>
              <w:right w:val="single" w:sz="4" w:space="0" w:color="5B9BD5"/>
            </w:tcBorders>
            <w:shd w:val="clear" w:color="000000" w:fill="D0CECE"/>
            <w:noWrap/>
            <w:vAlign w:val="center"/>
            <w:hideMark/>
          </w:tcPr>
          <w:p w:rsidR="00DD2074" w:rsidRPr="00CD1518" w:rsidRDefault="00DD2074" w:rsidP="00DD2074">
            <w:pPr>
              <w:spacing w:line="240" w:lineRule="auto"/>
              <w:jc w:val="right"/>
              <w:rPr>
                <w:b/>
                <w:bCs/>
                <w:color w:val="000000"/>
                <w:sz w:val="12"/>
                <w:lang w:eastAsia="en-AU"/>
              </w:rPr>
            </w:pPr>
            <w:r w:rsidRPr="00CD1518">
              <w:rPr>
                <w:b/>
                <w:bCs/>
                <w:color w:val="000000"/>
                <w:sz w:val="12"/>
                <w:lang w:eastAsia="en-AU"/>
              </w:rPr>
              <w:t> </w:t>
            </w:r>
          </w:p>
        </w:tc>
        <w:tc>
          <w:tcPr>
            <w:tcW w:w="430" w:type="pct"/>
            <w:tcBorders>
              <w:top w:val="nil"/>
              <w:left w:val="nil"/>
              <w:bottom w:val="nil"/>
              <w:right w:val="single" w:sz="4" w:space="0" w:color="5B9BD5"/>
            </w:tcBorders>
            <w:shd w:val="clear" w:color="000000" w:fill="D0CECE"/>
            <w:noWrap/>
            <w:vAlign w:val="center"/>
            <w:hideMark/>
          </w:tcPr>
          <w:p w:rsidR="00DD2074" w:rsidRPr="00CD1518" w:rsidRDefault="00DD2074" w:rsidP="00DD2074">
            <w:pPr>
              <w:spacing w:line="240" w:lineRule="auto"/>
              <w:jc w:val="right"/>
              <w:rPr>
                <w:b/>
                <w:bCs/>
                <w:color w:val="000000"/>
                <w:sz w:val="12"/>
                <w:lang w:eastAsia="en-AU"/>
              </w:rPr>
            </w:pPr>
            <w:r w:rsidRPr="00CD1518">
              <w:rPr>
                <w:b/>
                <w:bCs/>
                <w:color w:val="000000"/>
                <w:sz w:val="12"/>
                <w:lang w:eastAsia="en-AU"/>
              </w:rPr>
              <w:t> </w:t>
            </w:r>
          </w:p>
        </w:tc>
        <w:tc>
          <w:tcPr>
            <w:tcW w:w="404" w:type="pct"/>
            <w:tcBorders>
              <w:top w:val="nil"/>
              <w:left w:val="nil"/>
              <w:bottom w:val="nil"/>
              <w:right w:val="nil"/>
            </w:tcBorders>
            <w:shd w:val="clear" w:color="000000" w:fill="D0CECE"/>
            <w:noWrap/>
            <w:vAlign w:val="center"/>
            <w:hideMark/>
          </w:tcPr>
          <w:p w:rsidR="00DD2074" w:rsidRPr="00CD1518" w:rsidRDefault="00DD2074" w:rsidP="00DD2074">
            <w:pPr>
              <w:spacing w:line="240" w:lineRule="auto"/>
              <w:jc w:val="right"/>
              <w:rPr>
                <w:b/>
                <w:bCs/>
                <w:color w:val="000000"/>
                <w:sz w:val="12"/>
                <w:lang w:eastAsia="en-AU"/>
              </w:rPr>
            </w:pPr>
            <w:r w:rsidRPr="00CD1518">
              <w:rPr>
                <w:b/>
                <w:bCs/>
                <w:color w:val="000000"/>
                <w:sz w:val="12"/>
                <w:lang w:eastAsia="en-AU"/>
              </w:rPr>
              <w:t> </w:t>
            </w:r>
          </w:p>
        </w:tc>
        <w:tc>
          <w:tcPr>
            <w:tcW w:w="419" w:type="pct"/>
            <w:tcBorders>
              <w:top w:val="nil"/>
              <w:left w:val="single" w:sz="4" w:space="0" w:color="5B9BD5"/>
              <w:bottom w:val="nil"/>
              <w:right w:val="single" w:sz="4" w:space="0" w:color="5B9BD5"/>
            </w:tcBorders>
            <w:shd w:val="clear" w:color="000000" w:fill="D0CECE"/>
            <w:noWrap/>
            <w:vAlign w:val="center"/>
            <w:hideMark/>
          </w:tcPr>
          <w:p w:rsidR="00DD2074" w:rsidRPr="00CD1518" w:rsidRDefault="00DD2074" w:rsidP="00DD2074">
            <w:pPr>
              <w:spacing w:line="240" w:lineRule="auto"/>
              <w:jc w:val="right"/>
              <w:rPr>
                <w:b/>
                <w:bCs/>
                <w:color w:val="000000"/>
                <w:sz w:val="12"/>
                <w:lang w:eastAsia="en-AU"/>
              </w:rPr>
            </w:pPr>
            <w:r w:rsidRPr="00CD1518">
              <w:rPr>
                <w:b/>
                <w:bCs/>
                <w:color w:val="000000"/>
                <w:sz w:val="12"/>
                <w:lang w:eastAsia="en-AU"/>
              </w:rPr>
              <w:t> </w:t>
            </w:r>
          </w:p>
        </w:tc>
        <w:tc>
          <w:tcPr>
            <w:tcW w:w="404" w:type="pct"/>
            <w:tcBorders>
              <w:top w:val="nil"/>
              <w:left w:val="nil"/>
              <w:bottom w:val="nil"/>
              <w:right w:val="single" w:sz="4" w:space="0" w:color="5B9BD5"/>
            </w:tcBorders>
            <w:shd w:val="clear" w:color="000000" w:fill="D0CECE"/>
            <w:noWrap/>
            <w:vAlign w:val="center"/>
            <w:hideMark/>
          </w:tcPr>
          <w:p w:rsidR="00DD2074" w:rsidRPr="00CD1518" w:rsidRDefault="00DD2074" w:rsidP="00DD2074">
            <w:pPr>
              <w:spacing w:line="240" w:lineRule="auto"/>
              <w:jc w:val="right"/>
              <w:rPr>
                <w:b/>
                <w:bCs/>
                <w:color w:val="000000"/>
                <w:sz w:val="12"/>
                <w:lang w:eastAsia="en-AU"/>
              </w:rPr>
            </w:pPr>
            <w:r w:rsidRPr="00CD1518">
              <w:rPr>
                <w:b/>
                <w:bCs/>
                <w:color w:val="000000"/>
                <w:sz w:val="12"/>
                <w:lang w:eastAsia="en-AU"/>
              </w:rPr>
              <w:t> </w:t>
            </w:r>
          </w:p>
        </w:tc>
      </w:tr>
      <w:tr w:rsidR="00CD1518" w:rsidRPr="00662E77" w:rsidTr="00DD2074">
        <w:trPr>
          <w:trHeight w:val="290"/>
        </w:trPr>
        <w:tc>
          <w:tcPr>
            <w:tcW w:w="727" w:type="pct"/>
            <w:tcBorders>
              <w:top w:val="nil"/>
              <w:left w:val="single" w:sz="4" w:space="0" w:color="5B9BD5"/>
              <w:bottom w:val="nil"/>
              <w:right w:val="nil"/>
            </w:tcBorders>
            <w:shd w:val="clear" w:color="000000" w:fill="FFFFFF"/>
            <w:noWrap/>
            <w:vAlign w:val="center"/>
            <w:hideMark/>
          </w:tcPr>
          <w:p w:rsidR="00662E77" w:rsidRPr="00CD1518" w:rsidRDefault="00662E77">
            <w:pPr>
              <w:spacing w:line="240" w:lineRule="auto"/>
              <w:rPr>
                <w:color w:val="000000"/>
                <w:sz w:val="12"/>
                <w:lang w:eastAsia="en-AU"/>
              </w:rPr>
            </w:pPr>
            <w:r w:rsidRPr="00CD1518">
              <w:rPr>
                <w:color w:val="000000"/>
                <w:sz w:val="12"/>
                <w:lang w:eastAsia="en-AU"/>
              </w:rPr>
              <w:t>PAS</w:t>
            </w:r>
          </w:p>
        </w:tc>
        <w:tc>
          <w:tcPr>
            <w:tcW w:w="441" w:type="pct"/>
            <w:tcBorders>
              <w:top w:val="nil"/>
              <w:left w:val="single" w:sz="4" w:space="0" w:color="5B9BD5"/>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150,791</w:t>
            </w:r>
          </w:p>
        </w:tc>
        <w:tc>
          <w:tcPr>
            <w:tcW w:w="441"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150,791</w:t>
            </w:r>
          </w:p>
        </w:tc>
        <w:tc>
          <w:tcPr>
            <w:tcW w:w="422"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504"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441"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430"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54"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r>
      <w:tr w:rsidR="00CD1518" w:rsidRPr="00662E77" w:rsidTr="00DD2074">
        <w:trPr>
          <w:trHeight w:val="290"/>
        </w:trPr>
        <w:tc>
          <w:tcPr>
            <w:tcW w:w="727" w:type="pct"/>
            <w:tcBorders>
              <w:top w:val="nil"/>
              <w:left w:val="single" w:sz="4" w:space="0" w:color="5B9BD5"/>
              <w:bottom w:val="nil"/>
              <w:right w:val="nil"/>
            </w:tcBorders>
            <w:shd w:val="clear" w:color="000000" w:fill="DDEBF7"/>
            <w:noWrap/>
            <w:vAlign w:val="center"/>
            <w:hideMark/>
          </w:tcPr>
          <w:p w:rsidR="00662E77" w:rsidRPr="00CD1518" w:rsidRDefault="00662E77">
            <w:pPr>
              <w:spacing w:line="240" w:lineRule="auto"/>
              <w:rPr>
                <w:sz w:val="12"/>
                <w:lang w:eastAsia="en-AU"/>
              </w:rPr>
            </w:pPr>
            <w:r w:rsidRPr="00CD1518">
              <w:rPr>
                <w:sz w:val="12"/>
                <w:lang w:eastAsia="en-AU"/>
              </w:rPr>
              <w:t>Emergency</w:t>
            </w:r>
          </w:p>
        </w:tc>
        <w:tc>
          <w:tcPr>
            <w:tcW w:w="441" w:type="pct"/>
            <w:tcBorders>
              <w:top w:val="nil"/>
              <w:left w:val="single" w:sz="4" w:space="0" w:color="5B9BD5"/>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165,289</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165,289</w:t>
            </w:r>
          </w:p>
        </w:tc>
        <w:tc>
          <w:tcPr>
            <w:tcW w:w="422"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w:t>
            </w:r>
          </w:p>
        </w:tc>
        <w:tc>
          <w:tcPr>
            <w:tcW w:w="504"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w:t>
            </w:r>
          </w:p>
        </w:tc>
        <w:tc>
          <w:tcPr>
            <w:tcW w:w="430"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w:t>
            </w:r>
          </w:p>
        </w:tc>
        <w:tc>
          <w:tcPr>
            <w:tcW w:w="354"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w:t>
            </w:r>
          </w:p>
        </w:tc>
      </w:tr>
      <w:tr w:rsidR="00CD1518" w:rsidRPr="00662E77" w:rsidTr="00DD2074">
        <w:trPr>
          <w:trHeight w:val="290"/>
        </w:trPr>
        <w:tc>
          <w:tcPr>
            <w:tcW w:w="727" w:type="pct"/>
            <w:tcBorders>
              <w:top w:val="nil"/>
              <w:left w:val="single" w:sz="4" w:space="0" w:color="5B9BD5"/>
              <w:bottom w:val="single" w:sz="4" w:space="0" w:color="5B9BD5"/>
              <w:right w:val="nil"/>
            </w:tcBorders>
            <w:shd w:val="clear" w:color="000000" w:fill="FFFFFF"/>
            <w:noWrap/>
            <w:vAlign w:val="center"/>
            <w:hideMark/>
          </w:tcPr>
          <w:p w:rsidR="00662E77" w:rsidRPr="00CD1518" w:rsidRDefault="00662E77">
            <w:pPr>
              <w:spacing w:line="240" w:lineRule="auto"/>
              <w:rPr>
                <w:color w:val="000000"/>
                <w:sz w:val="12"/>
                <w:lang w:eastAsia="en-AU"/>
              </w:rPr>
            </w:pPr>
            <w:r w:rsidRPr="00CD1518">
              <w:rPr>
                <w:color w:val="000000"/>
                <w:sz w:val="12"/>
                <w:lang w:eastAsia="en-AU"/>
              </w:rPr>
              <w:t>Non-admitted</w:t>
            </w:r>
          </w:p>
        </w:tc>
        <w:tc>
          <w:tcPr>
            <w:tcW w:w="441" w:type="pct"/>
            <w:tcBorders>
              <w:top w:val="nil"/>
              <w:left w:val="single" w:sz="4" w:space="0" w:color="5B9BD5"/>
              <w:bottom w:val="single" w:sz="4" w:space="0" w:color="5B9BD5"/>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1,169,853</w:t>
            </w:r>
          </w:p>
        </w:tc>
        <w:tc>
          <w:tcPr>
            <w:tcW w:w="441" w:type="pct"/>
            <w:tcBorders>
              <w:top w:val="nil"/>
              <w:left w:val="nil"/>
              <w:bottom w:val="single" w:sz="4" w:space="0" w:color="5B9BD5"/>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1,169,853</w:t>
            </w:r>
          </w:p>
        </w:tc>
        <w:tc>
          <w:tcPr>
            <w:tcW w:w="422" w:type="pct"/>
            <w:tcBorders>
              <w:top w:val="nil"/>
              <w:left w:val="nil"/>
              <w:bottom w:val="single" w:sz="4" w:space="0" w:color="5B9BD5"/>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single" w:sz="4" w:space="0" w:color="5B9BD5"/>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504" w:type="pct"/>
            <w:tcBorders>
              <w:top w:val="nil"/>
              <w:left w:val="nil"/>
              <w:bottom w:val="single" w:sz="4" w:space="0" w:color="5B9BD5"/>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441" w:type="pct"/>
            <w:tcBorders>
              <w:top w:val="nil"/>
              <w:left w:val="nil"/>
              <w:bottom w:val="single" w:sz="4" w:space="0" w:color="5B9BD5"/>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441" w:type="pct"/>
            <w:tcBorders>
              <w:top w:val="nil"/>
              <w:left w:val="nil"/>
              <w:bottom w:val="single" w:sz="4" w:space="0" w:color="5B9BD5"/>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single" w:sz="4" w:space="0" w:color="5B9BD5"/>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430" w:type="pct"/>
            <w:tcBorders>
              <w:top w:val="nil"/>
              <w:left w:val="nil"/>
              <w:bottom w:val="single" w:sz="4" w:space="0" w:color="5B9BD5"/>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54" w:type="pct"/>
            <w:tcBorders>
              <w:top w:val="nil"/>
              <w:left w:val="nil"/>
              <w:bottom w:val="single" w:sz="4" w:space="0" w:color="5B9BD5"/>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r>
      <w:tr w:rsidR="00CD1518" w:rsidRPr="00662E77" w:rsidTr="00DD2074">
        <w:trPr>
          <w:trHeight w:val="290"/>
        </w:trPr>
        <w:tc>
          <w:tcPr>
            <w:tcW w:w="727" w:type="pct"/>
            <w:tcBorders>
              <w:top w:val="nil"/>
              <w:left w:val="single" w:sz="4" w:space="0" w:color="5B9BD5"/>
              <w:bottom w:val="nil"/>
              <w:right w:val="nil"/>
            </w:tcBorders>
            <w:shd w:val="clear" w:color="000000" w:fill="DDEBF7"/>
            <w:noWrap/>
            <w:vAlign w:val="center"/>
            <w:hideMark/>
          </w:tcPr>
          <w:p w:rsidR="00662E77" w:rsidRPr="00CD1518" w:rsidRDefault="00662E77">
            <w:pPr>
              <w:spacing w:line="240" w:lineRule="auto"/>
              <w:rPr>
                <w:b/>
                <w:bCs/>
                <w:color w:val="000000"/>
                <w:sz w:val="12"/>
                <w:lang w:eastAsia="en-AU"/>
              </w:rPr>
            </w:pPr>
            <w:r w:rsidRPr="00CD1518">
              <w:rPr>
                <w:b/>
                <w:bCs/>
                <w:color w:val="000000"/>
                <w:sz w:val="12"/>
                <w:lang w:eastAsia="en-AU"/>
              </w:rPr>
              <w:t>TOTAL</w:t>
            </w:r>
          </w:p>
        </w:tc>
        <w:tc>
          <w:tcPr>
            <w:tcW w:w="441" w:type="pct"/>
            <w:tcBorders>
              <w:top w:val="nil"/>
              <w:left w:val="single" w:sz="4" w:space="0" w:color="5B9BD5"/>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b/>
                <w:bCs/>
                <w:color w:val="000000"/>
                <w:sz w:val="12"/>
                <w:lang w:eastAsia="en-AU"/>
              </w:rPr>
            </w:pPr>
            <w:r w:rsidRPr="00CD1518">
              <w:rPr>
                <w:b/>
                <w:bCs/>
                <w:color w:val="000000"/>
                <w:sz w:val="12"/>
                <w:lang w:eastAsia="en-AU"/>
              </w:rPr>
              <w:t>1,485,933</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b/>
                <w:bCs/>
                <w:color w:val="000000"/>
                <w:sz w:val="12"/>
                <w:lang w:eastAsia="en-AU"/>
              </w:rPr>
            </w:pPr>
            <w:r w:rsidRPr="00CD1518">
              <w:rPr>
                <w:b/>
                <w:bCs/>
                <w:color w:val="000000"/>
                <w:sz w:val="12"/>
                <w:lang w:eastAsia="en-AU"/>
              </w:rPr>
              <w:t>1,485,933</w:t>
            </w:r>
          </w:p>
        </w:tc>
        <w:tc>
          <w:tcPr>
            <w:tcW w:w="422"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b/>
                <w:bCs/>
                <w:color w:val="000000"/>
                <w:sz w:val="12"/>
                <w:lang w:eastAsia="en-AU"/>
              </w:rPr>
            </w:pPr>
            <w:r w:rsidRPr="00CD1518">
              <w:rPr>
                <w:b/>
                <w:bCs/>
                <w:color w:val="000000"/>
                <w:sz w:val="12"/>
                <w:lang w:eastAsia="en-AU"/>
              </w:rPr>
              <w:t>-</w:t>
            </w:r>
          </w:p>
        </w:tc>
        <w:tc>
          <w:tcPr>
            <w:tcW w:w="398"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b/>
                <w:bCs/>
                <w:color w:val="000000"/>
                <w:sz w:val="12"/>
                <w:lang w:eastAsia="en-AU"/>
              </w:rPr>
            </w:pPr>
            <w:r w:rsidRPr="00CD1518">
              <w:rPr>
                <w:b/>
                <w:bCs/>
                <w:color w:val="000000"/>
                <w:sz w:val="12"/>
                <w:lang w:eastAsia="en-AU"/>
              </w:rPr>
              <w:t>-</w:t>
            </w:r>
          </w:p>
        </w:tc>
        <w:tc>
          <w:tcPr>
            <w:tcW w:w="504"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b/>
                <w:bCs/>
                <w:color w:val="000000"/>
                <w:sz w:val="12"/>
                <w:lang w:eastAsia="en-AU"/>
              </w:rPr>
            </w:pPr>
            <w:r w:rsidRPr="00CD1518">
              <w:rPr>
                <w:b/>
                <w:bCs/>
                <w:color w:val="000000"/>
                <w:sz w:val="12"/>
                <w:lang w:eastAsia="en-AU"/>
              </w:rPr>
              <w:t>-</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b/>
                <w:bCs/>
                <w:color w:val="000000"/>
                <w:sz w:val="12"/>
                <w:lang w:eastAsia="en-AU"/>
              </w:rPr>
            </w:pPr>
            <w:r w:rsidRPr="00CD1518">
              <w:rPr>
                <w:b/>
                <w:bCs/>
                <w:color w:val="000000"/>
                <w:sz w:val="12"/>
                <w:lang w:eastAsia="en-AU"/>
              </w:rPr>
              <w:t>-</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b/>
                <w:bCs/>
                <w:color w:val="000000"/>
                <w:sz w:val="12"/>
                <w:lang w:eastAsia="en-AU"/>
              </w:rPr>
            </w:pPr>
            <w:r w:rsidRPr="00CD1518">
              <w:rPr>
                <w:b/>
                <w:bCs/>
                <w:color w:val="000000"/>
                <w:sz w:val="12"/>
                <w:lang w:eastAsia="en-AU"/>
              </w:rPr>
              <w:t>-</w:t>
            </w:r>
          </w:p>
        </w:tc>
        <w:tc>
          <w:tcPr>
            <w:tcW w:w="398"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b/>
                <w:bCs/>
                <w:color w:val="000000"/>
                <w:sz w:val="12"/>
                <w:lang w:eastAsia="en-AU"/>
              </w:rPr>
            </w:pPr>
            <w:r w:rsidRPr="00CD1518">
              <w:rPr>
                <w:b/>
                <w:bCs/>
                <w:color w:val="000000"/>
                <w:sz w:val="12"/>
                <w:lang w:eastAsia="en-AU"/>
              </w:rPr>
              <w:t>-</w:t>
            </w:r>
          </w:p>
        </w:tc>
        <w:tc>
          <w:tcPr>
            <w:tcW w:w="430"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b/>
                <w:bCs/>
                <w:color w:val="000000"/>
                <w:sz w:val="12"/>
                <w:lang w:eastAsia="en-AU"/>
              </w:rPr>
            </w:pPr>
            <w:r w:rsidRPr="00CD1518">
              <w:rPr>
                <w:b/>
                <w:bCs/>
                <w:color w:val="000000"/>
                <w:sz w:val="12"/>
                <w:lang w:eastAsia="en-AU"/>
              </w:rPr>
              <w:t>-</w:t>
            </w:r>
          </w:p>
        </w:tc>
        <w:tc>
          <w:tcPr>
            <w:tcW w:w="354"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b/>
                <w:bCs/>
                <w:color w:val="000000"/>
                <w:sz w:val="12"/>
                <w:lang w:eastAsia="en-AU"/>
              </w:rPr>
            </w:pPr>
            <w:r w:rsidRPr="00CD1518">
              <w:rPr>
                <w:b/>
                <w:bCs/>
                <w:color w:val="000000"/>
                <w:sz w:val="12"/>
                <w:lang w:eastAsia="en-AU"/>
              </w:rPr>
              <w:t>-</w:t>
            </w:r>
          </w:p>
        </w:tc>
      </w:tr>
      <w:tr w:rsidR="004D0865" w:rsidRPr="00662E77" w:rsidTr="00DD2074">
        <w:trPr>
          <w:trHeight w:val="290"/>
        </w:trPr>
        <w:tc>
          <w:tcPr>
            <w:tcW w:w="727" w:type="pct"/>
            <w:tcBorders>
              <w:top w:val="nil"/>
              <w:left w:val="single" w:sz="4" w:space="0" w:color="5B9BD5"/>
              <w:bottom w:val="nil"/>
              <w:right w:val="nil"/>
            </w:tcBorders>
            <w:shd w:val="clear" w:color="000000" w:fill="D0CECE"/>
            <w:noWrap/>
            <w:vAlign w:val="center"/>
            <w:hideMark/>
          </w:tcPr>
          <w:p w:rsidR="00662E77" w:rsidRPr="00CD1518" w:rsidRDefault="00662E77">
            <w:pPr>
              <w:spacing w:line="240" w:lineRule="auto"/>
              <w:rPr>
                <w:b/>
                <w:bCs/>
                <w:color w:val="000000"/>
                <w:sz w:val="12"/>
                <w:lang w:eastAsia="en-AU"/>
              </w:rPr>
            </w:pPr>
            <w:r w:rsidRPr="00CD1518">
              <w:rPr>
                <w:b/>
                <w:bCs/>
                <w:color w:val="000000"/>
                <w:sz w:val="12"/>
                <w:lang w:eastAsia="en-AU"/>
              </w:rPr>
              <w:t>Feeder Data</w:t>
            </w:r>
          </w:p>
        </w:tc>
        <w:tc>
          <w:tcPr>
            <w:tcW w:w="441" w:type="pct"/>
            <w:tcBorders>
              <w:top w:val="nil"/>
              <w:left w:val="single" w:sz="4" w:space="0" w:color="5B9BD5"/>
              <w:bottom w:val="nil"/>
              <w:right w:val="single" w:sz="4" w:space="0" w:color="5B9BD5"/>
            </w:tcBorders>
            <w:shd w:val="clear" w:color="000000" w:fill="D0CECE"/>
            <w:noWrap/>
            <w:vAlign w:val="center"/>
            <w:hideMark/>
          </w:tcPr>
          <w:p w:rsidR="00662E77" w:rsidRPr="00CD1518" w:rsidRDefault="00662E77" w:rsidP="00CD1518">
            <w:pPr>
              <w:spacing w:line="240" w:lineRule="auto"/>
              <w:jc w:val="right"/>
              <w:rPr>
                <w:b/>
                <w:bCs/>
                <w:color w:val="000000"/>
                <w:sz w:val="12"/>
                <w:lang w:eastAsia="en-AU"/>
              </w:rPr>
            </w:pPr>
          </w:p>
        </w:tc>
        <w:tc>
          <w:tcPr>
            <w:tcW w:w="441" w:type="pct"/>
            <w:tcBorders>
              <w:top w:val="nil"/>
              <w:left w:val="nil"/>
              <w:bottom w:val="nil"/>
              <w:right w:val="nil"/>
            </w:tcBorders>
            <w:shd w:val="clear" w:color="000000" w:fill="D0CECE"/>
            <w:noWrap/>
            <w:vAlign w:val="center"/>
            <w:hideMark/>
          </w:tcPr>
          <w:p w:rsidR="00662E77" w:rsidRPr="00CD1518" w:rsidRDefault="00662E77" w:rsidP="00CD1518">
            <w:pPr>
              <w:spacing w:line="240" w:lineRule="auto"/>
              <w:jc w:val="right"/>
              <w:rPr>
                <w:b/>
                <w:bCs/>
                <w:color w:val="000000"/>
                <w:sz w:val="12"/>
                <w:lang w:eastAsia="en-AU"/>
              </w:rPr>
            </w:pPr>
          </w:p>
        </w:tc>
        <w:tc>
          <w:tcPr>
            <w:tcW w:w="422" w:type="pct"/>
            <w:tcBorders>
              <w:top w:val="nil"/>
              <w:left w:val="single" w:sz="4" w:space="0" w:color="5B9BD5"/>
              <w:bottom w:val="nil"/>
              <w:right w:val="single" w:sz="4" w:space="0" w:color="5B9BD5"/>
            </w:tcBorders>
            <w:shd w:val="clear" w:color="000000" w:fill="D0CECE"/>
            <w:noWrap/>
            <w:vAlign w:val="center"/>
            <w:hideMark/>
          </w:tcPr>
          <w:p w:rsidR="00662E77" w:rsidRPr="00CD1518" w:rsidRDefault="00662E77" w:rsidP="00CD1518">
            <w:pPr>
              <w:spacing w:line="240" w:lineRule="auto"/>
              <w:jc w:val="right"/>
              <w:rPr>
                <w:b/>
                <w:bCs/>
                <w:color w:val="000000"/>
                <w:sz w:val="12"/>
                <w:lang w:eastAsia="en-AU"/>
              </w:rPr>
            </w:pPr>
          </w:p>
        </w:tc>
        <w:tc>
          <w:tcPr>
            <w:tcW w:w="398" w:type="pct"/>
            <w:tcBorders>
              <w:top w:val="nil"/>
              <w:left w:val="nil"/>
              <w:bottom w:val="nil"/>
              <w:right w:val="nil"/>
            </w:tcBorders>
            <w:shd w:val="clear" w:color="000000" w:fill="D0CECE"/>
            <w:noWrap/>
            <w:vAlign w:val="center"/>
            <w:hideMark/>
          </w:tcPr>
          <w:p w:rsidR="00662E77" w:rsidRPr="00CD1518" w:rsidRDefault="00662E77" w:rsidP="00CD1518">
            <w:pPr>
              <w:spacing w:line="240" w:lineRule="auto"/>
              <w:jc w:val="right"/>
              <w:rPr>
                <w:b/>
                <w:bCs/>
                <w:color w:val="000000"/>
                <w:sz w:val="12"/>
                <w:lang w:eastAsia="en-AU"/>
              </w:rPr>
            </w:pPr>
          </w:p>
        </w:tc>
        <w:tc>
          <w:tcPr>
            <w:tcW w:w="504" w:type="pct"/>
            <w:tcBorders>
              <w:top w:val="nil"/>
              <w:left w:val="single" w:sz="4" w:space="0" w:color="5B9BD5"/>
              <w:bottom w:val="nil"/>
              <w:right w:val="single" w:sz="4" w:space="0" w:color="5B9BD5"/>
            </w:tcBorders>
            <w:shd w:val="clear" w:color="000000" w:fill="D0CECE"/>
            <w:noWrap/>
            <w:vAlign w:val="center"/>
            <w:hideMark/>
          </w:tcPr>
          <w:p w:rsidR="00662E77" w:rsidRPr="00CD1518" w:rsidRDefault="00662E77" w:rsidP="00CD1518">
            <w:pPr>
              <w:spacing w:line="240" w:lineRule="auto"/>
              <w:jc w:val="right"/>
              <w:rPr>
                <w:b/>
                <w:bCs/>
                <w:color w:val="000000"/>
                <w:sz w:val="12"/>
                <w:lang w:eastAsia="en-AU"/>
              </w:rPr>
            </w:pPr>
          </w:p>
        </w:tc>
        <w:tc>
          <w:tcPr>
            <w:tcW w:w="441" w:type="pct"/>
            <w:tcBorders>
              <w:top w:val="nil"/>
              <w:left w:val="nil"/>
              <w:bottom w:val="nil"/>
              <w:right w:val="single" w:sz="4" w:space="0" w:color="5B9BD5"/>
            </w:tcBorders>
            <w:shd w:val="clear" w:color="000000" w:fill="D0CECE"/>
            <w:noWrap/>
            <w:vAlign w:val="center"/>
            <w:hideMark/>
          </w:tcPr>
          <w:p w:rsidR="00662E77" w:rsidRPr="00CD1518" w:rsidRDefault="00662E77" w:rsidP="00CD1518">
            <w:pPr>
              <w:spacing w:line="240" w:lineRule="auto"/>
              <w:jc w:val="right"/>
              <w:rPr>
                <w:b/>
                <w:bCs/>
                <w:color w:val="000000"/>
                <w:sz w:val="12"/>
                <w:lang w:eastAsia="en-AU"/>
              </w:rPr>
            </w:pPr>
          </w:p>
        </w:tc>
        <w:tc>
          <w:tcPr>
            <w:tcW w:w="441" w:type="pct"/>
            <w:tcBorders>
              <w:top w:val="nil"/>
              <w:left w:val="nil"/>
              <w:bottom w:val="nil"/>
              <w:right w:val="single" w:sz="4" w:space="0" w:color="5B9BD5"/>
            </w:tcBorders>
            <w:shd w:val="clear" w:color="000000" w:fill="D0CECE"/>
            <w:noWrap/>
            <w:vAlign w:val="center"/>
            <w:hideMark/>
          </w:tcPr>
          <w:p w:rsidR="00662E77" w:rsidRPr="00CD1518" w:rsidRDefault="00662E77" w:rsidP="00CD1518">
            <w:pPr>
              <w:spacing w:line="240" w:lineRule="auto"/>
              <w:jc w:val="right"/>
              <w:rPr>
                <w:b/>
                <w:bCs/>
                <w:color w:val="000000"/>
                <w:sz w:val="12"/>
                <w:lang w:eastAsia="en-AU"/>
              </w:rPr>
            </w:pPr>
          </w:p>
        </w:tc>
        <w:tc>
          <w:tcPr>
            <w:tcW w:w="398" w:type="pct"/>
            <w:tcBorders>
              <w:top w:val="nil"/>
              <w:left w:val="nil"/>
              <w:bottom w:val="nil"/>
              <w:right w:val="nil"/>
            </w:tcBorders>
            <w:shd w:val="clear" w:color="000000" w:fill="D0CECE"/>
            <w:noWrap/>
            <w:vAlign w:val="center"/>
            <w:hideMark/>
          </w:tcPr>
          <w:p w:rsidR="00662E77" w:rsidRPr="00CD1518" w:rsidRDefault="00662E77" w:rsidP="00CD1518">
            <w:pPr>
              <w:spacing w:line="240" w:lineRule="auto"/>
              <w:jc w:val="right"/>
              <w:rPr>
                <w:b/>
                <w:bCs/>
                <w:color w:val="000000"/>
                <w:sz w:val="12"/>
                <w:lang w:eastAsia="en-AU"/>
              </w:rPr>
            </w:pPr>
          </w:p>
        </w:tc>
        <w:tc>
          <w:tcPr>
            <w:tcW w:w="430" w:type="pct"/>
            <w:tcBorders>
              <w:top w:val="nil"/>
              <w:left w:val="single" w:sz="4" w:space="0" w:color="5B9BD5"/>
              <w:bottom w:val="nil"/>
              <w:right w:val="single" w:sz="4" w:space="0" w:color="5B9BD5"/>
            </w:tcBorders>
            <w:shd w:val="clear" w:color="000000" w:fill="D0CECE"/>
            <w:noWrap/>
            <w:vAlign w:val="center"/>
            <w:hideMark/>
          </w:tcPr>
          <w:p w:rsidR="00662E77" w:rsidRPr="00CD1518" w:rsidRDefault="00662E77" w:rsidP="00CD1518">
            <w:pPr>
              <w:spacing w:line="240" w:lineRule="auto"/>
              <w:jc w:val="right"/>
              <w:rPr>
                <w:b/>
                <w:bCs/>
                <w:color w:val="000000"/>
                <w:sz w:val="12"/>
                <w:lang w:eastAsia="en-AU"/>
              </w:rPr>
            </w:pPr>
          </w:p>
        </w:tc>
        <w:tc>
          <w:tcPr>
            <w:tcW w:w="354" w:type="pct"/>
            <w:tcBorders>
              <w:top w:val="nil"/>
              <w:left w:val="nil"/>
              <w:bottom w:val="nil"/>
              <w:right w:val="single" w:sz="4" w:space="0" w:color="5B9BD5"/>
            </w:tcBorders>
            <w:shd w:val="clear" w:color="000000" w:fill="D0CECE"/>
            <w:noWrap/>
            <w:vAlign w:val="center"/>
            <w:hideMark/>
          </w:tcPr>
          <w:p w:rsidR="00662E77" w:rsidRPr="00CD1518" w:rsidRDefault="00662E77" w:rsidP="00CD1518">
            <w:pPr>
              <w:spacing w:line="240" w:lineRule="auto"/>
              <w:jc w:val="right"/>
              <w:rPr>
                <w:b/>
                <w:bCs/>
                <w:color w:val="000000"/>
                <w:sz w:val="12"/>
                <w:lang w:eastAsia="en-AU"/>
              </w:rPr>
            </w:pPr>
          </w:p>
        </w:tc>
      </w:tr>
      <w:tr w:rsidR="00CD1518" w:rsidRPr="00662E77" w:rsidTr="00DD2074">
        <w:trPr>
          <w:trHeight w:val="290"/>
        </w:trPr>
        <w:tc>
          <w:tcPr>
            <w:tcW w:w="727" w:type="pct"/>
            <w:tcBorders>
              <w:top w:val="nil"/>
              <w:left w:val="single" w:sz="4" w:space="0" w:color="5B9BD5"/>
              <w:bottom w:val="nil"/>
              <w:right w:val="nil"/>
            </w:tcBorders>
            <w:shd w:val="clear" w:color="000000" w:fill="FFFFFF"/>
            <w:noWrap/>
            <w:vAlign w:val="center"/>
            <w:hideMark/>
          </w:tcPr>
          <w:p w:rsidR="00662E77" w:rsidRPr="00CD1518" w:rsidRDefault="00662E77">
            <w:pPr>
              <w:spacing w:line="240" w:lineRule="auto"/>
              <w:rPr>
                <w:color w:val="000000"/>
                <w:sz w:val="12"/>
                <w:lang w:eastAsia="en-AU"/>
              </w:rPr>
            </w:pPr>
            <w:r w:rsidRPr="00CD1518">
              <w:rPr>
                <w:color w:val="000000"/>
                <w:sz w:val="12"/>
                <w:lang w:eastAsia="en-AU"/>
              </w:rPr>
              <w:t>Prosthesis</w:t>
            </w:r>
          </w:p>
        </w:tc>
        <w:tc>
          <w:tcPr>
            <w:tcW w:w="441" w:type="pct"/>
            <w:tcBorders>
              <w:top w:val="nil"/>
              <w:left w:val="single" w:sz="4" w:space="0" w:color="5B9BD5"/>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1,718</w:t>
            </w:r>
          </w:p>
        </w:tc>
        <w:tc>
          <w:tcPr>
            <w:tcW w:w="441"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1,718</w:t>
            </w:r>
          </w:p>
        </w:tc>
        <w:tc>
          <w:tcPr>
            <w:tcW w:w="422"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1,718</w:t>
            </w:r>
          </w:p>
        </w:tc>
        <w:tc>
          <w:tcPr>
            <w:tcW w:w="504"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441"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1,718</w:t>
            </w:r>
          </w:p>
        </w:tc>
        <w:tc>
          <w:tcPr>
            <w:tcW w:w="398"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430"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54" w:type="pct"/>
            <w:tcBorders>
              <w:top w:val="nil"/>
              <w:left w:val="nil"/>
              <w:bottom w:val="nil"/>
              <w:right w:val="single" w:sz="4" w:space="0" w:color="5B9BD5"/>
            </w:tcBorders>
            <w:shd w:val="clear" w:color="000000" w:fill="FFFFFF"/>
            <w:noWrap/>
            <w:vAlign w:val="center"/>
            <w:hideMark/>
          </w:tcPr>
          <w:p w:rsidR="00662E77" w:rsidRPr="00CD1518" w:rsidRDefault="00662E77">
            <w:pPr>
              <w:spacing w:line="240" w:lineRule="auto"/>
              <w:jc w:val="right"/>
              <w:rPr>
                <w:color w:val="000000"/>
                <w:sz w:val="12"/>
                <w:lang w:eastAsia="en-AU"/>
              </w:rPr>
            </w:pPr>
            <w:r w:rsidRPr="00CD1518">
              <w:rPr>
                <w:color w:val="000000"/>
                <w:sz w:val="12"/>
                <w:lang w:eastAsia="en-AU"/>
              </w:rPr>
              <w:t>100%</w:t>
            </w:r>
          </w:p>
        </w:tc>
      </w:tr>
      <w:tr w:rsidR="00CD1518" w:rsidRPr="00662E77" w:rsidTr="00DD2074">
        <w:trPr>
          <w:trHeight w:val="290"/>
        </w:trPr>
        <w:tc>
          <w:tcPr>
            <w:tcW w:w="727" w:type="pct"/>
            <w:tcBorders>
              <w:top w:val="nil"/>
              <w:left w:val="single" w:sz="4" w:space="0" w:color="5B9BD5"/>
              <w:bottom w:val="nil"/>
              <w:right w:val="nil"/>
            </w:tcBorders>
            <w:shd w:val="clear" w:color="000000" w:fill="DDEBF7"/>
            <w:noWrap/>
            <w:vAlign w:val="center"/>
            <w:hideMark/>
          </w:tcPr>
          <w:p w:rsidR="00662E77" w:rsidRPr="00CD1518" w:rsidRDefault="00662E77">
            <w:pPr>
              <w:spacing w:line="240" w:lineRule="auto"/>
              <w:rPr>
                <w:sz w:val="12"/>
                <w:lang w:eastAsia="en-AU"/>
              </w:rPr>
            </w:pPr>
            <w:r w:rsidRPr="00CD1518">
              <w:rPr>
                <w:sz w:val="12"/>
                <w:lang w:eastAsia="en-AU"/>
              </w:rPr>
              <w:t>Pharmacy</w:t>
            </w:r>
          </w:p>
        </w:tc>
        <w:tc>
          <w:tcPr>
            <w:tcW w:w="441" w:type="pct"/>
            <w:tcBorders>
              <w:top w:val="nil"/>
              <w:left w:val="single" w:sz="4" w:space="0" w:color="5B9BD5"/>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599,270</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599,270</w:t>
            </w:r>
          </w:p>
        </w:tc>
        <w:tc>
          <w:tcPr>
            <w:tcW w:w="422"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411,164</w:t>
            </w:r>
          </w:p>
        </w:tc>
        <w:tc>
          <w:tcPr>
            <w:tcW w:w="504"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17,403</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78,512</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507,079</w:t>
            </w:r>
          </w:p>
        </w:tc>
        <w:tc>
          <w:tcPr>
            <w:tcW w:w="398"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92,191</w:t>
            </w:r>
          </w:p>
        </w:tc>
        <w:tc>
          <w:tcPr>
            <w:tcW w:w="430"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w:t>
            </w:r>
          </w:p>
        </w:tc>
        <w:tc>
          <w:tcPr>
            <w:tcW w:w="354" w:type="pct"/>
            <w:tcBorders>
              <w:top w:val="nil"/>
              <w:left w:val="nil"/>
              <w:bottom w:val="nil"/>
              <w:right w:val="single" w:sz="4" w:space="0" w:color="5B9BD5"/>
            </w:tcBorders>
            <w:shd w:val="clear" w:color="000000" w:fill="DDEBF7"/>
            <w:noWrap/>
            <w:vAlign w:val="center"/>
            <w:hideMark/>
          </w:tcPr>
          <w:p w:rsidR="00662E77" w:rsidRPr="00CD1518" w:rsidRDefault="00662E77">
            <w:pPr>
              <w:spacing w:line="240" w:lineRule="auto"/>
              <w:jc w:val="right"/>
              <w:rPr>
                <w:sz w:val="12"/>
                <w:lang w:eastAsia="en-AU"/>
              </w:rPr>
            </w:pPr>
            <w:r w:rsidRPr="00CD1518">
              <w:rPr>
                <w:sz w:val="12"/>
                <w:lang w:eastAsia="en-AU"/>
              </w:rPr>
              <w:t>85%</w:t>
            </w:r>
          </w:p>
        </w:tc>
      </w:tr>
      <w:tr w:rsidR="00CD1518" w:rsidRPr="00662E77" w:rsidTr="00DD2074">
        <w:trPr>
          <w:trHeight w:val="290"/>
        </w:trPr>
        <w:tc>
          <w:tcPr>
            <w:tcW w:w="727" w:type="pct"/>
            <w:tcBorders>
              <w:top w:val="nil"/>
              <w:left w:val="single" w:sz="4" w:space="0" w:color="5B9BD5"/>
              <w:bottom w:val="nil"/>
              <w:right w:val="nil"/>
            </w:tcBorders>
            <w:shd w:val="clear" w:color="000000" w:fill="FFFFFF"/>
            <w:noWrap/>
            <w:vAlign w:val="center"/>
            <w:hideMark/>
          </w:tcPr>
          <w:p w:rsidR="00662E77" w:rsidRPr="00CD1518" w:rsidRDefault="00662E77">
            <w:pPr>
              <w:spacing w:line="240" w:lineRule="auto"/>
              <w:rPr>
                <w:color w:val="000000"/>
                <w:sz w:val="12"/>
                <w:lang w:eastAsia="en-AU"/>
              </w:rPr>
            </w:pPr>
            <w:r w:rsidRPr="00CD1518">
              <w:rPr>
                <w:color w:val="000000"/>
                <w:sz w:val="12"/>
                <w:lang w:eastAsia="en-AU"/>
              </w:rPr>
              <w:t>Allied</w:t>
            </w:r>
          </w:p>
        </w:tc>
        <w:tc>
          <w:tcPr>
            <w:tcW w:w="441" w:type="pct"/>
            <w:tcBorders>
              <w:top w:val="nil"/>
              <w:left w:val="single" w:sz="4" w:space="0" w:color="5B9BD5"/>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7,002</w:t>
            </w:r>
          </w:p>
        </w:tc>
        <w:tc>
          <w:tcPr>
            <w:tcW w:w="441"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7,002</w:t>
            </w:r>
          </w:p>
        </w:tc>
        <w:tc>
          <w:tcPr>
            <w:tcW w:w="422"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355</w:t>
            </w:r>
          </w:p>
        </w:tc>
        <w:tc>
          <w:tcPr>
            <w:tcW w:w="504"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6,064</w:t>
            </w:r>
          </w:p>
        </w:tc>
        <w:tc>
          <w:tcPr>
            <w:tcW w:w="441"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256</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6,675</w:t>
            </w:r>
          </w:p>
        </w:tc>
        <w:tc>
          <w:tcPr>
            <w:tcW w:w="398"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327</w:t>
            </w:r>
          </w:p>
        </w:tc>
        <w:tc>
          <w:tcPr>
            <w:tcW w:w="430"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54" w:type="pct"/>
            <w:tcBorders>
              <w:top w:val="nil"/>
              <w:left w:val="nil"/>
              <w:bottom w:val="nil"/>
              <w:right w:val="single" w:sz="4" w:space="0" w:color="5B9BD5"/>
            </w:tcBorders>
            <w:shd w:val="clear" w:color="000000" w:fill="FFFFFF"/>
            <w:noWrap/>
            <w:vAlign w:val="center"/>
            <w:hideMark/>
          </w:tcPr>
          <w:p w:rsidR="00662E77" w:rsidRPr="00CD1518" w:rsidRDefault="00662E77">
            <w:pPr>
              <w:spacing w:line="240" w:lineRule="auto"/>
              <w:jc w:val="right"/>
              <w:rPr>
                <w:color w:val="000000"/>
                <w:sz w:val="12"/>
                <w:lang w:eastAsia="en-AU"/>
              </w:rPr>
            </w:pPr>
            <w:r w:rsidRPr="00CD1518">
              <w:rPr>
                <w:color w:val="000000"/>
                <w:sz w:val="12"/>
                <w:lang w:eastAsia="en-AU"/>
              </w:rPr>
              <w:t>95%</w:t>
            </w:r>
          </w:p>
        </w:tc>
      </w:tr>
      <w:tr w:rsidR="00CD1518" w:rsidRPr="00662E77" w:rsidTr="00DD2074">
        <w:trPr>
          <w:trHeight w:val="290"/>
        </w:trPr>
        <w:tc>
          <w:tcPr>
            <w:tcW w:w="727" w:type="pct"/>
            <w:tcBorders>
              <w:top w:val="nil"/>
              <w:left w:val="single" w:sz="4" w:space="0" w:color="5B9BD5"/>
              <w:bottom w:val="nil"/>
              <w:right w:val="nil"/>
            </w:tcBorders>
            <w:shd w:val="clear" w:color="000000" w:fill="DDEBF7"/>
            <w:noWrap/>
            <w:vAlign w:val="center"/>
            <w:hideMark/>
          </w:tcPr>
          <w:p w:rsidR="00662E77" w:rsidRPr="00CD1518" w:rsidRDefault="00662E77">
            <w:pPr>
              <w:spacing w:line="240" w:lineRule="auto"/>
              <w:rPr>
                <w:sz w:val="12"/>
                <w:lang w:eastAsia="en-AU"/>
              </w:rPr>
            </w:pPr>
            <w:r w:rsidRPr="00CD1518">
              <w:rPr>
                <w:sz w:val="12"/>
                <w:lang w:eastAsia="en-AU"/>
              </w:rPr>
              <w:t>Allied</w:t>
            </w:r>
          </w:p>
        </w:tc>
        <w:tc>
          <w:tcPr>
            <w:tcW w:w="441" w:type="pct"/>
            <w:tcBorders>
              <w:top w:val="nil"/>
              <w:left w:val="single" w:sz="4" w:space="0" w:color="5B9BD5"/>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324,068</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324,068</w:t>
            </w:r>
          </w:p>
        </w:tc>
        <w:tc>
          <w:tcPr>
            <w:tcW w:w="422"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259,973</w:t>
            </w:r>
          </w:p>
        </w:tc>
        <w:tc>
          <w:tcPr>
            <w:tcW w:w="504"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299</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34,577</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294,849</w:t>
            </w:r>
          </w:p>
        </w:tc>
        <w:tc>
          <w:tcPr>
            <w:tcW w:w="398"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29,219</w:t>
            </w:r>
          </w:p>
        </w:tc>
        <w:tc>
          <w:tcPr>
            <w:tcW w:w="430"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w:t>
            </w:r>
          </w:p>
        </w:tc>
        <w:tc>
          <w:tcPr>
            <w:tcW w:w="354" w:type="pct"/>
            <w:tcBorders>
              <w:top w:val="nil"/>
              <w:left w:val="nil"/>
              <w:bottom w:val="nil"/>
              <w:right w:val="single" w:sz="4" w:space="0" w:color="5B9BD5"/>
            </w:tcBorders>
            <w:shd w:val="clear" w:color="000000" w:fill="DDEBF7"/>
            <w:noWrap/>
            <w:vAlign w:val="center"/>
            <w:hideMark/>
          </w:tcPr>
          <w:p w:rsidR="00662E77" w:rsidRPr="00CD1518" w:rsidRDefault="00662E77">
            <w:pPr>
              <w:spacing w:line="240" w:lineRule="auto"/>
              <w:jc w:val="right"/>
              <w:rPr>
                <w:sz w:val="12"/>
                <w:lang w:eastAsia="en-AU"/>
              </w:rPr>
            </w:pPr>
            <w:r w:rsidRPr="00CD1518">
              <w:rPr>
                <w:sz w:val="12"/>
                <w:lang w:eastAsia="en-AU"/>
              </w:rPr>
              <w:t>91%</w:t>
            </w:r>
          </w:p>
        </w:tc>
      </w:tr>
      <w:tr w:rsidR="00CD1518" w:rsidRPr="00662E77" w:rsidTr="00DD2074">
        <w:trPr>
          <w:trHeight w:val="290"/>
        </w:trPr>
        <w:tc>
          <w:tcPr>
            <w:tcW w:w="727" w:type="pct"/>
            <w:tcBorders>
              <w:top w:val="nil"/>
              <w:left w:val="single" w:sz="4" w:space="0" w:color="5B9BD5"/>
              <w:bottom w:val="nil"/>
              <w:right w:val="nil"/>
            </w:tcBorders>
            <w:shd w:val="clear" w:color="000000" w:fill="FFFFFF"/>
            <w:noWrap/>
            <w:vAlign w:val="center"/>
            <w:hideMark/>
          </w:tcPr>
          <w:p w:rsidR="00662E77" w:rsidRPr="00CD1518" w:rsidRDefault="00662E77">
            <w:pPr>
              <w:spacing w:line="240" w:lineRule="auto"/>
              <w:rPr>
                <w:color w:val="000000"/>
                <w:sz w:val="12"/>
                <w:lang w:eastAsia="en-AU"/>
              </w:rPr>
            </w:pPr>
            <w:r w:rsidRPr="00CD1518">
              <w:rPr>
                <w:color w:val="000000"/>
                <w:sz w:val="12"/>
                <w:lang w:eastAsia="en-AU"/>
              </w:rPr>
              <w:t>Imaging</w:t>
            </w:r>
          </w:p>
        </w:tc>
        <w:tc>
          <w:tcPr>
            <w:tcW w:w="441" w:type="pct"/>
            <w:tcBorders>
              <w:top w:val="nil"/>
              <w:left w:val="single" w:sz="4" w:space="0" w:color="5B9BD5"/>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115,724</w:t>
            </w:r>
          </w:p>
        </w:tc>
        <w:tc>
          <w:tcPr>
            <w:tcW w:w="441"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115,724</w:t>
            </w:r>
          </w:p>
        </w:tc>
        <w:tc>
          <w:tcPr>
            <w:tcW w:w="422"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347</w:t>
            </w:r>
          </w:p>
        </w:tc>
        <w:tc>
          <w:tcPr>
            <w:tcW w:w="504"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114,901</w:t>
            </w:r>
          </w:p>
        </w:tc>
        <w:tc>
          <w:tcPr>
            <w:tcW w:w="441"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113</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115,361</w:t>
            </w:r>
          </w:p>
        </w:tc>
        <w:tc>
          <w:tcPr>
            <w:tcW w:w="398"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363</w:t>
            </w:r>
          </w:p>
        </w:tc>
        <w:tc>
          <w:tcPr>
            <w:tcW w:w="430"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54" w:type="pct"/>
            <w:tcBorders>
              <w:top w:val="nil"/>
              <w:left w:val="nil"/>
              <w:bottom w:val="nil"/>
              <w:right w:val="single" w:sz="4" w:space="0" w:color="5B9BD5"/>
            </w:tcBorders>
            <w:shd w:val="clear" w:color="000000" w:fill="FFFFFF"/>
            <w:noWrap/>
            <w:vAlign w:val="center"/>
            <w:hideMark/>
          </w:tcPr>
          <w:p w:rsidR="00662E77" w:rsidRPr="00CD1518" w:rsidRDefault="00662E77">
            <w:pPr>
              <w:spacing w:line="240" w:lineRule="auto"/>
              <w:jc w:val="right"/>
              <w:rPr>
                <w:color w:val="000000"/>
                <w:sz w:val="12"/>
                <w:lang w:eastAsia="en-AU"/>
              </w:rPr>
            </w:pPr>
            <w:r w:rsidRPr="00CD1518">
              <w:rPr>
                <w:color w:val="000000"/>
                <w:sz w:val="12"/>
                <w:lang w:eastAsia="en-AU"/>
              </w:rPr>
              <w:t>100%</w:t>
            </w:r>
          </w:p>
        </w:tc>
      </w:tr>
      <w:tr w:rsidR="00CD1518" w:rsidRPr="00662E77" w:rsidTr="00DD2074">
        <w:trPr>
          <w:trHeight w:val="290"/>
        </w:trPr>
        <w:tc>
          <w:tcPr>
            <w:tcW w:w="727" w:type="pct"/>
            <w:tcBorders>
              <w:top w:val="nil"/>
              <w:left w:val="single" w:sz="4" w:space="0" w:color="5B9BD5"/>
              <w:bottom w:val="nil"/>
              <w:right w:val="nil"/>
            </w:tcBorders>
            <w:shd w:val="clear" w:color="000000" w:fill="DDEBF7"/>
            <w:noWrap/>
            <w:vAlign w:val="center"/>
            <w:hideMark/>
          </w:tcPr>
          <w:p w:rsidR="00662E77" w:rsidRPr="00CD1518" w:rsidRDefault="00662E77">
            <w:pPr>
              <w:spacing w:line="240" w:lineRule="auto"/>
              <w:rPr>
                <w:sz w:val="12"/>
                <w:lang w:eastAsia="en-AU"/>
              </w:rPr>
            </w:pPr>
            <w:r w:rsidRPr="00CD1518">
              <w:rPr>
                <w:sz w:val="12"/>
                <w:lang w:eastAsia="en-AU"/>
              </w:rPr>
              <w:t>Imaging</w:t>
            </w:r>
          </w:p>
        </w:tc>
        <w:tc>
          <w:tcPr>
            <w:tcW w:w="441" w:type="pct"/>
            <w:tcBorders>
              <w:top w:val="nil"/>
              <w:left w:val="single" w:sz="4" w:space="0" w:color="5B9BD5"/>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181,766</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181,766</w:t>
            </w:r>
          </w:p>
        </w:tc>
        <w:tc>
          <w:tcPr>
            <w:tcW w:w="422"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117,362</w:t>
            </w:r>
          </w:p>
        </w:tc>
        <w:tc>
          <w:tcPr>
            <w:tcW w:w="504"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589</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42,915</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160,866</w:t>
            </w:r>
          </w:p>
        </w:tc>
        <w:tc>
          <w:tcPr>
            <w:tcW w:w="398"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20,900</w:t>
            </w:r>
          </w:p>
        </w:tc>
        <w:tc>
          <w:tcPr>
            <w:tcW w:w="430"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w:t>
            </w:r>
          </w:p>
        </w:tc>
        <w:tc>
          <w:tcPr>
            <w:tcW w:w="354" w:type="pct"/>
            <w:tcBorders>
              <w:top w:val="nil"/>
              <w:left w:val="nil"/>
              <w:bottom w:val="nil"/>
              <w:right w:val="single" w:sz="4" w:space="0" w:color="5B9BD5"/>
            </w:tcBorders>
            <w:shd w:val="clear" w:color="000000" w:fill="DDEBF7"/>
            <w:noWrap/>
            <w:vAlign w:val="center"/>
            <w:hideMark/>
          </w:tcPr>
          <w:p w:rsidR="00662E77" w:rsidRPr="00CD1518" w:rsidRDefault="00662E77">
            <w:pPr>
              <w:spacing w:line="240" w:lineRule="auto"/>
              <w:jc w:val="right"/>
              <w:rPr>
                <w:sz w:val="12"/>
                <w:lang w:eastAsia="en-AU"/>
              </w:rPr>
            </w:pPr>
            <w:r w:rsidRPr="00CD1518">
              <w:rPr>
                <w:sz w:val="12"/>
                <w:lang w:eastAsia="en-AU"/>
              </w:rPr>
              <w:t>89%</w:t>
            </w:r>
          </w:p>
        </w:tc>
      </w:tr>
      <w:tr w:rsidR="00CD1518" w:rsidRPr="00662E77" w:rsidTr="00DD2074">
        <w:trPr>
          <w:trHeight w:val="290"/>
        </w:trPr>
        <w:tc>
          <w:tcPr>
            <w:tcW w:w="727" w:type="pct"/>
            <w:tcBorders>
              <w:top w:val="nil"/>
              <w:left w:val="single" w:sz="4" w:space="0" w:color="5B9BD5"/>
              <w:bottom w:val="nil"/>
              <w:right w:val="nil"/>
            </w:tcBorders>
            <w:shd w:val="clear" w:color="000000" w:fill="FFFFFF"/>
            <w:noWrap/>
            <w:vAlign w:val="center"/>
            <w:hideMark/>
          </w:tcPr>
          <w:p w:rsidR="00662E77" w:rsidRPr="00CD1518" w:rsidRDefault="00662E77">
            <w:pPr>
              <w:spacing w:line="240" w:lineRule="auto"/>
              <w:rPr>
                <w:color w:val="000000"/>
                <w:sz w:val="12"/>
                <w:lang w:eastAsia="en-AU"/>
              </w:rPr>
            </w:pPr>
            <w:r w:rsidRPr="00CD1518">
              <w:rPr>
                <w:color w:val="000000"/>
                <w:sz w:val="12"/>
                <w:lang w:eastAsia="en-AU"/>
              </w:rPr>
              <w:t>Pathology</w:t>
            </w:r>
          </w:p>
        </w:tc>
        <w:tc>
          <w:tcPr>
            <w:tcW w:w="441" w:type="pct"/>
            <w:tcBorders>
              <w:top w:val="nil"/>
              <w:left w:val="single" w:sz="4" w:space="0" w:color="5B9BD5"/>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434,385</w:t>
            </w:r>
          </w:p>
        </w:tc>
        <w:tc>
          <w:tcPr>
            <w:tcW w:w="441"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434,385</w:t>
            </w:r>
          </w:p>
        </w:tc>
        <w:tc>
          <w:tcPr>
            <w:tcW w:w="422"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1,570</w:t>
            </w:r>
          </w:p>
        </w:tc>
        <w:tc>
          <w:tcPr>
            <w:tcW w:w="504"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429,541</w:t>
            </w:r>
          </w:p>
        </w:tc>
        <w:tc>
          <w:tcPr>
            <w:tcW w:w="441"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1,216</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432,327</w:t>
            </w:r>
          </w:p>
        </w:tc>
        <w:tc>
          <w:tcPr>
            <w:tcW w:w="398"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2,058</w:t>
            </w:r>
          </w:p>
        </w:tc>
        <w:tc>
          <w:tcPr>
            <w:tcW w:w="430"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54" w:type="pct"/>
            <w:tcBorders>
              <w:top w:val="nil"/>
              <w:left w:val="nil"/>
              <w:bottom w:val="nil"/>
              <w:right w:val="single" w:sz="4" w:space="0" w:color="5B9BD5"/>
            </w:tcBorders>
            <w:shd w:val="clear" w:color="000000" w:fill="FFFFFF"/>
            <w:noWrap/>
            <w:vAlign w:val="center"/>
            <w:hideMark/>
          </w:tcPr>
          <w:p w:rsidR="00662E77" w:rsidRPr="00CD1518" w:rsidRDefault="00662E77">
            <w:pPr>
              <w:spacing w:line="240" w:lineRule="auto"/>
              <w:jc w:val="right"/>
              <w:rPr>
                <w:color w:val="000000"/>
                <w:sz w:val="12"/>
                <w:lang w:eastAsia="en-AU"/>
              </w:rPr>
            </w:pPr>
            <w:r w:rsidRPr="00CD1518">
              <w:rPr>
                <w:color w:val="000000"/>
                <w:sz w:val="12"/>
                <w:lang w:eastAsia="en-AU"/>
              </w:rPr>
              <w:t>100%</w:t>
            </w:r>
          </w:p>
        </w:tc>
      </w:tr>
      <w:tr w:rsidR="00CD1518" w:rsidRPr="00662E77" w:rsidTr="00DD2074">
        <w:trPr>
          <w:trHeight w:val="290"/>
        </w:trPr>
        <w:tc>
          <w:tcPr>
            <w:tcW w:w="727" w:type="pct"/>
            <w:tcBorders>
              <w:top w:val="nil"/>
              <w:left w:val="single" w:sz="4" w:space="0" w:color="5B9BD5"/>
              <w:bottom w:val="nil"/>
              <w:right w:val="nil"/>
            </w:tcBorders>
            <w:shd w:val="clear" w:color="000000" w:fill="DDEBF7"/>
            <w:noWrap/>
            <w:vAlign w:val="center"/>
            <w:hideMark/>
          </w:tcPr>
          <w:p w:rsidR="00662E77" w:rsidRPr="00CD1518" w:rsidRDefault="00662E77">
            <w:pPr>
              <w:spacing w:line="240" w:lineRule="auto"/>
              <w:rPr>
                <w:sz w:val="12"/>
                <w:lang w:eastAsia="en-AU"/>
              </w:rPr>
            </w:pPr>
            <w:r w:rsidRPr="00CD1518">
              <w:rPr>
                <w:sz w:val="12"/>
                <w:lang w:eastAsia="en-AU"/>
              </w:rPr>
              <w:t>Pathology</w:t>
            </w:r>
          </w:p>
        </w:tc>
        <w:tc>
          <w:tcPr>
            <w:tcW w:w="441" w:type="pct"/>
            <w:tcBorders>
              <w:top w:val="nil"/>
              <w:left w:val="single" w:sz="4" w:space="0" w:color="5B9BD5"/>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1,359,095</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1,359,095</w:t>
            </w:r>
          </w:p>
        </w:tc>
        <w:tc>
          <w:tcPr>
            <w:tcW w:w="422"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994,860</w:t>
            </w:r>
          </w:p>
        </w:tc>
        <w:tc>
          <w:tcPr>
            <w:tcW w:w="504"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2,694</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317,086</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1,314,640</w:t>
            </w:r>
          </w:p>
        </w:tc>
        <w:tc>
          <w:tcPr>
            <w:tcW w:w="398"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44,455</w:t>
            </w:r>
          </w:p>
        </w:tc>
        <w:tc>
          <w:tcPr>
            <w:tcW w:w="430"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w:t>
            </w:r>
          </w:p>
        </w:tc>
        <w:tc>
          <w:tcPr>
            <w:tcW w:w="354" w:type="pct"/>
            <w:tcBorders>
              <w:top w:val="nil"/>
              <w:left w:val="nil"/>
              <w:bottom w:val="nil"/>
              <w:right w:val="single" w:sz="4" w:space="0" w:color="5B9BD5"/>
            </w:tcBorders>
            <w:shd w:val="clear" w:color="000000" w:fill="DDEBF7"/>
            <w:noWrap/>
            <w:vAlign w:val="center"/>
            <w:hideMark/>
          </w:tcPr>
          <w:p w:rsidR="00662E77" w:rsidRPr="00CD1518" w:rsidRDefault="00662E77">
            <w:pPr>
              <w:spacing w:line="240" w:lineRule="auto"/>
              <w:jc w:val="right"/>
              <w:rPr>
                <w:sz w:val="12"/>
                <w:lang w:eastAsia="en-AU"/>
              </w:rPr>
            </w:pPr>
            <w:r w:rsidRPr="00CD1518">
              <w:rPr>
                <w:sz w:val="12"/>
                <w:lang w:eastAsia="en-AU"/>
              </w:rPr>
              <w:t>97%</w:t>
            </w:r>
          </w:p>
        </w:tc>
      </w:tr>
      <w:tr w:rsidR="00CD1518" w:rsidRPr="00662E77" w:rsidTr="00DD2074">
        <w:trPr>
          <w:trHeight w:val="290"/>
        </w:trPr>
        <w:tc>
          <w:tcPr>
            <w:tcW w:w="727" w:type="pct"/>
            <w:tcBorders>
              <w:top w:val="nil"/>
              <w:left w:val="single" w:sz="4" w:space="0" w:color="5B9BD5"/>
              <w:bottom w:val="nil"/>
              <w:right w:val="nil"/>
            </w:tcBorders>
            <w:shd w:val="clear" w:color="000000" w:fill="FFFFFF"/>
            <w:noWrap/>
            <w:vAlign w:val="center"/>
            <w:hideMark/>
          </w:tcPr>
          <w:p w:rsidR="00662E77" w:rsidRPr="00CD1518" w:rsidRDefault="00662E77">
            <w:pPr>
              <w:spacing w:line="240" w:lineRule="auto"/>
              <w:rPr>
                <w:color w:val="000000"/>
                <w:sz w:val="12"/>
                <w:lang w:eastAsia="en-AU"/>
              </w:rPr>
            </w:pPr>
            <w:r w:rsidRPr="00CD1518">
              <w:rPr>
                <w:color w:val="000000"/>
                <w:sz w:val="12"/>
                <w:lang w:eastAsia="en-AU"/>
              </w:rPr>
              <w:t>Anaesthetics</w:t>
            </w:r>
          </w:p>
        </w:tc>
        <w:tc>
          <w:tcPr>
            <w:tcW w:w="441" w:type="pct"/>
            <w:tcBorders>
              <w:top w:val="nil"/>
              <w:left w:val="single" w:sz="4" w:space="0" w:color="5B9BD5"/>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49,634</w:t>
            </w:r>
          </w:p>
        </w:tc>
        <w:tc>
          <w:tcPr>
            <w:tcW w:w="441"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49,634</w:t>
            </w:r>
          </w:p>
        </w:tc>
        <w:tc>
          <w:tcPr>
            <w:tcW w:w="422"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40,778</w:t>
            </w:r>
          </w:p>
        </w:tc>
        <w:tc>
          <w:tcPr>
            <w:tcW w:w="504"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23</w:t>
            </w:r>
          </w:p>
        </w:tc>
        <w:tc>
          <w:tcPr>
            <w:tcW w:w="441"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7,014</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47,815</w:t>
            </w:r>
          </w:p>
        </w:tc>
        <w:tc>
          <w:tcPr>
            <w:tcW w:w="398"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1,819</w:t>
            </w:r>
          </w:p>
        </w:tc>
        <w:tc>
          <w:tcPr>
            <w:tcW w:w="430"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54" w:type="pct"/>
            <w:tcBorders>
              <w:top w:val="nil"/>
              <w:left w:val="nil"/>
              <w:bottom w:val="nil"/>
              <w:right w:val="single" w:sz="4" w:space="0" w:color="5B9BD5"/>
            </w:tcBorders>
            <w:shd w:val="clear" w:color="000000" w:fill="FFFFFF"/>
            <w:noWrap/>
            <w:vAlign w:val="center"/>
            <w:hideMark/>
          </w:tcPr>
          <w:p w:rsidR="00662E77" w:rsidRPr="00CD1518" w:rsidRDefault="00662E77">
            <w:pPr>
              <w:spacing w:line="240" w:lineRule="auto"/>
              <w:jc w:val="right"/>
              <w:rPr>
                <w:color w:val="000000"/>
                <w:sz w:val="12"/>
                <w:lang w:eastAsia="en-AU"/>
              </w:rPr>
            </w:pPr>
            <w:r w:rsidRPr="00CD1518">
              <w:rPr>
                <w:color w:val="000000"/>
                <w:sz w:val="12"/>
                <w:lang w:eastAsia="en-AU"/>
              </w:rPr>
              <w:t>96%</w:t>
            </w:r>
          </w:p>
        </w:tc>
      </w:tr>
      <w:tr w:rsidR="00CD1518" w:rsidRPr="00662E77" w:rsidTr="00DD2074">
        <w:trPr>
          <w:trHeight w:val="290"/>
        </w:trPr>
        <w:tc>
          <w:tcPr>
            <w:tcW w:w="727" w:type="pct"/>
            <w:tcBorders>
              <w:top w:val="nil"/>
              <w:left w:val="single" w:sz="4" w:space="0" w:color="5B9BD5"/>
              <w:bottom w:val="nil"/>
              <w:right w:val="nil"/>
            </w:tcBorders>
            <w:shd w:val="clear" w:color="000000" w:fill="DDEBF7"/>
            <w:noWrap/>
            <w:vAlign w:val="center"/>
            <w:hideMark/>
          </w:tcPr>
          <w:p w:rsidR="00662E77" w:rsidRPr="00CD1518" w:rsidRDefault="00662E77">
            <w:pPr>
              <w:spacing w:line="240" w:lineRule="auto"/>
              <w:rPr>
                <w:sz w:val="12"/>
                <w:lang w:eastAsia="en-AU"/>
              </w:rPr>
            </w:pPr>
            <w:r w:rsidRPr="00CD1518">
              <w:rPr>
                <w:sz w:val="12"/>
                <w:lang w:eastAsia="en-AU"/>
              </w:rPr>
              <w:t>Theatre</w:t>
            </w:r>
          </w:p>
        </w:tc>
        <w:tc>
          <w:tcPr>
            <w:tcW w:w="441" w:type="pct"/>
            <w:tcBorders>
              <w:top w:val="nil"/>
              <w:left w:val="single" w:sz="4" w:space="0" w:color="5B9BD5"/>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49,634</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49,634</w:t>
            </w:r>
          </w:p>
        </w:tc>
        <w:tc>
          <w:tcPr>
            <w:tcW w:w="422"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40,737</w:t>
            </w:r>
          </w:p>
        </w:tc>
        <w:tc>
          <w:tcPr>
            <w:tcW w:w="504"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30</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7,048</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47,815</w:t>
            </w:r>
          </w:p>
        </w:tc>
        <w:tc>
          <w:tcPr>
            <w:tcW w:w="398"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1,819</w:t>
            </w:r>
          </w:p>
        </w:tc>
        <w:tc>
          <w:tcPr>
            <w:tcW w:w="430"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w:t>
            </w:r>
          </w:p>
        </w:tc>
        <w:tc>
          <w:tcPr>
            <w:tcW w:w="354" w:type="pct"/>
            <w:tcBorders>
              <w:top w:val="nil"/>
              <w:left w:val="nil"/>
              <w:bottom w:val="nil"/>
              <w:right w:val="single" w:sz="4" w:space="0" w:color="5B9BD5"/>
            </w:tcBorders>
            <w:shd w:val="clear" w:color="000000" w:fill="DDEBF7"/>
            <w:noWrap/>
            <w:vAlign w:val="center"/>
            <w:hideMark/>
          </w:tcPr>
          <w:p w:rsidR="00662E77" w:rsidRPr="00CD1518" w:rsidRDefault="00662E77">
            <w:pPr>
              <w:spacing w:line="240" w:lineRule="auto"/>
              <w:jc w:val="right"/>
              <w:rPr>
                <w:sz w:val="12"/>
                <w:lang w:eastAsia="en-AU"/>
              </w:rPr>
            </w:pPr>
            <w:r w:rsidRPr="00CD1518">
              <w:rPr>
                <w:sz w:val="12"/>
                <w:lang w:eastAsia="en-AU"/>
              </w:rPr>
              <w:t>96%</w:t>
            </w:r>
          </w:p>
        </w:tc>
      </w:tr>
      <w:tr w:rsidR="00CD1518" w:rsidRPr="00662E77" w:rsidTr="00DD2074">
        <w:trPr>
          <w:trHeight w:val="290"/>
        </w:trPr>
        <w:tc>
          <w:tcPr>
            <w:tcW w:w="727" w:type="pct"/>
            <w:tcBorders>
              <w:top w:val="nil"/>
              <w:left w:val="single" w:sz="4" w:space="0" w:color="5B9BD5"/>
              <w:bottom w:val="nil"/>
              <w:right w:val="nil"/>
            </w:tcBorders>
            <w:shd w:val="clear" w:color="000000" w:fill="FFFFFF"/>
            <w:noWrap/>
            <w:vAlign w:val="center"/>
            <w:hideMark/>
          </w:tcPr>
          <w:p w:rsidR="00662E77" w:rsidRPr="00CD1518" w:rsidRDefault="00662E77">
            <w:pPr>
              <w:spacing w:line="240" w:lineRule="auto"/>
              <w:rPr>
                <w:color w:val="000000"/>
                <w:sz w:val="12"/>
                <w:lang w:eastAsia="en-AU"/>
              </w:rPr>
            </w:pPr>
            <w:r w:rsidRPr="00CD1518">
              <w:rPr>
                <w:color w:val="000000"/>
                <w:sz w:val="12"/>
                <w:lang w:eastAsia="en-AU"/>
              </w:rPr>
              <w:t>Recovery</w:t>
            </w:r>
          </w:p>
        </w:tc>
        <w:tc>
          <w:tcPr>
            <w:tcW w:w="441" w:type="pct"/>
            <w:tcBorders>
              <w:top w:val="nil"/>
              <w:left w:val="single" w:sz="4" w:space="0" w:color="5B9BD5"/>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49,645</w:t>
            </w:r>
          </w:p>
        </w:tc>
        <w:tc>
          <w:tcPr>
            <w:tcW w:w="441"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49,645</w:t>
            </w:r>
          </w:p>
        </w:tc>
        <w:tc>
          <w:tcPr>
            <w:tcW w:w="422"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40,779</w:t>
            </w:r>
          </w:p>
        </w:tc>
        <w:tc>
          <w:tcPr>
            <w:tcW w:w="504"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23</w:t>
            </w:r>
          </w:p>
        </w:tc>
        <w:tc>
          <w:tcPr>
            <w:tcW w:w="441"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7,020</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47,822</w:t>
            </w:r>
          </w:p>
        </w:tc>
        <w:tc>
          <w:tcPr>
            <w:tcW w:w="398"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1,823</w:t>
            </w:r>
          </w:p>
        </w:tc>
        <w:tc>
          <w:tcPr>
            <w:tcW w:w="430"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54" w:type="pct"/>
            <w:tcBorders>
              <w:top w:val="nil"/>
              <w:left w:val="nil"/>
              <w:bottom w:val="nil"/>
              <w:right w:val="single" w:sz="4" w:space="0" w:color="5B9BD5"/>
            </w:tcBorders>
            <w:shd w:val="clear" w:color="000000" w:fill="FFFFFF"/>
            <w:noWrap/>
            <w:vAlign w:val="center"/>
            <w:hideMark/>
          </w:tcPr>
          <w:p w:rsidR="00662E77" w:rsidRPr="00CD1518" w:rsidRDefault="00662E77">
            <w:pPr>
              <w:spacing w:line="240" w:lineRule="auto"/>
              <w:jc w:val="right"/>
              <w:rPr>
                <w:color w:val="000000"/>
                <w:sz w:val="12"/>
                <w:lang w:eastAsia="en-AU"/>
              </w:rPr>
            </w:pPr>
            <w:r w:rsidRPr="00CD1518">
              <w:rPr>
                <w:color w:val="000000"/>
                <w:sz w:val="12"/>
                <w:lang w:eastAsia="en-AU"/>
              </w:rPr>
              <w:t>96%</w:t>
            </w:r>
          </w:p>
        </w:tc>
      </w:tr>
      <w:tr w:rsidR="00CD1518" w:rsidRPr="00662E77" w:rsidTr="00DD2074">
        <w:trPr>
          <w:trHeight w:val="290"/>
        </w:trPr>
        <w:tc>
          <w:tcPr>
            <w:tcW w:w="727" w:type="pct"/>
            <w:tcBorders>
              <w:top w:val="nil"/>
              <w:left w:val="single" w:sz="4" w:space="0" w:color="5B9BD5"/>
              <w:bottom w:val="nil"/>
              <w:right w:val="nil"/>
            </w:tcBorders>
            <w:shd w:val="clear" w:color="000000" w:fill="DDEBF7"/>
            <w:noWrap/>
            <w:vAlign w:val="center"/>
            <w:hideMark/>
          </w:tcPr>
          <w:p w:rsidR="00662E77" w:rsidRPr="00CD1518" w:rsidRDefault="00662E77">
            <w:pPr>
              <w:spacing w:line="240" w:lineRule="auto"/>
              <w:rPr>
                <w:sz w:val="12"/>
                <w:lang w:eastAsia="en-AU"/>
              </w:rPr>
            </w:pPr>
            <w:r w:rsidRPr="00CD1518">
              <w:rPr>
                <w:sz w:val="12"/>
                <w:lang w:eastAsia="en-AU"/>
              </w:rPr>
              <w:t>Blood</w:t>
            </w:r>
          </w:p>
        </w:tc>
        <w:tc>
          <w:tcPr>
            <w:tcW w:w="441" w:type="pct"/>
            <w:tcBorders>
              <w:top w:val="nil"/>
              <w:left w:val="single" w:sz="4" w:space="0" w:color="5B9BD5"/>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37,993</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37,993</w:t>
            </w:r>
          </w:p>
        </w:tc>
        <w:tc>
          <w:tcPr>
            <w:tcW w:w="422"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29,662</w:t>
            </w:r>
          </w:p>
        </w:tc>
        <w:tc>
          <w:tcPr>
            <w:tcW w:w="504"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3,144</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5,078</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37,884</w:t>
            </w:r>
          </w:p>
        </w:tc>
        <w:tc>
          <w:tcPr>
            <w:tcW w:w="398"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109</w:t>
            </w:r>
          </w:p>
        </w:tc>
        <w:tc>
          <w:tcPr>
            <w:tcW w:w="430"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w:t>
            </w:r>
          </w:p>
        </w:tc>
        <w:tc>
          <w:tcPr>
            <w:tcW w:w="354" w:type="pct"/>
            <w:tcBorders>
              <w:top w:val="nil"/>
              <w:left w:val="nil"/>
              <w:bottom w:val="nil"/>
              <w:right w:val="single" w:sz="4" w:space="0" w:color="5B9BD5"/>
            </w:tcBorders>
            <w:shd w:val="clear" w:color="000000" w:fill="DDEBF7"/>
            <w:noWrap/>
            <w:vAlign w:val="center"/>
            <w:hideMark/>
          </w:tcPr>
          <w:p w:rsidR="00662E77" w:rsidRPr="00CD1518" w:rsidRDefault="00662E77">
            <w:pPr>
              <w:spacing w:line="240" w:lineRule="auto"/>
              <w:jc w:val="right"/>
              <w:rPr>
                <w:sz w:val="12"/>
                <w:lang w:eastAsia="en-AU"/>
              </w:rPr>
            </w:pPr>
            <w:r w:rsidRPr="00CD1518">
              <w:rPr>
                <w:sz w:val="12"/>
                <w:lang w:eastAsia="en-AU"/>
              </w:rPr>
              <w:t>100%</w:t>
            </w:r>
          </w:p>
        </w:tc>
      </w:tr>
      <w:tr w:rsidR="00CD1518" w:rsidRPr="00662E77" w:rsidTr="00DD2074">
        <w:trPr>
          <w:trHeight w:val="290"/>
        </w:trPr>
        <w:tc>
          <w:tcPr>
            <w:tcW w:w="727" w:type="pct"/>
            <w:tcBorders>
              <w:top w:val="nil"/>
              <w:left w:val="single" w:sz="4" w:space="0" w:color="5B9BD5"/>
              <w:bottom w:val="nil"/>
              <w:right w:val="nil"/>
            </w:tcBorders>
            <w:shd w:val="clear" w:color="000000" w:fill="FFFFFF"/>
            <w:noWrap/>
            <w:vAlign w:val="center"/>
            <w:hideMark/>
          </w:tcPr>
          <w:p w:rsidR="00662E77" w:rsidRPr="00CD1518" w:rsidRDefault="00662E77">
            <w:pPr>
              <w:spacing w:line="240" w:lineRule="auto"/>
              <w:rPr>
                <w:color w:val="000000"/>
                <w:sz w:val="12"/>
                <w:lang w:eastAsia="en-AU"/>
              </w:rPr>
            </w:pPr>
            <w:r w:rsidRPr="00CD1518">
              <w:rPr>
                <w:color w:val="000000"/>
                <w:sz w:val="12"/>
                <w:lang w:eastAsia="en-AU"/>
              </w:rPr>
              <w:t>ED Service</w:t>
            </w:r>
          </w:p>
        </w:tc>
        <w:tc>
          <w:tcPr>
            <w:tcW w:w="441" w:type="pct"/>
            <w:tcBorders>
              <w:top w:val="nil"/>
              <w:left w:val="single" w:sz="4" w:space="0" w:color="5B9BD5"/>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165,117</w:t>
            </w:r>
          </w:p>
        </w:tc>
        <w:tc>
          <w:tcPr>
            <w:tcW w:w="441"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165,117</w:t>
            </w:r>
          </w:p>
        </w:tc>
        <w:tc>
          <w:tcPr>
            <w:tcW w:w="422"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504"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165,117</w:t>
            </w:r>
          </w:p>
        </w:tc>
        <w:tc>
          <w:tcPr>
            <w:tcW w:w="441"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441" w:type="pct"/>
            <w:tcBorders>
              <w:top w:val="nil"/>
              <w:left w:val="nil"/>
              <w:bottom w:val="nil"/>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165,117</w:t>
            </w:r>
          </w:p>
        </w:tc>
        <w:tc>
          <w:tcPr>
            <w:tcW w:w="398"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430" w:type="pct"/>
            <w:tcBorders>
              <w:top w:val="nil"/>
              <w:left w:val="nil"/>
              <w:bottom w:val="nil"/>
              <w:right w:val="single" w:sz="4" w:space="0" w:color="5B9BD5"/>
            </w:tcBorders>
            <w:shd w:val="clear" w:color="000000" w:fill="FFFFFF"/>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54" w:type="pct"/>
            <w:tcBorders>
              <w:top w:val="nil"/>
              <w:left w:val="nil"/>
              <w:bottom w:val="nil"/>
              <w:right w:val="single" w:sz="4" w:space="0" w:color="5B9BD5"/>
            </w:tcBorders>
            <w:shd w:val="clear" w:color="000000" w:fill="FFFFFF"/>
            <w:noWrap/>
            <w:vAlign w:val="center"/>
            <w:hideMark/>
          </w:tcPr>
          <w:p w:rsidR="00662E77" w:rsidRPr="00CD1518" w:rsidRDefault="00662E77">
            <w:pPr>
              <w:spacing w:line="240" w:lineRule="auto"/>
              <w:jc w:val="right"/>
              <w:rPr>
                <w:color w:val="000000"/>
                <w:sz w:val="12"/>
                <w:lang w:eastAsia="en-AU"/>
              </w:rPr>
            </w:pPr>
            <w:r w:rsidRPr="00CD1518">
              <w:rPr>
                <w:color w:val="000000"/>
                <w:sz w:val="12"/>
                <w:lang w:eastAsia="en-AU"/>
              </w:rPr>
              <w:t>100%</w:t>
            </w:r>
          </w:p>
        </w:tc>
      </w:tr>
      <w:tr w:rsidR="00CD1518" w:rsidRPr="00662E77" w:rsidTr="00DD2074">
        <w:trPr>
          <w:trHeight w:val="290"/>
        </w:trPr>
        <w:tc>
          <w:tcPr>
            <w:tcW w:w="727" w:type="pct"/>
            <w:tcBorders>
              <w:top w:val="nil"/>
              <w:left w:val="single" w:sz="4" w:space="0" w:color="5B9BD5"/>
              <w:bottom w:val="single" w:sz="4" w:space="0" w:color="5B9BD5"/>
              <w:right w:val="nil"/>
            </w:tcBorders>
            <w:shd w:val="clear" w:color="000000" w:fill="DDEBF7"/>
            <w:noWrap/>
            <w:vAlign w:val="center"/>
            <w:hideMark/>
          </w:tcPr>
          <w:p w:rsidR="00662E77" w:rsidRPr="00CD1518" w:rsidRDefault="00662E77">
            <w:pPr>
              <w:spacing w:line="240" w:lineRule="auto"/>
              <w:rPr>
                <w:sz w:val="12"/>
                <w:lang w:eastAsia="en-AU"/>
              </w:rPr>
            </w:pPr>
            <w:r w:rsidRPr="00CD1518">
              <w:rPr>
                <w:sz w:val="12"/>
                <w:lang w:eastAsia="en-AU"/>
              </w:rPr>
              <w:t>NAP Service</w:t>
            </w:r>
          </w:p>
        </w:tc>
        <w:tc>
          <w:tcPr>
            <w:tcW w:w="441" w:type="pct"/>
            <w:tcBorders>
              <w:top w:val="nil"/>
              <w:left w:val="single" w:sz="4" w:space="0" w:color="5B9BD5"/>
              <w:bottom w:val="single" w:sz="4" w:space="0" w:color="5B9BD5"/>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1,284,127</w:t>
            </w:r>
          </w:p>
        </w:tc>
        <w:tc>
          <w:tcPr>
            <w:tcW w:w="441" w:type="pct"/>
            <w:tcBorders>
              <w:top w:val="nil"/>
              <w:left w:val="nil"/>
              <w:bottom w:val="single" w:sz="4" w:space="0" w:color="5B9BD5"/>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1,284,127</w:t>
            </w:r>
          </w:p>
        </w:tc>
        <w:tc>
          <w:tcPr>
            <w:tcW w:w="422" w:type="pct"/>
            <w:tcBorders>
              <w:top w:val="nil"/>
              <w:left w:val="nil"/>
              <w:bottom w:val="single" w:sz="4" w:space="0" w:color="5B9BD5"/>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w:t>
            </w:r>
          </w:p>
        </w:tc>
        <w:tc>
          <w:tcPr>
            <w:tcW w:w="398" w:type="pct"/>
            <w:tcBorders>
              <w:top w:val="nil"/>
              <w:left w:val="nil"/>
              <w:bottom w:val="single" w:sz="4" w:space="0" w:color="5B9BD5"/>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w:t>
            </w:r>
          </w:p>
        </w:tc>
        <w:tc>
          <w:tcPr>
            <w:tcW w:w="504" w:type="pct"/>
            <w:tcBorders>
              <w:top w:val="nil"/>
              <w:left w:val="nil"/>
              <w:bottom w:val="single" w:sz="4" w:space="0" w:color="5B9BD5"/>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w:t>
            </w:r>
          </w:p>
        </w:tc>
        <w:tc>
          <w:tcPr>
            <w:tcW w:w="441" w:type="pct"/>
            <w:tcBorders>
              <w:top w:val="nil"/>
              <w:left w:val="nil"/>
              <w:bottom w:val="single" w:sz="4" w:space="0" w:color="5B9BD5"/>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1,284,127</w:t>
            </w:r>
          </w:p>
        </w:tc>
        <w:tc>
          <w:tcPr>
            <w:tcW w:w="441" w:type="pct"/>
            <w:tcBorders>
              <w:top w:val="nil"/>
              <w:left w:val="nil"/>
              <w:bottom w:val="single" w:sz="4" w:space="0" w:color="5B9BD5"/>
              <w:right w:val="single" w:sz="4" w:space="0" w:color="5B9BD5"/>
            </w:tcBorders>
            <w:shd w:val="clear" w:color="000000" w:fill="DDEBF7"/>
            <w:noWrap/>
            <w:vAlign w:val="center"/>
            <w:hideMark/>
          </w:tcPr>
          <w:p w:rsidR="00662E77" w:rsidRPr="00CD1518" w:rsidRDefault="00662E77" w:rsidP="00CD1518">
            <w:pPr>
              <w:spacing w:line="240" w:lineRule="auto"/>
              <w:jc w:val="right"/>
              <w:rPr>
                <w:color w:val="000000"/>
                <w:sz w:val="12"/>
                <w:lang w:eastAsia="en-AU"/>
              </w:rPr>
            </w:pPr>
            <w:r w:rsidRPr="00CD1518">
              <w:rPr>
                <w:color w:val="000000"/>
                <w:sz w:val="12"/>
                <w:lang w:eastAsia="en-AU"/>
              </w:rPr>
              <w:t>1,284,127</w:t>
            </w:r>
          </w:p>
        </w:tc>
        <w:tc>
          <w:tcPr>
            <w:tcW w:w="398" w:type="pct"/>
            <w:tcBorders>
              <w:top w:val="nil"/>
              <w:left w:val="nil"/>
              <w:bottom w:val="single" w:sz="4" w:space="0" w:color="5B9BD5"/>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w:t>
            </w:r>
          </w:p>
        </w:tc>
        <w:tc>
          <w:tcPr>
            <w:tcW w:w="430" w:type="pct"/>
            <w:tcBorders>
              <w:top w:val="nil"/>
              <w:left w:val="nil"/>
              <w:bottom w:val="single" w:sz="4" w:space="0" w:color="5B9BD5"/>
              <w:right w:val="single" w:sz="4" w:space="0" w:color="5B9BD5"/>
            </w:tcBorders>
            <w:shd w:val="clear" w:color="000000" w:fill="DDEBF7"/>
            <w:noWrap/>
            <w:vAlign w:val="center"/>
            <w:hideMark/>
          </w:tcPr>
          <w:p w:rsidR="00662E77" w:rsidRPr="00CD1518" w:rsidRDefault="00662E77" w:rsidP="00CD1518">
            <w:pPr>
              <w:spacing w:line="240" w:lineRule="auto"/>
              <w:jc w:val="right"/>
              <w:rPr>
                <w:sz w:val="12"/>
                <w:lang w:eastAsia="en-AU"/>
              </w:rPr>
            </w:pPr>
            <w:r w:rsidRPr="00CD1518">
              <w:rPr>
                <w:sz w:val="12"/>
                <w:lang w:eastAsia="en-AU"/>
              </w:rPr>
              <w:t>-</w:t>
            </w:r>
          </w:p>
        </w:tc>
        <w:tc>
          <w:tcPr>
            <w:tcW w:w="354" w:type="pct"/>
            <w:tcBorders>
              <w:top w:val="nil"/>
              <w:left w:val="nil"/>
              <w:bottom w:val="single" w:sz="4" w:space="0" w:color="5B9BD5"/>
              <w:right w:val="single" w:sz="4" w:space="0" w:color="5B9BD5"/>
            </w:tcBorders>
            <w:shd w:val="clear" w:color="000000" w:fill="DDEBF7"/>
            <w:noWrap/>
            <w:vAlign w:val="center"/>
            <w:hideMark/>
          </w:tcPr>
          <w:p w:rsidR="00662E77" w:rsidRPr="00CD1518" w:rsidRDefault="00662E77">
            <w:pPr>
              <w:spacing w:line="240" w:lineRule="auto"/>
              <w:jc w:val="right"/>
              <w:rPr>
                <w:sz w:val="12"/>
                <w:lang w:eastAsia="en-AU"/>
              </w:rPr>
            </w:pPr>
            <w:r w:rsidRPr="00CD1518">
              <w:rPr>
                <w:sz w:val="12"/>
                <w:lang w:eastAsia="en-AU"/>
              </w:rPr>
              <w:t>100%</w:t>
            </w:r>
          </w:p>
        </w:tc>
      </w:tr>
    </w:tbl>
    <w:p w:rsidR="0097693C" w:rsidRPr="00975E6B" w:rsidRDefault="0097693C" w:rsidP="0097693C">
      <w:pPr>
        <w:rPr>
          <w:bCs/>
          <w:i/>
          <w:sz w:val="16"/>
          <w:szCs w:val="16"/>
        </w:rPr>
      </w:pPr>
      <w:r w:rsidRPr="00975E6B">
        <w:rPr>
          <w:bCs/>
          <w:i/>
          <w:sz w:val="16"/>
          <w:szCs w:val="16"/>
        </w:rPr>
        <w:t xml:space="preserve">Source: KPMG based on data supplied by Western Sydney LHD </w:t>
      </w:r>
    </w:p>
    <w:p w:rsidR="007806D9" w:rsidRPr="00975E6B" w:rsidRDefault="007806D9" w:rsidP="007806D9">
      <w:pPr>
        <w:spacing w:before="120" w:after="120" w:line="280" w:lineRule="atLeast"/>
        <w:jc w:val="both"/>
        <w:rPr>
          <w:bCs/>
          <w:i/>
          <w:sz w:val="16"/>
          <w:szCs w:val="16"/>
        </w:rPr>
      </w:pPr>
      <w:r w:rsidRPr="00975E6B">
        <w:rPr>
          <w:szCs w:val="22"/>
        </w:rPr>
        <w:t>The following should be noted about the activity and feeder data for Western Sydney LHD:</w:t>
      </w:r>
    </w:p>
    <w:p w:rsidR="007806D9" w:rsidRPr="00975E6B" w:rsidRDefault="007806D9" w:rsidP="00F26328">
      <w:pPr>
        <w:numPr>
          <w:ilvl w:val="0"/>
          <w:numId w:val="35"/>
        </w:numPr>
        <w:shd w:val="clear" w:color="auto" w:fill="FFFFFF" w:themeFill="background1"/>
        <w:spacing w:before="120" w:after="120" w:line="280" w:lineRule="atLeast"/>
        <w:jc w:val="both"/>
        <w:rPr>
          <w:szCs w:val="22"/>
        </w:rPr>
      </w:pPr>
      <w:r w:rsidRPr="00975E6B">
        <w:rPr>
          <w:szCs w:val="22"/>
        </w:rPr>
        <w:t xml:space="preserve">There are </w:t>
      </w:r>
      <w:r w:rsidR="00EF0CBA">
        <w:rPr>
          <w:szCs w:val="22"/>
        </w:rPr>
        <w:t>1</w:t>
      </w:r>
      <w:r w:rsidR="00EF0CBA" w:rsidRPr="00975E6B">
        <w:rPr>
          <w:szCs w:val="22"/>
        </w:rPr>
        <w:t xml:space="preserve">4 </w:t>
      </w:r>
      <w:r w:rsidRPr="00975E6B">
        <w:rPr>
          <w:szCs w:val="22"/>
        </w:rPr>
        <w:t xml:space="preserve">feeders reported from hospital source systems and they appear to represent major hospital departments providing resource activity. </w:t>
      </w:r>
    </w:p>
    <w:p w:rsidR="00972129" w:rsidRDefault="007806D9" w:rsidP="00F26328">
      <w:pPr>
        <w:numPr>
          <w:ilvl w:val="0"/>
          <w:numId w:val="64"/>
        </w:numPr>
        <w:shd w:val="clear" w:color="auto" w:fill="FFFFFF" w:themeFill="background1"/>
        <w:spacing w:before="120" w:after="120" w:line="280" w:lineRule="atLeast"/>
        <w:jc w:val="both"/>
        <w:rPr>
          <w:szCs w:val="22"/>
        </w:rPr>
      </w:pPr>
      <w:r w:rsidRPr="00975E6B">
        <w:rPr>
          <w:szCs w:val="22"/>
        </w:rPr>
        <w:t xml:space="preserve">With the exception of </w:t>
      </w:r>
      <w:r w:rsidR="00EF0CBA">
        <w:rPr>
          <w:szCs w:val="22"/>
        </w:rPr>
        <w:t>two</w:t>
      </w:r>
      <w:r w:rsidRPr="00975E6B">
        <w:rPr>
          <w:szCs w:val="22"/>
        </w:rPr>
        <w:t xml:space="preserve"> feeder data systems, the number of records linked to </w:t>
      </w:r>
      <w:proofErr w:type="gramStart"/>
      <w:r w:rsidRPr="00975E6B">
        <w:rPr>
          <w:szCs w:val="22"/>
        </w:rPr>
        <w:t>admitted</w:t>
      </w:r>
      <w:proofErr w:type="gramEnd"/>
      <w:r w:rsidR="00851875" w:rsidRPr="00975E6B">
        <w:rPr>
          <w:szCs w:val="22"/>
        </w:rPr>
        <w:t xml:space="preserve"> </w:t>
      </w:r>
      <w:r w:rsidR="00846982" w:rsidRPr="00975E6B">
        <w:rPr>
          <w:szCs w:val="22"/>
        </w:rPr>
        <w:t xml:space="preserve">acute </w:t>
      </w:r>
      <w:r w:rsidRPr="00975E6B">
        <w:rPr>
          <w:szCs w:val="22"/>
        </w:rPr>
        <w:t xml:space="preserve">patients, emergency or non-admitted patients had a greater than 90 percent link or match. The </w:t>
      </w:r>
      <w:r w:rsidR="00EF0CBA">
        <w:rPr>
          <w:szCs w:val="22"/>
        </w:rPr>
        <w:t>two</w:t>
      </w:r>
      <w:r w:rsidRPr="00975E6B">
        <w:rPr>
          <w:szCs w:val="22"/>
        </w:rPr>
        <w:t xml:space="preserve"> exceptions had a greater than </w:t>
      </w:r>
      <w:r w:rsidR="00EF0CBA" w:rsidRPr="00975E6B">
        <w:rPr>
          <w:szCs w:val="22"/>
        </w:rPr>
        <w:t>8</w:t>
      </w:r>
      <w:r w:rsidR="00EF0CBA">
        <w:rPr>
          <w:szCs w:val="22"/>
        </w:rPr>
        <w:t>5</w:t>
      </w:r>
      <w:r w:rsidR="00EF0CBA" w:rsidRPr="00975E6B">
        <w:rPr>
          <w:szCs w:val="22"/>
        </w:rPr>
        <w:t> </w:t>
      </w:r>
      <w:r w:rsidRPr="00975E6B">
        <w:rPr>
          <w:szCs w:val="22"/>
        </w:rPr>
        <w:t xml:space="preserve">percent link or match. This </w:t>
      </w:r>
      <w:r w:rsidR="001F4589" w:rsidRPr="00975E6B">
        <w:rPr>
          <w:szCs w:val="22"/>
        </w:rPr>
        <w:t>s</w:t>
      </w:r>
      <w:r w:rsidRPr="00975E6B">
        <w:rPr>
          <w:szCs w:val="22"/>
        </w:rPr>
        <w:t>uggest</w:t>
      </w:r>
      <w:r w:rsidR="001F4589" w:rsidRPr="00975E6B">
        <w:rPr>
          <w:szCs w:val="22"/>
        </w:rPr>
        <w:t>s</w:t>
      </w:r>
      <w:r w:rsidRPr="00975E6B">
        <w:rPr>
          <w:szCs w:val="22"/>
        </w:rPr>
        <w:t xml:space="preserve"> that there is robustness in the level of feeder activity reported back to episodes.</w:t>
      </w:r>
    </w:p>
    <w:p w:rsidR="00972129" w:rsidRPr="00471E5C" w:rsidRDefault="00DF6D4D" w:rsidP="00972129">
      <w:pPr>
        <w:spacing w:before="120" w:after="120" w:line="280" w:lineRule="atLeast"/>
        <w:jc w:val="both"/>
        <w:rPr>
          <w:bCs/>
        </w:rPr>
      </w:pPr>
      <w:r>
        <w:rPr>
          <w:bCs/>
        </w:rPr>
        <w:fldChar w:fldCharType="begin"/>
      </w:r>
      <w:r>
        <w:rPr>
          <w:bCs/>
        </w:rPr>
        <w:instrText xml:space="preserve"> REF _Ref444515297 \h </w:instrText>
      </w:r>
      <w:r>
        <w:rPr>
          <w:bCs/>
        </w:rPr>
      </w:r>
      <w:r>
        <w:rPr>
          <w:bCs/>
        </w:rPr>
        <w:fldChar w:fldCharType="separate"/>
      </w:r>
      <w:r w:rsidR="00154CF7">
        <w:t xml:space="preserve">Table </w:t>
      </w:r>
      <w:r w:rsidR="00154CF7">
        <w:rPr>
          <w:noProof/>
        </w:rPr>
        <w:t>7</w:t>
      </w:r>
      <w:r>
        <w:rPr>
          <w:bCs/>
        </w:rPr>
        <w:fldChar w:fldCharType="end"/>
      </w:r>
      <w:r>
        <w:rPr>
          <w:bCs/>
        </w:rPr>
        <w:t xml:space="preserve"> highlights </w:t>
      </w:r>
      <w:r w:rsidR="00972129" w:rsidRPr="00471E5C">
        <w:rPr>
          <w:bCs/>
        </w:rPr>
        <w:t>the transfer of activity data from Western Sydney LHD to NSW Health and then through to IHPA submission and finalisation.</w:t>
      </w:r>
    </w:p>
    <w:p w:rsidR="00BA09FF" w:rsidRDefault="00BA09FF">
      <w:pPr>
        <w:spacing w:line="240" w:lineRule="auto"/>
        <w:rPr>
          <w:bCs/>
          <w:i/>
        </w:rPr>
      </w:pPr>
      <w:bookmarkStart w:id="677" w:name="_Ref435380925"/>
      <w:r>
        <w:rPr>
          <w:bCs/>
          <w:i/>
        </w:rPr>
        <w:br w:type="page"/>
      </w:r>
    </w:p>
    <w:p w:rsidR="00972129" w:rsidRDefault="001E42D5" w:rsidP="001E42D5">
      <w:pPr>
        <w:pStyle w:val="Caption"/>
        <w:rPr>
          <w:bCs w:val="0"/>
          <w:i w:val="0"/>
        </w:rPr>
      </w:pPr>
      <w:bookmarkStart w:id="678" w:name="_Ref444515297"/>
      <w:bookmarkEnd w:id="677"/>
      <w:r>
        <w:lastRenderedPageBreak/>
        <w:t xml:space="preserve">Table </w:t>
      </w:r>
      <w:fldSimple w:instr=" SEQ Table \* ARABIC ">
        <w:r w:rsidR="00154CF7">
          <w:rPr>
            <w:noProof/>
          </w:rPr>
          <w:t>7</w:t>
        </w:r>
      </w:fldSimple>
      <w:bookmarkEnd w:id="678"/>
      <w:r>
        <w:t xml:space="preserve"> </w:t>
      </w:r>
      <w:r w:rsidR="00972129" w:rsidRPr="00975E6B">
        <w:t>– Activity data submission – Western Sydney LHD</w:t>
      </w:r>
    </w:p>
    <w:tbl>
      <w:tblPr>
        <w:tblW w:w="4938" w:type="pct"/>
        <w:tblInd w:w="108" w:type="dxa"/>
        <w:tblLayout w:type="fixed"/>
        <w:tblLook w:val="04A0" w:firstRow="1" w:lastRow="0" w:firstColumn="1" w:lastColumn="0" w:noHBand="0" w:noVBand="1"/>
        <w:tblCaption w:val="Table 7 - Activity submission - Western Sydney LHD"/>
        <w:tblDescription w:val="This table highlights the transfer of activity data from Western Sydney LHD to NSW Health and then through to IHPA submission and finalisation. There are 8 columns. Column 1 is the NHCDC product type, Column 2 is the activity related to 2013-14 costs, column 3 is the adjustments to Column 2, column 4 is the activity submitted to the jurisdiction, column 5 is the adjustments to column 4, column 6 is the activity submitted to IHPA, column 7 is the adjustments to column 6 and column 8 is the total activity submitted for the Round 18 NHCDC."/>
      </w:tblPr>
      <w:tblGrid>
        <w:gridCol w:w="1700"/>
        <w:gridCol w:w="987"/>
        <w:gridCol w:w="987"/>
        <w:gridCol w:w="989"/>
        <w:gridCol w:w="987"/>
        <w:gridCol w:w="989"/>
        <w:gridCol w:w="987"/>
        <w:gridCol w:w="987"/>
      </w:tblGrid>
      <w:tr w:rsidR="003940A4" w:rsidRPr="003940A4" w:rsidTr="00E14378">
        <w:trPr>
          <w:trHeight w:val="1050"/>
        </w:trPr>
        <w:tc>
          <w:tcPr>
            <w:tcW w:w="987"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3940A4" w:rsidRPr="00CD1518" w:rsidRDefault="003940A4" w:rsidP="003940A4">
            <w:pPr>
              <w:spacing w:line="240" w:lineRule="auto"/>
              <w:rPr>
                <w:b/>
                <w:bCs/>
                <w:color w:val="FFFFFF"/>
                <w:sz w:val="14"/>
                <w:lang w:eastAsia="en-AU"/>
              </w:rPr>
            </w:pPr>
            <w:r w:rsidRPr="00CD1518">
              <w:rPr>
                <w:b/>
                <w:bCs/>
                <w:color w:val="FFFFFF"/>
                <w:sz w:val="14"/>
                <w:lang w:eastAsia="en-AU"/>
              </w:rPr>
              <w:t>Product</w:t>
            </w:r>
          </w:p>
        </w:tc>
        <w:tc>
          <w:tcPr>
            <w:tcW w:w="573" w:type="pct"/>
            <w:tcBorders>
              <w:top w:val="single" w:sz="4" w:space="0" w:color="5B9BD5"/>
              <w:left w:val="nil"/>
              <w:bottom w:val="single" w:sz="4" w:space="0" w:color="5B9BD5"/>
              <w:right w:val="single" w:sz="4" w:space="0" w:color="5B9BD5"/>
            </w:tcBorders>
            <w:shd w:val="clear" w:color="auto" w:fill="002060"/>
            <w:vAlign w:val="bottom"/>
            <w:hideMark/>
          </w:tcPr>
          <w:p w:rsidR="003940A4" w:rsidRPr="00CD1518" w:rsidRDefault="003940A4" w:rsidP="003940A4">
            <w:pPr>
              <w:spacing w:line="240" w:lineRule="auto"/>
              <w:jc w:val="center"/>
              <w:rPr>
                <w:b/>
                <w:bCs/>
                <w:color w:val="FFFFFF"/>
                <w:sz w:val="14"/>
                <w:lang w:eastAsia="en-AU"/>
              </w:rPr>
            </w:pPr>
            <w:r w:rsidRPr="00CD1518">
              <w:rPr>
                <w:b/>
                <w:bCs/>
                <w:color w:val="FFFFFF"/>
                <w:sz w:val="14"/>
                <w:lang w:eastAsia="en-AU"/>
              </w:rPr>
              <w:t>Activity related to 2013-14 Costs</w:t>
            </w:r>
          </w:p>
        </w:tc>
        <w:tc>
          <w:tcPr>
            <w:tcW w:w="573" w:type="pct"/>
            <w:tcBorders>
              <w:top w:val="single" w:sz="4" w:space="0" w:color="5B9BD5"/>
              <w:left w:val="nil"/>
              <w:bottom w:val="single" w:sz="4" w:space="0" w:color="5B9BD5"/>
              <w:right w:val="single" w:sz="4" w:space="0" w:color="5B9BD5"/>
            </w:tcBorders>
            <w:shd w:val="clear" w:color="auto" w:fill="002060"/>
            <w:vAlign w:val="bottom"/>
            <w:hideMark/>
          </w:tcPr>
          <w:p w:rsidR="003940A4" w:rsidRPr="00CD1518" w:rsidRDefault="003940A4" w:rsidP="003940A4">
            <w:pPr>
              <w:spacing w:line="240" w:lineRule="auto"/>
              <w:jc w:val="center"/>
              <w:rPr>
                <w:b/>
                <w:bCs/>
                <w:color w:val="FFFFFF"/>
                <w:sz w:val="12"/>
                <w:lang w:eastAsia="en-AU"/>
              </w:rPr>
            </w:pPr>
            <w:r w:rsidRPr="00CD1518">
              <w:rPr>
                <w:b/>
                <w:bCs/>
                <w:color w:val="FFFFFF"/>
                <w:sz w:val="12"/>
                <w:lang w:eastAsia="en-AU"/>
              </w:rPr>
              <w:t>Adjustments</w:t>
            </w:r>
          </w:p>
        </w:tc>
        <w:tc>
          <w:tcPr>
            <w:tcW w:w="574" w:type="pct"/>
            <w:tcBorders>
              <w:top w:val="single" w:sz="4" w:space="0" w:color="5B9BD5"/>
              <w:left w:val="nil"/>
              <w:bottom w:val="single" w:sz="4" w:space="0" w:color="5B9BD5"/>
              <w:right w:val="single" w:sz="4" w:space="0" w:color="5B9BD5"/>
            </w:tcBorders>
            <w:shd w:val="clear" w:color="auto" w:fill="002060"/>
            <w:vAlign w:val="bottom"/>
            <w:hideMark/>
          </w:tcPr>
          <w:p w:rsidR="003940A4" w:rsidRPr="00CD1518" w:rsidRDefault="003940A4" w:rsidP="003940A4">
            <w:pPr>
              <w:spacing w:line="240" w:lineRule="auto"/>
              <w:jc w:val="center"/>
              <w:rPr>
                <w:b/>
                <w:bCs/>
                <w:color w:val="FFFFFF"/>
                <w:sz w:val="14"/>
                <w:lang w:eastAsia="en-AU"/>
              </w:rPr>
            </w:pPr>
            <w:r w:rsidRPr="00CD1518">
              <w:rPr>
                <w:b/>
                <w:bCs/>
                <w:color w:val="FFFFFF"/>
                <w:sz w:val="14"/>
                <w:lang w:eastAsia="en-AU"/>
              </w:rPr>
              <w:t>Activity submitted to jurisdiction</w:t>
            </w:r>
          </w:p>
        </w:tc>
        <w:tc>
          <w:tcPr>
            <w:tcW w:w="573" w:type="pct"/>
            <w:tcBorders>
              <w:top w:val="single" w:sz="4" w:space="0" w:color="5B9BD5"/>
              <w:left w:val="nil"/>
              <w:bottom w:val="single" w:sz="4" w:space="0" w:color="5B9BD5"/>
              <w:right w:val="single" w:sz="4" w:space="0" w:color="5B9BD5"/>
            </w:tcBorders>
            <w:shd w:val="clear" w:color="auto" w:fill="002060"/>
            <w:vAlign w:val="bottom"/>
            <w:hideMark/>
          </w:tcPr>
          <w:p w:rsidR="003940A4" w:rsidRPr="00CD1518" w:rsidRDefault="003940A4" w:rsidP="003940A4">
            <w:pPr>
              <w:spacing w:line="240" w:lineRule="auto"/>
              <w:jc w:val="center"/>
              <w:rPr>
                <w:b/>
                <w:bCs/>
                <w:color w:val="FFFFFF"/>
                <w:sz w:val="12"/>
                <w:lang w:eastAsia="en-AU"/>
              </w:rPr>
            </w:pPr>
            <w:r w:rsidRPr="00CD1518">
              <w:rPr>
                <w:b/>
                <w:bCs/>
                <w:color w:val="FFFFFF"/>
                <w:sz w:val="12"/>
                <w:lang w:eastAsia="en-AU"/>
              </w:rPr>
              <w:t>Adjustments</w:t>
            </w:r>
          </w:p>
        </w:tc>
        <w:tc>
          <w:tcPr>
            <w:tcW w:w="574" w:type="pct"/>
            <w:tcBorders>
              <w:top w:val="single" w:sz="4" w:space="0" w:color="5B9BD5"/>
              <w:left w:val="nil"/>
              <w:bottom w:val="single" w:sz="4" w:space="0" w:color="5B9BD5"/>
              <w:right w:val="single" w:sz="4" w:space="0" w:color="5B9BD5"/>
            </w:tcBorders>
            <w:shd w:val="clear" w:color="auto" w:fill="002060"/>
            <w:vAlign w:val="bottom"/>
            <w:hideMark/>
          </w:tcPr>
          <w:p w:rsidR="003940A4" w:rsidRPr="00CD1518" w:rsidRDefault="003940A4" w:rsidP="003940A4">
            <w:pPr>
              <w:spacing w:line="240" w:lineRule="auto"/>
              <w:jc w:val="center"/>
              <w:rPr>
                <w:b/>
                <w:bCs/>
                <w:color w:val="FFFFFF"/>
                <w:sz w:val="14"/>
                <w:lang w:eastAsia="en-AU"/>
              </w:rPr>
            </w:pPr>
            <w:r w:rsidRPr="00CD1518">
              <w:rPr>
                <w:b/>
                <w:bCs/>
                <w:color w:val="FFFFFF"/>
                <w:sz w:val="14"/>
                <w:lang w:eastAsia="en-AU"/>
              </w:rPr>
              <w:t>Activity submitted to IHPA</w:t>
            </w:r>
          </w:p>
        </w:tc>
        <w:tc>
          <w:tcPr>
            <w:tcW w:w="573" w:type="pct"/>
            <w:tcBorders>
              <w:top w:val="single" w:sz="4" w:space="0" w:color="5B9BD5"/>
              <w:left w:val="nil"/>
              <w:bottom w:val="single" w:sz="4" w:space="0" w:color="5B9BD5"/>
              <w:right w:val="single" w:sz="4" w:space="0" w:color="5B9BD5"/>
            </w:tcBorders>
            <w:shd w:val="clear" w:color="auto" w:fill="002060"/>
            <w:vAlign w:val="bottom"/>
            <w:hideMark/>
          </w:tcPr>
          <w:p w:rsidR="003940A4" w:rsidRPr="00CD1518" w:rsidRDefault="003940A4" w:rsidP="003940A4">
            <w:pPr>
              <w:spacing w:line="240" w:lineRule="auto"/>
              <w:jc w:val="center"/>
              <w:rPr>
                <w:b/>
                <w:bCs/>
                <w:color w:val="FFFFFF"/>
                <w:sz w:val="12"/>
                <w:lang w:eastAsia="en-AU"/>
              </w:rPr>
            </w:pPr>
            <w:r w:rsidRPr="00CD1518">
              <w:rPr>
                <w:b/>
                <w:bCs/>
                <w:color w:val="FFFFFF"/>
                <w:sz w:val="12"/>
                <w:lang w:eastAsia="en-AU"/>
              </w:rPr>
              <w:t>Adjustments</w:t>
            </w:r>
          </w:p>
        </w:tc>
        <w:tc>
          <w:tcPr>
            <w:tcW w:w="574" w:type="pct"/>
            <w:tcBorders>
              <w:top w:val="single" w:sz="4" w:space="0" w:color="5B9BD5"/>
              <w:left w:val="nil"/>
              <w:bottom w:val="single" w:sz="4" w:space="0" w:color="5B9BD5"/>
              <w:right w:val="single" w:sz="4" w:space="0" w:color="5B9BD5"/>
            </w:tcBorders>
            <w:shd w:val="clear" w:color="auto" w:fill="002060"/>
            <w:vAlign w:val="bottom"/>
            <w:hideMark/>
          </w:tcPr>
          <w:p w:rsidR="003940A4" w:rsidRPr="00CD1518" w:rsidRDefault="003940A4" w:rsidP="003940A4">
            <w:pPr>
              <w:spacing w:line="240" w:lineRule="auto"/>
              <w:jc w:val="center"/>
              <w:rPr>
                <w:b/>
                <w:bCs/>
                <w:color w:val="FFFFFF"/>
                <w:sz w:val="14"/>
                <w:lang w:eastAsia="en-AU"/>
              </w:rPr>
            </w:pPr>
            <w:r w:rsidRPr="00CD1518">
              <w:rPr>
                <w:b/>
                <w:bCs/>
                <w:color w:val="FFFFFF"/>
                <w:sz w:val="14"/>
                <w:lang w:eastAsia="en-AU"/>
              </w:rPr>
              <w:t>Total Activity submitted for Round 18 NHCDC</w:t>
            </w:r>
          </w:p>
        </w:tc>
      </w:tr>
      <w:tr w:rsidR="003940A4" w:rsidRPr="003940A4" w:rsidTr="00CD1518">
        <w:trPr>
          <w:trHeight w:val="290"/>
        </w:trPr>
        <w:tc>
          <w:tcPr>
            <w:tcW w:w="987" w:type="pct"/>
            <w:tcBorders>
              <w:top w:val="nil"/>
              <w:left w:val="single" w:sz="4" w:space="0" w:color="5B9BD5"/>
              <w:bottom w:val="single" w:sz="4" w:space="0" w:color="5B9BD5"/>
              <w:right w:val="single" w:sz="4" w:space="0" w:color="5B9BD5"/>
            </w:tcBorders>
            <w:shd w:val="clear" w:color="000000" w:fill="FFFFFF"/>
            <w:noWrap/>
            <w:vAlign w:val="center"/>
            <w:hideMark/>
          </w:tcPr>
          <w:p w:rsidR="003940A4" w:rsidRPr="00CD1518" w:rsidRDefault="003940A4">
            <w:pPr>
              <w:spacing w:line="240" w:lineRule="auto"/>
              <w:rPr>
                <w:color w:val="000000"/>
                <w:sz w:val="14"/>
                <w:lang w:eastAsia="en-AU"/>
              </w:rPr>
            </w:pPr>
            <w:r w:rsidRPr="00CD1518">
              <w:rPr>
                <w:color w:val="000000"/>
                <w:sz w:val="14"/>
                <w:lang w:eastAsia="en-AU"/>
              </w:rPr>
              <w:t>Acute</w:t>
            </w:r>
          </w:p>
        </w:tc>
        <w:tc>
          <w:tcPr>
            <w:tcW w:w="573" w:type="pct"/>
            <w:tcBorders>
              <w:top w:val="nil"/>
              <w:left w:val="nil"/>
              <w:bottom w:val="single" w:sz="4" w:space="0" w:color="5B9BD5"/>
              <w:right w:val="single" w:sz="4" w:space="0" w:color="5B9BD5"/>
            </w:tcBorders>
            <w:shd w:val="clear" w:color="000000" w:fill="FFFFFF"/>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144,708</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4" w:type="pct"/>
            <w:tcBorders>
              <w:top w:val="nil"/>
              <w:left w:val="nil"/>
              <w:bottom w:val="single" w:sz="4" w:space="0" w:color="5B9BD5"/>
              <w:right w:val="single" w:sz="4" w:space="0" w:color="5B9BD5"/>
            </w:tcBorders>
            <w:shd w:val="clear" w:color="000000" w:fill="FFFFFF"/>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144,708</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(3,813)</w:t>
            </w:r>
          </w:p>
        </w:tc>
        <w:tc>
          <w:tcPr>
            <w:tcW w:w="574" w:type="pct"/>
            <w:tcBorders>
              <w:top w:val="nil"/>
              <w:left w:val="nil"/>
              <w:bottom w:val="single" w:sz="4" w:space="0" w:color="5B9BD5"/>
              <w:right w:val="single" w:sz="4" w:space="0" w:color="5B9BD5"/>
            </w:tcBorders>
            <w:shd w:val="clear" w:color="000000" w:fill="FFFFFF"/>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140,895</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4" w:type="pct"/>
            <w:tcBorders>
              <w:top w:val="nil"/>
              <w:left w:val="nil"/>
              <w:bottom w:val="single" w:sz="4" w:space="0" w:color="5B9BD5"/>
              <w:right w:val="single" w:sz="4" w:space="0" w:color="5B9BD5"/>
            </w:tcBorders>
            <w:shd w:val="clear" w:color="000000" w:fill="FFFFFF"/>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140,895</w:t>
            </w:r>
          </w:p>
        </w:tc>
      </w:tr>
      <w:tr w:rsidR="003940A4" w:rsidRPr="003940A4" w:rsidTr="00CD1518">
        <w:trPr>
          <w:trHeight w:val="290"/>
        </w:trPr>
        <w:tc>
          <w:tcPr>
            <w:tcW w:w="987" w:type="pct"/>
            <w:tcBorders>
              <w:top w:val="nil"/>
              <w:left w:val="single" w:sz="4" w:space="0" w:color="5B9BD5"/>
              <w:bottom w:val="single" w:sz="4" w:space="0" w:color="5B9BD5"/>
              <w:right w:val="single" w:sz="4" w:space="0" w:color="5B9BD5"/>
            </w:tcBorders>
            <w:shd w:val="clear" w:color="000000" w:fill="DDEBF7"/>
            <w:noWrap/>
            <w:vAlign w:val="center"/>
            <w:hideMark/>
          </w:tcPr>
          <w:p w:rsidR="003940A4" w:rsidRPr="00CD1518" w:rsidRDefault="003940A4">
            <w:pPr>
              <w:spacing w:line="240" w:lineRule="auto"/>
              <w:rPr>
                <w:color w:val="000000"/>
                <w:sz w:val="14"/>
                <w:lang w:eastAsia="en-AU"/>
              </w:rPr>
            </w:pPr>
            <w:r w:rsidRPr="00CD1518">
              <w:rPr>
                <w:color w:val="000000"/>
                <w:sz w:val="14"/>
                <w:lang w:eastAsia="en-AU"/>
              </w:rPr>
              <w:t>Non-admitted</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1,168,060</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4"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1,168,060</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(223,106)</w:t>
            </w:r>
          </w:p>
        </w:tc>
        <w:tc>
          <w:tcPr>
            <w:tcW w:w="574"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944,954</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4"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944,954</w:t>
            </w:r>
          </w:p>
        </w:tc>
      </w:tr>
      <w:tr w:rsidR="003940A4" w:rsidRPr="003940A4" w:rsidTr="00CD1518">
        <w:trPr>
          <w:trHeight w:val="290"/>
        </w:trPr>
        <w:tc>
          <w:tcPr>
            <w:tcW w:w="987" w:type="pct"/>
            <w:tcBorders>
              <w:top w:val="nil"/>
              <w:left w:val="single" w:sz="4" w:space="0" w:color="5B9BD5"/>
              <w:bottom w:val="single" w:sz="4" w:space="0" w:color="5B9BD5"/>
              <w:right w:val="single" w:sz="4" w:space="0" w:color="5B9BD5"/>
            </w:tcBorders>
            <w:shd w:val="clear" w:color="000000" w:fill="FFFFFF"/>
            <w:noWrap/>
            <w:vAlign w:val="center"/>
            <w:hideMark/>
          </w:tcPr>
          <w:p w:rsidR="003940A4" w:rsidRPr="00CD1518" w:rsidRDefault="003940A4">
            <w:pPr>
              <w:spacing w:line="240" w:lineRule="auto"/>
              <w:rPr>
                <w:color w:val="000000"/>
                <w:sz w:val="14"/>
                <w:lang w:eastAsia="en-AU"/>
              </w:rPr>
            </w:pPr>
            <w:r w:rsidRPr="00CD1518">
              <w:rPr>
                <w:color w:val="000000"/>
                <w:sz w:val="14"/>
                <w:lang w:eastAsia="en-AU"/>
              </w:rPr>
              <w:t>Emergency</w:t>
            </w:r>
          </w:p>
        </w:tc>
        <w:tc>
          <w:tcPr>
            <w:tcW w:w="573" w:type="pct"/>
            <w:tcBorders>
              <w:top w:val="nil"/>
              <w:left w:val="nil"/>
              <w:bottom w:val="single" w:sz="4" w:space="0" w:color="5B9BD5"/>
              <w:right w:val="single" w:sz="4" w:space="0" w:color="5B9BD5"/>
            </w:tcBorders>
            <w:shd w:val="clear" w:color="000000" w:fill="FFFFFF"/>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165,289</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4" w:type="pct"/>
            <w:tcBorders>
              <w:top w:val="nil"/>
              <w:left w:val="nil"/>
              <w:bottom w:val="single" w:sz="4" w:space="0" w:color="5B9BD5"/>
              <w:right w:val="single" w:sz="4" w:space="0" w:color="5B9BD5"/>
            </w:tcBorders>
            <w:shd w:val="clear" w:color="000000" w:fill="FFFFFF"/>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165,289</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(18,755)</w:t>
            </w:r>
          </w:p>
        </w:tc>
        <w:tc>
          <w:tcPr>
            <w:tcW w:w="574" w:type="pct"/>
            <w:tcBorders>
              <w:top w:val="nil"/>
              <w:left w:val="nil"/>
              <w:bottom w:val="single" w:sz="4" w:space="0" w:color="5B9BD5"/>
              <w:right w:val="single" w:sz="4" w:space="0" w:color="5B9BD5"/>
            </w:tcBorders>
            <w:shd w:val="clear" w:color="000000" w:fill="FFFFFF"/>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146,534</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4" w:type="pct"/>
            <w:tcBorders>
              <w:top w:val="nil"/>
              <w:left w:val="nil"/>
              <w:bottom w:val="single" w:sz="4" w:space="0" w:color="5B9BD5"/>
              <w:right w:val="single" w:sz="4" w:space="0" w:color="5B9BD5"/>
            </w:tcBorders>
            <w:shd w:val="clear" w:color="000000" w:fill="FFFFFF"/>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146,534</w:t>
            </w:r>
          </w:p>
        </w:tc>
      </w:tr>
      <w:tr w:rsidR="003940A4" w:rsidRPr="003940A4" w:rsidTr="00CD1518">
        <w:trPr>
          <w:trHeight w:val="290"/>
        </w:trPr>
        <w:tc>
          <w:tcPr>
            <w:tcW w:w="987" w:type="pct"/>
            <w:tcBorders>
              <w:top w:val="nil"/>
              <w:left w:val="single" w:sz="4" w:space="0" w:color="5B9BD5"/>
              <w:bottom w:val="single" w:sz="4" w:space="0" w:color="5B9BD5"/>
              <w:right w:val="single" w:sz="4" w:space="0" w:color="5B9BD5"/>
            </w:tcBorders>
            <w:shd w:val="clear" w:color="000000" w:fill="DDEBF7"/>
            <w:noWrap/>
            <w:vAlign w:val="center"/>
            <w:hideMark/>
          </w:tcPr>
          <w:p w:rsidR="003940A4" w:rsidRPr="00CD1518" w:rsidRDefault="003940A4">
            <w:pPr>
              <w:spacing w:line="240" w:lineRule="auto"/>
              <w:rPr>
                <w:color w:val="000000"/>
                <w:sz w:val="14"/>
                <w:lang w:eastAsia="en-AU"/>
              </w:rPr>
            </w:pPr>
            <w:proofErr w:type="spellStart"/>
            <w:r w:rsidRPr="00CD1518">
              <w:rPr>
                <w:color w:val="000000"/>
                <w:sz w:val="14"/>
                <w:lang w:eastAsia="en-AU"/>
              </w:rPr>
              <w:t>Sub Acute</w:t>
            </w:r>
            <w:proofErr w:type="spellEnd"/>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6,068</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4"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6,068</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(357)</w:t>
            </w:r>
          </w:p>
        </w:tc>
        <w:tc>
          <w:tcPr>
            <w:tcW w:w="574"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5,711</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4"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5,711</w:t>
            </w:r>
          </w:p>
        </w:tc>
      </w:tr>
      <w:tr w:rsidR="003940A4" w:rsidRPr="003940A4" w:rsidTr="00CD1518">
        <w:trPr>
          <w:trHeight w:val="290"/>
        </w:trPr>
        <w:tc>
          <w:tcPr>
            <w:tcW w:w="987" w:type="pct"/>
            <w:tcBorders>
              <w:top w:val="nil"/>
              <w:left w:val="single" w:sz="4" w:space="0" w:color="5B9BD5"/>
              <w:bottom w:val="single" w:sz="4" w:space="0" w:color="5B9BD5"/>
              <w:right w:val="single" w:sz="4" w:space="0" w:color="5B9BD5"/>
            </w:tcBorders>
            <w:shd w:val="clear" w:color="000000" w:fill="FFFFFF"/>
            <w:noWrap/>
            <w:vAlign w:val="center"/>
            <w:hideMark/>
          </w:tcPr>
          <w:p w:rsidR="003940A4" w:rsidRPr="00CD1518" w:rsidRDefault="003940A4">
            <w:pPr>
              <w:spacing w:line="240" w:lineRule="auto"/>
              <w:rPr>
                <w:color w:val="000000"/>
                <w:sz w:val="14"/>
                <w:lang w:eastAsia="en-AU"/>
              </w:rPr>
            </w:pPr>
            <w:r w:rsidRPr="00CD1518">
              <w:rPr>
                <w:color w:val="000000"/>
                <w:sz w:val="14"/>
                <w:lang w:eastAsia="en-AU"/>
              </w:rPr>
              <w:t>Mental Health</w:t>
            </w:r>
          </w:p>
        </w:tc>
        <w:tc>
          <w:tcPr>
            <w:tcW w:w="573" w:type="pct"/>
            <w:tcBorders>
              <w:top w:val="nil"/>
              <w:left w:val="nil"/>
              <w:bottom w:val="single" w:sz="4" w:space="0" w:color="5B9BD5"/>
              <w:right w:val="single" w:sz="4" w:space="0" w:color="5B9BD5"/>
            </w:tcBorders>
            <w:shd w:val="clear" w:color="000000" w:fill="FFFFFF"/>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4" w:type="pct"/>
            <w:tcBorders>
              <w:top w:val="nil"/>
              <w:left w:val="nil"/>
              <w:bottom w:val="single" w:sz="4" w:space="0" w:color="5B9BD5"/>
              <w:right w:val="single" w:sz="4" w:space="0" w:color="5B9BD5"/>
            </w:tcBorders>
            <w:shd w:val="clear" w:color="000000" w:fill="FFFFFF"/>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4" w:type="pct"/>
            <w:tcBorders>
              <w:top w:val="nil"/>
              <w:left w:val="nil"/>
              <w:bottom w:val="single" w:sz="4" w:space="0" w:color="5B9BD5"/>
              <w:right w:val="single" w:sz="4" w:space="0" w:color="5B9BD5"/>
            </w:tcBorders>
            <w:shd w:val="clear" w:color="000000" w:fill="FFFFFF"/>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4" w:type="pct"/>
            <w:tcBorders>
              <w:top w:val="nil"/>
              <w:left w:val="nil"/>
              <w:bottom w:val="single" w:sz="4" w:space="0" w:color="5B9BD5"/>
              <w:right w:val="single" w:sz="4" w:space="0" w:color="5B9BD5"/>
            </w:tcBorders>
            <w:shd w:val="clear" w:color="000000" w:fill="FFFFFF"/>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r>
      <w:tr w:rsidR="003940A4" w:rsidRPr="003940A4" w:rsidTr="00CD1518">
        <w:trPr>
          <w:trHeight w:val="290"/>
        </w:trPr>
        <w:tc>
          <w:tcPr>
            <w:tcW w:w="987" w:type="pct"/>
            <w:tcBorders>
              <w:top w:val="nil"/>
              <w:left w:val="single" w:sz="4" w:space="0" w:color="5B9BD5"/>
              <w:bottom w:val="single" w:sz="4" w:space="0" w:color="5B9BD5"/>
              <w:right w:val="single" w:sz="4" w:space="0" w:color="5B9BD5"/>
            </w:tcBorders>
            <w:shd w:val="clear" w:color="000000" w:fill="DDEBF7"/>
            <w:noWrap/>
            <w:vAlign w:val="center"/>
            <w:hideMark/>
          </w:tcPr>
          <w:p w:rsidR="003940A4" w:rsidRPr="00CD1518" w:rsidRDefault="003940A4">
            <w:pPr>
              <w:spacing w:line="240" w:lineRule="auto"/>
              <w:rPr>
                <w:color w:val="000000"/>
                <w:sz w:val="14"/>
                <w:lang w:eastAsia="en-AU"/>
              </w:rPr>
            </w:pPr>
            <w:r w:rsidRPr="00CD1518">
              <w:rPr>
                <w:color w:val="000000"/>
                <w:sz w:val="14"/>
                <w:lang w:eastAsia="en-AU"/>
              </w:rPr>
              <w:t>Other</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67,093</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4"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67,093</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(64,535)</w:t>
            </w:r>
          </w:p>
        </w:tc>
        <w:tc>
          <w:tcPr>
            <w:tcW w:w="574"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2,558</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4"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2,558</w:t>
            </w:r>
          </w:p>
        </w:tc>
      </w:tr>
      <w:tr w:rsidR="003940A4" w:rsidRPr="003940A4" w:rsidTr="00CD1518">
        <w:trPr>
          <w:trHeight w:val="290"/>
        </w:trPr>
        <w:tc>
          <w:tcPr>
            <w:tcW w:w="987" w:type="pct"/>
            <w:tcBorders>
              <w:top w:val="nil"/>
              <w:left w:val="single" w:sz="4" w:space="0" w:color="5B9BD5"/>
              <w:bottom w:val="single" w:sz="4" w:space="0" w:color="5B9BD5"/>
              <w:right w:val="single" w:sz="4" w:space="0" w:color="5B9BD5"/>
            </w:tcBorders>
            <w:shd w:val="clear" w:color="000000" w:fill="FFFFFF"/>
            <w:noWrap/>
            <w:vAlign w:val="center"/>
            <w:hideMark/>
          </w:tcPr>
          <w:p w:rsidR="003940A4" w:rsidRPr="00CD1518" w:rsidRDefault="003940A4">
            <w:pPr>
              <w:spacing w:line="240" w:lineRule="auto"/>
              <w:rPr>
                <w:color w:val="000000"/>
                <w:sz w:val="14"/>
                <w:lang w:eastAsia="en-AU"/>
              </w:rPr>
            </w:pPr>
            <w:r w:rsidRPr="00CD1518">
              <w:rPr>
                <w:color w:val="000000"/>
                <w:sz w:val="14"/>
                <w:lang w:eastAsia="en-AU"/>
              </w:rPr>
              <w:t>Research</w:t>
            </w:r>
          </w:p>
        </w:tc>
        <w:tc>
          <w:tcPr>
            <w:tcW w:w="573" w:type="pct"/>
            <w:tcBorders>
              <w:top w:val="nil"/>
              <w:left w:val="nil"/>
              <w:bottom w:val="single" w:sz="4" w:space="0" w:color="5B9BD5"/>
              <w:right w:val="single" w:sz="4" w:space="0" w:color="5B9BD5"/>
            </w:tcBorders>
            <w:shd w:val="clear" w:color="000000" w:fill="FFFFFF"/>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4" w:type="pct"/>
            <w:tcBorders>
              <w:top w:val="nil"/>
              <w:left w:val="nil"/>
              <w:bottom w:val="single" w:sz="4" w:space="0" w:color="5B9BD5"/>
              <w:right w:val="single" w:sz="4" w:space="0" w:color="5B9BD5"/>
            </w:tcBorders>
            <w:shd w:val="clear" w:color="000000" w:fill="FFFFFF"/>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4" w:type="pct"/>
            <w:tcBorders>
              <w:top w:val="nil"/>
              <w:left w:val="nil"/>
              <w:bottom w:val="single" w:sz="4" w:space="0" w:color="5B9BD5"/>
              <w:right w:val="single" w:sz="4" w:space="0" w:color="5B9BD5"/>
            </w:tcBorders>
            <w:shd w:val="clear" w:color="000000" w:fill="FFFFFF"/>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4" w:type="pct"/>
            <w:tcBorders>
              <w:top w:val="nil"/>
              <w:left w:val="nil"/>
              <w:bottom w:val="single" w:sz="4" w:space="0" w:color="5B9BD5"/>
              <w:right w:val="single" w:sz="4" w:space="0" w:color="5B9BD5"/>
            </w:tcBorders>
            <w:shd w:val="clear" w:color="000000" w:fill="FFFFFF"/>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r>
      <w:tr w:rsidR="003940A4" w:rsidRPr="003940A4" w:rsidTr="00CD1518">
        <w:trPr>
          <w:trHeight w:val="290"/>
        </w:trPr>
        <w:tc>
          <w:tcPr>
            <w:tcW w:w="987" w:type="pct"/>
            <w:tcBorders>
              <w:top w:val="nil"/>
              <w:left w:val="single" w:sz="4" w:space="0" w:color="5B9BD5"/>
              <w:bottom w:val="single" w:sz="4" w:space="0" w:color="5B9BD5"/>
              <w:right w:val="single" w:sz="4" w:space="0" w:color="5B9BD5"/>
            </w:tcBorders>
            <w:shd w:val="clear" w:color="000000" w:fill="DDEBF7"/>
            <w:noWrap/>
            <w:vAlign w:val="center"/>
            <w:hideMark/>
          </w:tcPr>
          <w:p w:rsidR="003940A4" w:rsidRPr="00CD1518" w:rsidRDefault="003940A4">
            <w:pPr>
              <w:spacing w:line="240" w:lineRule="auto"/>
              <w:rPr>
                <w:color w:val="000000"/>
                <w:sz w:val="14"/>
                <w:lang w:eastAsia="en-AU"/>
              </w:rPr>
            </w:pPr>
            <w:r w:rsidRPr="00CD1518">
              <w:rPr>
                <w:color w:val="000000"/>
                <w:sz w:val="14"/>
                <w:lang w:eastAsia="en-AU"/>
              </w:rPr>
              <w:t>Teaching and Training</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4"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4"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3"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c>
          <w:tcPr>
            <w:tcW w:w="574" w:type="pct"/>
            <w:tcBorders>
              <w:top w:val="nil"/>
              <w:left w:val="nil"/>
              <w:bottom w:val="single" w:sz="4" w:space="0" w:color="5B9BD5"/>
              <w:right w:val="single" w:sz="4" w:space="0" w:color="5B9BD5"/>
            </w:tcBorders>
            <w:shd w:val="clear" w:color="000000" w:fill="DDEBF7"/>
            <w:noWrap/>
            <w:vAlign w:val="center"/>
            <w:hideMark/>
          </w:tcPr>
          <w:p w:rsidR="003940A4" w:rsidRPr="00CD1518" w:rsidRDefault="003940A4" w:rsidP="00CD1518">
            <w:pPr>
              <w:spacing w:line="240" w:lineRule="auto"/>
              <w:jc w:val="right"/>
              <w:rPr>
                <w:color w:val="000000"/>
                <w:sz w:val="14"/>
                <w:lang w:eastAsia="en-AU"/>
              </w:rPr>
            </w:pPr>
            <w:r w:rsidRPr="00CD1518">
              <w:rPr>
                <w:color w:val="000000"/>
                <w:sz w:val="14"/>
                <w:lang w:eastAsia="en-AU"/>
              </w:rPr>
              <w:t>-</w:t>
            </w:r>
          </w:p>
        </w:tc>
      </w:tr>
      <w:tr w:rsidR="003940A4" w:rsidRPr="003940A4" w:rsidTr="00CD1518">
        <w:trPr>
          <w:trHeight w:val="290"/>
        </w:trPr>
        <w:tc>
          <w:tcPr>
            <w:tcW w:w="987" w:type="pct"/>
            <w:tcBorders>
              <w:top w:val="nil"/>
              <w:left w:val="single" w:sz="4" w:space="0" w:color="5B9BD5"/>
              <w:bottom w:val="single" w:sz="4" w:space="0" w:color="5B9BD5"/>
              <w:right w:val="single" w:sz="4" w:space="0" w:color="5B9BD5"/>
            </w:tcBorders>
            <w:shd w:val="clear" w:color="000000" w:fill="D0CECE"/>
            <w:noWrap/>
            <w:vAlign w:val="center"/>
            <w:hideMark/>
          </w:tcPr>
          <w:p w:rsidR="003940A4" w:rsidRPr="00CD1518" w:rsidRDefault="003940A4">
            <w:pPr>
              <w:spacing w:line="240" w:lineRule="auto"/>
              <w:rPr>
                <w:b/>
                <w:bCs/>
                <w:color w:val="000000"/>
                <w:sz w:val="14"/>
                <w:lang w:eastAsia="en-AU"/>
              </w:rPr>
            </w:pPr>
            <w:r w:rsidRPr="00CD1518">
              <w:rPr>
                <w:b/>
                <w:bCs/>
                <w:color w:val="000000"/>
                <w:sz w:val="14"/>
                <w:lang w:eastAsia="en-AU"/>
              </w:rPr>
              <w:t xml:space="preserve"> Total </w:t>
            </w:r>
          </w:p>
        </w:tc>
        <w:tc>
          <w:tcPr>
            <w:tcW w:w="573" w:type="pct"/>
            <w:tcBorders>
              <w:top w:val="nil"/>
              <w:left w:val="nil"/>
              <w:bottom w:val="single" w:sz="4" w:space="0" w:color="5B9BD5"/>
              <w:right w:val="single" w:sz="4" w:space="0" w:color="5B9BD5"/>
            </w:tcBorders>
            <w:shd w:val="clear" w:color="000000" w:fill="D0CECE"/>
            <w:noWrap/>
            <w:vAlign w:val="center"/>
            <w:hideMark/>
          </w:tcPr>
          <w:p w:rsidR="003940A4" w:rsidRPr="00CD1518" w:rsidRDefault="003940A4" w:rsidP="00CD1518">
            <w:pPr>
              <w:spacing w:line="240" w:lineRule="auto"/>
              <w:jc w:val="right"/>
              <w:rPr>
                <w:b/>
                <w:bCs/>
                <w:color w:val="000000"/>
                <w:sz w:val="14"/>
                <w:lang w:eastAsia="en-AU"/>
              </w:rPr>
            </w:pPr>
            <w:r w:rsidRPr="00CD1518">
              <w:rPr>
                <w:b/>
                <w:bCs/>
                <w:color w:val="000000"/>
                <w:sz w:val="14"/>
                <w:lang w:eastAsia="en-AU"/>
              </w:rPr>
              <w:t>1,551,218</w:t>
            </w:r>
          </w:p>
        </w:tc>
        <w:tc>
          <w:tcPr>
            <w:tcW w:w="573" w:type="pct"/>
            <w:tcBorders>
              <w:top w:val="nil"/>
              <w:left w:val="nil"/>
              <w:bottom w:val="single" w:sz="4" w:space="0" w:color="5B9BD5"/>
              <w:right w:val="single" w:sz="4" w:space="0" w:color="5B9BD5"/>
            </w:tcBorders>
            <w:shd w:val="clear" w:color="000000" w:fill="D0CECE"/>
            <w:noWrap/>
            <w:vAlign w:val="center"/>
            <w:hideMark/>
          </w:tcPr>
          <w:p w:rsidR="003940A4" w:rsidRPr="00CD1518" w:rsidRDefault="003940A4" w:rsidP="00CD1518">
            <w:pPr>
              <w:spacing w:line="240" w:lineRule="auto"/>
              <w:jc w:val="right"/>
              <w:rPr>
                <w:b/>
                <w:bCs/>
                <w:color w:val="000000"/>
                <w:sz w:val="14"/>
                <w:lang w:eastAsia="en-AU"/>
              </w:rPr>
            </w:pPr>
            <w:r w:rsidRPr="00CD1518">
              <w:rPr>
                <w:b/>
                <w:bCs/>
                <w:color w:val="000000"/>
                <w:sz w:val="14"/>
                <w:lang w:eastAsia="en-AU"/>
              </w:rPr>
              <w:t>-</w:t>
            </w:r>
          </w:p>
        </w:tc>
        <w:tc>
          <w:tcPr>
            <w:tcW w:w="574" w:type="pct"/>
            <w:tcBorders>
              <w:top w:val="nil"/>
              <w:left w:val="nil"/>
              <w:bottom w:val="single" w:sz="4" w:space="0" w:color="5B9BD5"/>
              <w:right w:val="single" w:sz="4" w:space="0" w:color="5B9BD5"/>
            </w:tcBorders>
            <w:shd w:val="clear" w:color="000000" w:fill="D0CECE"/>
            <w:noWrap/>
            <w:vAlign w:val="center"/>
            <w:hideMark/>
          </w:tcPr>
          <w:p w:rsidR="003940A4" w:rsidRPr="00CD1518" w:rsidRDefault="003940A4" w:rsidP="00CD1518">
            <w:pPr>
              <w:spacing w:line="240" w:lineRule="auto"/>
              <w:jc w:val="right"/>
              <w:rPr>
                <w:b/>
                <w:bCs/>
                <w:color w:val="000000"/>
                <w:sz w:val="14"/>
                <w:lang w:eastAsia="en-AU"/>
              </w:rPr>
            </w:pPr>
            <w:r w:rsidRPr="00CD1518">
              <w:rPr>
                <w:b/>
                <w:bCs/>
                <w:color w:val="000000"/>
                <w:sz w:val="14"/>
                <w:lang w:eastAsia="en-AU"/>
              </w:rPr>
              <w:t>1,551,218</w:t>
            </w:r>
          </w:p>
        </w:tc>
        <w:tc>
          <w:tcPr>
            <w:tcW w:w="573" w:type="pct"/>
            <w:tcBorders>
              <w:top w:val="nil"/>
              <w:left w:val="nil"/>
              <w:bottom w:val="single" w:sz="4" w:space="0" w:color="5B9BD5"/>
              <w:right w:val="single" w:sz="4" w:space="0" w:color="5B9BD5"/>
            </w:tcBorders>
            <w:shd w:val="clear" w:color="000000" w:fill="D0CECE"/>
            <w:noWrap/>
            <w:vAlign w:val="center"/>
            <w:hideMark/>
          </w:tcPr>
          <w:p w:rsidR="003940A4" w:rsidRPr="00CD1518" w:rsidRDefault="003940A4" w:rsidP="00CD1518">
            <w:pPr>
              <w:spacing w:line="240" w:lineRule="auto"/>
              <w:jc w:val="right"/>
              <w:rPr>
                <w:b/>
                <w:bCs/>
                <w:color w:val="000000"/>
                <w:sz w:val="14"/>
                <w:lang w:eastAsia="en-AU"/>
              </w:rPr>
            </w:pPr>
            <w:r w:rsidRPr="00CD1518">
              <w:rPr>
                <w:b/>
                <w:bCs/>
                <w:color w:val="000000"/>
                <w:sz w:val="14"/>
                <w:lang w:eastAsia="en-AU"/>
              </w:rPr>
              <w:t>(310,566)</w:t>
            </w:r>
          </w:p>
        </w:tc>
        <w:tc>
          <w:tcPr>
            <w:tcW w:w="574" w:type="pct"/>
            <w:tcBorders>
              <w:top w:val="nil"/>
              <w:left w:val="nil"/>
              <w:bottom w:val="single" w:sz="4" w:space="0" w:color="5B9BD5"/>
              <w:right w:val="single" w:sz="4" w:space="0" w:color="5B9BD5"/>
            </w:tcBorders>
            <w:shd w:val="clear" w:color="000000" w:fill="D0CECE"/>
            <w:noWrap/>
            <w:vAlign w:val="center"/>
            <w:hideMark/>
          </w:tcPr>
          <w:p w:rsidR="003940A4" w:rsidRPr="00CD1518" w:rsidRDefault="003940A4" w:rsidP="00CD1518">
            <w:pPr>
              <w:spacing w:line="240" w:lineRule="auto"/>
              <w:jc w:val="right"/>
              <w:rPr>
                <w:b/>
                <w:bCs/>
                <w:color w:val="000000"/>
                <w:sz w:val="14"/>
                <w:lang w:eastAsia="en-AU"/>
              </w:rPr>
            </w:pPr>
            <w:r w:rsidRPr="00CD1518">
              <w:rPr>
                <w:b/>
                <w:bCs/>
                <w:color w:val="000000"/>
                <w:sz w:val="14"/>
                <w:lang w:eastAsia="en-AU"/>
              </w:rPr>
              <w:t>1,240,652</w:t>
            </w:r>
          </w:p>
        </w:tc>
        <w:tc>
          <w:tcPr>
            <w:tcW w:w="573" w:type="pct"/>
            <w:tcBorders>
              <w:top w:val="nil"/>
              <w:left w:val="nil"/>
              <w:bottom w:val="single" w:sz="4" w:space="0" w:color="5B9BD5"/>
              <w:right w:val="single" w:sz="4" w:space="0" w:color="5B9BD5"/>
            </w:tcBorders>
            <w:shd w:val="clear" w:color="000000" w:fill="D0CECE"/>
            <w:noWrap/>
            <w:vAlign w:val="center"/>
            <w:hideMark/>
          </w:tcPr>
          <w:p w:rsidR="003940A4" w:rsidRPr="00CD1518" w:rsidRDefault="003940A4" w:rsidP="00CD1518">
            <w:pPr>
              <w:spacing w:line="240" w:lineRule="auto"/>
              <w:jc w:val="right"/>
              <w:rPr>
                <w:b/>
                <w:bCs/>
                <w:color w:val="000000"/>
                <w:sz w:val="14"/>
                <w:lang w:eastAsia="en-AU"/>
              </w:rPr>
            </w:pPr>
            <w:r w:rsidRPr="00CD1518">
              <w:rPr>
                <w:b/>
                <w:bCs/>
                <w:color w:val="000000"/>
                <w:sz w:val="14"/>
                <w:lang w:eastAsia="en-AU"/>
              </w:rPr>
              <w:t>-</w:t>
            </w:r>
          </w:p>
        </w:tc>
        <w:tc>
          <w:tcPr>
            <w:tcW w:w="574" w:type="pct"/>
            <w:tcBorders>
              <w:top w:val="nil"/>
              <w:left w:val="nil"/>
              <w:bottom w:val="single" w:sz="4" w:space="0" w:color="5B9BD5"/>
              <w:right w:val="single" w:sz="4" w:space="0" w:color="5B9BD5"/>
            </w:tcBorders>
            <w:shd w:val="clear" w:color="000000" w:fill="D0CECE"/>
            <w:noWrap/>
            <w:vAlign w:val="center"/>
            <w:hideMark/>
          </w:tcPr>
          <w:p w:rsidR="003940A4" w:rsidRPr="00CD1518" w:rsidRDefault="003940A4" w:rsidP="00CD1518">
            <w:pPr>
              <w:spacing w:line="240" w:lineRule="auto"/>
              <w:jc w:val="right"/>
              <w:rPr>
                <w:b/>
                <w:bCs/>
                <w:color w:val="000000"/>
                <w:sz w:val="14"/>
                <w:lang w:eastAsia="en-AU"/>
              </w:rPr>
            </w:pPr>
            <w:r w:rsidRPr="00CD1518">
              <w:rPr>
                <w:b/>
                <w:bCs/>
                <w:color w:val="000000"/>
                <w:sz w:val="14"/>
                <w:lang w:eastAsia="en-AU"/>
              </w:rPr>
              <w:t>1,240,652</w:t>
            </w:r>
          </w:p>
        </w:tc>
      </w:tr>
    </w:tbl>
    <w:p w:rsidR="00972129" w:rsidRPr="00975E6B" w:rsidRDefault="00972129" w:rsidP="00CD1518">
      <w:pPr>
        <w:spacing w:before="120" w:after="120" w:line="280" w:lineRule="atLeast"/>
        <w:jc w:val="both"/>
        <w:rPr>
          <w:sz w:val="18"/>
        </w:rPr>
      </w:pPr>
      <w:r w:rsidRPr="00975E6B">
        <w:rPr>
          <w:bCs/>
          <w:i/>
          <w:sz w:val="16"/>
          <w:szCs w:val="16"/>
        </w:rPr>
        <w:t>Source: KPMG based on data supplied by Western Sydney LHD, NSW Health and IHPA</w:t>
      </w:r>
    </w:p>
    <w:p w:rsidR="00972129" w:rsidRPr="00975E6B" w:rsidRDefault="00972129" w:rsidP="00972129">
      <w:pPr>
        <w:spacing w:before="120" w:after="120" w:line="280" w:lineRule="atLeast"/>
        <w:jc w:val="both"/>
        <w:rPr>
          <w:szCs w:val="22"/>
        </w:rPr>
      </w:pPr>
      <w:r w:rsidRPr="00975E6B">
        <w:rPr>
          <w:szCs w:val="22"/>
        </w:rPr>
        <w:t>The following should be noted about the transfer of activity data for Western Sydney LHD:</w:t>
      </w:r>
    </w:p>
    <w:p w:rsidR="001E3CFA" w:rsidRPr="00BA09FF" w:rsidRDefault="001E3CFA" w:rsidP="004D5F7B">
      <w:pPr>
        <w:numPr>
          <w:ilvl w:val="0"/>
          <w:numId w:val="35"/>
        </w:numPr>
        <w:spacing w:before="120" w:after="120" w:line="280" w:lineRule="atLeast"/>
        <w:jc w:val="both"/>
        <w:rPr>
          <w:szCs w:val="22"/>
        </w:rPr>
      </w:pPr>
      <w:r w:rsidRPr="00BA09FF">
        <w:rPr>
          <w:szCs w:val="22"/>
        </w:rPr>
        <w:t xml:space="preserve">The variance between records from source detailed in </w:t>
      </w:r>
      <w:r w:rsidRPr="00BA09FF">
        <w:rPr>
          <w:szCs w:val="22"/>
        </w:rPr>
        <w:fldChar w:fldCharType="begin"/>
      </w:r>
      <w:r w:rsidRPr="00BA09FF">
        <w:rPr>
          <w:szCs w:val="22"/>
        </w:rPr>
        <w:instrText xml:space="preserve"> REF _Ref433266199 \h  \* MERGEFORMAT </w:instrText>
      </w:r>
      <w:r w:rsidRPr="00BA09FF">
        <w:rPr>
          <w:szCs w:val="22"/>
        </w:rPr>
      </w:r>
      <w:r w:rsidRPr="00BA09FF">
        <w:rPr>
          <w:szCs w:val="22"/>
        </w:rPr>
        <w:fldChar w:fldCharType="separate"/>
      </w:r>
      <w:r w:rsidR="00154CF7" w:rsidRPr="00154CF7">
        <w:rPr>
          <w:szCs w:val="22"/>
        </w:rPr>
        <w:t>Table 6</w:t>
      </w:r>
      <w:r w:rsidRPr="00BA09FF">
        <w:rPr>
          <w:szCs w:val="22"/>
        </w:rPr>
        <w:fldChar w:fldCharType="end"/>
      </w:r>
      <w:r w:rsidRPr="00BA09FF">
        <w:rPr>
          <w:szCs w:val="22"/>
        </w:rPr>
        <w:t xml:space="preserve"> </w:t>
      </w:r>
      <w:r w:rsidR="006945BF" w:rsidRPr="00BA09FF">
        <w:rPr>
          <w:szCs w:val="22"/>
        </w:rPr>
        <w:t xml:space="preserve">(1,485,933 records) </w:t>
      </w:r>
      <w:r w:rsidRPr="00BA09FF">
        <w:rPr>
          <w:szCs w:val="22"/>
        </w:rPr>
        <w:t xml:space="preserve">and activity related to 2013-14 costs by NHCDC product in </w:t>
      </w:r>
      <w:r w:rsidR="001E42D5">
        <w:rPr>
          <w:szCs w:val="22"/>
        </w:rPr>
        <w:fldChar w:fldCharType="begin"/>
      </w:r>
      <w:r w:rsidR="001E42D5">
        <w:rPr>
          <w:szCs w:val="22"/>
        </w:rPr>
        <w:instrText xml:space="preserve"> REF _Ref444515297 \h </w:instrText>
      </w:r>
      <w:r w:rsidR="001E42D5">
        <w:rPr>
          <w:szCs w:val="22"/>
        </w:rPr>
      </w:r>
      <w:r w:rsidR="001E42D5">
        <w:rPr>
          <w:szCs w:val="22"/>
        </w:rPr>
        <w:fldChar w:fldCharType="separate"/>
      </w:r>
      <w:r w:rsidR="00154CF7">
        <w:t xml:space="preserve">Table </w:t>
      </w:r>
      <w:r w:rsidR="00154CF7">
        <w:rPr>
          <w:noProof/>
        </w:rPr>
        <w:t>7</w:t>
      </w:r>
      <w:r w:rsidR="001E42D5">
        <w:rPr>
          <w:szCs w:val="22"/>
        </w:rPr>
        <w:fldChar w:fldCharType="end"/>
      </w:r>
      <w:r w:rsidR="001E42D5">
        <w:rPr>
          <w:szCs w:val="22"/>
        </w:rPr>
        <w:t xml:space="preserve"> </w:t>
      </w:r>
      <w:r w:rsidR="006945BF" w:rsidRPr="00BA09FF">
        <w:rPr>
          <w:szCs w:val="22"/>
        </w:rPr>
        <w:t xml:space="preserve">(1,551,218 records) </w:t>
      </w:r>
      <w:r w:rsidRPr="00BA09FF">
        <w:rPr>
          <w:szCs w:val="22"/>
        </w:rPr>
        <w:t>was attribut</w:t>
      </w:r>
      <w:r w:rsidR="006945BF" w:rsidRPr="00BA09FF">
        <w:rPr>
          <w:szCs w:val="22"/>
        </w:rPr>
        <w:t>able</w:t>
      </w:r>
      <w:r w:rsidRPr="00BA09FF">
        <w:rPr>
          <w:szCs w:val="22"/>
        </w:rPr>
        <w:t xml:space="preserve"> to:</w:t>
      </w:r>
    </w:p>
    <w:p w:rsidR="001E3CFA" w:rsidRPr="00C264CF" w:rsidRDefault="001E3CFA" w:rsidP="00F26328">
      <w:pPr>
        <w:pStyle w:val="ListParagraph"/>
        <w:numPr>
          <w:ilvl w:val="0"/>
          <w:numId w:val="35"/>
        </w:numPr>
        <w:tabs>
          <w:tab w:val="clear" w:pos="340"/>
          <w:tab w:val="num" w:pos="680"/>
        </w:tabs>
        <w:ind w:left="680"/>
        <w:rPr>
          <w:sz w:val="20"/>
        </w:rPr>
      </w:pPr>
      <w:r w:rsidRPr="00C264CF">
        <w:rPr>
          <w:sz w:val="20"/>
        </w:rPr>
        <w:t xml:space="preserve">Only patient level records </w:t>
      </w:r>
      <w:r>
        <w:rPr>
          <w:sz w:val="20"/>
        </w:rPr>
        <w:t>were</w:t>
      </w:r>
      <w:r w:rsidRPr="00C264CF">
        <w:rPr>
          <w:sz w:val="20"/>
        </w:rPr>
        <w:t xml:space="preserve"> allocated to </w:t>
      </w:r>
      <w:r>
        <w:rPr>
          <w:sz w:val="20"/>
        </w:rPr>
        <w:t>a</w:t>
      </w:r>
      <w:r w:rsidRPr="00C264CF">
        <w:rPr>
          <w:sz w:val="20"/>
        </w:rPr>
        <w:t xml:space="preserve">cute, </w:t>
      </w:r>
      <w:r>
        <w:rPr>
          <w:sz w:val="20"/>
        </w:rPr>
        <w:t>s</w:t>
      </w:r>
      <w:r w:rsidRPr="00C264CF">
        <w:rPr>
          <w:sz w:val="20"/>
        </w:rPr>
        <w:t>ub</w:t>
      </w:r>
      <w:r>
        <w:rPr>
          <w:sz w:val="20"/>
        </w:rPr>
        <w:t>-a</w:t>
      </w:r>
      <w:r w:rsidRPr="00C264CF">
        <w:rPr>
          <w:sz w:val="20"/>
        </w:rPr>
        <w:t xml:space="preserve">cute, </w:t>
      </w:r>
      <w:r>
        <w:rPr>
          <w:sz w:val="20"/>
        </w:rPr>
        <w:t>e</w:t>
      </w:r>
      <w:r w:rsidRPr="00C264CF">
        <w:rPr>
          <w:sz w:val="20"/>
        </w:rPr>
        <w:t xml:space="preserve">mergency and </w:t>
      </w:r>
      <w:r>
        <w:rPr>
          <w:sz w:val="20"/>
        </w:rPr>
        <w:t>n</w:t>
      </w:r>
      <w:r w:rsidRPr="00553B77">
        <w:rPr>
          <w:sz w:val="20"/>
        </w:rPr>
        <w:t>on-</w:t>
      </w:r>
      <w:r>
        <w:rPr>
          <w:sz w:val="20"/>
        </w:rPr>
        <w:t>a</w:t>
      </w:r>
      <w:r w:rsidRPr="00C264CF">
        <w:rPr>
          <w:sz w:val="20"/>
        </w:rPr>
        <w:t xml:space="preserve">dmitted (patient level) </w:t>
      </w:r>
      <w:r>
        <w:rPr>
          <w:sz w:val="20"/>
        </w:rPr>
        <w:t xml:space="preserve">NHCDC </w:t>
      </w:r>
      <w:r w:rsidRPr="00C264CF">
        <w:rPr>
          <w:sz w:val="20"/>
        </w:rPr>
        <w:t>products</w:t>
      </w:r>
      <w:r>
        <w:rPr>
          <w:sz w:val="20"/>
        </w:rPr>
        <w:t>. Non-patient level data was removed; and</w:t>
      </w:r>
    </w:p>
    <w:p w:rsidR="001E3CFA" w:rsidRPr="001E3CFA" w:rsidRDefault="001E3CFA" w:rsidP="00F26328">
      <w:pPr>
        <w:numPr>
          <w:ilvl w:val="0"/>
          <w:numId w:val="35"/>
        </w:numPr>
        <w:tabs>
          <w:tab w:val="clear" w:pos="340"/>
          <w:tab w:val="num" w:pos="680"/>
        </w:tabs>
        <w:spacing w:before="120" w:after="120" w:line="280" w:lineRule="atLeast"/>
        <w:ind w:left="680"/>
        <w:jc w:val="both"/>
        <w:rPr>
          <w:szCs w:val="22"/>
        </w:rPr>
      </w:pPr>
      <w:r>
        <w:rPr>
          <w:szCs w:val="22"/>
        </w:rPr>
        <w:t>Records allocated to the other product category related to dummy and virtual encounters which included aggregate non-admitted patient records and TTR (for example).</w:t>
      </w:r>
    </w:p>
    <w:p w:rsidR="00972129" w:rsidRPr="00975E6B" w:rsidRDefault="00972129" w:rsidP="00F26328">
      <w:pPr>
        <w:numPr>
          <w:ilvl w:val="0"/>
          <w:numId w:val="35"/>
        </w:numPr>
        <w:spacing w:before="120" w:after="120" w:line="280" w:lineRule="atLeast"/>
        <w:jc w:val="both"/>
        <w:rPr>
          <w:szCs w:val="22"/>
        </w:rPr>
      </w:pPr>
      <w:r w:rsidRPr="00975E6B">
        <w:rPr>
          <w:szCs w:val="22"/>
        </w:rPr>
        <w:t xml:space="preserve">Adjustments made by NSW Health relate to the </w:t>
      </w:r>
      <w:r w:rsidR="00EF0CBA">
        <w:rPr>
          <w:szCs w:val="22"/>
        </w:rPr>
        <w:t xml:space="preserve">activity associated with the </w:t>
      </w:r>
      <w:r w:rsidRPr="00975E6B">
        <w:rPr>
          <w:szCs w:val="22"/>
        </w:rPr>
        <w:t>exclusion of costs</w:t>
      </w:r>
      <w:r w:rsidR="004A564A" w:rsidRPr="00975E6B">
        <w:rPr>
          <w:szCs w:val="22"/>
        </w:rPr>
        <w:t xml:space="preserve"> (at Item G in the reconciliation)</w:t>
      </w:r>
      <w:r w:rsidRPr="00975E6B">
        <w:rPr>
          <w:szCs w:val="22"/>
        </w:rPr>
        <w:t xml:space="preserve"> </w:t>
      </w:r>
      <w:r w:rsidR="004A564A" w:rsidRPr="00975E6B">
        <w:rPr>
          <w:szCs w:val="22"/>
        </w:rPr>
        <w:t xml:space="preserve">such as </w:t>
      </w:r>
      <w:r w:rsidR="00A16D41">
        <w:rPr>
          <w:szCs w:val="22"/>
        </w:rPr>
        <w:t>n</w:t>
      </w:r>
      <w:r w:rsidR="004A564A" w:rsidRPr="00975E6B">
        <w:rPr>
          <w:szCs w:val="22"/>
        </w:rPr>
        <w:t>on-ABF facilities, ABF facility excluded encounters and ABF facility non-patient level products</w:t>
      </w:r>
      <w:r w:rsidRPr="00975E6B">
        <w:rPr>
          <w:szCs w:val="22"/>
        </w:rPr>
        <w:t>.</w:t>
      </w:r>
    </w:p>
    <w:p w:rsidR="00972129" w:rsidRDefault="00972129" w:rsidP="00F26328">
      <w:pPr>
        <w:numPr>
          <w:ilvl w:val="0"/>
          <w:numId w:val="65"/>
        </w:numPr>
        <w:spacing w:before="120" w:after="120" w:line="280" w:lineRule="atLeast"/>
        <w:jc w:val="both"/>
        <w:rPr>
          <w:szCs w:val="22"/>
        </w:rPr>
      </w:pPr>
      <w:r w:rsidRPr="00975E6B">
        <w:rPr>
          <w:szCs w:val="22"/>
        </w:rPr>
        <w:t xml:space="preserve">The adjustments made by IHPA relating to admitted emergency reallocations </w:t>
      </w:r>
      <w:r w:rsidR="004A564A" w:rsidRPr="00975E6B">
        <w:rPr>
          <w:szCs w:val="22"/>
        </w:rPr>
        <w:t xml:space="preserve">for reporting and analysis purposes </w:t>
      </w:r>
      <w:r w:rsidRPr="00975E6B">
        <w:rPr>
          <w:szCs w:val="22"/>
        </w:rPr>
        <w:t>(as discussed in Item J of the explanation of reconciliation items) has no impact on the reported activity.</w:t>
      </w:r>
    </w:p>
    <w:p w:rsidR="00972129" w:rsidRPr="00975E6B" w:rsidRDefault="00972129" w:rsidP="003B387A">
      <w:pPr>
        <w:pStyle w:val="Heading3"/>
        <w:numPr>
          <w:ilvl w:val="2"/>
          <w:numId w:val="77"/>
        </w:numPr>
      </w:pPr>
      <w:r w:rsidRPr="006C3F19">
        <w:t>Treatment</w:t>
      </w:r>
      <w:r w:rsidRPr="00975E6B">
        <w:t xml:space="preserve"> of WIP</w:t>
      </w:r>
    </w:p>
    <w:p w:rsidR="000003F9" w:rsidRPr="00471E5C" w:rsidRDefault="00495054" w:rsidP="004D5F7B">
      <w:pPr>
        <w:spacing w:before="120" w:after="120" w:line="280" w:lineRule="atLeast"/>
        <w:jc w:val="both"/>
        <w:rPr>
          <w:bCs/>
        </w:rPr>
      </w:pPr>
      <w:r>
        <w:rPr>
          <w:bCs/>
        </w:rPr>
        <w:fldChar w:fldCharType="begin"/>
      </w:r>
      <w:r>
        <w:rPr>
          <w:bCs/>
        </w:rPr>
        <w:instrText xml:space="preserve"> REF _Ref444515640 \h </w:instrText>
      </w:r>
      <w:r>
        <w:rPr>
          <w:bCs/>
        </w:rPr>
      </w:r>
      <w:r>
        <w:rPr>
          <w:bCs/>
        </w:rPr>
        <w:fldChar w:fldCharType="separate"/>
      </w:r>
      <w:r w:rsidR="00154CF7">
        <w:t xml:space="preserve">Table </w:t>
      </w:r>
      <w:r w:rsidR="00154CF7">
        <w:rPr>
          <w:noProof/>
        </w:rPr>
        <w:t>8</w:t>
      </w:r>
      <w:r>
        <w:rPr>
          <w:bCs/>
        </w:rPr>
        <w:fldChar w:fldCharType="end"/>
      </w:r>
      <w:r w:rsidR="00982459">
        <w:rPr>
          <w:bCs/>
        </w:rPr>
        <w:t xml:space="preserve"> demonstrates </w:t>
      </w:r>
      <w:r w:rsidR="00972129" w:rsidRPr="00471E5C">
        <w:rPr>
          <w:bCs/>
        </w:rPr>
        <w:t>models for WIP and what was included in the Western Sydney LHD Round 18 NHCDC submission.</w:t>
      </w:r>
      <w:bookmarkStart w:id="679" w:name="_Ref435380904"/>
    </w:p>
    <w:p w:rsidR="00972129" w:rsidRPr="00982459" w:rsidRDefault="00F44ED5" w:rsidP="00040389">
      <w:pPr>
        <w:pStyle w:val="Caption"/>
        <w:pageBreakBefore/>
      </w:pPr>
      <w:bookmarkStart w:id="680" w:name="_Ref444515640"/>
      <w:bookmarkEnd w:id="679"/>
      <w:r>
        <w:lastRenderedPageBreak/>
        <w:t xml:space="preserve">Table </w:t>
      </w:r>
      <w:fldSimple w:instr=" SEQ Table \* ARABIC ">
        <w:r w:rsidR="00154CF7">
          <w:rPr>
            <w:noProof/>
          </w:rPr>
          <w:t>8</w:t>
        </w:r>
      </w:fldSimple>
      <w:bookmarkEnd w:id="680"/>
      <w:r>
        <w:t xml:space="preserve"> </w:t>
      </w:r>
      <w:r w:rsidR="00972129" w:rsidRPr="00975E6B">
        <w:t>– WIP – Western Sydney LHD</w:t>
      </w:r>
    </w:p>
    <w:tbl>
      <w:tblPr>
        <w:tblStyle w:val="ListTable4-Accent11"/>
        <w:tblW w:w="5000" w:type="pct"/>
        <w:tblLayout w:type="fixed"/>
        <w:tblLook w:val="0620" w:firstRow="1" w:lastRow="0" w:firstColumn="0" w:lastColumn="0" w:noHBand="1" w:noVBand="1"/>
        <w:tblCaption w:val="Table 8 - Models for Work In Progress - Western Sydney LHD"/>
        <w:tblDescription w:val="This table describes the models for Work In Progress and how that applied to Western Sydney LHD.  The first column is the model number, the second column is the description and the third column is how that model was applied for the relevant hospital."/>
      </w:tblPr>
      <w:tblGrid>
        <w:gridCol w:w="874"/>
        <w:gridCol w:w="4216"/>
        <w:gridCol w:w="3631"/>
      </w:tblGrid>
      <w:tr w:rsidR="00972129" w:rsidRPr="00975E6B" w:rsidTr="00E14378">
        <w:trPr>
          <w:cnfStyle w:val="100000000000" w:firstRow="1" w:lastRow="0" w:firstColumn="0" w:lastColumn="0" w:oddVBand="0" w:evenVBand="0" w:oddHBand="0" w:evenHBand="0" w:firstRowFirstColumn="0" w:firstRowLastColumn="0" w:lastRowFirstColumn="0" w:lastRowLastColumn="0"/>
          <w:tblHeader/>
        </w:trPr>
        <w:tc>
          <w:tcPr>
            <w:tcW w:w="501" w:type="pct"/>
            <w:tcBorders>
              <w:right w:val="single" w:sz="4" w:space="0" w:color="548DD4" w:themeColor="text2" w:themeTint="99"/>
            </w:tcBorders>
            <w:shd w:val="clear" w:color="auto" w:fill="002060"/>
            <w:noWrap/>
          </w:tcPr>
          <w:p w:rsidR="00972129" w:rsidRPr="00975E6B" w:rsidRDefault="00972129" w:rsidP="00972129">
            <w:r w:rsidRPr="00975E6B">
              <w:t>Model</w:t>
            </w:r>
          </w:p>
        </w:tc>
        <w:tc>
          <w:tcPr>
            <w:tcW w:w="2417" w:type="pct"/>
            <w:tcBorders>
              <w:left w:val="single" w:sz="4" w:space="0" w:color="548DD4" w:themeColor="text2" w:themeTint="99"/>
            </w:tcBorders>
            <w:shd w:val="clear" w:color="auto" w:fill="002060"/>
          </w:tcPr>
          <w:p w:rsidR="00972129" w:rsidRPr="00975E6B" w:rsidRDefault="00972129" w:rsidP="00972129">
            <w:r w:rsidRPr="00975E6B">
              <w:t>Description</w:t>
            </w:r>
          </w:p>
        </w:tc>
        <w:tc>
          <w:tcPr>
            <w:tcW w:w="2082" w:type="pct"/>
            <w:tcBorders>
              <w:left w:val="single" w:sz="4" w:space="0" w:color="548DD4" w:themeColor="text2" w:themeTint="99"/>
            </w:tcBorders>
            <w:shd w:val="clear" w:color="auto" w:fill="002060"/>
          </w:tcPr>
          <w:p w:rsidR="00972129" w:rsidRPr="00975E6B" w:rsidRDefault="00972129" w:rsidP="00972129">
            <w:pPr>
              <w:jc w:val="center"/>
            </w:pPr>
            <w:r w:rsidRPr="00975E6B">
              <w:t>Submitted to Round 18 NHCDC</w:t>
            </w:r>
          </w:p>
        </w:tc>
      </w:tr>
      <w:tr w:rsidR="00972129" w:rsidRPr="00975E6B" w:rsidTr="00972129">
        <w:tc>
          <w:tcPr>
            <w:tcW w:w="501" w:type="pct"/>
            <w:tcBorders>
              <w:right w:val="single" w:sz="4" w:space="0" w:color="548DD4" w:themeColor="text2" w:themeTint="99"/>
            </w:tcBorders>
            <w:noWrap/>
          </w:tcPr>
          <w:p w:rsidR="00972129" w:rsidRPr="00975E6B" w:rsidRDefault="00972129" w:rsidP="00972129">
            <w:pPr>
              <w:jc w:val="center"/>
            </w:pPr>
            <w:r w:rsidRPr="00975E6B">
              <w:t>1</w:t>
            </w:r>
          </w:p>
        </w:tc>
        <w:tc>
          <w:tcPr>
            <w:tcW w:w="2417" w:type="pct"/>
            <w:tcBorders>
              <w:left w:val="single" w:sz="4" w:space="0" w:color="548DD4" w:themeColor="text2" w:themeTint="99"/>
            </w:tcBorders>
          </w:tcPr>
          <w:p w:rsidR="00972129" w:rsidRPr="00975E6B" w:rsidRDefault="00972129" w:rsidP="00972129">
            <w:r w:rsidRPr="00975E6B">
              <w:t>Admitted and Discharged Patients in 2013/14 only</w:t>
            </w:r>
          </w:p>
        </w:tc>
        <w:tc>
          <w:tcPr>
            <w:tcW w:w="2082" w:type="pct"/>
            <w:tcBorders>
              <w:left w:val="single" w:sz="4" w:space="0" w:color="548DD4" w:themeColor="text2" w:themeTint="99"/>
            </w:tcBorders>
          </w:tcPr>
          <w:p w:rsidR="00972129" w:rsidRPr="00975E6B" w:rsidRDefault="00972129" w:rsidP="00972129">
            <w:pPr>
              <w:jc w:val="center"/>
            </w:pPr>
            <w:r w:rsidRPr="00975E6B">
              <w:t>Submitted to Round 18 of the NHCDC</w:t>
            </w:r>
          </w:p>
        </w:tc>
      </w:tr>
      <w:tr w:rsidR="00972129" w:rsidRPr="00975E6B" w:rsidTr="00972129">
        <w:tc>
          <w:tcPr>
            <w:tcW w:w="501" w:type="pct"/>
            <w:tcBorders>
              <w:right w:val="single" w:sz="4" w:space="0" w:color="548DD4" w:themeColor="text2" w:themeTint="99"/>
            </w:tcBorders>
            <w:noWrap/>
          </w:tcPr>
          <w:p w:rsidR="00972129" w:rsidRPr="00975E6B" w:rsidRDefault="00972129" w:rsidP="00972129">
            <w:pPr>
              <w:jc w:val="center"/>
            </w:pPr>
            <w:r w:rsidRPr="00975E6B">
              <w:t>2</w:t>
            </w:r>
          </w:p>
        </w:tc>
        <w:tc>
          <w:tcPr>
            <w:tcW w:w="2417" w:type="pct"/>
            <w:tcBorders>
              <w:left w:val="single" w:sz="4" w:space="0" w:color="548DD4" w:themeColor="text2" w:themeTint="99"/>
            </w:tcBorders>
          </w:tcPr>
          <w:p w:rsidR="00972129" w:rsidRPr="00975E6B" w:rsidRDefault="00972129" w:rsidP="00972129">
            <w:r w:rsidRPr="00975E6B">
              <w:t>Costs for patients discharged in 2013/14 but admitted prior to 2013/14</w:t>
            </w:r>
          </w:p>
        </w:tc>
        <w:tc>
          <w:tcPr>
            <w:tcW w:w="2082" w:type="pct"/>
            <w:tcBorders>
              <w:left w:val="single" w:sz="4" w:space="0" w:color="548DD4" w:themeColor="text2" w:themeTint="99"/>
            </w:tcBorders>
          </w:tcPr>
          <w:p w:rsidR="00972129" w:rsidRPr="00975E6B" w:rsidRDefault="00972129" w:rsidP="00972129">
            <w:pPr>
              <w:jc w:val="center"/>
            </w:pPr>
            <w:r w:rsidRPr="00975E6B">
              <w:t>Submitted to Round 18 of the NHCDC. Costs are submitted from 2011/12 and escalated.</w:t>
            </w:r>
          </w:p>
        </w:tc>
      </w:tr>
      <w:tr w:rsidR="00972129" w:rsidRPr="00975E6B" w:rsidTr="00972129">
        <w:tc>
          <w:tcPr>
            <w:tcW w:w="501" w:type="pct"/>
            <w:tcBorders>
              <w:right w:val="single" w:sz="4" w:space="0" w:color="548DD4" w:themeColor="text2" w:themeTint="99"/>
            </w:tcBorders>
            <w:noWrap/>
          </w:tcPr>
          <w:p w:rsidR="00972129" w:rsidRPr="00975E6B" w:rsidRDefault="00972129" w:rsidP="00972129">
            <w:pPr>
              <w:jc w:val="center"/>
            </w:pPr>
            <w:r w:rsidRPr="00975E6B">
              <w:t>3</w:t>
            </w:r>
          </w:p>
        </w:tc>
        <w:tc>
          <w:tcPr>
            <w:tcW w:w="2417" w:type="pct"/>
            <w:tcBorders>
              <w:left w:val="single" w:sz="4" w:space="0" w:color="548DD4" w:themeColor="text2" w:themeTint="99"/>
            </w:tcBorders>
          </w:tcPr>
          <w:p w:rsidR="00972129" w:rsidRPr="00975E6B" w:rsidRDefault="00972129" w:rsidP="00972129">
            <w:r w:rsidRPr="00975E6B">
              <w:t>Costs for patients admitted prior to or in 2013/14 and remain admitted at 30/06/2014</w:t>
            </w:r>
          </w:p>
        </w:tc>
        <w:tc>
          <w:tcPr>
            <w:tcW w:w="2082" w:type="pct"/>
            <w:tcBorders>
              <w:left w:val="single" w:sz="4" w:space="0" w:color="548DD4" w:themeColor="text2" w:themeTint="99"/>
            </w:tcBorders>
          </w:tcPr>
          <w:p w:rsidR="00972129" w:rsidRPr="00975E6B" w:rsidRDefault="00972129" w:rsidP="00972129">
            <w:pPr>
              <w:jc w:val="center"/>
            </w:pPr>
            <w:r w:rsidRPr="00975E6B">
              <w:t>Not submitted to Round 18 of the NHCDC</w:t>
            </w:r>
          </w:p>
        </w:tc>
      </w:tr>
      <w:tr w:rsidR="00972129" w:rsidRPr="00975E6B" w:rsidTr="00972129">
        <w:tc>
          <w:tcPr>
            <w:tcW w:w="501" w:type="pct"/>
            <w:tcBorders>
              <w:right w:val="single" w:sz="4" w:space="0" w:color="548DD4" w:themeColor="text2" w:themeTint="99"/>
            </w:tcBorders>
            <w:noWrap/>
          </w:tcPr>
          <w:p w:rsidR="00972129" w:rsidRPr="00975E6B" w:rsidRDefault="00972129" w:rsidP="00972129">
            <w:pPr>
              <w:jc w:val="center"/>
            </w:pPr>
            <w:r w:rsidRPr="00975E6B">
              <w:t>4</w:t>
            </w:r>
          </w:p>
        </w:tc>
        <w:tc>
          <w:tcPr>
            <w:tcW w:w="2417" w:type="pct"/>
            <w:tcBorders>
              <w:left w:val="single" w:sz="4" w:space="0" w:color="548DD4" w:themeColor="text2" w:themeTint="99"/>
            </w:tcBorders>
          </w:tcPr>
          <w:p w:rsidR="00972129" w:rsidRPr="00975E6B" w:rsidRDefault="00972129" w:rsidP="00972129">
            <w:r w:rsidRPr="00975E6B">
              <w:t>Costs for patients admitted prior to 2013/14 and still admitted at 30/06/2014</w:t>
            </w:r>
          </w:p>
        </w:tc>
        <w:tc>
          <w:tcPr>
            <w:tcW w:w="2082" w:type="pct"/>
            <w:tcBorders>
              <w:left w:val="single" w:sz="4" w:space="0" w:color="548DD4" w:themeColor="text2" w:themeTint="99"/>
            </w:tcBorders>
          </w:tcPr>
          <w:p w:rsidR="00972129" w:rsidRPr="00975E6B" w:rsidRDefault="00972129" w:rsidP="00972129">
            <w:pPr>
              <w:jc w:val="center"/>
            </w:pPr>
            <w:r w:rsidRPr="00975E6B">
              <w:t>Not submitted to Round 18 of the NHCDC</w:t>
            </w:r>
          </w:p>
        </w:tc>
      </w:tr>
    </w:tbl>
    <w:p w:rsidR="00972129" w:rsidRPr="00975E6B" w:rsidRDefault="00972129" w:rsidP="00972129">
      <w:pPr>
        <w:rPr>
          <w:bCs/>
          <w:i/>
          <w:sz w:val="16"/>
          <w:szCs w:val="16"/>
        </w:rPr>
      </w:pPr>
      <w:r w:rsidRPr="00975E6B">
        <w:rPr>
          <w:bCs/>
          <w:i/>
          <w:sz w:val="16"/>
          <w:szCs w:val="16"/>
        </w:rPr>
        <w:t xml:space="preserve">Source: KPMG, based on Western Sydney LHD templates and review discussions </w:t>
      </w:r>
    </w:p>
    <w:p w:rsidR="00972129" w:rsidRPr="00975E6B" w:rsidRDefault="00972129" w:rsidP="00972129">
      <w:pPr>
        <w:spacing w:before="120" w:after="120" w:line="280" w:lineRule="atLeast"/>
        <w:jc w:val="both"/>
        <w:rPr>
          <w:szCs w:val="22"/>
        </w:rPr>
      </w:pPr>
      <w:r w:rsidRPr="00975E6B">
        <w:rPr>
          <w:szCs w:val="22"/>
        </w:rPr>
        <w:t>In summary, for Western Sydney LHD, NSW Health submitted</w:t>
      </w:r>
      <w:r w:rsidR="00B7080E" w:rsidRPr="00975E6B">
        <w:rPr>
          <w:szCs w:val="22"/>
        </w:rPr>
        <w:t xml:space="preserve"> WIP</w:t>
      </w:r>
      <w:r w:rsidRPr="00975E6B">
        <w:rPr>
          <w:szCs w:val="22"/>
        </w:rPr>
        <w:t xml:space="preserve"> costs for admitted and discharged patients in 2013/14 and </w:t>
      </w:r>
      <w:r w:rsidR="00B7080E" w:rsidRPr="00975E6B">
        <w:rPr>
          <w:szCs w:val="22"/>
        </w:rPr>
        <w:t xml:space="preserve">WIP </w:t>
      </w:r>
      <w:r w:rsidRPr="00975E6B">
        <w:rPr>
          <w:szCs w:val="22"/>
        </w:rPr>
        <w:t>costs for 2011/12 and 2012/13 for those patients admitted prior to, but discharged, in 2013/14.</w:t>
      </w:r>
    </w:p>
    <w:p w:rsidR="00972129" w:rsidRPr="00975E6B" w:rsidRDefault="00972129" w:rsidP="006C3F19">
      <w:pPr>
        <w:pStyle w:val="Heading4"/>
        <w:numPr>
          <w:ilvl w:val="0"/>
          <w:numId w:val="0"/>
        </w:numPr>
        <w:ind w:left="720" w:hanging="720"/>
      </w:pPr>
      <w:r w:rsidRPr="00975E6B">
        <w:t>Escalation factor</w:t>
      </w:r>
    </w:p>
    <w:p w:rsidR="00972129" w:rsidRPr="00975E6B" w:rsidRDefault="00972129" w:rsidP="00972129">
      <w:pPr>
        <w:spacing w:before="120" w:after="120" w:line="280" w:lineRule="atLeast"/>
        <w:jc w:val="both"/>
        <w:rPr>
          <w:szCs w:val="22"/>
        </w:rPr>
      </w:pPr>
      <w:r w:rsidRPr="00975E6B">
        <w:rPr>
          <w:szCs w:val="22"/>
        </w:rPr>
        <w:t>NSW Health applied the escalation factors provided by IHPA for prior years to the costs associated with WIP as part of the Round 18 submission to the NHCDC for Western Sydney LHD.</w:t>
      </w:r>
    </w:p>
    <w:p w:rsidR="00972129" w:rsidRPr="00975E6B" w:rsidRDefault="00972129" w:rsidP="003B387A">
      <w:pPr>
        <w:pStyle w:val="Heading3"/>
        <w:numPr>
          <w:ilvl w:val="2"/>
          <w:numId w:val="77"/>
        </w:numPr>
      </w:pPr>
      <w:r w:rsidRPr="006C3F19">
        <w:t>Treatment</w:t>
      </w:r>
      <w:r w:rsidRPr="00975E6B">
        <w:t xml:space="preserve"> of specific items</w:t>
      </w:r>
    </w:p>
    <w:p w:rsidR="00972129" w:rsidRPr="00975E6B" w:rsidRDefault="00972129" w:rsidP="00972129">
      <w:r w:rsidRPr="00975E6B">
        <w:t xml:space="preserve">The following items were discussed during the reviews to understand their treatment in the costing process as the cost data is used to inform the NEP and specific funding model adjustments for particular patient cohorts. Western Sydney LHD’s treatment of each of the items is highlighted below. </w:t>
      </w:r>
      <w:r w:rsidR="00213482" w:rsidRPr="00975E6B">
        <w:t>It should be noted that Western Sydney LHD costing staff acknowledged that they cost according to the NSW Health costing guidelines</w:t>
      </w:r>
      <w:r w:rsidR="00A61A7F" w:rsidRPr="00975E6B">
        <w:t xml:space="preserve"> and the jurisdiction stated that where possible the NSW guidelines comply with the AHPCS</w:t>
      </w:r>
      <w:r w:rsidR="00213482" w:rsidRPr="00975E6B">
        <w:t>.</w:t>
      </w:r>
    </w:p>
    <w:p w:rsidR="00972129" w:rsidRPr="00975E6B" w:rsidRDefault="00972129" w:rsidP="00972129">
      <w:pPr>
        <w:keepNext/>
        <w:spacing w:before="120" w:after="120"/>
        <w:rPr>
          <w:bCs/>
          <w:i/>
        </w:rPr>
      </w:pPr>
      <w:r w:rsidRPr="00975E6B">
        <w:rPr>
          <w:bCs/>
          <w:i/>
        </w:rPr>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9</w:t>
      </w:r>
      <w:r w:rsidRPr="00975E6B">
        <w:rPr>
          <w:bCs/>
          <w:i/>
          <w:noProof/>
        </w:rPr>
        <w:fldChar w:fldCharType="end"/>
      </w:r>
      <w:r w:rsidRPr="00975E6B">
        <w:rPr>
          <w:bCs/>
          <w:i/>
        </w:rPr>
        <w:t xml:space="preserve"> – Treatment of specific items – Western Sydney LHD</w:t>
      </w:r>
    </w:p>
    <w:tbl>
      <w:tblPr>
        <w:tblStyle w:val="ListTable4-Accent11"/>
        <w:tblW w:w="5000" w:type="pct"/>
        <w:tblLayout w:type="fixed"/>
        <w:tblLook w:val="0620" w:firstRow="1" w:lastRow="0" w:firstColumn="0" w:lastColumn="0" w:noHBand="1" w:noVBand="1"/>
        <w:tblCaption w:val="Table 9 - Treatment of specific items - Western Sydney LHD"/>
        <w:tblDescription w:val="This table describes how Western Sydney LHD treated specific items in their Round 18 NHCDC Submission.  The first column is the item and the second column is the description of the treatment."/>
      </w:tblPr>
      <w:tblGrid>
        <w:gridCol w:w="3342"/>
        <w:gridCol w:w="5379"/>
      </w:tblGrid>
      <w:tr w:rsidR="00972129" w:rsidRPr="00975E6B" w:rsidTr="00E14378">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tcPr>
          <w:p w:rsidR="00972129" w:rsidRPr="00975E6B" w:rsidRDefault="00972129" w:rsidP="00972129">
            <w:r w:rsidRPr="00975E6B">
              <w:t>Item</w:t>
            </w:r>
          </w:p>
        </w:tc>
        <w:tc>
          <w:tcPr>
            <w:tcW w:w="3084" w:type="pct"/>
            <w:tcBorders>
              <w:left w:val="single" w:sz="4" w:space="0" w:color="548DD4" w:themeColor="text2" w:themeTint="99"/>
            </w:tcBorders>
            <w:shd w:val="clear" w:color="auto" w:fill="002060"/>
          </w:tcPr>
          <w:p w:rsidR="00972129" w:rsidRPr="00975E6B" w:rsidRDefault="00972129" w:rsidP="00972129">
            <w:r w:rsidRPr="00975E6B">
              <w:t>Treatment</w:t>
            </w:r>
          </w:p>
        </w:tc>
      </w:tr>
      <w:tr w:rsidR="00972129" w:rsidRPr="00975E6B" w:rsidTr="00972129">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t>Research</w:t>
            </w:r>
          </w:p>
        </w:tc>
        <w:tc>
          <w:tcPr>
            <w:tcW w:w="3084"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Research costs are assigned to a product. However are excluded from NHCDC submission.</w:t>
            </w:r>
          </w:p>
        </w:tc>
      </w:tr>
      <w:tr w:rsidR="00972129" w:rsidRPr="00975E6B" w:rsidTr="00972129">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t>Teaching and Training</w:t>
            </w:r>
          </w:p>
        </w:tc>
        <w:tc>
          <w:tcPr>
            <w:tcW w:w="3084"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Teaching and Training costs are assigned to a product. However are excluded from NHCDC submission.</w:t>
            </w:r>
          </w:p>
        </w:tc>
      </w:tr>
      <w:tr w:rsidR="00972129" w:rsidRPr="00975E6B" w:rsidTr="00972129">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t>Shared/Other commercial entities</w:t>
            </w:r>
          </w:p>
        </w:tc>
        <w:tc>
          <w:tcPr>
            <w:tcW w:w="3084"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Expenditure is excluded by the LHD</w:t>
            </w:r>
            <w:r w:rsidR="00887E43">
              <w:rPr>
                <w:szCs w:val="22"/>
              </w:rPr>
              <w:t xml:space="preserve"> by allocating it to a non-patient product.</w:t>
            </w:r>
          </w:p>
        </w:tc>
      </w:tr>
      <w:tr w:rsidR="00972129" w:rsidRPr="00975E6B" w:rsidTr="00972129">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t xml:space="preserve">Intensive Care Unit </w:t>
            </w:r>
          </w:p>
        </w:tc>
        <w:tc>
          <w:tcPr>
            <w:tcW w:w="3084"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No change to the costing methodology. No ICU weights or adjustments made.</w:t>
            </w:r>
          </w:p>
        </w:tc>
      </w:tr>
      <w:tr w:rsidR="00972129" w:rsidRPr="00975E6B" w:rsidTr="00972129">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t>Aboriginal Torres Strait Islander patients</w:t>
            </w:r>
          </w:p>
        </w:tc>
        <w:tc>
          <w:tcPr>
            <w:tcW w:w="3084"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No change to the costing methodology. No ATSI weights or adjustments made. Costs based on resources linked.</w:t>
            </w:r>
          </w:p>
        </w:tc>
      </w:tr>
      <w:tr w:rsidR="00972129" w:rsidRPr="00975E6B" w:rsidTr="00972129">
        <w:trPr>
          <w:trHeight w:val="516"/>
        </w:trPr>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lastRenderedPageBreak/>
              <w:t xml:space="preserve">Private Patients </w:t>
            </w:r>
          </w:p>
        </w:tc>
        <w:tc>
          <w:tcPr>
            <w:tcW w:w="3084" w:type="pct"/>
            <w:tcBorders>
              <w:left w:val="single" w:sz="4" w:space="0" w:color="548DD4" w:themeColor="text2" w:themeTint="99"/>
            </w:tcBorders>
          </w:tcPr>
          <w:p w:rsidR="00972129" w:rsidRPr="00975E6B" w:rsidRDefault="00DF5FC7" w:rsidP="00972129">
            <w:pPr>
              <w:spacing w:before="120" w:after="120" w:line="280" w:lineRule="atLeast"/>
              <w:rPr>
                <w:szCs w:val="22"/>
              </w:rPr>
            </w:pPr>
            <w:r w:rsidRPr="00975E6B">
              <w:rPr>
                <w:szCs w:val="22"/>
              </w:rPr>
              <w:t xml:space="preserve">No change to the costing methodology. </w:t>
            </w:r>
            <w:r w:rsidRPr="00DF5FC7">
              <w:rPr>
                <w:szCs w:val="22"/>
              </w:rPr>
              <w:t>VMO costs are not allocated to private patients</w:t>
            </w:r>
            <w:r w:rsidR="00873964">
              <w:rPr>
                <w:szCs w:val="22"/>
              </w:rPr>
              <w:t xml:space="preserve">. </w:t>
            </w:r>
            <w:r w:rsidRPr="00DF5FC7">
              <w:rPr>
                <w:szCs w:val="22"/>
              </w:rPr>
              <w:t>No private patient weights or adjustments</w:t>
            </w:r>
            <w:r>
              <w:rPr>
                <w:szCs w:val="22"/>
              </w:rPr>
              <w:t xml:space="preserve"> are made for staff specialists.</w:t>
            </w:r>
          </w:p>
        </w:tc>
      </w:tr>
      <w:tr w:rsidR="00972129" w:rsidRPr="00975E6B" w:rsidTr="00972129">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t>Pharmaceutical Benefits Scheme drugs</w:t>
            </w:r>
          </w:p>
        </w:tc>
        <w:tc>
          <w:tcPr>
            <w:tcW w:w="3084" w:type="pct"/>
            <w:tcBorders>
              <w:left w:val="single" w:sz="4" w:space="0" w:color="548DD4" w:themeColor="text2" w:themeTint="99"/>
            </w:tcBorders>
          </w:tcPr>
          <w:p w:rsidR="00887E43" w:rsidRPr="00887E43" w:rsidRDefault="00887E43" w:rsidP="00887E43">
            <w:pPr>
              <w:spacing w:before="120" w:after="120" w:line="280" w:lineRule="atLeast"/>
              <w:rPr>
                <w:szCs w:val="22"/>
              </w:rPr>
            </w:pPr>
            <w:r w:rsidRPr="00887E43">
              <w:rPr>
                <w:szCs w:val="22"/>
              </w:rPr>
              <w:t>NSW is not a signatory to the PBS Agreement so distinction between PBS and Non-PBS is not applicable.</w:t>
            </w:r>
          </w:p>
          <w:p w:rsidR="00972129" w:rsidRPr="00975E6B" w:rsidRDefault="00887E43" w:rsidP="00616472">
            <w:pPr>
              <w:spacing w:before="120" w:after="120" w:line="280" w:lineRule="atLeast"/>
              <w:rPr>
                <w:szCs w:val="22"/>
              </w:rPr>
            </w:pPr>
            <w:r w:rsidRPr="00887E43">
              <w:rPr>
                <w:szCs w:val="22"/>
              </w:rPr>
              <w:t xml:space="preserve">S100 drugs are not allocated to </w:t>
            </w:r>
            <w:r w:rsidR="00873964">
              <w:rPr>
                <w:szCs w:val="22"/>
              </w:rPr>
              <w:t>non-admitted</w:t>
            </w:r>
            <w:r w:rsidRPr="00887E43">
              <w:rPr>
                <w:szCs w:val="22"/>
              </w:rPr>
              <w:t xml:space="preserve"> service events.</w:t>
            </w:r>
          </w:p>
        </w:tc>
      </w:tr>
    </w:tbl>
    <w:p w:rsidR="00972129" w:rsidRPr="00975E6B" w:rsidRDefault="00972129" w:rsidP="00972129">
      <w:pPr>
        <w:rPr>
          <w:bCs/>
          <w:i/>
          <w:sz w:val="16"/>
          <w:szCs w:val="16"/>
        </w:rPr>
      </w:pPr>
      <w:r w:rsidRPr="00975E6B">
        <w:rPr>
          <w:bCs/>
          <w:i/>
          <w:sz w:val="16"/>
          <w:szCs w:val="16"/>
        </w:rPr>
        <w:t>Source: KPMG based on IFR discussions</w:t>
      </w:r>
    </w:p>
    <w:p w:rsidR="00972129" w:rsidRPr="00975E6B" w:rsidRDefault="00972129" w:rsidP="003B387A">
      <w:pPr>
        <w:pStyle w:val="Heading3"/>
        <w:numPr>
          <w:ilvl w:val="2"/>
          <w:numId w:val="77"/>
        </w:numPr>
      </w:pPr>
      <w:r w:rsidRPr="006C3F19">
        <w:t>Sample</w:t>
      </w:r>
      <w:r w:rsidRPr="00975E6B">
        <w:t xml:space="preserve"> patient data</w:t>
      </w:r>
    </w:p>
    <w:p w:rsidR="00972129" w:rsidRPr="00975E6B" w:rsidRDefault="00972129" w:rsidP="00972129">
      <w:pPr>
        <w:spacing w:before="120" w:after="120" w:line="280" w:lineRule="atLeast"/>
        <w:jc w:val="both"/>
        <w:rPr>
          <w:szCs w:val="22"/>
        </w:rPr>
      </w:pPr>
      <w:r w:rsidRPr="00975E6B">
        <w:rPr>
          <w:szCs w:val="22"/>
        </w:rPr>
        <w:t>IHPA selected a sample of five patients from Western Sydney LHD for the purposes of testing the data flow from jurisdictions to IHPA at the patient level. NSW Health provided the patient level costs for all five patients and these reconciled to IHPA records. The results are summarised in</w:t>
      </w:r>
      <w:r w:rsidR="00851875" w:rsidRPr="00975E6B">
        <w:rPr>
          <w:szCs w:val="22"/>
        </w:rPr>
        <w:t xml:space="preserve"> </w:t>
      </w:r>
      <w:r w:rsidR="00851875" w:rsidRPr="00975E6B">
        <w:rPr>
          <w:szCs w:val="22"/>
        </w:rPr>
        <w:fldChar w:fldCharType="begin"/>
      </w:r>
      <w:r w:rsidR="00851875" w:rsidRPr="00975E6B">
        <w:rPr>
          <w:szCs w:val="22"/>
        </w:rPr>
        <w:instrText xml:space="preserve"> REF _Ref435381001 \h  \* MERGEFORMAT </w:instrText>
      </w:r>
      <w:r w:rsidR="00851875" w:rsidRPr="00975E6B">
        <w:rPr>
          <w:szCs w:val="22"/>
        </w:rPr>
      </w:r>
      <w:r w:rsidR="00851875" w:rsidRPr="00975E6B">
        <w:rPr>
          <w:szCs w:val="22"/>
        </w:rPr>
        <w:fldChar w:fldCharType="separate"/>
      </w:r>
      <w:r w:rsidR="00154CF7" w:rsidRPr="00154CF7">
        <w:rPr>
          <w:bCs/>
        </w:rPr>
        <w:t xml:space="preserve">Table </w:t>
      </w:r>
      <w:r w:rsidR="00154CF7" w:rsidRPr="00154CF7">
        <w:rPr>
          <w:bCs/>
          <w:noProof/>
        </w:rPr>
        <w:t>10</w:t>
      </w:r>
      <w:r w:rsidR="00851875" w:rsidRPr="00975E6B">
        <w:rPr>
          <w:szCs w:val="22"/>
        </w:rPr>
        <w:fldChar w:fldCharType="end"/>
      </w:r>
      <w:r w:rsidRPr="00975E6B">
        <w:rPr>
          <w:szCs w:val="22"/>
        </w:rPr>
        <w:t>.</w:t>
      </w:r>
    </w:p>
    <w:p w:rsidR="00972129" w:rsidRDefault="00972129" w:rsidP="00972129">
      <w:pPr>
        <w:keepNext/>
        <w:spacing w:before="120" w:after="120"/>
        <w:rPr>
          <w:bCs/>
          <w:i/>
        </w:rPr>
      </w:pPr>
      <w:bookmarkStart w:id="681" w:name="_Ref435381001"/>
      <w:r w:rsidRPr="00975E6B">
        <w:rPr>
          <w:bCs/>
          <w:i/>
        </w:rPr>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10</w:t>
      </w:r>
      <w:r w:rsidRPr="00975E6B">
        <w:rPr>
          <w:bCs/>
          <w:i/>
          <w:noProof/>
        </w:rPr>
        <w:fldChar w:fldCharType="end"/>
      </w:r>
      <w:bookmarkEnd w:id="681"/>
      <w:r w:rsidRPr="00975E6B">
        <w:rPr>
          <w:bCs/>
          <w:i/>
        </w:rPr>
        <w:t xml:space="preserve"> – Sample patients – Western Sydney LHD</w:t>
      </w:r>
    </w:p>
    <w:tbl>
      <w:tblPr>
        <w:tblW w:w="5000" w:type="pct"/>
        <w:tblLook w:val="04A0" w:firstRow="1" w:lastRow="0" w:firstColumn="1" w:lastColumn="0" w:noHBand="0" w:noVBand="1"/>
        <w:tblCaption w:val="Table 10 - Sample patients - Western Sydney LHD"/>
        <w:tblDescription w:val="This table presents the results of the 5 sample patients tested for the data flow from jurisdictions to IHPA at the patient level for Western Sydney LHD. There are 5 columns.  Column 1 is the sample number, Column 2 is the product type, column 3 is the amount in  jurisdiction records, Column 4 is the amount received by IHPA and Column 5 is the variance between jurisdiction and IHPA."/>
      </w:tblPr>
      <w:tblGrid>
        <w:gridCol w:w="507"/>
        <w:gridCol w:w="2275"/>
        <w:gridCol w:w="2275"/>
        <w:gridCol w:w="2274"/>
        <w:gridCol w:w="1390"/>
      </w:tblGrid>
      <w:tr w:rsidR="003940A4" w:rsidRPr="003940A4" w:rsidTr="00E14378">
        <w:trPr>
          <w:trHeight w:val="260"/>
        </w:trPr>
        <w:tc>
          <w:tcPr>
            <w:tcW w:w="290"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3940A4" w:rsidRPr="003940A4" w:rsidRDefault="003940A4" w:rsidP="003940A4">
            <w:pPr>
              <w:spacing w:line="240" w:lineRule="auto"/>
              <w:jc w:val="center"/>
              <w:rPr>
                <w:b/>
                <w:bCs/>
                <w:color w:val="FFFFFF"/>
                <w:lang w:eastAsia="en-AU"/>
              </w:rPr>
            </w:pPr>
            <w:r w:rsidRPr="003940A4">
              <w:rPr>
                <w:b/>
                <w:bCs/>
                <w:color w:val="FFFFFF"/>
                <w:lang w:eastAsia="en-AU"/>
              </w:rPr>
              <w: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3940A4" w:rsidRPr="003940A4" w:rsidRDefault="003940A4" w:rsidP="00CD1518">
            <w:pPr>
              <w:spacing w:line="240" w:lineRule="auto"/>
              <w:rPr>
                <w:b/>
                <w:bCs/>
                <w:color w:val="FFFFFF"/>
                <w:lang w:eastAsia="en-AU"/>
              </w:rPr>
            </w:pPr>
            <w:r w:rsidRPr="003940A4">
              <w:rPr>
                <w:b/>
                <w:bCs/>
                <w:color w:val="FFFFFF"/>
                <w:lang w:eastAsia="en-AU"/>
              </w:rPr>
              <w:t>Product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3940A4" w:rsidRPr="003940A4" w:rsidRDefault="003940A4" w:rsidP="003940A4">
            <w:pPr>
              <w:spacing w:line="240" w:lineRule="auto"/>
              <w:jc w:val="center"/>
              <w:rPr>
                <w:b/>
                <w:bCs/>
                <w:color w:val="FFFFFF"/>
                <w:lang w:eastAsia="en-AU"/>
              </w:rPr>
            </w:pPr>
            <w:r w:rsidRPr="003940A4">
              <w:rPr>
                <w:b/>
                <w:bCs/>
                <w:color w:val="FFFFFF"/>
                <w:lang w:eastAsia="en-AU"/>
              </w:rPr>
              <w:t>Jurisdiction records</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3940A4" w:rsidRPr="003940A4" w:rsidRDefault="003940A4" w:rsidP="003940A4">
            <w:pPr>
              <w:spacing w:line="240" w:lineRule="auto"/>
              <w:jc w:val="center"/>
              <w:rPr>
                <w:b/>
                <w:bCs/>
                <w:color w:val="FFFFFF"/>
                <w:lang w:eastAsia="en-AU"/>
              </w:rPr>
            </w:pPr>
            <w:r w:rsidRPr="003940A4">
              <w:rPr>
                <w:b/>
                <w:bCs/>
                <w:color w:val="FFFFFF"/>
                <w:lang w:eastAsia="en-AU"/>
              </w:rPr>
              <w:t>Received by IHPA</w:t>
            </w:r>
          </w:p>
        </w:tc>
        <w:tc>
          <w:tcPr>
            <w:tcW w:w="797" w:type="pct"/>
            <w:tcBorders>
              <w:top w:val="nil"/>
              <w:left w:val="nil"/>
              <w:bottom w:val="nil"/>
              <w:right w:val="single" w:sz="4" w:space="0" w:color="5B9BD5"/>
            </w:tcBorders>
            <w:shd w:val="clear" w:color="auto" w:fill="002060"/>
            <w:vAlign w:val="bottom"/>
            <w:hideMark/>
          </w:tcPr>
          <w:p w:rsidR="003940A4" w:rsidRPr="003940A4" w:rsidRDefault="003940A4" w:rsidP="003940A4">
            <w:pPr>
              <w:spacing w:line="240" w:lineRule="auto"/>
              <w:jc w:val="center"/>
              <w:rPr>
                <w:b/>
                <w:bCs/>
                <w:color w:val="FFFFFF"/>
                <w:lang w:eastAsia="en-AU"/>
              </w:rPr>
            </w:pPr>
            <w:r w:rsidRPr="003940A4">
              <w:rPr>
                <w:b/>
                <w:bCs/>
                <w:color w:val="FFFFFF"/>
                <w:lang w:eastAsia="en-AU"/>
              </w:rPr>
              <w:t>Variance</w:t>
            </w:r>
          </w:p>
        </w:tc>
      </w:tr>
      <w:tr w:rsidR="003940A4" w:rsidRPr="003940A4" w:rsidTr="00CD1518">
        <w:trPr>
          <w:trHeight w:val="260"/>
        </w:trPr>
        <w:tc>
          <w:tcPr>
            <w:tcW w:w="290" w:type="pct"/>
            <w:tcBorders>
              <w:top w:val="nil"/>
              <w:left w:val="single" w:sz="4" w:space="0" w:color="5B9BD5"/>
              <w:bottom w:val="single" w:sz="4" w:space="0" w:color="5B9BD5"/>
              <w:right w:val="single" w:sz="4" w:space="0" w:color="5B9BD5"/>
            </w:tcBorders>
            <w:shd w:val="clear" w:color="000000" w:fill="FFFFFF"/>
            <w:noWrap/>
            <w:vAlign w:val="bottom"/>
            <w:hideMark/>
          </w:tcPr>
          <w:p w:rsidR="003940A4" w:rsidRPr="003940A4" w:rsidRDefault="003940A4" w:rsidP="003940A4">
            <w:pPr>
              <w:spacing w:line="240" w:lineRule="auto"/>
              <w:jc w:val="center"/>
              <w:rPr>
                <w:color w:val="000000"/>
                <w:lang w:eastAsia="en-AU"/>
              </w:rPr>
            </w:pPr>
            <w:r w:rsidRPr="003940A4">
              <w:rPr>
                <w:color w:val="000000"/>
                <w:lang w:eastAsia="en-AU"/>
              </w:rPr>
              <w:t>1</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3940A4" w:rsidRPr="003940A4" w:rsidRDefault="003940A4" w:rsidP="003940A4">
            <w:pPr>
              <w:spacing w:line="240" w:lineRule="auto"/>
              <w:rPr>
                <w:color w:val="000000"/>
                <w:lang w:eastAsia="en-AU"/>
              </w:rPr>
            </w:pPr>
            <w:r w:rsidRPr="003940A4">
              <w:rPr>
                <w:color w:val="000000"/>
                <w:lang w:eastAsia="en-AU"/>
              </w:rPr>
              <w:t xml:space="preserve"> Non-admitted </w:t>
            </w:r>
          </w:p>
        </w:tc>
        <w:tc>
          <w:tcPr>
            <w:tcW w:w="1304" w:type="pct"/>
            <w:tcBorders>
              <w:top w:val="nil"/>
              <w:left w:val="nil"/>
              <w:bottom w:val="single" w:sz="4" w:space="0" w:color="5B9BD5"/>
              <w:right w:val="single" w:sz="4" w:space="0" w:color="5B9BD5"/>
            </w:tcBorders>
            <w:shd w:val="clear" w:color="000000" w:fill="FFFFFF"/>
            <w:noWrap/>
            <w:vAlign w:val="bottom"/>
            <w:hideMark/>
          </w:tcPr>
          <w:p w:rsidR="003940A4" w:rsidRPr="003940A4" w:rsidRDefault="003940A4" w:rsidP="00CD1518">
            <w:pPr>
              <w:spacing w:line="240" w:lineRule="auto"/>
              <w:jc w:val="right"/>
              <w:rPr>
                <w:color w:val="000000"/>
                <w:lang w:eastAsia="en-AU"/>
              </w:rPr>
            </w:pPr>
            <w:r w:rsidRPr="003940A4">
              <w:rPr>
                <w:color w:val="000000"/>
                <w:lang w:eastAsia="en-AU"/>
              </w:rPr>
              <w:t xml:space="preserve"> $401 </w:t>
            </w:r>
          </w:p>
        </w:tc>
        <w:tc>
          <w:tcPr>
            <w:tcW w:w="1304" w:type="pct"/>
            <w:tcBorders>
              <w:top w:val="nil"/>
              <w:left w:val="nil"/>
              <w:bottom w:val="single" w:sz="4" w:space="0" w:color="5B9BD5"/>
              <w:right w:val="single" w:sz="4" w:space="0" w:color="5B9BD5"/>
            </w:tcBorders>
            <w:shd w:val="clear" w:color="000000" w:fill="FFFFFF"/>
            <w:noWrap/>
            <w:vAlign w:val="bottom"/>
            <w:hideMark/>
          </w:tcPr>
          <w:p w:rsidR="003940A4" w:rsidRPr="003940A4" w:rsidRDefault="003940A4" w:rsidP="00CD1518">
            <w:pPr>
              <w:spacing w:line="240" w:lineRule="auto"/>
              <w:jc w:val="right"/>
              <w:rPr>
                <w:color w:val="000000"/>
                <w:lang w:eastAsia="en-AU"/>
              </w:rPr>
            </w:pPr>
            <w:r w:rsidRPr="003940A4">
              <w:rPr>
                <w:color w:val="000000"/>
                <w:lang w:eastAsia="en-AU"/>
              </w:rPr>
              <w:t xml:space="preserve"> $401 </w:t>
            </w:r>
          </w:p>
        </w:tc>
        <w:tc>
          <w:tcPr>
            <w:tcW w:w="797" w:type="pct"/>
            <w:tcBorders>
              <w:top w:val="single" w:sz="4" w:space="0" w:color="5B9BD5"/>
              <w:left w:val="nil"/>
              <w:bottom w:val="single" w:sz="4" w:space="0" w:color="5B9BD5"/>
              <w:right w:val="single" w:sz="4" w:space="0" w:color="5B9BD5"/>
            </w:tcBorders>
            <w:shd w:val="clear" w:color="000000" w:fill="FFFFFF"/>
            <w:noWrap/>
            <w:vAlign w:val="bottom"/>
            <w:hideMark/>
          </w:tcPr>
          <w:p w:rsidR="003940A4" w:rsidRPr="003940A4" w:rsidRDefault="003940A4" w:rsidP="00CD1518">
            <w:pPr>
              <w:spacing w:line="240" w:lineRule="auto"/>
              <w:jc w:val="right"/>
              <w:rPr>
                <w:color w:val="000000"/>
                <w:lang w:eastAsia="en-AU"/>
              </w:rPr>
            </w:pPr>
            <w:r w:rsidRPr="003940A4">
              <w:rPr>
                <w:color w:val="000000"/>
                <w:lang w:eastAsia="en-AU"/>
              </w:rPr>
              <w:t xml:space="preserve"> $- </w:t>
            </w:r>
          </w:p>
        </w:tc>
      </w:tr>
      <w:tr w:rsidR="00CA7B4E" w:rsidRPr="003940A4" w:rsidTr="00CD1518">
        <w:trPr>
          <w:trHeight w:val="260"/>
        </w:trPr>
        <w:tc>
          <w:tcPr>
            <w:tcW w:w="290"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3940A4" w:rsidRDefault="00CA7B4E" w:rsidP="00CA7B4E">
            <w:pPr>
              <w:spacing w:line="240" w:lineRule="auto"/>
              <w:jc w:val="center"/>
              <w:rPr>
                <w:color w:val="000000"/>
                <w:lang w:eastAsia="en-AU"/>
              </w:rPr>
            </w:pPr>
            <w:r w:rsidRPr="003940A4">
              <w:rPr>
                <w:color w:val="000000"/>
                <w:lang w:eastAsia="en-AU"/>
              </w:rPr>
              <w:t>2</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3940A4" w:rsidRDefault="00CA7B4E" w:rsidP="00CA7B4E">
            <w:pPr>
              <w:spacing w:line="240" w:lineRule="auto"/>
              <w:rPr>
                <w:color w:val="000000"/>
                <w:lang w:eastAsia="en-AU"/>
              </w:rPr>
            </w:pPr>
            <w:r w:rsidRPr="003940A4">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3940A4" w:rsidRDefault="00CA7B4E" w:rsidP="00CD1518">
            <w:pPr>
              <w:spacing w:line="240" w:lineRule="auto"/>
              <w:jc w:val="right"/>
              <w:rPr>
                <w:color w:val="000000"/>
                <w:lang w:eastAsia="en-AU"/>
              </w:rPr>
            </w:pPr>
            <w:r w:rsidRPr="003940A4">
              <w:rPr>
                <w:color w:val="000000"/>
                <w:lang w:eastAsia="en-AU"/>
              </w:rPr>
              <w:t xml:space="preserve"> $171,968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3940A4" w:rsidRDefault="00CA7B4E" w:rsidP="00CD1518">
            <w:pPr>
              <w:spacing w:line="240" w:lineRule="auto"/>
              <w:jc w:val="right"/>
              <w:rPr>
                <w:color w:val="000000"/>
                <w:lang w:eastAsia="en-AU"/>
              </w:rPr>
            </w:pPr>
            <w:r w:rsidRPr="003940A4">
              <w:rPr>
                <w:color w:val="000000"/>
                <w:lang w:eastAsia="en-AU"/>
              </w:rPr>
              <w:t xml:space="preserve"> $171,968 </w:t>
            </w:r>
          </w:p>
        </w:tc>
        <w:tc>
          <w:tcPr>
            <w:tcW w:w="797" w:type="pct"/>
            <w:tcBorders>
              <w:top w:val="nil"/>
              <w:left w:val="nil"/>
              <w:bottom w:val="single" w:sz="4" w:space="0" w:color="5B9BD5"/>
              <w:right w:val="single" w:sz="4" w:space="0" w:color="5B9BD5"/>
            </w:tcBorders>
            <w:shd w:val="clear" w:color="000000" w:fill="DDEBF7"/>
            <w:noWrap/>
            <w:vAlign w:val="bottom"/>
            <w:hideMark/>
          </w:tcPr>
          <w:p w:rsidR="00CA7B4E" w:rsidRPr="003940A4" w:rsidRDefault="00CA7B4E" w:rsidP="00CD1518">
            <w:pPr>
              <w:spacing w:line="240" w:lineRule="auto"/>
              <w:jc w:val="right"/>
              <w:rPr>
                <w:color w:val="000000"/>
                <w:lang w:eastAsia="en-AU"/>
              </w:rPr>
            </w:pPr>
            <w:r w:rsidRPr="003940A4">
              <w:rPr>
                <w:color w:val="000000"/>
                <w:lang w:eastAsia="en-AU"/>
              </w:rPr>
              <w:t xml:space="preserve"> $- </w:t>
            </w:r>
          </w:p>
        </w:tc>
      </w:tr>
      <w:tr w:rsidR="00CA7B4E" w:rsidRPr="003940A4" w:rsidTr="00CD1518">
        <w:trPr>
          <w:trHeight w:val="260"/>
        </w:trPr>
        <w:tc>
          <w:tcPr>
            <w:tcW w:w="290"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3940A4" w:rsidRDefault="00CA7B4E" w:rsidP="00CA7B4E">
            <w:pPr>
              <w:spacing w:line="240" w:lineRule="auto"/>
              <w:jc w:val="center"/>
              <w:rPr>
                <w:color w:val="000000"/>
                <w:lang w:eastAsia="en-AU"/>
              </w:rPr>
            </w:pPr>
            <w:r w:rsidRPr="003940A4">
              <w:rPr>
                <w:color w:val="000000"/>
                <w:lang w:eastAsia="en-AU"/>
              </w:rPr>
              <w:t>3</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3940A4" w:rsidRDefault="00CA7B4E" w:rsidP="00CA7B4E">
            <w:pPr>
              <w:spacing w:line="240" w:lineRule="auto"/>
              <w:rPr>
                <w:color w:val="000000"/>
                <w:lang w:eastAsia="en-AU"/>
              </w:rPr>
            </w:pPr>
            <w:r w:rsidRPr="003940A4">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3940A4" w:rsidRDefault="00CA7B4E" w:rsidP="00CD1518">
            <w:pPr>
              <w:spacing w:line="240" w:lineRule="auto"/>
              <w:jc w:val="right"/>
              <w:rPr>
                <w:color w:val="000000"/>
                <w:lang w:eastAsia="en-AU"/>
              </w:rPr>
            </w:pPr>
            <w:r>
              <w:rPr>
                <w:color w:val="000000"/>
                <w:lang w:eastAsia="en-AU"/>
              </w:rPr>
              <w:t xml:space="preserve"> $</w:t>
            </w:r>
            <w:r w:rsidRPr="003940A4">
              <w:rPr>
                <w:color w:val="000000"/>
                <w:lang w:eastAsia="en-AU"/>
              </w:rPr>
              <w:t xml:space="preserve">2,336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3940A4" w:rsidRDefault="00CA7B4E" w:rsidP="00CD1518">
            <w:pPr>
              <w:spacing w:line="240" w:lineRule="auto"/>
              <w:jc w:val="right"/>
              <w:rPr>
                <w:color w:val="000000"/>
                <w:lang w:eastAsia="en-AU"/>
              </w:rPr>
            </w:pPr>
            <w:r w:rsidRPr="003940A4">
              <w:rPr>
                <w:color w:val="000000"/>
                <w:lang w:eastAsia="en-AU"/>
              </w:rPr>
              <w:t xml:space="preserve"> $2,336 </w:t>
            </w:r>
          </w:p>
        </w:tc>
        <w:tc>
          <w:tcPr>
            <w:tcW w:w="797" w:type="pct"/>
            <w:tcBorders>
              <w:top w:val="nil"/>
              <w:left w:val="nil"/>
              <w:bottom w:val="single" w:sz="4" w:space="0" w:color="5B9BD5"/>
              <w:right w:val="single" w:sz="4" w:space="0" w:color="5B9BD5"/>
            </w:tcBorders>
            <w:shd w:val="clear" w:color="000000" w:fill="FFFFFF"/>
            <w:noWrap/>
            <w:vAlign w:val="bottom"/>
            <w:hideMark/>
          </w:tcPr>
          <w:p w:rsidR="00CA7B4E" w:rsidRPr="003940A4" w:rsidRDefault="00CA7B4E" w:rsidP="00CD1518">
            <w:pPr>
              <w:spacing w:line="240" w:lineRule="auto"/>
              <w:jc w:val="right"/>
              <w:rPr>
                <w:color w:val="000000"/>
                <w:lang w:eastAsia="en-AU"/>
              </w:rPr>
            </w:pPr>
            <w:r w:rsidRPr="003940A4">
              <w:rPr>
                <w:color w:val="000000"/>
                <w:lang w:eastAsia="en-AU"/>
              </w:rPr>
              <w:t xml:space="preserve"> $- </w:t>
            </w:r>
          </w:p>
        </w:tc>
      </w:tr>
      <w:tr w:rsidR="00CA7B4E" w:rsidRPr="003940A4" w:rsidTr="00CD1518">
        <w:trPr>
          <w:trHeight w:val="260"/>
        </w:trPr>
        <w:tc>
          <w:tcPr>
            <w:tcW w:w="290"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3940A4" w:rsidRDefault="00CA7B4E" w:rsidP="00CA7B4E">
            <w:pPr>
              <w:spacing w:line="240" w:lineRule="auto"/>
              <w:jc w:val="center"/>
              <w:rPr>
                <w:color w:val="000000"/>
                <w:lang w:eastAsia="en-AU"/>
              </w:rPr>
            </w:pPr>
            <w:r w:rsidRPr="003940A4">
              <w:rPr>
                <w:color w:val="000000"/>
                <w:lang w:eastAsia="en-AU"/>
              </w:rPr>
              <w:t>4</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3940A4" w:rsidRDefault="00CA7B4E" w:rsidP="00CA7B4E">
            <w:pPr>
              <w:spacing w:line="240" w:lineRule="auto"/>
              <w:rPr>
                <w:color w:val="000000"/>
                <w:lang w:eastAsia="en-AU"/>
              </w:rPr>
            </w:pPr>
            <w:r w:rsidRPr="003940A4">
              <w:rPr>
                <w:color w:val="000000"/>
                <w:lang w:eastAsia="en-AU"/>
              </w:rPr>
              <w:t xml:space="preserve"> Admitted ED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3940A4" w:rsidRDefault="00CA7B4E" w:rsidP="00CD1518">
            <w:pPr>
              <w:spacing w:line="240" w:lineRule="auto"/>
              <w:jc w:val="right"/>
              <w:rPr>
                <w:color w:val="000000"/>
                <w:lang w:eastAsia="en-AU"/>
              </w:rPr>
            </w:pPr>
            <w:r w:rsidRPr="003940A4">
              <w:rPr>
                <w:color w:val="000000"/>
                <w:lang w:eastAsia="en-AU"/>
              </w:rPr>
              <w:t xml:space="preserve"> $944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3940A4" w:rsidRDefault="00CA7B4E" w:rsidP="00CD1518">
            <w:pPr>
              <w:spacing w:line="240" w:lineRule="auto"/>
              <w:jc w:val="right"/>
              <w:rPr>
                <w:color w:val="000000"/>
                <w:lang w:eastAsia="en-AU"/>
              </w:rPr>
            </w:pPr>
            <w:r>
              <w:rPr>
                <w:color w:val="000000"/>
                <w:lang w:eastAsia="en-AU"/>
              </w:rPr>
              <w:t xml:space="preserve"> $</w:t>
            </w:r>
            <w:r w:rsidRPr="003940A4">
              <w:rPr>
                <w:color w:val="000000"/>
                <w:lang w:eastAsia="en-AU"/>
              </w:rPr>
              <w:t xml:space="preserve">944 </w:t>
            </w:r>
          </w:p>
        </w:tc>
        <w:tc>
          <w:tcPr>
            <w:tcW w:w="797" w:type="pct"/>
            <w:tcBorders>
              <w:top w:val="nil"/>
              <w:left w:val="nil"/>
              <w:bottom w:val="single" w:sz="4" w:space="0" w:color="5B9BD5"/>
              <w:right w:val="single" w:sz="4" w:space="0" w:color="5B9BD5"/>
            </w:tcBorders>
            <w:shd w:val="clear" w:color="000000" w:fill="DDEBF7"/>
            <w:noWrap/>
            <w:vAlign w:val="bottom"/>
            <w:hideMark/>
          </w:tcPr>
          <w:p w:rsidR="00CA7B4E" w:rsidRPr="003940A4" w:rsidRDefault="00CA7B4E" w:rsidP="00CD1518">
            <w:pPr>
              <w:spacing w:line="240" w:lineRule="auto"/>
              <w:jc w:val="right"/>
              <w:rPr>
                <w:color w:val="000000"/>
                <w:lang w:eastAsia="en-AU"/>
              </w:rPr>
            </w:pPr>
            <w:r w:rsidRPr="003940A4">
              <w:rPr>
                <w:color w:val="000000"/>
                <w:lang w:eastAsia="en-AU"/>
              </w:rPr>
              <w:t xml:space="preserve"> $- </w:t>
            </w:r>
          </w:p>
        </w:tc>
      </w:tr>
      <w:tr w:rsidR="00CA7B4E" w:rsidRPr="003940A4" w:rsidTr="00CD1518">
        <w:trPr>
          <w:trHeight w:val="260"/>
        </w:trPr>
        <w:tc>
          <w:tcPr>
            <w:tcW w:w="290"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3940A4" w:rsidRDefault="00CA7B4E" w:rsidP="003940A4">
            <w:pPr>
              <w:spacing w:line="240" w:lineRule="auto"/>
              <w:jc w:val="center"/>
              <w:rPr>
                <w:color w:val="000000"/>
                <w:lang w:eastAsia="en-AU"/>
              </w:rPr>
            </w:pPr>
            <w:r w:rsidRPr="003940A4">
              <w:rPr>
                <w:color w:val="000000"/>
                <w:lang w:eastAsia="en-AU"/>
              </w:rPr>
              <w:t>5</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3940A4" w:rsidRDefault="00CA7B4E" w:rsidP="003940A4">
            <w:pPr>
              <w:spacing w:line="240" w:lineRule="auto"/>
              <w:rPr>
                <w:color w:val="000000"/>
                <w:lang w:eastAsia="en-AU"/>
              </w:rPr>
            </w:pPr>
            <w:r w:rsidRPr="003940A4">
              <w:rPr>
                <w:color w:val="000000"/>
                <w:lang w:eastAsia="en-AU"/>
              </w:rPr>
              <w:t xml:space="preserve"> Non-Admitted ED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3940A4" w:rsidRDefault="00CA7B4E" w:rsidP="00CD1518">
            <w:pPr>
              <w:spacing w:line="240" w:lineRule="auto"/>
              <w:jc w:val="right"/>
              <w:rPr>
                <w:color w:val="000000"/>
                <w:lang w:eastAsia="en-AU"/>
              </w:rPr>
            </w:pPr>
            <w:r w:rsidRPr="003940A4">
              <w:rPr>
                <w:color w:val="000000"/>
                <w:lang w:eastAsia="en-AU"/>
              </w:rPr>
              <w:t xml:space="preserve"> $606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3940A4" w:rsidRDefault="00CA7B4E" w:rsidP="00CD1518">
            <w:pPr>
              <w:spacing w:line="240" w:lineRule="auto"/>
              <w:jc w:val="right"/>
              <w:rPr>
                <w:color w:val="000000"/>
                <w:lang w:eastAsia="en-AU"/>
              </w:rPr>
            </w:pPr>
            <w:r w:rsidRPr="003940A4">
              <w:rPr>
                <w:color w:val="000000"/>
                <w:lang w:eastAsia="en-AU"/>
              </w:rPr>
              <w:t xml:space="preserve"> $606 </w:t>
            </w:r>
          </w:p>
        </w:tc>
        <w:tc>
          <w:tcPr>
            <w:tcW w:w="797" w:type="pct"/>
            <w:tcBorders>
              <w:top w:val="nil"/>
              <w:left w:val="nil"/>
              <w:bottom w:val="single" w:sz="4" w:space="0" w:color="5B9BD5"/>
              <w:right w:val="single" w:sz="4" w:space="0" w:color="5B9BD5"/>
            </w:tcBorders>
            <w:shd w:val="clear" w:color="000000" w:fill="FFFFFF"/>
            <w:noWrap/>
            <w:vAlign w:val="bottom"/>
            <w:hideMark/>
          </w:tcPr>
          <w:p w:rsidR="00CA7B4E" w:rsidRPr="003940A4" w:rsidRDefault="00CA7B4E" w:rsidP="00CD1518">
            <w:pPr>
              <w:spacing w:line="240" w:lineRule="auto"/>
              <w:jc w:val="right"/>
              <w:rPr>
                <w:color w:val="000000"/>
                <w:lang w:eastAsia="en-AU"/>
              </w:rPr>
            </w:pPr>
            <w:r w:rsidRPr="003940A4">
              <w:rPr>
                <w:color w:val="000000"/>
                <w:lang w:eastAsia="en-AU"/>
              </w:rPr>
              <w:t xml:space="preserve"> $- </w:t>
            </w:r>
          </w:p>
        </w:tc>
      </w:tr>
    </w:tbl>
    <w:p w:rsidR="00972129" w:rsidRPr="00975E6B" w:rsidRDefault="00972129">
      <w:pPr>
        <w:rPr>
          <w:bCs/>
          <w:i/>
          <w:sz w:val="16"/>
          <w:szCs w:val="16"/>
        </w:rPr>
      </w:pPr>
      <w:r w:rsidRPr="00975E6B">
        <w:rPr>
          <w:bCs/>
          <w:i/>
          <w:sz w:val="16"/>
          <w:szCs w:val="16"/>
        </w:rPr>
        <w:t>Source: KPMG, based on Western Sydney LHD and IHPA data</w:t>
      </w:r>
    </w:p>
    <w:p w:rsidR="00664CB0" w:rsidRPr="00975E6B" w:rsidRDefault="00664CB0">
      <w:pPr>
        <w:spacing w:line="240" w:lineRule="auto"/>
        <w:rPr>
          <w:b/>
          <w:bCs/>
          <w:color w:val="1F497D" w:themeColor="text2"/>
          <w:sz w:val="24"/>
          <w:szCs w:val="24"/>
        </w:rPr>
      </w:pPr>
      <w:r w:rsidRPr="00975E6B">
        <w:rPr>
          <w:sz w:val="24"/>
        </w:rPr>
        <w:br w:type="page"/>
      </w:r>
    </w:p>
    <w:p w:rsidR="00972129" w:rsidRPr="00975E6B" w:rsidRDefault="00972129" w:rsidP="003B387A">
      <w:pPr>
        <w:pStyle w:val="Heading2"/>
        <w:numPr>
          <w:ilvl w:val="1"/>
          <w:numId w:val="77"/>
        </w:numPr>
      </w:pPr>
      <w:bookmarkStart w:id="682" w:name="_Toc444523652"/>
      <w:r w:rsidRPr="00F76EBA">
        <w:lastRenderedPageBreak/>
        <w:t>Illawarra</w:t>
      </w:r>
      <w:r w:rsidRPr="00975E6B">
        <w:t xml:space="preserve"> Shoalhaven Local Health District</w:t>
      </w:r>
      <w:bookmarkEnd w:id="682"/>
      <w:r w:rsidRPr="00975E6B">
        <w:t xml:space="preserve"> </w:t>
      </w:r>
    </w:p>
    <w:p w:rsidR="00972129" w:rsidRPr="00975E6B" w:rsidRDefault="00972129" w:rsidP="003B387A">
      <w:pPr>
        <w:pStyle w:val="Heading3"/>
        <w:numPr>
          <w:ilvl w:val="2"/>
          <w:numId w:val="77"/>
        </w:numPr>
      </w:pPr>
      <w:r w:rsidRPr="00975E6B">
        <w:t>Overview</w:t>
      </w:r>
    </w:p>
    <w:p w:rsidR="00972129" w:rsidRPr="00975E6B" w:rsidRDefault="00972129" w:rsidP="00972129">
      <w:pPr>
        <w:spacing w:before="120" w:after="120" w:line="280" w:lineRule="atLeast"/>
        <w:jc w:val="both"/>
        <w:rPr>
          <w:szCs w:val="22"/>
        </w:rPr>
      </w:pPr>
      <w:r w:rsidRPr="00975E6B">
        <w:rPr>
          <w:szCs w:val="22"/>
        </w:rPr>
        <w:t>The Illawarra Shoalhaven LHD’s catchment area extends about 250 kilometres along the coastal strip from Helensburgh in the north to North Durras in the south, servicing a population of more than 390,000 residents. Illawarra Shoalhaven LHD is one of the region’s largest employers with a workforce of more than 7,300 across nine hospital sites and community health services. The following hospitals are included in the Illawarra Shoalhaven LHD:</w:t>
      </w:r>
    </w:p>
    <w:p w:rsidR="00972129" w:rsidRPr="00975E6B" w:rsidRDefault="00972129" w:rsidP="00F26328">
      <w:pPr>
        <w:numPr>
          <w:ilvl w:val="0"/>
          <w:numId w:val="61"/>
        </w:numPr>
        <w:spacing w:before="120" w:after="120" w:line="280" w:lineRule="atLeast"/>
        <w:jc w:val="both"/>
        <w:rPr>
          <w:szCs w:val="22"/>
        </w:rPr>
      </w:pPr>
      <w:r w:rsidRPr="00975E6B">
        <w:rPr>
          <w:szCs w:val="22"/>
        </w:rPr>
        <w:t>Bulli Hospital</w:t>
      </w:r>
    </w:p>
    <w:p w:rsidR="00972129" w:rsidRPr="00975E6B" w:rsidRDefault="00972129" w:rsidP="00F26328">
      <w:pPr>
        <w:numPr>
          <w:ilvl w:val="0"/>
          <w:numId w:val="61"/>
        </w:numPr>
        <w:spacing w:before="120" w:after="120" w:line="280" w:lineRule="atLeast"/>
        <w:jc w:val="both"/>
        <w:rPr>
          <w:szCs w:val="22"/>
        </w:rPr>
      </w:pPr>
      <w:r w:rsidRPr="00975E6B">
        <w:rPr>
          <w:szCs w:val="22"/>
        </w:rPr>
        <w:t>Coledale Hospital</w:t>
      </w:r>
    </w:p>
    <w:p w:rsidR="00972129" w:rsidRPr="00975E6B" w:rsidRDefault="00972129" w:rsidP="00F26328">
      <w:pPr>
        <w:numPr>
          <w:ilvl w:val="0"/>
          <w:numId w:val="61"/>
        </w:numPr>
        <w:spacing w:before="120" w:after="120" w:line="280" w:lineRule="atLeast"/>
        <w:jc w:val="both"/>
        <w:rPr>
          <w:szCs w:val="22"/>
        </w:rPr>
      </w:pPr>
      <w:r w:rsidRPr="00975E6B">
        <w:rPr>
          <w:szCs w:val="22"/>
        </w:rPr>
        <w:t>David Berry Hospital</w:t>
      </w:r>
    </w:p>
    <w:p w:rsidR="00972129" w:rsidRPr="00975E6B" w:rsidRDefault="00972129" w:rsidP="00F26328">
      <w:pPr>
        <w:numPr>
          <w:ilvl w:val="0"/>
          <w:numId w:val="61"/>
        </w:numPr>
        <w:spacing w:before="120" w:after="120" w:line="280" w:lineRule="atLeast"/>
        <w:jc w:val="both"/>
        <w:rPr>
          <w:szCs w:val="22"/>
        </w:rPr>
      </w:pPr>
      <w:r w:rsidRPr="00975E6B">
        <w:rPr>
          <w:szCs w:val="22"/>
        </w:rPr>
        <w:t>Kiama Hospital and Community Health Service</w:t>
      </w:r>
    </w:p>
    <w:p w:rsidR="00972129" w:rsidRPr="00975E6B" w:rsidRDefault="00972129" w:rsidP="00F26328">
      <w:pPr>
        <w:numPr>
          <w:ilvl w:val="0"/>
          <w:numId w:val="61"/>
        </w:numPr>
        <w:spacing w:before="120" w:after="120" w:line="280" w:lineRule="atLeast"/>
        <w:jc w:val="both"/>
        <w:rPr>
          <w:szCs w:val="22"/>
        </w:rPr>
      </w:pPr>
      <w:r w:rsidRPr="00975E6B">
        <w:rPr>
          <w:szCs w:val="22"/>
        </w:rPr>
        <w:t>Milton-Ulladulla Hospital</w:t>
      </w:r>
    </w:p>
    <w:p w:rsidR="00972129" w:rsidRPr="00975E6B" w:rsidRDefault="00972129" w:rsidP="00F26328">
      <w:pPr>
        <w:numPr>
          <w:ilvl w:val="0"/>
          <w:numId w:val="61"/>
        </w:numPr>
        <w:spacing w:before="120" w:after="120" w:line="280" w:lineRule="atLeast"/>
        <w:jc w:val="both"/>
        <w:rPr>
          <w:szCs w:val="22"/>
        </w:rPr>
      </w:pPr>
      <w:r w:rsidRPr="00975E6B">
        <w:rPr>
          <w:szCs w:val="22"/>
        </w:rPr>
        <w:t>Port Kembla Hospital</w:t>
      </w:r>
    </w:p>
    <w:p w:rsidR="00972129" w:rsidRPr="00975E6B" w:rsidRDefault="00972129" w:rsidP="00F26328">
      <w:pPr>
        <w:numPr>
          <w:ilvl w:val="0"/>
          <w:numId w:val="61"/>
        </w:numPr>
        <w:spacing w:before="120" w:after="120" w:line="280" w:lineRule="atLeast"/>
        <w:jc w:val="both"/>
        <w:rPr>
          <w:szCs w:val="22"/>
        </w:rPr>
      </w:pPr>
      <w:r w:rsidRPr="00975E6B">
        <w:rPr>
          <w:szCs w:val="22"/>
        </w:rPr>
        <w:t>Shellharbour Hospital</w:t>
      </w:r>
    </w:p>
    <w:p w:rsidR="00972129" w:rsidRPr="00975E6B" w:rsidRDefault="00972129" w:rsidP="00F26328">
      <w:pPr>
        <w:numPr>
          <w:ilvl w:val="0"/>
          <w:numId w:val="61"/>
        </w:numPr>
        <w:spacing w:before="120" w:after="120" w:line="280" w:lineRule="atLeast"/>
        <w:jc w:val="both"/>
        <w:rPr>
          <w:szCs w:val="22"/>
        </w:rPr>
      </w:pPr>
      <w:r w:rsidRPr="00975E6B">
        <w:rPr>
          <w:szCs w:val="22"/>
        </w:rPr>
        <w:t>Shoalhaven District Memorial Hospital</w:t>
      </w:r>
    </w:p>
    <w:p w:rsidR="00972129" w:rsidRPr="00975E6B" w:rsidRDefault="00972129" w:rsidP="00F26328">
      <w:pPr>
        <w:numPr>
          <w:ilvl w:val="0"/>
          <w:numId w:val="61"/>
        </w:numPr>
        <w:spacing w:before="120" w:after="120" w:line="280" w:lineRule="atLeast"/>
        <w:jc w:val="both"/>
        <w:rPr>
          <w:szCs w:val="22"/>
        </w:rPr>
      </w:pPr>
      <w:r w:rsidRPr="00975E6B">
        <w:rPr>
          <w:szCs w:val="22"/>
        </w:rPr>
        <w:t>Wollongong Hospital.</w:t>
      </w:r>
      <w:r w:rsidRPr="00975E6B">
        <w:rPr>
          <w:szCs w:val="22"/>
          <w:vertAlign w:val="superscript"/>
        </w:rPr>
        <w:footnoteReference w:id="2"/>
      </w:r>
    </w:p>
    <w:p w:rsidR="00972129" w:rsidRPr="00975E6B" w:rsidRDefault="00972129" w:rsidP="003B387A">
      <w:pPr>
        <w:pStyle w:val="Heading3"/>
        <w:numPr>
          <w:ilvl w:val="2"/>
          <w:numId w:val="77"/>
        </w:numPr>
      </w:pPr>
      <w:r w:rsidRPr="00F76EBA">
        <w:t>Financial</w:t>
      </w:r>
      <w:r w:rsidRPr="00975E6B">
        <w:t xml:space="preserve"> data</w:t>
      </w:r>
    </w:p>
    <w:p w:rsidR="00972129" w:rsidRPr="00975E6B" w:rsidRDefault="00972129" w:rsidP="00972129">
      <w:pPr>
        <w:spacing w:before="120" w:after="120" w:line="280" w:lineRule="atLeast"/>
        <w:jc w:val="both"/>
        <w:rPr>
          <w:szCs w:val="22"/>
        </w:rPr>
      </w:pPr>
      <w:r w:rsidRPr="00975E6B">
        <w:rPr>
          <w:szCs w:val="22"/>
        </w:rPr>
        <w:t>For the Round 18 IFR, representatives from NSW Health completed the IFR templates and participated in consultations during the review. Representatives of Illawarra Shoalhaven LHD also attended the site visit.</w:t>
      </w:r>
    </w:p>
    <w:p w:rsidR="00972129" w:rsidRPr="00975E6B" w:rsidRDefault="00972129" w:rsidP="00972129">
      <w:pPr>
        <w:spacing w:before="120" w:after="120" w:line="280" w:lineRule="atLeast"/>
        <w:jc w:val="both"/>
        <w:rPr>
          <w:szCs w:val="22"/>
        </w:rPr>
      </w:pPr>
      <w:r w:rsidRPr="00975E6B">
        <w:rPr>
          <w:szCs w:val="22"/>
        </w:rPr>
        <w:fldChar w:fldCharType="begin"/>
      </w:r>
      <w:r w:rsidRPr="00975E6B">
        <w:rPr>
          <w:szCs w:val="22"/>
        </w:rPr>
        <w:instrText xml:space="preserve"> REF _Ref434485137 \h </w:instrText>
      </w:r>
      <w:r w:rsidR="00851875" w:rsidRPr="00975E6B">
        <w:rPr>
          <w:szCs w:val="22"/>
        </w:rPr>
        <w:instrText xml:space="preserve"> \* MERGEFORMAT </w:instrText>
      </w:r>
      <w:r w:rsidRPr="00975E6B">
        <w:rPr>
          <w:szCs w:val="22"/>
        </w:rPr>
      </w:r>
      <w:r w:rsidRPr="00975E6B">
        <w:rPr>
          <w:szCs w:val="22"/>
        </w:rPr>
        <w:fldChar w:fldCharType="separate"/>
      </w:r>
      <w:r w:rsidR="00154CF7" w:rsidRPr="00154CF7">
        <w:rPr>
          <w:bCs/>
        </w:rPr>
        <w:t xml:space="preserve">Table </w:t>
      </w:r>
      <w:r w:rsidR="00154CF7" w:rsidRPr="00154CF7">
        <w:rPr>
          <w:bCs/>
          <w:noProof/>
        </w:rPr>
        <w:t>11</w:t>
      </w:r>
      <w:r w:rsidRPr="00975E6B">
        <w:rPr>
          <w:szCs w:val="22"/>
        </w:rPr>
        <w:fldChar w:fldCharType="end"/>
      </w:r>
      <w:r w:rsidRPr="00975E6B">
        <w:rPr>
          <w:szCs w:val="22"/>
        </w:rPr>
        <w:t xml:space="preserve"> presents a summary of Illawarra Shoalhaven LHD costs, commencing with extraction of the GL through to the final NHCDC costs for the LHD for Round 18.</w:t>
      </w:r>
    </w:p>
    <w:p w:rsidR="00972129" w:rsidRPr="00975E6B" w:rsidRDefault="00972129" w:rsidP="00972129">
      <w:pPr>
        <w:spacing w:before="120" w:after="120" w:line="280" w:lineRule="atLeast"/>
        <w:jc w:val="both"/>
        <w:rPr>
          <w:szCs w:val="22"/>
        </w:rPr>
      </w:pPr>
    </w:p>
    <w:p w:rsidR="00972129" w:rsidRPr="00975E6B" w:rsidRDefault="00972129" w:rsidP="00972129">
      <w:pPr>
        <w:keepNext/>
        <w:spacing w:before="120" w:after="120"/>
        <w:rPr>
          <w:bCs/>
          <w:i/>
        </w:rPr>
        <w:sectPr w:rsidR="00972129" w:rsidRPr="00975E6B" w:rsidSect="00835E8A">
          <w:endnotePr>
            <w:numFmt w:val="decimal"/>
          </w:endnotePr>
          <w:pgSz w:w="11907" w:h="16840" w:code="9"/>
          <w:pgMar w:top="1964" w:right="1474" w:bottom="1588" w:left="1474" w:header="958" w:footer="737" w:gutter="454"/>
          <w:cols w:space="720"/>
          <w:docGrid w:linePitch="272"/>
        </w:sectPr>
      </w:pPr>
      <w:bookmarkStart w:id="683" w:name="_Ref433206839"/>
    </w:p>
    <w:p w:rsidR="00972129" w:rsidRPr="00975E6B" w:rsidRDefault="00972129" w:rsidP="00972129">
      <w:pPr>
        <w:keepNext/>
        <w:spacing w:before="120" w:after="120"/>
        <w:rPr>
          <w:bCs/>
          <w:i/>
        </w:rPr>
      </w:pPr>
      <w:bookmarkStart w:id="684" w:name="_Ref434485137"/>
      <w:r w:rsidRPr="00975E6B">
        <w:rPr>
          <w:bCs/>
          <w:i/>
        </w:rPr>
        <w:lastRenderedPageBreak/>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11</w:t>
      </w:r>
      <w:r w:rsidRPr="00975E6B">
        <w:rPr>
          <w:bCs/>
          <w:i/>
          <w:noProof/>
        </w:rPr>
        <w:fldChar w:fldCharType="end"/>
      </w:r>
      <w:bookmarkEnd w:id="683"/>
      <w:bookmarkEnd w:id="684"/>
      <w:r w:rsidRPr="00975E6B">
        <w:rPr>
          <w:bCs/>
          <w:i/>
        </w:rPr>
        <w:t xml:space="preserve"> – </w:t>
      </w:r>
      <w:proofErr w:type="gramStart"/>
      <w:r w:rsidRPr="00975E6B">
        <w:rPr>
          <w:bCs/>
          <w:i/>
        </w:rPr>
        <w:t>Round 18 NHCDC Reconciliation – Illawarra Shoalhaven LHD</w:t>
      </w:r>
      <w:proofErr w:type="gramEnd"/>
    </w:p>
    <w:p w:rsidR="00972129" w:rsidRPr="00975E6B" w:rsidRDefault="007939A0" w:rsidP="00972129">
      <w:pPr>
        <w:spacing w:before="120" w:after="120" w:line="280" w:lineRule="atLeast"/>
        <w:jc w:val="both"/>
        <w:rPr>
          <w:szCs w:val="22"/>
        </w:rPr>
      </w:pPr>
      <w:r>
        <w:rPr>
          <w:noProof/>
          <w:szCs w:val="22"/>
          <w:lang w:eastAsia="en-AU"/>
        </w:rPr>
        <w:drawing>
          <wp:inline distT="0" distB="0" distL="0" distR="0" wp14:anchorId="7DBFB693" wp14:editId="3ECC1772">
            <wp:extent cx="8396605" cy="3415030"/>
            <wp:effectExtent l="0" t="0" r="4445" b="0"/>
            <wp:docPr id="68" name="Picture 4" descr="This table presents the financial reconciliation of hospital expenditure for Round 18 for Illawarra Shoalhave LHD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 title="Table 11 - Round 18 NHCDC Reconciliation - Illawarra Shoalahaven LH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his table presents the financial reconciliation of hospital expenditure for Round 18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8396605" cy="3415030"/>
                    </a:xfrm>
                    <a:prstGeom prst="rect">
                      <a:avLst/>
                    </a:prstGeom>
                    <a:noFill/>
                    <a:ln>
                      <a:noFill/>
                    </a:ln>
                  </pic:spPr>
                </pic:pic>
              </a:graphicData>
            </a:graphic>
          </wp:inline>
        </w:drawing>
      </w:r>
    </w:p>
    <w:p w:rsidR="00972129" w:rsidRPr="00975E6B" w:rsidRDefault="00972129" w:rsidP="00972129">
      <w:pPr>
        <w:rPr>
          <w:bCs/>
          <w:i/>
          <w:sz w:val="16"/>
          <w:szCs w:val="16"/>
        </w:rPr>
      </w:pPr>
      <w:r w:rsidRPr="00975E6B">
        <w:rPr>
          <w:bCs/>
          <w:i/>
          <w:sz w:val="16"/>
          <w:szCs w:val="16"/>
        </w:rPr>
        <w:t xml:space="preserve">Source: KPMG based on data supplied by Illawarra Shoalhaven LHD jurisdiction and IHPA </w:t>
      </w:r>
    </w:p>
    <w:p w:rsidR="00972129" w:rsidRPr="00975E6B" w:rsidRDefault="00972129" w:rsidP="00972129">
      <w:pPr>
        <w:rPr>
          <w:bCs/>
          <w:i/>
          <w:sz w:val="16"/>
          <w:szCs w:val="16"/>
        </w:rPr>
      </w:pPr>
      <w:r w:rsidRPr="00975E6B">
        <w:rPr>
          <w:bCs/>
          <w:i/>
          <w:sz w:val="16"/>
          <w:szCs w:val="16"/>
        </w:rPr>
        <w:t>* These figures include admitted emergency costs.</w:t>
      </w:r>
    </w:p>
    <w:p w:rsidR="00972129" w:rsidRPr="00975E6B" w:rsidRDefault="00972129" w:rsidP="00972129">
      <w:pPr>
        <w:sectPr w:rsidR="00972129" w:rsidRPr="00975E6B" w:rsidSect="00835E8A">
          <w:endnotePr>
            <w:numFmt w:val="decimal"/>
          </w:endnotePr>
          <w:pgSz w:w="16840" w:h="11907" w:orient="landscape" w:code="9"/>
          <w:pgMar w:top="1474" w:right="1964" w:bottom="1474" w:left="1588" w:header="958" w:footer="737" w:gutter="454"/>
          <w:cols w:space="720"/>
          <w:docGrid w:linePitch="272"/>
        </w:sectPr>
      </w:pPr>
    </w:p>
    <w:p w:rsidR="00972129" w:rsidRPr="00975E6B" w:rsidRDefault="00972129" w:rsidP="00F76EBA">
      <w:pPr>
        <w:pStyle w:val="Heading4"/>
        <w:numPr>
          <w:ilvl w:val="0"/>
          <w:numId w:val="0"/>
        </w:numPr>
        <w:ind w:left="720" w:hanging="720"/>
      </w:pPr>
      <w:r w:rsidRPr="00975E6B">
        <w:lastRenderedPageBreak/>
        <w:t>Explanation of reconciliation items</w:t>
      </w:r>
    </w:p>
    <w:p w:rsidR="00972129" w:rsidRPr="00975E6B" w:rsidRDefault="00972129" w:rsidP="00972129">
      <w:pPr>
        <w:spacing w:before="120" w:after="120" w:line="280" w:lineRule="atLeast"/>
        <w:jc w:val="both"/>
        <w:rPr>
          <w:szCs w:val="22"/>
        </w:rPr>
      </w:pPr>
      <w:r w:rsidRPr="00975E6B">
        <w:rPr>
          <w:szCs w:val="22"/>
        </w:rPr>
        <w:fldChar w:fldCharType="begin"/>
      </w:r>
      <w:r w:rsidRPr="00975E6B">
        <w:rPr>
          <w:szCs w:val="22"/>
        </w:rPr>
        <w:instrText xml:space="preserve"> REF _Ref434485632 \h </w:instrText>
      </w:r>
      <w:r w:rsidR="00851875" w:rsidRPr="00975E6B">
        <w:rPr>
          <w:szCs w:val="22"/>
        </w:rPr>
        <w:instrText xml:space="preserve"> \* MERGEFORMAT </w:instrText>
      </w:r>
      <w:r w:rsidRPr="00975E6B">
        <w:rPr>
          <w:szCs w:val="22"/>
        </w:rPr>
      </w:r>
      <w:r w:rsidRPr="00975E6B">
        <w:rPr>
          <w:szCs w:val="22"/>
        </w:rPr>
        <w:fldChar w:fldCharType="separate"/>
      </w:r>
      <w:r w:rsidR="00154CF7" w:rsidRPr="00154CF7">
        <w:rPr>
          <w:bCs/>
        </w:rPr>
        <w:t xml:space="preserve">Table </w:t>
      </w:r>
      <w:r w:rsidR="00154CF7" w:rsidRPr="00154CF7">
        <w:rPr>
          <w:bCs/>
          <w:noProof/>
        </w:rPr>
        <w:t>12</w:t>
      </w:r>
      <w:r w:rsidRPr="00975E6B">
        <w:rPr>
          <w:szCs w:val="22"/>
        </w:rPr>
        <w:fldChar w:fldCharType="end"/>
      </w:r>
      <w:r w:rsidRPr="00975E6B">
        <w:rPr>
          <w:szCs w:val="22"/>
        </w:rPr>
        <w:t xml:space="preserve"> discusses each of the reconciliation items including adjustments, inclusions and exclusions to the </w:t>
      </w:r>
      <w:r w:rsidR="00851875" w:rsidRPr="00975E6B">
        <w:rPr>
          <w:szCs w:val="22"/>
        </w:rPr>
        <w:t>GL</w:t>
      </w:r>
      <w:r w:rsidRPr="00975E6B">
        <w:rPr>
          <w:szCs w:val="22"/>
        </w:rPr>
        <w:t>.</w:t>
      </w:r>
    </w:p>
    <w:p w:rsidR="00972129" w:rsidRPr="00975E6B" w:rsidRDefault="00972129" w:rsidP="00972129">
      <w:pPr>
        <w:keepNext/>
        <w:spacing w:before="120" w:after="120"/>
        <w:rPr>
          <w:bCs/>
          <w:i/>
        </w:rPr>
      </w:pPr>
      <w:bookmarkStart w:id="685" w:name="_Ref434485632"/>
      <w:r w:rsidRPr="00975E6B">
        <w:rPr>
          <w:bCs/>
          <w:i/>
        </w:rPr>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12</w:t>
      </w:r>
      <w:r w:rsidRPr="00975E6B">
        <w:rPr>
          <w:bCs/>
          <w:i/>
          <w:noProof/>
        </w:rPr>
        <w:fldChar w:fldCharType="end"/>
      </w:r>
      <w:bookmarkEnd w:id="685"/>
      <w:r w:rsidRPr="00975E6B">
        <w:rPr>
          <w:bCs/>
          <w:i/>
        </w:rPr>
        <w:t xml:space="preserve"> – Financial Reconciliation, explanation of items – Illawarra Shoalhaven LHD </w:t>
      </w:r>
    </w:p>
    <w:tbl>
      <w:tblPr>
        <w:tblStyle w:val="ListTable4-Accent11"/>
        <w:tblW w:w="5000" w:type="pct"/>
        <w:tblLayout w:type="fixed"/>
        <w:tblLook w:val="0620" w:firstRow="1" w:lastRow="0" w:firstColumn="0" w:lastColumn="0" w:noHBand="1" w:noVBand="1"/>
        <w:tblCaption w:val="Table 12 - Financial reconciliation, explanation of items - Illawarra Shoalhaven LHD"/>
        <w:tblDescription w:val="This table describes the information presented in Table 11.  The first column is the item number (A to K), the second column is the title of the item number and the third column is a description of the financial information included at that item.&#10;"/>
      </w:tblPr>
      <w:tblGrid>
        <w:gridCol w:w="722"/>
        <w:gridCol w:w="2622"/>
        <w:gridCol w:w="5377"/>
      </w:tblGrid>
      <w:tr w:rsidR="00972129"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14" w:type="pct"/>
            <w:tcBorders>
              <w:right w:val="single" w:sz="4" w:space="0" w:color="548DD4" w:themeColor="text2" w:themeTint="99"/>
            </w:tcBorders>
            <w:shd w:val="clear" w:color="auto" w:fill="002060"/>
            <w:noWrap/>
          </w:tcPr>
          <w:p w:rsidR="00972129" w:rsidRPr="00975E6B" w:rsidRDefault="00972129" w:rsidP="00972129">
            <w:r w:rsidRPr="00975E6B">
              <w:t>Item</w:t>
            </w:r>
          </w:p>
        </w:tc>
        <w:tc>
          <w:tcPr>
            <w:tcW w:w="1503" w:type="pct"/>
            <w:tcBorders>
              <w:left w:val="single" w:sz="4" w:space="0" w:color="548DD4" w:themeColor="text2" w:themeTint="99"/>
            </w:tcBorders>
            <w:shd w:val="clear" w:color="auto" w:fill="002060"/>
          </w:tcPr>
          <w:p w:rsidR="00972129" w:rsidRPr="00975E6B" w:rsidRDefault="00972129" w:rsidP="00972129">
            <w:r w:rsidRPr="00975E6B">
              <w:t>Heading</w:t>
            </w:r>
          </w:p>
        </w:tc>
        <w:tc>
          <w:tcPr>
            <w:tcW w:w="3083" w:type="pct"/>
            <w:tcBorders>
              <w:left w:val="single" w:sz="4" w:space="0" w:color="548DD4" w:themeColor="text2" w:themeTint="99"/>
            </w:tcBorders>
            <w:shd w:val="clear" w:color="auto" w:fill="002060"/>
          </w:tcPr>
          <w:p w:rsidR="00972129" w:rsidRPr="00975E6B" w:rsidRDefault="00972129" w:rsidP="00972129">
            <w:r w:rsidRPr="00975E6B">
              <w:t>Discussion</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A</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General Ledger</w:t>
            </w:r>
          </w:p>
        </w:tc>
        <w:tc>
          <w:tcPr>
            <w:tcW w:w="3083" w:type="pct"/>
            <w:tcBorders>
              <w:left w:val="single" w:sz="4" w:space="0" w:color="548DD4" w:themeColor="text2" w:themeTint="99"/>
            </w:tcBorders>
          </w:tcPr>
          <w:p w:rsidR="00972129" w:rsidRPr="00975E6B" w:rsidRDefault="00972129">
            <w:pPr>
              <w:spacing w:before="120" w:after="120" w:line="280" w:lineRule="atLeast"/>
              <w:jc w:val="both"/>
              <w:rPr>
                <w:szCs w:val="22"/>
              </w:rPr>
            </w:pPr>
            <w:r w:rsidRPr="00975E6B">
              <w:rPr>
                <w:szCs w:val="22"/>
              </w:rPr>
              <w:t>The final GL extracted from NSW financial systems indicates expenditure for the entire LHD of $771.4</w:t>
            </w:r>
            <w:r w:rsidR="002067EB" w:rsidRPr="00975E6B">
              <w:rPr>
                <w:szCs w:val="22"/>
              </w:rPr>
              <w:t> </w:t>
            </w:r>
            <w:r w:rsidRPr="00975E6B">
              <w:rPr>
                <w:szCs w:val="22"/>
              </w:rPr>
              <w:t>million.</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B</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Adjustments to the GL</w:t>
            </w:r>
          </w:p>
        </w:tc>
        <w:tc>
          <w:tcPr>
            <w:tcW w:w="3083" w:type="pct"/>
            <w:tcBorders>
              <w:left w:val="single" w:sz="4" w:space="0" w:color="548DD4" w:themeColor="text2" w:themeTint="99"/>
            </w:tcBorders>
          </w:tcPr>
          <w:p w:rsidR="00410EEB" w:rsidRPr="00410EEB" w:rsidRDefault="00972129" w:rsidP="00410EEB">
            <w:pPr>
              <w:spacing w:before="120" w:after="120" w:line="280" w:lineRule="atLeast"/>
              <w:jc w:val="both"/>
              <w:rPr>
                <w:szCs w:val="22"/>
              </w:rPr>
            </w:pPr>
            <w:r w:rsidRPr="00975E6B">
              <w:rPr>
                <w:szCs w:val="22"/>
              </w:rPr>
              <w:t xml:space="preserve">A number of adjustments are made to the GL. </w:t>
            </w:r>
            <w:r w:rsidR="00410EEB" w:rsidRPr="00410EEB">
              <w:rPr>
                <w:szCs w:val="22"/>
              </w:rPr>
              <w:t>Expenditure for salary packaging services hosted for other LHDs are excluded base on an agreed percentage split</w:t>
            </w:r>
            <w:r w:rsidR="00873964">
              <w:rPr>
                <w:szCs w:val="22"/>
              </w:rPr>
              <w:t xml:space="preserve">. </w:t>
            </w:r>
          </w:p>
          <w:p w:rsidR="00972129" w:rsidRPr="00975E6B" w:rsidRDefault="00410EEB" w:rsidP="00972129">
            <w:pPr>
              <w:spacing w:before="120" w:after="120" w:line="280" w:lineRule="atLeast"/>
              <w:jc w:val="both"/>
              <w:rPr>
                <w:szCs w:val="22"/>
              </w:rPr>
            </w:pPr>
            <w:r w:rsidRPr="00410EEB">
              <w:rPr>
                <w:szCs w:val="22"/>
              </w:rPr>
              <w:t>The Medical Imaging operates as a Business Unit, and costs relating to the non</w:t>
            </w:r>
            <w:r>
              <w:rPr>
                <w:szCs w:val="22"/>
              </w:rPr>
              <w:t>-</w:t>
            </w:r>
            <w:r w:rsidRPr="00410EEB">
              <w:rPr>
                <w:szCs w:val="22"/>
              </w:rPr>
              <w:t>public hospital services are excluded by revenue offset.</w:t>
            </w:r>
            <w:r>
              <w:rPr>
                <w:szCs w:val="22"/>
              </w:rPr>
              <w:t xml:space="preserve"> </w:t>
            </w:r>
            <w:r w:rsidR="00972129" w:rsidRPr="00975E6B">
              <w:rPr>
                <w:szCs w:val="22"/>
              </w:rPr>
              <w:t>Combined this excluded expenditure totals $4.4 million.</w:t>
            </w:r>
          </w:p>
          <w:p w:rsidR="00972129" w:rsidRPr="00975E6B" w:rsidRDefault="00972129" w:rsidP="00972129">
            <w:pPr>
              <w:spacing w:before="120" w:after="120" w:line="280" w:lineRule="atLeast"/>
              <w:jc w:val="both"/>
              <w:rPr>
                <w:szCs w:val="22"/>
              </w:rPr>
            </w:pPr>
            <w:r w:rsidRPr="00975E6B">
              <w:rPr>
                <w:szCs w:val="22"/>
              </w:rPr>
              <w:t>Expenditure items included relate to medical indemnity insurance which is held by NSW Health and is not included in the LHD GL. Expenditure included totals $11.4 million.</w:t>
            </w:r>
          </w:p>
          <w:p w:rsidR="00972129" w:rsidRPr="00975E6B" w:rsidRDefault="00972129">
            <w:pPr>
              <w:spacing w:before="120" w:after="120" w:line="280" w:lineRule="atLeast"/>
              <w:jc w:val="both"/>
              <w:rPr>
                <w:szCs w:val="22"/>
              </w:rPr>
            </w:pPr>
            <w:r w:rsidRPr="00975E6B">
              <w:rPr>
                <w:szCs w:val="22"/>
              </w:rPr>
              <w:t xml:space="preserve">These adjustments established an expenditure base for costing of $778.5 million. This was approximately 101 percent of total expenditure reported in the </w:t>
            </w:r>
            <w:r w:rsidR="00851875" w:rsidRPr="00975E6B">
              <w:rPr>
                <w:szCs w:val="22"/>
              </w:rPr>
              <w:t>GL</w:t>
            </w:r>
            <w:r w:rsidRPr="00975E6B">
              <w:rPr>
                <w:szCs w:val="22"/>
              </w:rPr>
              <w:t>.</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C</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Allocation of Costs</w:t>
            </w:r>
          </w:p>
        </w:tc>
        <w:tc>
          <w:tcPr>
            <w:tcW w:w="3083"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 xml:space="preserve">The LHD undertakes a process of reclass/transfers etc. between direct cost centres. The net effect of these reclass/transfers </w:t>
            </w:r>
            <w:r w:rsidR="00774BC8" w:rsidRPr="00975E6B">
              <w:rPr>
                <w:szCs w:val="22"/>
              </w:rPr>
              <w:t xml:space="preserve">was </w:t>
            </w:r>
            <w:r w:rsidRPr="00975E6B">
              <w:rPr>
                <w:szCs w:val="22"/>
              </w:rPr>
              <w:t>zero. Reclass/transfers are determined based on discussion with cost centre managers and for Illawarra Shoalhaven LHD related to product fractions and non-admitted patients.</w:t>
            </w:r>
          </w:p>
          <w:p w:rsidR="00972129" w:rsidRPr="00975E6B" w:rsidRDefault="00972129" w:rsidP="00F26328">
            <w:pPr>
              <w:numPr>
                <w:ilvl w:val="0"/>
                <w:numId w:val="38"/>
              </w:numPr>
              <w:spacing w:before="120" w:after="120" w:line="280" w:lineRule="atLeast"/>
              <w:jc w:val="both"/>
              <w:rPr>
                <w:szCs w:val="22"/>
              </w:rPr>
            </w:pPr>
            <w:r w:rsidRPr="00975E6B">
              <w:rPr>
                <w:szCs w:val="22"/>
              </w:rPr>
              <w:t>It was observed that the total of all direct cost centres of $620.9 million was allocated pre and post allocation.</w:t>
            </w:r>
          </w:p>
          <w:p w:rsidR="00972129" w:rsidRPr="00975E6B" w:rsidRDefault="00972129" w:rsidP="00F26328">
            <w:pPr>
              <w:numPr>
                <w:ilvl w:val="0"/>
                <w:numId w:val="38"/>
              </w:numPr>
              <w:spacing w:before="120" w:after="120" w:line="280" w:lineRule="atLeast"/>
              <w:jc w:val="both"/>
              <w:rPr>
                <w:szCs w:val="22"/>
              </w:rPr>
            </w:pPr>
            <w:r w:rsidRPr="00975E6B">
              <w:rPr>
                <w:szCs w:val="22"/>
              </w:rPr>
              <w:t>It was observed through the template that all overheads of $157.6 million were allocated to direct cost centres, pre and post allocation.</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D</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Post Allocation Adjustments</w:t>
            </w:r>
          </w:p>
        </w:tc>
        <w:tc>
          <w:tcPr>
            <w:tcW w:w="3083"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No post allocation adjustments at the LHD level were reported. It was observed through the template that direct care costs of $620.9 million and overhead costs of $157.6 million reconcile to the expenditure base for costing of $778.5 million.</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lastRenderedPageBreak/>
              <w:t>E</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Costed Products Submitted to jurisdiction</w:t>
            </w:r>
          </w:p>
        </w:tc>
        <w:tc>
          <w:tcPr>
            <w:tcW w:w="3083" w:type="pct"/>
            <w:tcBorders>
              <w:left w:val="single" w:sz="4" w:space="0" w:color="548DD4" w:themeColor="text2" w:themeTint="99"/>
            </w:tcBorders>
          </w:tcPr>
          <w:p w:rsidR="00972129" w:rsidRPr="00975E6B" w:rsidRDefault="00972129">
            <w:pPr>
              <w:spacing w:before="120" w:after="120" w:line="280" w:lineRule="atLeast"/>
              <w:jc w:val="both"/>
              <w:rPr>
                <w:szCs w:val="22"/>
              </w:rPr>
            </w:pPr>
            <w:r w:rsidRPr="00975E6B">
              <w:rPr>
                <w:szCs w:val="22"/>
              </w:rPr>
              <w:t xml:space="preserve">Costs derived by the jurisdiction and reported at product level reconcile to $778.5 million. The Illawarra Shoalhaven LHD included </w:t>
            </w:r>
            <w:r w:rsidR="00E7664C" w:rsidRPr="00975E6B">
              <w:rPr>
                <w:szCs w:val="22"/>
              </w:rPr>
              <w:t>acute</w:t>
            </w:r>
            <w:r w:rsidRPr="00975E6B">
              <w:rPr>
                <w:szCs w:val="22"/>
              </w:rPr>
              <w:t xml:space="preserve">, </w:t>
            </w:r>
            <w:r w:rsidR="00E7664C" w:rsidRPr="00975E6B">
              <w:rPr>
                <w:szCs w:val="22"/>
              </w:rPr>
              <w:t>non</w:t>
            </w:r>
            <w:r w:rsidR="009079A4" w:rsidRPr="00975E6B">
              <w:rPr>
                <w:szCs w:val="22"/>
              </w:rPr>
              <w:t>-admitted</w:t>
            </w:r>
            <w:r w:rsidRPr="00975E6B">
              <w:rPr>
                <w:szCs w:val="22"/>
              </w:rPr>
              <w:t xml:space="preserve">, </w:t>
            </w:r>
            <w:r w:rsidR="00E7664C" w:rsidRPr="00975E6B">
              <w:rPr>
                <w:szCs w:val="22"/>
              </w:rPr>
              <w:t>e</w:t>
            </w:r>
            <w:r w:rsidRPr="00975E6B">
              <w:rPr>
                <w:szCs w:val="22"/>
              </w:rPr>
              <w:t xml:space="preserve">mergency, </w:t>
            </w:r>
            <w:r w:rsidR="00E7664C" w:rsidRPr="00975E6B">
              <w:rPr>
                <w:szCs w:val="22"/>
              </w:rPr>
              <w:t>sub</w:t>
            </w:r>
            <w:r w:rsidRPr="00975E6B">
              <w:rPr>
                <w:szCs w:val="22"/>
              </w:rPr>
              <w:t xml:space="preserve">acute and </w:t>
            </w:r>
            <w:r w:rsidR="00E7664C" w:rsidRPr="00975E6B">
              <w:rPr>
                <w:szCs w:val="22"/>
              </w:rPr>
              <w:t xml:space="preserve">other </w:t>
            </w:r>
            <w:r w:rsidRPr="00975E6B">
              <w:rPr>
                <w:szCs w:val="22"/>
              </w:rPr>
              <w:t>costed products.</w:t>
            </w:r>
          </w:p>
        </w:tc>
      </w:tr>
      <w:tr w:rsidR="00972129" w:rsidRPr="00975E6B" w:rsidTr="00972129">
        <w:trPr>
          <w:trHeight w:val="285"/>
        </w:trPr>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F</w:t>
            </w:r>
          </w:p>
        </w:tc>
        <w:tc>
          <w:tcPr>
            <w:tcW w:w="1503" w:type="pct"/>
            <w:tcBorders>
              <w:left w:val="single" w:sz="4" w:space="0" w:color="548DD4" w:themeColor="text2" w:themeTint="99"/>
            </w:tcBorders>
            <w:shd w:val="clear" w:color="auto" w:fill="auto"/>
          </w:tcPr>
          <w:p w:rsidR="00972129" w:rsidRPr="00975E6B" w:rsidRDefault="00972129" w:rsidP="00972129">
            <w:pPr>
              <w:spacing w:before="120" w:after="120" w:line="280" w:lineRule="atLeast"/>
              <w:rPr>
                <w:szCs w:val="22"/>
              </w:rPr>
            </w:pPr>
            <w:r w:rsidRPr="00975E6B">
              <w:rPr>
                <w:szCs w:val="22"/>
              </w:rPr>
              <w:t>Costed Products received by jurisdiction</w:t>
            </w:r>
          </w:p>
        </w:tc>
        <w:tc>
          <w:tcPr>
            <w:tcW w:w="3083" w:type="pct"/>
            <w:tcBorders>
              <w:left w:val="single" w:sz="4" w:space="0" w:color="548DD4" w:themeColor="text2" w:themeTint="99"/>
            </w:tcBorders>
            <w:shd w:val="clear" w:color="auto" w:fill="auto"/>
          </w:tcPr>
          <w:p w:rsidR="00972129" w:rsidRPr="00975E6B" w:rsidRDefault="00972129" w:rsidP="00972129">
            <w:pPr>
              <w:spacing w:before="120" w:after="120" w:line="280" w:lineRule="atLeast"/>
              <w:jc w:val="both"/>
              <w:rPr>
                <w:szCs w:val="22"/>
              </w:rPr>
            </w:pPr>
            <w:r w:rsidRPr="00975E6B">
              <w:rPr>
                <w:szCs w:val="22"/>
              </w:rPr>
              <w:t>No variance was noted between Items E and F.</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G</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Final Adjustments</w:t>
            </w:r>
          </w:p>
        </w:tc>
        <w:tc>
          <w:tcPr>
            <w:tcW w:w="3083"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The jurisdiction makes adjustments to the cost data prior to submission to IHPA. These adjustments related to the inclusion of WIP (including WIP adjustment for the escalation factor), and exclusions of activity data and associated costs as they were considered out of scope for the submission. The total amount of adjustments was $210 million. The breakdown of adjustment items included:</w:t>
            </w:r>
          </w:p>
          <w:p w:rsidR="00972129" w:rsidRPr="00975E6B" w:rsidRDefault="00972129" w:rsidP="00F26328">
            <w:pPr>
              <w:numPr>
                <w:ilvl w:val="0"/>
                <w:numId w:val="38"/>
              </w:numPr>
              <w:spacing w:before="120" w:after="120" w:line="280" w:lineRule="atLeast"/>
              <w:jc w:val="both"/>
              <w:rPr>
                <w:szCs w:val="22"/>
              </w:rPr>
            </w:pPr>
            <w:r w:rsidRPr="00975E6B">
              <w:rPr>
                <w:szCs w:val="22"/>
              </w:rPr>
              <w:t>Non ABF Facilities of $138.8 million.</w:t>
            </w:r>
          </w:p>
          <w:p w:rsidR="00972129" w:rsidRPr="00975E6B" w:rsidRDefault="00972129" w:rsidP="00F26328">
            <w:pPr>
              <w:numPr>
                <w:ilvl w:val="0"/>
                <w:numId w:val="38"/>
              </w:numPr>
              <w:spacing w:before="120" w:after="120" w:line="280" w:lineRule="atLeast"/>
              <w:jc w:val="both"/>
              <w:rPr>
                <w:szCs w:val="22"/>
              </w:rPr>
            </w:pPr>
            <w:r w:rsidRPr="00975E6B">
              <w:rPr>
                <w:szCs w:val="22"/>
              </w:rPr>
              <w:t>ABF Facility Excluded Encounters of $27.5 million.</w:t>
            </w:r>
          </w:p>
          <w:p w:rsidR="00972129" w:rsidRPr="00975E6B" w:rsidRDefault="00972129" w:rsidP="00F26328">
            <w:pPr>
              <w:numPr>
                <w:ilvl w:val="0"/>
                <w:numId w:val="38"/>
              </w:numPr>
              <w:spacing w:before="120" w:after="120" w:line="280" w:lineRule="atLeast"/>
              <w:jc w:val="both"/>
              <w:rPr>
                <w:szCs w:val="22"/>
              </w:rPr>
            </w:pPr>
            <w:r w:rsidRPr="00975E6B">
              <w:rPr>
                <w:szCs w:val="22"/>
              </w:rPr>
              <w:t>ABF Facility Non Patient Level Products of $57.7 million.</w:t>
            </w:r>
          </w:p>
          <w:p w:rsidR="00972129" w:rsidRPr="00975E6B" w:rsidRDefault="00972129" w:rsidP="00F26328">
            <w:pPr>
              <w:numPr>
                <w:ilvl w:val="0"/>
                <w:numId w:val="38"/>
              </w:numPr>
              <w:spacing w:before="120" w:after="120" w:line="280" w:lineRule="atLeast"/>
              <w:jc w:val="both"/>
              <w:rPr>
                <w:szCs w:val="22"/>
              </w:rPr>
            </w:pPr>
            <w:r w:rsidRPr="00975E6B">
              <w:rPr>
                <w:szCs w:val="22"/>
              </w:rPr>
              <w:t>WIP escalation amount of $13.9 million.</w:t>
            </w:r>
          </w:p>
          <w:p w:rsidR="00972129" w:rsidRPr="00975E6B" w:rsidRDefault="00972129" w:rsidP="00972129">
            <w:pPr>
              <w:spacing w:before="120" w:after="120" w:line="280" w:lineRule="atLeast"/>
              <w:jc w:val="both"/>
              <w:rPr>
                <w:szCs w:val="22"/>
              </w:rPr>
            </w:pPr>
            <w:r w:rsidRPr="00975E6B">
              <w:rPr>
                <w:szCs w:val="22"/>
              </w:rPr>
              <w:t>The total cost after these adjustments was $568.1 million.</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H</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Costed Products submitted to IHPA</w:t>
            </w:r>
          </w:p>
        </w:tc>
        <w:tc>
          <w:tcPr>
            <w:tcW w:w="3083" w:type="pct"/>
            <w:tcBorders>
              <w:left w:val="single" w:sz="4" w:space="0" w:color="548DD4" w:themeColor="text2" w:themeTint="99"/>
            </w:tcBorders>
          </w:tcPr>
          <w:p w:rsidR="00972129" w:rsidRPr="00975E6B" w:rsidRDefault="00972129">
            <w:pPr>
              <w:spacing w:before="120" w:after="120" w:line="280" w:lineRule="atLeast"/>
              <w:jc w:val="both"/>
              <w:rPr>
                <w:szCs w:val="22"/>
              </w:rPr>
            </w:pPr>
            <w:r w:rsidRPr="00975E6B">
              <w:rPr>
                <w:szCs w:val="22"/>
              </w:rPr>
              <w:t xml:space="preserve">Costs derived by the jurisdiction and reported at product level reconcile to $568.1 million. NSW Health included </w:t>
            </w:r>
            <w:r w:rsidR="00E7664C" w:rsidRPr="00975E6B">
              <w:rPr>
                <w:szCs w:val="22"/>
              </w:rPr>
              <w:t>acute</w:t>
            </w:r>
            <w:r w:rsidRPr="00975E6B">
              <w:rPr>
                <w:szCs w:val="22"/>
              </w:rPr>
              <w:t xml:space="preserve">, </w:t>
            </w:r>
            <w:r w:rsidR="00E7664C" w:rsidRPr="00975E6B">
              <w:rPr>
                <w:szCs w:val="22"/>
              </w:rPr>
              <w:t>non</w:t>
            </w:r>
            <w:r w:rsidR="009079A4" w:rsidRPr="00975E6B">
              <w:rPr>
                <w:szCs w:val="22"/>
              </w:rPr>
              <w:t>-admitted</w:t>
            </w:r>
            <w:r w:rsidRPr="00975E6B">
              <w:rPr>
                <w:szCs w:val="22"/>
              </w:rPr>
              <w:t xml:space="preserve">, </w:t>
            </w:r>
            <w:r w:rsidR="00E7664C" w:rsidRPr="00975E6B">
              <w:rPr>
                <w:szCs w:val="22"/>
              </w:rPr>
              <w:t>e</w:t>
            </w:r>
            <w:r w:rsidRPr="00975E6B">
              <w:rPr>
                <w:szCs w:val="22"/>
              </w:rPr>
              <w:t xml:space="preserve">mergency, </w:t>
            </w:r>
            <w:r w:rsidR="00E7664C" w:rsidRPr="00975E6B">
              <w:rPr>
                <w:szCs w:val="22"/>
              </w:rPr>
              <w:t>sub</w:t>
            </w:r>
            <w:r w:rsidRPr="00975E6B">
              <w:rPr>
                <w:szCs w:val="22"/>
              </w:rPr>
              <w:t xml:space="preserve">acute and </w:t>
            </w:r>
            <w:r w:rsidR="00E7664C" w:rsidRPr="00975E6B">
              <w:rPr>
                <w:szCs w:val="22"/>
              </w:rPr>
              <w:t xml:space="preserve">other </w:t>
            </w:r>
            <w:r w:rsidRPr="00975E6B">
              <w:rPr>
                <w:szCs w:val="22"/>
              </w:rPr>
              <w:t>costed products.</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I</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Total Products received by IHPA</w:t>
            </w:r>
          </w:p>
        </w:tc>
        <w:tc>
          <w:tcPr>
            <w:tcW w:w="3083"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Costed products received by IHPA totalled $568.1 million. There was no variance between costs submitted by the jurisdiction and costs received by IHPA.</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J</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IHPA Adjustments</w:t>
            </w:r>
          </w:p>
        </w:tc>
        <w:tc>
          <w:tcPr>
            <w:tcW w:w="3083" w:type="pct"/>
            <w:tcBorders>
              <w:left w:val="single" w:sz="4" w:space="0" w:color="548DD4" w:themeColor="text2" w:themeTint="99"/>
            </w:tcBorders>
          </w:tcPr>
          <w:p w:rsidR="00972129" w:rsidRPr="00975E6B" w:rsidRDefault="00972129" w:rsidP="00972129">
            <w:pPr>
              <w:spacing w:before="120" w:after="120" w:line="280" w:lineRule="atLeast"/>
              <w:jc w:val="both"/>
              <w:rPr>
                <w:i/>
                <w:szCs w:val="22"/>
              </w:rPr>
            </w:pPr>
            <w:r w:rsidRPr="00975E6B">
              <w:rPr>
                <w:i/>
                <w:szCs w:val="22"/>
              </w:rPr>
              <w:t>Admitted Emergency</w:t>
            </w:r>
          </w:p>
          <w:p w:rsidR="00972129" w:rsidRPr="00975E6B" w:rsidRDefault="00972129">
            <w:pPr>
              <w:spacing w:before="120" w:after="120" w:line="280" w:lineRule="atLeast"/>
              <w:jc w:val="both"/>
              <w:rPr>
                <w:szCs w:val="22"/>
              </w:rPr>
            </w:pPr>
            <w:r w:rsidRPr="00975E6B">
              <w:rPr>
                <w:szCs w:val="22"/>
              </w:rPr>
              <w:t xml:space="preserve">Upon receipt of cost data, IHPA allocates the admitted emergency costs back to admitted patients for the purposes of reporting and analysis. Within IHPA’s reconciliation this amount </w:t>
            </w:r>
            <w:r w:rsidR="00774BC8" w:rsidRPr="00975E6B">
              <w:rPr>
                <w:szCs w:val="22"/>
              </w:rPr>
              <w:t xml:space="preserve">was </w:t>
            </w:r>
            <w:r w:rsidRPr="00975E6B">
              <w:rPr>
                <w:szCs w:val="22"/>
              </w:rPr>
              <w:t>a duplication of admitted emergency costs and not an additional cost. For Illawarra Shoalhaven LHD this amounted to $30.1 million.</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K</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Final NHCDC Costed Outputs</w:t>
            </w:r>
          </w:p>
        </w:tc>
        <w:tc>
          <w:tcPr>
            <w:tcW w:w="3083" w:type="pct"/>
            <w:tcBorders>
              <w:left w:val="single" w:sz="4" w:space="0" w:color="548DD4" w:themeColor="text2" w:themeTint="99"/>
            </w:tcBorders>
          </w:tcPr>
          <w:p w:rsidR="00972129" w:rsidRPr="00975E6B" w:rsidRDefault="00972129">
            <w:pPr>
              <w:spacing w:before="120" w:after="120" w:line="280" w:lineRule="atLeast"/>
              <w:jc w:val="both"/>
              <w:rPr>
                <w:szCs w:val="22"/>
              </w:rPr>
            </w:pPr>
            <w:r w:rsidRPr="00975E6B">
              <w:rPr>
                <w:szCs w:val="22"/>
              </w:rPr>
              <w:t xml:space="preserve">The final NHCDC costed data for Illawarra Shoalhaven LHD that was loaded into the National Round 18 cost data set </w:t>
            </w:r>
            <w:r w:rsidR="00774BC8" w:rsidRPr="00975E6B">
              <w:rPr>
                <w:szCs w:val="22"/>
              </w:rPr>
              <w:t xml:space="preserve">was </w:t>
            </w:r>
            <w:r w:rsidRPr="00975E6B">
              <w:rPr>
                <w:szCs w:val="22"/>
              </w:rPr>
              <w:t xml:space="preserve">$598.2 million which includes the admitted </w:t>
            </w:r>
            <w:r w:rsidRPr="00975E6B">
              <w:rPr>
                <w:szCs w:val="22"/>
              </w:rPr>
              <w:lastRenderedPageBreak/>
              <w:t xml:space="preserve">emergency cost of $30.1 million. A minor $1 variance </w:t>
            </w:r>
            <w:r w:rsidR="00774BC8" w:rsidRPr="00975E6B">
              <w:rPr>
                <w:szCs w:val="22"/>
              </w:rPr>
              <w:t xml:space="preserve">was </w:t>
            </w:r>
            <w:r w:rsidRPr="00975E6B">
              <w:rPr>
                <w:szCs w:val="22"/>
              </w:rPr>
              <w:t>noted between Item J and Item K.</w:t>
            </w:r>
          </w:p>
        </w:tc>
      </w:tr>
    </w:tbl>
    <w:p w:rsidR="00972129" w:rsidRPr="00CD1518" w:rsidRDefault="00664CB0" w:rsidP="00CD1518">
      <w:pPr>
        <w:rPr>
          <w:bCs/>
          <w:i/>
          <w:sz w:val="16"/>
          <w:szCs w:val="16"/>
        </w:rPr>
      </w:pPr>
      <w:r w:rsidRPr="00975E6B">
        <w:rPr>
          <w:bCs/>
          <w:i/>
          <w:sz w:val="16"/>
          <w:szCs w:val="16"/>
        </w:rPr>
        <w:lastRenderedPageBreak/>
        <w:t>Source: KPMG, based on Illawarra Shoalhaven LHD templates and review discussions</w:t>
      </w:r>
    </w:p>
    <w:p w:rsidR="00972129" w:rsidRPr="00975E6B" w:rsidRDefault="00972129" w:rsidP="003B387A">
      <w:pPr>
        <w:pStyle w:val="Heading3"/>
        <w:numPr>
          <w:ilvl w:val="2"/>
          <w:numId w:val="77"/>
        </w:numPr>
      </w:pPr>
      <w:r w:rsidRPr="00F76EBA">
        <w:t>Activity</w:t>
      </w:r>
      <w:r w:rsidRPr="00975E6B">
        <w:t xml:space="preserve"> data</w:t>
      </w:r>
    </w:p>
    <w:p w:rsidR="00972129" w:rsidRPr="00975E6B" w:rsidRDefault="00972129" w:rsidP="00972129">
      <w:pPr>
        <w:spacing w:before="120" w:after="120" w:line="280" w:lineRule="atLeast"/>
        <w:jc w:val="both"/>
        <w:rPr>
          <w:szCs w:val="22"/>
        </w:rPr>
      </w:pPr>
      <w:r w:rsidRPr="00975E6B">
        <w:rPr>
          <w:szCs w:val="22"/>
        </w:rPr>
        <w:fldChar w:fldCharType="begin"/>
      </w:r>
      <w:r w:rsidRPr="00975E6B">
        <w:rPr>
          <w:szCs w:val="22"/>
        </w:rPr>
        <w:instrText xml:space="preserve"> REF _Ref433267035 \h </w:instrText>
      </w:r>
      <w:r w:rsidR="007A24FF" w:rsidRPr="00975E6B">
        <w:rPr>
          <w:szCs w:val="22"/>
        </w:rPr>
        <w:instrText xml:space="preserve"> \* MERGEFORMAT </w:instrText>
      </w:r>
      <w:r w:rsidRPr="00975E6B">
        <w:rPr>
          <w:szCs w:val="22"/>
        </w:rPr>
      </w:r>
      <w:r w:rsidRPr="00975E6B">
        <w:rPr>
          <w:szCs w:val="22"/>
        </w:rPr>
        <w:fldChar w:fldCharType="separate"/>
      </w:r>
      <w:r w:rsidR="00154CF7" w:rsidRPr="00154CF7">
        <w:rPr>
          <w:bCs/>
        </w:rPr>
        <w:t xml:space="preserve">Table </w:t>
      </w:r>
      <w:r w:rsidR="00154CF7" w:rsidRPr="00154CF7">
        <w:rPr>
          <w:bCs/>
          <w:noProof/>
        </w:rPr>
        <w:t>13</w:t>
      </w:r>
      <w:r w:rsidRPr="00975E6B">
        <w:rPr>
          <w:szCs w:val="22"/>
        </w:rPr>
        <w:fldChar w:fldCharType="end"/>
      </w:r>
      <w:r w:rsidRPr="00975E6B">
        <w:rPr>
          <w:szCs w:val="22"/>
        </w:rPr>
        <w:t xml:space="preserve"> presents</w:t>
      </w:r>
      <w:r w:rsidR="00E97BCD">
        <w:rPr>
          <w:szCs w:val="22"/>
        </w:rPr>
        <w:t xml:space="preserve"> patient</w:t>
      </w:r>
      <w:r w:rsidRPr="00975E6B">
        <w:rPr>
          <w:szCs w:val="22"/>
        </w:rPr>
        <w:t xml:space="preserve"> activity and feeder data for Illawarra Shoalhaven LHD.</w:t>
      </w:r>
    </w:p>
    <w:p w:rsidR="00972129" w:rsidRDefault="00972129" w:rsidP="00972129">
      <w:pPr>
        <w:keepNext/>
        <w:spacing w:before="120" w:after="120"/>
        <w:rPr>
          <w:bCs/>
          <w:i/>
        </w:rPr>
      </w:pPr>
      <w:bookmarkStart w:id="686" w:name="_Ref433267035"/>
      <w:r w:rsidRPr="00975E6B">
        <w:rPr>
          <w:bCs/>
          <w:i/>
        </w:rPr>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13</w:t>
      </w:r>
      <w:r w:rsidRPr="00975E6B">
        <w:rPr>
          <w:bCs/>
          <w:i/>
          <w:noProof/>
        </w:rPr>
        <w:fldChar w:fldCharType="end"/>
      </w:r>
      <w:bookmarkEnd w:id="686"/>
      <w:r w:rsidR="00BA3F4B" w:rsidRPr="00975E6B">
        <w:rPr>
          <w:bCs/>
          <w:i/>
        </w:rPr>
        <w:t xml:space="preserve"> </w:t>
      </w:r>
      <w:r w:rsidRPr="00975E6B">
        <w:rPr>
          <w:bCs/>
          <w:i/>
        </w:rPr>
        <w:t>– Activity data – Illawarra Shoalhaven LHD</w:t>
      </w:r>
    </w:p>
    <w:tbl>
      <w:tblPr>
        <w:tblW w:w="5000" w:type="pct"/>
        <w:tblLayout w:type="fixed"/>
        <w:tblLook w:val="04A0" w:firstRow="1" w:lastRow="0" w:firstColumn="1" w:lastColumn="0" w:noHBand="0" w:noVBand="1"/>
        <w:tblCaption w:val="Table 13 - Activity data - Illawarra Shoalhaven LHD"/>
        <w:tblDescription w:val="This table presents activity and feeder data for Illawarra Shoalhaven LHD.  There are 11 columns.  Column 1 is the Data source, Column 2 is the number of records from source, Column 3 is the number of records in costing system, Column 4 is the variance between Column 2 and 3, Column 5 is the number of records linked to acute, column 6 is the number of records linked to emergency, Column 7 is the number of records linked to non-admitted, column 8 is the total linked records, column 9 is the number linked to other, column 10 is the number of unlinked records and column 11 is the % of linked to source.&#10;&#10;"/>
      </w:tblPr>
      <w:tblGrid>
        <w:gridCol w:w="1242"/>
        <w:gridCol w:w="748"/>
        <w:gridCol w:w="748"/>
        <w:gridCol w:w="748"/>
        <w:gridCol w:w="733"/>
        <w:gridCol w:w="764"/>
        <w:gridCol w:w="747"/>
        <w:gridCol w:w="748"/>
        <w:gridCol w:w="748"/>
        <w:gridCol w:w="748"/>
        <w:gridCol w:w="747"/>
      </w:tblGrid>
      <w:tr w:rsidR="004D0865" w:rsidRPr="007F1647" w:rsidTr="00E14378">
        <w:trPr>
          <w:trHeight w:val="769"/>
        </w:trPr>
        <w:tc>
          <w:tcPr>
            <w:tcW w:w="712" w:type="pct"/>
            <w:tcBorders>
              <w:top w:val="single" w:sz="4" w:space="0" w:color="5B9BD5"/>
              <w:left w:val="single" w:sz="4" w:space="0" w:color="5B9BD5"/>
              <w:bottom w:val="nil"/>
              <w:right w:val="nil"/>
            </w:tcBorders>
            <w:shd w:val="clear" w:color="auto" w:fill="002060"/>
            <w:vAlign w:val="bottom"/>
            <w:hideMark/>
          </w:tcPr>
          <w:p w:rsidR="007F1647" w:rsidRPr="00CD1518" w:rsidRDefault="007F1647" w:rsidP="007F1647">
            <w:pPr>
              <w:spacing w:line="240" w:lineRule="auto"/>
              <w:rPr>
                <w:b/>
                <w:bCs/>
                <w:color w:val="FFFFFF"/>
                <w:sz w:val="12"/>
                <w:lang w:eastAsia="en-AU"/>
              </w:rPr>
            </w:pPr>
            <w:r w:rsidRPr="00CD1518">
              <w:rPr>
                <w:b/>
                <w:bCs/>
                <w:color w:val="FFFFFF"/>
                <w:sz w:val="12"/>
                <w:lang w:eastAsia="en-AU"/>
              </w:rPr>
              <w:t>Data</w:t>
            </w:r>
          </w:p>
        </w:tc>
        <w:tc>
          <w:tcPr>
            <w:tcW w:w="429" w:type="pct"/>
            <w:tcBorders>
              <w:top w:val="single" w:sz="4" w:space="0" w:color="5B9BD5"/>
              <w:left w:val="single" w:sz="4" w:space="0" w:color="5B9BD5"/>
              <w:bottom w:val="nil"/>
              <w:right w:val="single" w:sz="4" w:space="0" w:color="5B9BD5"/>
            </w:tcBorders>
            <w:shd w:val="clear" w:color="auto" w:fill="002060"/>
            <w:vAlign w:val="bottom"/>
            <w:hideMark/>
          </w:tcPr>
          <w:p w:rsidR="007F1647" w:rsidRPr="00CD1518" w:rsidRDefault="007F1647" w:rsidP="007F1647">
            <w:pPr>
              <w:spacing w:line="240" w:lineRule="auto"/>
              <w:jc w:val="center"/>
              <w:rPr>
                <w:b/>
                <w:bCs/>
                <w:color w:val="FFFFFF"/>
                <w:sz w:val="12"/>
                <w:lang w:eastAsia="en-AU"/>
              </w:rPr>
            </w:pPr>
            <w:r w:rsidRPr="00C264CF">
              <w:rPr>
                <w:b/>
                <w:bCs/>
                <w:color w:val="FFFFFF"/>
                <w:sz w:val="12"/>
                <w:lang w:eastAsia="en-AU"/>
              </w:rPr>
              <w:t># Records from Source</w:t>
            </w:r>
          </w:p>
        </w:tc>
        <w:tc>
          <w:tcPr>
            <w:tcW w:w="429" w:type="pct"/>
            <w:tcBorders>
              <w:top w:val="single" w:sz="4" w:space="0" w:color="5B9BD5"/>
              <w:left w:val="nil"/>
              <w:bottom w:val="nil"/>
              <w:right w:val="nil"/>
            </w:tcBorders>
            <w:shd w:val="clear" w:color="auto" w:fill="002060"/>
            <w:vAlign w:val="bottom"/>
            <w:hideMark/>
          </w:tcPr>
          <w:p w:rsidR="007F1647" w:rsidRPr="00CD1518" w:rsidRDefault="007F1647" w:rsidP="007F1647">
            <w:pPr>
              <w:spacing w:line="240" w:lineRule="auto"/>
              <w:jc w:val="center"/>
              <w:rPr>
                <w:b/>
                <w:bCs/>
                <w:color w:val="FFFFFF"/>
                <w:sz w:val="12"/>
                <w:lang w:eastAsia="en-AU"/>
              </w:rPr>
            </w:pPr>
            <w:r w:rsidRPr="00C264CF">
              <w:rPr>
                <w:b/>
                <w:bCs/>
                <w:color w:val="FFFFFF"/>
                <w:sz w:val="12"/>
                <w:lang w:eastAsia="en-AU"/>
              </w:rPr>
              <w:t># Records in costing system</w:t>
            </w:r>
          </w:p>
        </w:tc>
        <w:tc>
          <w:tcPr>
            <w:tcW w:w="429" w:type="pct"/>
            <w:tcBorders>
              <w:top w:val="single" w:sz="4" w:space="0" w:color="5B9BD5"/>
              <w:left w:val="single" w:sz="4" w:space="0" w:color="5B9BD5"/>
              <w:bottom w:val="nil"/>
              <w:right w:val="single" w:sz="4" w:space="0" w:color="5B9BD5"/>
            </w:tcBorders>
            <w:shd w:val="clear" w:color="auto" w:fill="002060"/>
            <w:vAlign w:val="bottom"/>
            <w:hideMark/>
          </w:tcPr>
          <w:p w:rsidR="007F1647" w:rsidRPr="00CD1518" w:rsidRDefault="007F1647" w:rsidP="007F1647">
            <w:pPr>
              <w:spacing w:line="240" w:lineRule="auto"/>
              <w:jc w:val="center"/>
              <w:rPr>
                <w:b/>
                <w:bCs/>
                <w:color w:val="FFFFFF"/>
                <w:sz w:val="12"/>
                <w:lang w:eastAsia="en-AU"/>
              </w:rPr>
            </w:pPr>
            <w:r w:rsidRPr="00C264CF">
              <w:rPr>
                <w:b/>
                <w:bCs/>
                <w:color w:val="FFFFFF"/>
                <w:sz w:val="12"/>
                <w:lang w:eastAsia="en-AU"/>
              </w:rPr>
              <w:t>Variance</w:t>
            </w:r>
          </w:p>
        </w:tc>
        <w:tc>
          <w:tcPr>
            <w:tcW w:w="420" w:type="pct"/>
            <w:tcBorders>
              <w:top w:val="single" w:sz="4" w:space="0" w:color="5B9BD5"/>
              <w:left w:val="nil"/>
              <w:bottom w:val="nil"/>
              <w:right w:val="nil"/>
            </w:tcBorders>
            <w:shd w:val="clear" w:color="auto" w:fill="002060"/>
            <w:vAlign w:val="bottom"/>
            <w:hideMark/>
          </w:tcPr>
          <w:p w:rsidR="007F1647" w:rsidRPr="00CD1518" w:rsidRDefault="007F1647" w:rsidP="007F1647">
            <w:pPr>
              <w:spacing w:line="240" w:lineRule="auto"/>
              <w:jc w:val="center"/>
              <w:rPr>
                <w:b/>
                <w:bCs/>
                <w:color w:val="FFFFFF"/>
                <w:sz w:val="12"/>
                <w:lang w:eastAsia="en-AU"/>
              </w:rPr>
            </w:pPr>
            <w:r w:rsidRPr="00C264CF">
              <w:rPr>
                <w:b/>
                <w:bCs/>
                <w:color w:val="FFFFFF"/>
                <w:sz w:val="12"/>
                <w:lang w:eastAsia="en-AU"/>
              </w:rPr>
              <w:t># Records linked to Acute</w:t>
            </w:r>
          </w:p>
        </w:tc>
        <w:tc>
          <w:tcPr>
            <w:tcW w:w="438" w:type="pct"/>
            <w:tcBorders>
              <w:top w:val="single" w:sz="4" w:space="0" w:color="5B9BD5"/>
              <w:left w:val="single" w:sz="4" w:space="0" w:color="5B9BD5"/>
              <w:bottom w:val="nil"/>
              <w:right w:val="single" w:sz="4" w:space="0" w:color="5B9BD5"/>
            </w:tcBorders>
            <w:shd w:val="clear" w:color="auto" w:fill="002060"/>
            <w:vAlign w:val="bottom"/>
            <w:hideMark/>
          </w:tcPr>
          <w:p w:rsidR="007F1647" w:rsidRPr="00CD1518" w:rsidRDefault="007F1647" w:rsidP="007A16C6">
            <w:pPr>
              <w:spacing w:line="240" w:lineRule="auto"/>
              <w:jc w:val="center"/>
              <w:rPr>
                <w:b/>
                <w:bCs/>
                <w:color w:val="FFFFFF"/>
                <w:sz w:val="12"/>
                <w:lang w:eastAsia="en-AU"/>
              </w:rPr>
            </w:pPr>
            <w:r w:rsidRPr="00C264CF">
              <w:rPr>
                <w:b/>
                <w:bCs/>
                <w:color w:val="FFFFFF"/>
                <w:sz w:val="12"/>
                <w:lang w:eastAsia="en-AU"/>
              </w:rPr>
              <w:t xml:space="preserve"># Records linked to </w:t>
            </w:r>
            <w:proofErr w:type="spellStart"/>
            <w:r w:rsidRPr="00CD1518">
              <w:rPr>
                <w:b/>
                <w:bCs/>
                <w:color w:val="FFFFFF"/>
                <w:sz w:val="11"/>
                <w:szCs w:val="11"/>
                <w:lang w:eastAsia="en-AU"/>
              </w:rPr>
              <w:t>Emer</w:t>
            </w:r>
            <w:r w:rsidR="001E74E6" w:rsidRPr="007A16C6">
              <w:rPr>
                <w:b/>
                <w:bCs/>
                <w:color w:val="FFFFFF"/>
                <w:sz w:val="11"/>
                <w:szCs w:val="11"/>
                <w:lang w:eastAsia="en-AU"/>
              </w:rPr>
              <w:t>g</w:t>
            </w:r>
            <w:proofErr w:type="spellEnd"/>
            <w:proofErr w:type="gramStart"/>
            <w:r w:rsidR="001E74E6" w:rsidRPr="007A16C6">
              <w:rPr>
                <w:b/>
                <w:bCs/>
                <w:color w:val="FFFFFF"/>
                <w:sz w:val="11"/>
                <w:szCs w:val="11"/>
                <w:lang w:eastAsia="en-AU"/>
              </w:rPr>
              <w:t>.</w:t>
            </w:r>
            <w:r w:rsidR="001E74E6">
              <w:rPr>
                <w:b/>
                <w:bCs/>
                <w:color w:val="FFFFFF"/>
                <w:sz w:val="11"/>
                <w:szCs w:val="11"/>
                <w:lang w:eastAsia="en-AU"/>
              </w:rPr>
              <w:t>.</w:t>
            </w:r>
            <w:proofErr w:type="gramEnd"/>
          </w:p>
        </w:tc>
        <w:tc>
          <w:tcPr>
            <w:tcW w:w="428" w:type="pct"/>
            <w:tcBorders>
              <w:top w:val="single" w:sz="4" w:space="0" w:color="5B9BD5"/>
              <w:left w:val="nil"/>
              <w:bottom w:val="nil"/>
              <w:right w:val="single" w:sz="4" w:space="0" w:color="5B9BD5"/>
            </w:tcBorders>
            <w:shd w:val="clear" w:color="auto" w:fill="002060"/>
            <w:vAlign w:val="bottom"/>
            <w:hideMark/>
          </w:tcPr>
          <w:p w:rsidR="007F1647" w:rsidRPr="00CD1518" w:rsidRDefault="007F1647" w:rsidP="007F1647">
            <w:pPr>
              <w:spacing w:line="240" w:lineRule="auto"/>
              <w:jc w:val="center"/>
              <w:rPr>
                <w:b/>
                <w:bCs/>
                <w:color w:val="FFFFFF"/>
                <w:sz w:val="12"/>
                <w:lang w:eastAsia="en-AU"/>
              </w:rPr>
            </w:pPr>
            <w:r w:rsidRPr="00C264CF">
              <w:rPr>
                <w:b/>
                <w:bCs/>
                <w:color w:val="FFFFFF"/>
                <w:sz w:val="12"/>
                <w:lang w:eastAsia="en-AU"/>
              </w:rPr>
              <w:t xml:space="preserve"># Records linked to </w:t>
            </w:r>
            <w:r w:rsidRPr="00CD1518">
              <w:rPr>
                <w:b/>
                <w:bCs/>
                <w:color w:val="FFFFFF"/>
                <w:sz w:val="11"/>
                <w:szCs w:val="11"/>
                <w:lang w:eastAsia="en-AU"/>
              </w:rPr>
              <w:t>Non-admitted</w:t>
            </w:r>
          </w:p>
        </w:tc>
        <w:tc>
          <w:tcPr>
            <w:tcW w:w="429" w:type="pct"/>
            <w:tcBorders>
              <w:top w:val="single" w:sz="4" w:space="0" w:color="5B9BD5"/>
              <w:left w:val="nil"/>
              <w:bottom w:val="nil"/>
              <w:right w:val="single" w:sz="4" w:space="0" w:color="5B9BD5"/>
            </w:tcBorders>
            <w:shd w:val="clear" w:color="auto" w:fill="002060"/>
            <w:vAlign w:val="bottom"/>
            <w:hideMark/>
          </w:tcPr>
          <w:p w:rsidR="007F1647" w:rsidRPr="00CD1518" w:rsidRDefault="007F1647" w:rsidP="007F1647">
            <w:pPr>
              <w:spacing w:line="240" w:lineRule="auto"/>
              <w:jc w:val="center"/>
              <w:rPr>
                <w:b/>
                <w:bCs/>
                <w:color w:val="FFFFFF"/>
                <w:sz w:val="12"/>
                <w:lang w:eastAsia="en-AU"/>
              </w:rPr>
            </w:pPr>
            <w:r w:rsidRPr="00C264CF">
              <w:rPr>
                <w:b/>
                <w:bCs/>
                <w:color w:val="FFFFFF"/>
                <w:sz w:val="12"/>
                <w:lang w:eastAsia="en-AU"/>
              </w:rPr>
              <w:t>Total Linking Process to Products</w:t>
            </w:r>
          </w:p>
        </w:tc>
        <w:tc>
          <w:tcPr>
            <w:tcW w:w="429" w:type="pct"/>
            <w:tcBorders>
              <w:top w:val="single" w:sz="4" w:space="0" w:color="5B9BD5"/>
              <w:left w:val="nil"/>
              <w:bottom w:val="nil"/>
              <w:right w:val="nil"/>
            </w:tcBorders>
            <w:shd w:val="clear" w:color="auto" w:fill="002060"/>
            <w:vAlign w:val="bottom"/>
            <w:hideMark/>
          </w:tcPr>
          <w:p w:rsidR="007F1647" w:rsidRPr="00CD1518" w:rsidRDefault="007F1647" w:rsidP="007F1647">
            <w:pPr>
              <w:spacing w:line="240" w:lineRule="auto"/>
              <w:jc w:val="center"/>
              <w:rPr>
                <w:b/>
                <w:bCs/>
                <w:color w:val="FFFFFF"/>
                <w:sz w:val="12"/>
                <w:lang w:eastAsia="en-AU"/>
              </w:rPr>
            </w:pPr>
            <w:r w:rsidRPr="00C264CF">
              <w:rPr>
                <w:b/>
                <w:bCs/>
                <w:color w:val="FFFFFF"/>
                <w:sz w:val="12"/>
                <w:lang w:eastAsia="en-AU"/>
              </w:rPr>
              <w:t># Records linked to Other</w:t>
            </w:r>
          </w:p>
        </w:tc>
        <w:tc>
          <w:tcPr>
            <w:tcW w:w="429" w:type="pct"/>
            <w:tcBorders>
              <w:top w:val="single" w:sz="4" w:space="0" w:color="5B9BD5"/>
              <w:left w:val="single" w:sz="4" w:space="0" w:color="5B9BD5"/>
              <w:bottom w:val="nil"/>
              <w:right w:val="single" w:sz="4" w:space="0" w:color="5B9BD5"/>
            </w:tcBorders>
            <w:shd w:val="clear" w:color="auto" w:fill="002060"/>
            <w:vAlign w:val="bottom"/>
            <w:hideMark/>
          </w:tcPr>
          <w:p w:rsidR="007F1647" w:rsidRPr="00CD1518" w:rsidRDefault="007F1647" w:rsidP="007F1647">
            <w:pPr>
              <w:spacing w:line="240" w:lineRule="auto"/>
              <w:jc w:val="center"/>
              <w:rPr>
                <w:b/>
                <w:bCs/>
                <w:color w:val="FFFFFF"/>
                <w:sz w:val="12"/>
                <w:lang w:eastAsia="en-AU"/>
              </w:rPr>
            </w:pPr>
            <w:r w:rsidRPr="00C264CF">
              <w:rPr>
                <w:b/>
                <w:bCs/>
                <w:color w:val="FFFFFF"/>
                <w:sz w:val="12"/>
                <w:lang w:eastAsia="en-AU"/>
              </w:rPr>
              <w:t xml:space="preserve"># </w:t>
            </w:r>
            <w:r w:rsidRPr="00CD1518">
              <w:rPr>
                <w:b/>
                <w:bCs/>
                <w:color w:val="FFFFFF"/>
                <w:sz w:val="11"/>
                <w:szCs w:val="11"/>
                <w:lang w:eastAsia="en-AU"/>
              </w:rPr>
              <w:t xml:space="preserve">Unlinked </w:t>
            </w:r>
            <w:r w:rsidRPr="00C264CF">
              <w:rPr>
                <w:b/>
                <w:bCs/>
                <w:color w:val="FFFFFF"/>
                <w:sz w:val="12"/>
                <w:lang w:eastAsia="en-AU"/>
              </w:rPr>
              <w:t>records</w:t>
            </w:r>
          </w:p>
        </w:tc>
        <w:tc>
          <w:tcPr>
            <w:tcW w:w="428" w:type="pct"/>
            <w:tcBorders>
              <w:top w:val="single" w:sz="4" w:space="0" w:color="5B9BD5"/>
              <w:left w:val="nil"/>
              <w:bottom w:val="nil"/>
              <w:right w:val="single" w:sz="4" w:space="0" w:color="5B9BD5"/>
            </w:tcBorders>
            <w:shd w:val="clear" w:color="auto" w:fill="002060"/>
            <w:vAlign w:val="bottom"/>
            <w:hideMark/>
          </w:tcPr>
          <w:p w:rsidR="007F1647" w:rsidRPr="00CD1518" w:rsidRDefault="007F1647" w:rsidP="007F1647">
            <w:pPr>
              <w:spacing w:line="240" w:lineRule="auto"/>
              <w:jc w:val="center"/>
              <w:rPr>
                <w:b/>
                <w:bCs/>
                <w:color w:val="FFFFFF"/>
                <w:sz w:val="12"/>
                <w:lang w:eastAsia="en-AU"/>
              </w:rPr>
            </w:pPr>
            <w:r w:rsidRPr="00C264CF">
              <w:rPr>
                <w:b/>
                <w:bCs/>
                <w:color w:val="FFFFFF"/>
                <w:sz w:val="12"/>
                <w:lang w:eastAsia="en-AU"/>
              </w:rPr>
              <w:t>% Linked</w:t>
            </w:r>
          </w:p>
        </w:tc>
      </w:tr>
      <w:tr w:rsidR="004D0865" w:rsidRPr="007F1647" w:rsidTr="007F1647">
        <w:trPr>
          <w:trHeight w:val="290"/>
        </w:trPr>
        <w:tc>
          <w:tcPr>
            <w:tcW w:w="712" w:type="pct"/>
            <w:tcBorders>
              <w:top w:val="nil"/>
              <w:left w:val="single" w:sz="4" w:space="0" w:color="5B9BD5"/>
              <w:bottom w:val="nil"/>
              <w:right w:val="nil"/>
            </w:tcBorders>
            <w:shd w:val="clear" w:color="000000" w:fill="D0CECE"/>
            <w:noWrap/>
            <w:vAlign w:val="center"/>
            <w:hideMark/>
          </w:tcPr>
          <w:p w:rsidR="007F1647" w:rsidRPr="00CD1518" w:rsidRDefault="007F1647">
            <w:pPr>
              <w:spacing w:line="240" w:lineRule="auto"/>
              <w:rPr>
                <w:b/>
                <w:bCs/>
                <w:color w:val="000000"/>
                <w:sz w:val="12"/>
                <w:lang w:eastAsia="en-AU"/>
              </w:rPr>
            </w:pPr>
            <w:r w:rsidRPr="00CD1518">
              <w:rPr>
                <w:b/>
                <w:bCs/>
                <w:color w:val="000000"/>
                <w:sz w:val="12"/>
                <w:lang w:eastAsia="en-AU"/>
              </w:rPr>
              <w:t>Activity Data</w:t>
            </w:r>
          </w:p>
        </w:tc>
        <w:tc>
          <w:tcPr>
            <w:tcW w:w="429" w:type="pct"/>
            <w:tcBorders>
              <w:top w:val="nil"/>
              <w:left w:val="single" w:sz="4" w:space="0" w:color="5B9BD5"/>
              <w:bottom w:val="nil"/>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c>
          <w:tcPr>
            <w:tcW w:w="429" w:type="pct"/>
            <w:tcBorders>
              <w:top w:val="nil"/>
              <w:left w:val="nil"/>
              <w:bottom w:val="nil"/>
              <w:right w:val="nil"/>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c>
          <w:tcPr>
            <w:tcW w:w="429" w:type="pct"/>
            <w:tcBorders>
              <w:top w:val="nil"/>
              <w:left w:val="single" w:sz="4" w:space="0" w:color="5B9BD5"/>
              <w:bottom w:val="nil"/>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c>
          <w:tcPr>
            <w:tcW w:w="420" w:type="pct"/>
            <w:tcBorders>
              <w:top w:val="nil"/>
              <w:left w:val="nil"/>
              <w:bottom w:val="nil"/>
              <w:right w:val="nil"/>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c>
          <w:tcPr>
            <w:tcW w:w="438" w:type="pct"/>
            <w:tcBorders>
              <w:top w:val="nil"/>
              <w:left w:val="single" w:sz="4" w:space="0" w:color="5B9BD5"/>
              <w:bottom w:val="nil"/>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c>
          <w:tcPr>
            <w:tcW w:w="428" w:type="pct"/>
            <w:tcBorders>
              <w:top w:val="nil"/>
              <w:left w:val="nil"/>
              <w:bottom w:val="nil"/>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c>
          <w:tcPr>
            <w:tcW w:w="429" w:type="pct"/>
            <w:tcBorders>
              <w:top w:val="nil"/>
              <w:left w:val="nil"/>
              <w:bottom w:val="nil"/>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c>
          <w:tcPr>
            <w:tcW w:w="429" w:type="pct"/>
            <w:tcBorders>
              <w:top w:val="nil"/>
              <w:left w:val="nil"/>
              <w:bottom w:val="nil"/>
              <w:right w:val="nil"/>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c>
          <w:tcPr>
            <w:tcW w:w="429" w:type="pct"/>
            <w:tcBorders>
              <w:top w:val="nil"/>
              <w:left w:val="single" w:sz="4" w:space="0" w:color="5B9BD5"/>
              <w:bottom w:val="nil"/>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c>
          <w:tcPr>
            <w:tcW w:w="428" w:type="pct"/>
            <w:tcBorders>
              <w:top w:val="nil"/>
              <w:left w:val="nil"/>
              <w:bottom w:val="nil"/>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r>
      <w:tr w:rsidR="007F1647" w:rsidRPr="007F1647" w:rsidTr="00CD1518">
        <w:trPr>
          <w:trHeight w:val="290"/>
        </w:trPr>
        <w:tc>
          <w:tcPr>
            <w:tcW w:w="712" w:type="pct"/>
            <w:tcBorders>
              <w:top w:val="nil"/>
              <w:left w:val="single" w:sz="4" w:space="0" w:color="5B9BD5"/>
              <w:bottom w:val="nil"/>
              <w:right w:val="nil"/>
            </w:tcBorders>
            <w:shd w:val="clear" w:color="000000" w:fill="FFFFFF"/>
            <w:noWrap/>
            <w:vAlign w:val="center"/>
            <w:hideMark/>
          </w:tcPr>
          <w:p w:rsidR="007F1647" w:rsidRPr="00CD1518" w:rsidRDefault="007F1647">
            <w:pPr>
              <w:spacing w:line="240" w:lineRule="auto"/>
              <w:rPr>
                <w:color w:val="000000"/>
                <w:sz w:val="12"/>
                <w:lang w:eastAsia="en-AU"/>
              </w:rPr>
            </w:pPr>
            <w:r w:rsidRPr="00CD1518">
              <w:rPr>
                <w:color w:val="000000"/>
                <w:sz w:val="12"/>
                <w:lang w:eastAsia="en-AU"/>
              </w:rPr>
              <w:t>PAS</w:t>
            </w:r>
          </w:p>
        </w:tc>
        <w:tc>
          <w:tcPr>
            <w:tcW w:w="429" w:type="pct"/>
            <w:tcBorders>
              <w:top w:val="nil"/>
              <w:left w:val="single" w:sz="4" w:space="0" w:color="5B9BD5"/>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144,396</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144,396</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0"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38"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8"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8"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r>
      <w:tr w:rsidR="007F1647" w:rsidRPr="007F1647" w:rsidTr="00CD1518">
        <w:trPr>
          <w:trHeight w:val="290"/>
        </w:trPr>
        <w:tc>
          <w:tcPr>
            <w:tcW w:w="712" w:type="pct"/>
            <w:tcBorders>
              <w:top w:val="nil"/>
              <w:left w:val="single" w:sz="4" w:space="0" w:color="5B9BD5"/>
              <w:bottom w:val="nil"/>
              <w:right w:val="nil"/>
            </w:tcBorders>
            <w:shd w:val="clear" w:color="000000" w:fill="DDEBF7"/>
            <w:noWrap/>
            <w:vAlign w:val="center"/>
            <w:hideMark/>
          </w:tcPr>
          <w:p w:rsidR="007F1647" w:rsidRPr="00CD1518" w:rsidRDefault="007F1647">
            <w:pPr>
              <w:spacing w:line="240" w:lineRule="auto"/>
              <w:rPr>
                <w:sz w:val="12"/>
                <w:lang w:eastAsia="en-AU"/>
              </w:rPr>
            </w:pPr>
            <w:r w:rsidRPr="00CD1518">
              <w:rPr>
                <w:sz w:val="12"/>
                <w:lang w:eastAsia="en-AU"/>
              </w:rPr>
              <w:t>Emergency</w:t>
            </w:r>
          </w:p>
        </w:tc>
        <w:tc>
          <w:tcPr>
            <w:tcW w:w="429" w:type="pct"/>
            <w:tcBorders>
              <w:top w:val="nil"/>
              <w:left w:val="single" w:sz="4" w:space="0" w:color="5B9BD5"/>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86,775</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86,775</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0"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w:t>
            </w:r>
          </w:p>
        </w:tc>
        <w:tc>
          <w:tcPr>
            <w:tcW w:w="438"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w:t>
            </w:r>
          </w:p>
        </w:tc>
        <w:tc>
          <w:tcPr>
            <w:tcW w:w="428"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w:t>
            </w:r>
          </w:p>
        </w:tc>
        <w:tc>
          <w:tcPr>
            <w:tcW w:w="428"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w:t>
            </w:r>
          </w:p>
        </w:tc>
      </w:tr>
      <w:tr w:rsidR="007F1647" w:rsidRPr="007F1647" w:rsidTr="00CD1518">
        <w:trPr>
          <w:trHeight w:val="290"/>
        </w:trPr>
        <w:tc>
          <w:tcPr>
            <w:tcW w:w="712" w:type="pct"/>
            <w:tcBorders>
              <w:top w:val="nil"/>
              <w:left w:val="single" w:sz="4" w:space="0" w:color="5B9BD5"/>
              <w:bottom w:val="single" w:sz="4" w:space="0" w:color="5B9BD5"/>
              <w:right w:val="nil"/>
            </w:tcBorders>
            <w:shd w:val="clear" w:color="000000" w:fill="FFFFFF"/>
            <w:noWrap/>
            <w:vAlign w:val="center"/>
            <w:hideMark/>
          </w:tcPr>
          <w:p w:rsidR="007F1647" w:rsidRPr="00CD1518" w:rsidRDefault="007F1647">
            <w:pPr>
              <w:spacing w:line="240" w:lineRule="auto"/>
              <w:rPr>
                <w:color w:val="000000"/>
                <w:sz w:val="12"/>
                <w:lang w:eastAsia="en-AU"/>
              </w:rPr>
            </w:pPr>
            <w:r w:rsidRPr="00CD1518">
              <w:rPr>
                <w:color w:val="000000"/>
                <w:sz w:val="12"/>
                <w:lang w:eastAsia="en-AU"/>
              </w:rPr>
              <w:t>Non-admitted</w:t>
            </w:r>
          </w:p>
        </w:tc>
        <w:tc>
          <w:tcPr>
            <w:tcW w:w="429" w:type="pct"/>
            <w:tcBorders>
              <w:top w:val="nil"/>
              <w:left w:val="single" w:sz="4" w:space="0" w:color="5B9BD5"/>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380,780</w:t>
            </w:r>
          </w:p>
        </w:tc>
        <w:tc>
          <w:tcPr>
            <w:tcW w:w="429"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380,780</w:t>
            </w:r>
          </w:p>
        </w:tc>
        <w:tc>
          <w:tcPr>
            <w:tcW w:w="429"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0"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38"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8"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9"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9"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9"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8"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r>
      <w:tr w:rsidR="007F1647" w:rsidRPr="007F1647" w:rsidTr="00CD1518">
        <w:trPr>
          <w:trHeight w:val="290"/>
        </w:trPr>
        <w:tc>
          <w:tcPr>
            <w:tcW w:w="712" w:type="pct"/>
            <w:tcBorders>
              <w:top w:val="nil"/>
              <w:left w:val="single" w:sz="4" w:space="0" w:color="5B9BD5"/>
              <w:bottom w:val="nil"/>
              <w:right w:val="nil"/>
            </w:tcBorders>
            <w:shd w:val="clear" w:color="000000" w:fill="DDEBF7"/>
            <w:noWrap/>
            <w:vAlign w:val="center"/>
            <w:hideMark/>
          </w:tcPr>
          <w:p w:rsidR="007F1647" w:rsidRPr="00CD1518" w:rsidRDefault="007F1647">
            <w:pPr>
              <w:spacing w:line="240" w:lineRule="auto"/>
              <w:rPr>
                <w:b/>
                <w:bCs/>
                <w:color w:val="000000"/>
                <w:sz w:val="12"/>
                <w:lang w:eastAsia="en-AU"/>
              </w:rPr>
            </w:pPr>
            <w:r w:rsidRPr="00CD1518">
              <w:rPr>
                <w:b/>
                <w:bCs/>
                <w:color w:val="000000"/>
                <w:sz w:val="12"/>
                <w:lang w:eastAsia="en-AU"/>
              </w:rPr>
              <w:t>TOTAL</w:t>
            </w:r>
          </w:p>
        </w:tc>
        <w:tc>
          <w:tcPr>
            <w:tcW w:w="429" w:type="pct"/>
            <w:tcBorders>
              <w:top w:val="nil"/>
              <w:left w:val="single" w:sz="4" w:space="0" w:color="5B9BD5"/>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b/>
                <w:bCs/>
                <w:color w:val="000000"/>
                <w:sz w:val="12"/>
                <w:lang w:eastAsia="en-AU"/>
              </w:rPr>
            </w:pPr>
            <w:r w:rsidRPr="00CD1518">
              <w:rPr>
                <w:b/>
                <w:bCs/>
                <w:color w:val="000000"/>
                <w:sz w:val="12"/>
                <w:lang w:eastAsia="en-AU"/>
              </w:rPr>
              <w:t>611,951</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b/>
                <w:bCs/>
                <w:color w:val="000000"/>
                <w:sz w:val="12"/>
                <w:lang w:eastAsia="en-AU"/>
              </w:rPr>
            </w:pPr>
            <w:r w:rsidRPr="00CD1518">
              <w:rPr>
                <w:b/>
                <w:bCs/>
                <w:color w:val="000000"/>
                <w:sz w:val="12"/>
                <w:lang w:eastAsia="en-AU"/>
              </w:rPr>
              <w:t>611,951</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b/>
                <w:bCs/>
                <w:color w:val="000000"/>
                <w:sz w:val="12"/>
                <w:lang w:eastAsia="en-AU"/>
              </w:rPr>
            </w:pPr>
            <w:r w:rsidRPr="00CD1518">
              <w:rPr>
                <w:b/>
                <w:bCs/>
                <w:color w:val="000000"/>
                <w:sz w:val="12"/>
                <w:lang w:eastAsia="en-AU"/>
              </w:rPr>
              <w:t>-</w:t>
            </w:r>
          </w:p>
        </w:tc>
        <w:tc>
          <w:tcPr>
            <w:tcW w:w="420"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b/>
                <w:bCs/>
                <w:color w:val="000000"/>
                <w:sz w:val="12"/>
                <w:lang w:eastAsia="en-AU"/>
              </w:rPr>
            </w:pPr>
            <w:r w:rsidRPr="00CD1518">
              <w:rPr>
                <w:b/>
                <w:bCs/>
                <w:color w:val="000000"/>
                <w:sz w:val="12"/>
                <w:lang w:eastAsia="en-AU"/>
              </w:rPr>
              <w:t>-</w:t>
            </w:r>
          </w:p>
        </w:tc>
        <w:tc>
          <w:tcPr>
            <w:tcW w:w="438"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b/>
                <w:bCs/>
                <w:color w:val="000000"/>
                <w:sz w:val="12"/>
                <w:lang w:eastAsia="en-AU"/>
              </w:rPr>
            </w:pPr>
            <w:r w:rsidRPr="00CD1518">
              <w:rPr>
                <w:b/>
                <w:bCs/>
                <w:color w:val="000000"/>
                <w:sz w:val="12"/>
                <w:lang w:eastAsia="en-AU"/>
              </w:rPr>
              <w:t>-</w:t>
            </w:r>
          </w:p>
        </w:tc>
        <w:tc>
          <w:tcPr>
            <w:tcW w:w="428"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b/>
                <w:bCs/>
                <w:color w:val="000000"/>
                <w:sz w:val="12"/>
                <w:lang w:eastAsia="en-AU"/>
              </w:rPr>
            </w:pPr>
            <w:r w:rsidRPr="00CD1518">
              <w:rPr>
                <w:b/>
                <w:bCs/>
                <w:color w:val="000000"/>
                <w:sz w:val="12"/>
                <w:lang w:eastAsia="en-AU"/>
              </w:rPr>
              <w:t>-</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b/>
                <w:bCs/>
                <w:color w:val="000000"/>
                <w:sz w:val="12"/>
                <w:lang w:eastAsia="en-AU"/>
              </w:rPr>
            </w:pPr>
            <w:r w:rsidRPr="00CD1518">
              <w:rPr>
                <w:b/>
                <w:bCs/>
                <w:color w:val="000000"/>
                <w:sz w:val="12"/>
                <w:lang w:eastAsia="en-AU"/>
              </w:rPr>
              <w:t>-</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b/>
                <w:bCs/>
                <w:color w:val="000000"/>
                <w:sz w:val="12"/>
                <w:lang w:eastAsia="en-AU"/>
              </w:rPr>
            </w:pPr>
            <w:r w:rsidRPr="00CD1518">
              <w:rPr>
                <w:b/>
                <w:bCs/>
                <w:color w:val="000000"/>
                <w:sz w:val="12"/>
                <w:lang w:eastAsia="en-AU"/>
              </w:rPr>
              <w:t>-</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b/>
                <w:bCs/>
                <w:color w:val="000000"/>
                <w:sz w:val="12"/>
                <w:lang w:eastAsia="en-AU"/>
              </w:rPr>
            </w:pPr>
            <w:r w:rsidRPr="00CD1518">
              <w:rPr>
                <w:b/>
                <w:bCs/>
                <w:color w:val="000000"/>
                <w:sz w:val="12"/>
                <w:lang w:eastAsia="en-AU"/>
              </w:rPr>
              <w:t>-</w:t>
            </w:r>
          </w:p>
        </w:tc>
        <w:tc>
          <w:tcPr>
            <w:tcW w:w="428"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b/>
                <w:bCs/>
                <w:color w:val="000000"/>
                <w:sz w:val="12"/>
                <w:lang w:eastAsia="en-AU"/>
              </w:rPr>
            </w:pPr>
            <w:r w:rsidRPr="00CD1518">
              <w:rPr>
                <w:b/>
                <w:bCs/>
                <w:color w:val="000000"/>
                <w:sz w:val="12"/>
                <w:lang w:eastAsia="en-AU"/>
              </w:rPr>
              <w:t>-</w:t>
            </w:r>
          </w:p>
        </w:tc>
      </w:tr>
      <w:tr w:rsidR="004D0865" w:rsidRPr="007F1647" w:rsidTr="007F1647">
        <w:trPr>
          <w:trHeight w:val="290"/>
        </w:trPr>
        <w:tc>
          <w:tcPr>
            <w:tcW w:w="712" w:type="pct"/>
            <w:tcBorders>
              <w:top w:val="nil"/>
              <w:left w:val="single" w:sz="4" w:space="0" w:color="5B9BD5"/>
              <w:bottom w:val="nil"/>
              <w:right w:val="nil"/>
            </w:tcBorders>
            <w:shd w:val="clear" w:color="000000" w:fill="D0CECE"/>
            <w:noWrap/>
            <w:vAlign w:val="center"/>
            <w:hideMark/>
          </w:tcPr>
          <w:p w:rsidR="007F1647" w:rsidRPr="00CD1518" w:rsidRDefault="007F1647">
            <w:pPr>
              <w:spacing w:line="240" w:lineRule="auto"/>
              <w:rPr>
                <w:b/>
                <w:bCs/>
                <w:color w:val="000000"/>
                <w:sz w:val="12"/>
                <w:lang w:eastAsia="en-AU"/>
              </w:rPr>
            </w:pPr>
            <w:r w:rsidRPr="00CD1518">
              <w:rPr>
                <w:b/>
                <w:bCs/>
                <w:color w:val="000000"/>
                <w:sz w:val="12"/>
                <w:lang w:eastAsia="en-AU"/>
              </w:rPr>
              <w:t>Feeder Data</w:t>
            </w:r>
          </w:p>
        </w:tc>
        <w:tc>
          <w:tcPr>
            <w:tcW w:w="429" w:type="pct"/>
            <w:tcBorders>
              <w:top w:val="nil"/>
              <w:left w:val="single" w:sz="4" w:space="0" w:color="5B9BD5"/>
              <w:bottom w:val="nil"/>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c>
          <w:tcPr>
            <w:tcW w:w="429" w:type="pct"/>
            <w:tcBorders>
              <w:top w:val="nil"/>
              <w:left w:val="nil"/>
              <w:bottom w:val="nil"/>
              <w:right w:val="nil"/>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c>
          <w:tcPr>
            <w:tcW w:w="429" w:type="pct"/>
            <w:tcBorders>
              <w:top w:val="nil"/>
              <w:left w:val="single" w:sz="4" w:space="0" w:color="5B9BD5"/>
              <w:bottom w:val="nil"/>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c>
          <w:tcPr>
            <w:tcW w:w="420" w:type="pct"/>
            <w:tcBorders>
              <w:top w:val="nil"/>
              <w:left w:val="nil"/>
              <w:bottom w:val="nil"/>
              <w:right w:val="nil"/>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c>
          <w:tcPr>
            <w:tcW w:w="438" w:type="pct"/>
            <w:tcBorders>
              <w:top w:val="nil"/>
              <w:left w:val="single" w:sz="4" w:space="0" w:color="5B9BD5"/>
              <w:bottom w:val="nil"/>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c>
          <w:tcPr>
            <w:tcW w:w="428" w:type="pct"/>
            <w:tcBorders>
              <w:top w:val="nil"/>
              <w:left w:val="nil"/>
              <w:bottom w:val="nil"/>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c>
          <w:tcPr>
            <w:tcW w:w="429" w:type="pct"/>
            <w:tcBorders>
              <w:top w:val="nil"/>
              <w:left w:val="nil"/>
              <w:bottom w:val="nil"/>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c>
          <w:tcPr>
            <w:tcW w:w="429" w:type="pct"/>
            <w:tcBorders>
              <w:top w:val="nil"/>
              <w:left w:val="nil"/>
              <w:bottom w:val="nil"/>
              <w:right w:val="nil"/>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c>
          <w:tcPr>
            <w:tcW w:w="429" w:type="pct"/>
            <w:tcBorders>
              <w:top w:val="nil"/>
              <w:left w:val="single" w:sz="4" w:space="0" w:color="5B9BD5"/>
              <w:bottom w:val="nil"/>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c>
          <w:tcPr>
            <w:tcW w:w="428" w:type="pct"/>
            <w:tcBorders>
              <w:top w:val="nil"/>
              <w:left w:val="nil"/>
              <w:bottom w:val="nil"/>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2"/>
                <w:lang w:eastAsia="en-AU"/>
              </w:rPr>
            </w:pPr>
          </w:p>
        </w:tc>
      </w:tr>
      <w:tr w:rsidR="007F1647" w:rsidRPr="007F1647" w:rsidTr="00CD1518">
        <w:trPr>
          <w:trHeight w:val="290"/>
        </w:trPr>
        <w:tc>
          <w:tcPr>
            <w:tcW w:w="712" w:type="pct"/>
            <w:tcBorders>
              <w:top w:val="nil"/>
              <w:left w:val="single" w:sz="4" w:space="0" w:color="5B9BD5"/>
              <w:bottom w:val="nil"/>
              <w:right w:val="nil"/>
            </w:tcBorders>
            <w:shd w:val="clear" w:color="000000" w:fill="FFFFFF"/>
            <w:noWrap/>
            <w:vAlign w:val="center"/>
            <w:hideMark/>
          </w:tcPr>
          <w:p w:rsidR="007F1647" w:rsidRPr="00CD1518" w:rsidRDefault="007F1647">
            <w:pPr>
              <w:spacing w:line="240" w:lineRule="auto"/>
              <w:rPr>
                <w:color w:val="000000"/>
                <w:sz w:val="12"/>
                <w:lang w:eastAsia="en-AU"/>
              </w:rPr>
            </w:pPr>
            <w:r w:rsidRPr="00CD1518">
              <w:rPr>
                <w:color w:val="000000"/>
                <w:sz w:val="12"/>
                <w:lang w:eastAsia="en-AU"/>
              </w:rPr>
              <w:t>Acute Rehab Team</w:t>
            </w:r>
          </w:p>
        </w:tc>
        <w:tc>
          <w:tcPr>
            <w:tcW w:w="429" w:type="pct"/>
            <w:tcBorders>
              <w:top w:val="nil"/>
              <w:left w:val="single" w:sz="4" w:space="0" w:color="5B9BD5"/>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124</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124</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0"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123</w:t>
            </w:r>
          </w:p>
        </w:tc>
        <w:tc>
          <w:tcPr>
            <w:tcW w:w="438"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8"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123</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w:t>
            </w:r>
          </w:p>
        </w:tc>
        <w:tc>
          <w:tcPr>
            <w:tcW w:w="428" w:type="pct"/>
            <w:tcBorders>
              <w:top w:val="nil"/>
              <w:left w:val="nil"/>
              <w:bottom w:val="nil"/>
              <w:right w:val="single" w:sz="4" w:space="0" w:color="5B9BD5"/>
            </w:tcBorders>
            <w:shd w:val="clear" w:color="000000" w:fill="FFFFFF"/>
            <w:noWrap/>
            <w:vAlign w:val="center"/>
            <w:hideMark/>
          </w:tcPr>
          <w:p w:rsidR="007F1647" w:rsidRPr="00CD1518" w:rsidRDefault="007F1647">
            <w:pPr>
              <w:spacing w:line="240" w:lineRule="auto"/>
              <w:jc w:val="right"/>
              <w:rPr>
                <w:color w:val="000000"/>
                <w:sz w:val="12"/>
                <w:lang w:eastAsia="en-AU"/>
              </w:rPr>
            </w:pPr>
            <w:r w:rsidRPr="00CD1518">
              <w:rPr>
                <w:color w:val="000000"/>
                <w:sz w:val="12"/>
                <w:lang w:eastAsia="en-AU"/>
              </w:rPr>
              <w:t>99%</w:t>
            </w:r>
          </w:p>
        </w:tc>
      </w:tr>
      <w:tr w:rsidR="007F1647" w:rsidRPr="007F1647" w:rsidTr="00CD1518">
        <w:trPr>
          <w:trHeight w:val="290"/>
        </w:trPr>
        <w:tc>
          <w:tcPr>
            <w:tcW w:w="712" w:type="pct"/>
            <w:tcBorders>
              <w:top w:val="nil"/>
              <w:left w:val="single" w:sz="4" w:space="0" w:color="5B9BD5"/>
              <w:bottom w:val="nil"/>
              <w:right w:val="nil"/>
            </w:tcBorders>
            <w:shd w:val="clear" w:color="000000" w:fill="DDEBF7"/>
            <w:noWrap/>
            <w:vAlign w:val="center"/>
            <w:hideMark/>
          </w:tcPr>
          <w:p w:rsidR="007F1647" w:rsidRPr="00CD1518" w:rsidRDefault="007F1647">
            <w:pPr>
              <w:spacing w:line="240" w:lineRule="auto"/>
              <w:rPr>
                <w:sz w:val="12"/>
                <w:lang w:eastAsia="en-AU"/>
              </w:rPr>
            </w:pPr>
            <w:r w:rsidRPr="00CD1518">
              <w:rPr>
                <w:sz w:val="12"/>
                <w:lang w:eastAsia="en-AU"/>
              </w:rPr>
              <w:t>Ambulance</w:t>
            </w:r>
          </w:p>
        </w:tc>
        <w:tc>
          <w:tcPr>
            <w:tcW w:w="429" w:type="pct"/>
            <w:tcBorders>
              <w:top w:val="nil"/>
              <w:left w:val="single" w:sz="4" w:space="0" w:color="5B9BD5"/>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3,042</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3,042</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0"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1,086</w:t>
            </w:r>
          </w:p>
        </w:tc>
        <w:tc>
          <w:tcPr>
            <w:tcW w:w="438"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1,819</w:t>
            </w:r>
          </w:p>
        </w:tc>
        <w:tc>
          <w:tcPr>
            <w:tcW w:w="428"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2,905</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137</w:t>
            </w:r>
          </w:p>
        </w:tc>
        <w:tc>
          <w:tcPr>
            <w:tcW w:w="428" w:type="pct"/>
            <w:tcBorders>
              <w:top w:val="nil"/>
              <w:left w:val="nil"/>
              <w:bottom w:val="nil"/>
              <w:right w:val="single" w:sz="4" w:space="0" w:color="5B9BD5"/>
            </w:tcBorders>
            <w:shd w:val="clear" w:color="000000" w:fill="DDEBF7"/>
            <w:noWrap/>
            <w:vAlign w:val="center"/>
            <w:hideMark/>
          </w:tcPr>
          <w:p w:rsidR="007F1647" w:rsidRPr="00CD1518" w:rsidRDefault="007F1647">
            <w:pPr>
              <w:spacing w:line="240" w:lineRule="auto"/>
              <w:jc w:val="right"/>
              <w:rPr>
                <w:sz w:val="12"/>
                <w:lang w:eastAsia="en-AU"/>
              </w:rPr>
            </w:pPr>
            <w:r w:rsidRPr="00CD1518">
              <w:rPr>
                <w:sz w:val="12"/>
                <w:lang w:eastAsia="en-AU"/>
              </w:rPr>
              <w:t>95%</w:t>
            </w:r>
          </w:p>
        </w:tc>
      </w:tr>
      <w:tr w:rsidR="007F1647" w:rsidRPr="007F1647" w:rsidTr="00CD1518">
        <w:trPr>
          <w:trHeight w:val="290"/>
        </w:trPr>
        <w:tc>
          <w:tcPr>
            <w:tcW w:w="712" w:type="pct"/>
            <w:tcBorders>
              <w:top w:val="nil"/>
              <w:left w:val="single" w:sz="4" w:space="0" w:color="5B9BD5"/>
              <w:bottom w:val="nil"/>
              <w:right w:val="nil"/>
            </w:tcBorders>
            <w:shd w:val="clear" w:color="000000" w:fill="FFFFFF"/>
            <w:noWrap/>
            <w:vAlign w:val="center"/>
            <w:hideMark/>
          </w:tcPr>
          <w:p w:rsidR="007F1647" w:rsidRPr="00CD1518" w:rsidRDefault="007F1647">
            <w:pPr>
              <w:spacing w:line="240" w:lineRule="auto"/>
              <w:rPr>
                <w:color w:val="000000"/>
                <w:sz w:val="12"/>
                <w:lang w:eastAsia="en-AU"/>
              </w:rPr>
            </w:pPr>
            <w:r w:rsidRPr="00CD1518">
              <w:rPr>
                <w:color w:val="000000"/>
                <w:sz w:val="12"/>
                <w:lang w:eastAsia="en-AU"/>
              </w:rPr>
              <w:t>Anaesthetics</w:t>
            </w:r>
          </w:p>
        </w:tc>
        <w:tc>
          <w:tcPr>
            <w:tcW w:w="429" w:type="pct"/>
            <w:tcBorders>
              <w:top w:val="nil"/>
              <w:left w:val="single" w:sz="4" w:space="0" w:color="5B9BD5"/>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20,616</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20,616</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0"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18,454</w:t>
            </w:r>
          </w:p>
        </w:tc>
        <w:tc>
          <w:tcPr>
            <w:tcW w:w="438"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8"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2,133</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20,587</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29</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8" w:type="pct"/>
            <w:tcBorders>
              <w:top w:val="nil"/>
              <w:left w:val="nil"/>
              <w:bottom w:val="nil"/>
              <w:right w:val="single" w:sz="4" w:space="0" w:color="5B9BD5"/>
            </w:tcBorders>
            <w:shd w:val="clear" w:color="000000" w:fill="FFFFFF"/>
            <w:noWrap/>
            <w:vAlign w:val="center"/>
            <w:hideMark/>
          </w:tcPr>
          <w:p w:rsidR="007F1647" w:rsidRPr="00CD1518" w:rsidRDefault="007F1647">
            <w:pPr>
              <w:spacing w:line="240" w:lineRule="auto"/>
              <w:jc w:val="right"/>
              <w:rPr>
                <w:color w:val="000000"/>
                <w:sz w:val="12"/>
                <w:lang w:eastAsia="en-AU"/>
              </w:rPr>
            </w:pPr>
            <w:r w:rsidRPr="00CD1518">
              <w:rPr>
                <w:color w:val="000000"/>
                <w:sz w:val="12"/>
                <w:lang w:eastAsia="en-AU"/>
              </w:rPr>
              <w:t>100%</w:t>
            </w:r>
          </w:p>
        </w:tc>
      </w:tr>
      <w:tr w:rsidR="007F1647" w:rsidRPr="007F1647" w:rsidTr="00CD1518">
        <w:trPr>
          <w:trHeight w:val="290"/>
        </w:trPr>
        <w:tc>
          <w:tcPr>
            <w:tcW w:w="712" w:type="pct"/>
            <w:tcBorders>
              <w:top w:val="nil"/>
              <w:left w:val="single" w:sz="4" w:space="0" w:color="5B9BD5"/>
              <w:bottom w:val="nil"/>
              <w:right w:val="nil"/>
            </w:tcBorders>
            <w:shd w:val="clear" w:color="000000" w:fill="DDEBF7"/>
            <w:noWrap/>
            <w:vAlign w:val="center"/>
            <w:hideMark/>
          </w:tcPr>
          <w:p w:rsidR="007F1647" w:rsidRPr="00CD1518" w:rsidRDefault="007F1647">
            <w:pPr>
              <w:spacing w:line="240" w:lineRule="auto"/>
              <w:rPr>
                <w:sz w:val="12"/>
                <w:lang w:eastAsia="en-AU"/>
              </w:rPr>
            </w:pPr>
            <w:r w:rsidRPr="00CD1518">
              <w:rPr>
                <w:sz w:val="12"/>
                <w:lang w:eastAsia="en-AU"/>
              </w:rPr>
              <w:t>Blood Products</w:t>
            </w:r>
          </w:p>
        </w:tc>
        <w:tc>
          <w:tcPr>
            <w:tcW w:w="429" w:type="pct"/>
            <w:tcBorders>
              <w:top w:val="nil"/>
              <w:left w:val="single" w:sz="4" w:space="0" w:color="5B9BD5"/>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22,401</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22,401</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0"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12,674</w:t>
            </w:r>
          </w:p>
        </w:tc>
        <w:tc>
          <w:tcPr>
            <w:tcW w:w="438"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2,743</w:t>
            </w:r>
          </w:p>
        </w:tc>
        <w:tc>
          <w:tcPr>
            <w:tcW w:w="428"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1,572</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16,989</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5,412</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w:t>
            </w:r>
          </w:p>
        </w:tc>
        <w:tc>
          <w:tcPr>
            <w:tcW w:w="428" w:type="pct"/>
            <w:tcBorders>
              <w:top w:val="nil"/>
              <w:left w:val="nil"/>
              <w:bottom w:val="nil"/>
              <w:right w:val="single" w:sz="4" w:space="0" w:color="5B9BD5"/>
            </w:tcBorders>
            <w:shd w:val="clear" w:color="000000" w:fill="DDEBF7"/>
            <w:noWrap/>
            <w:vAlign w:val="center"/>
            <w:hideMark/>
          </w:tcPr>
          <w:p w:rsidR="007F1647" w:rsidRPr="00CD1518" w:rsidRDefault="007F1647">
            <w:pPr>
              <w:spacing w:line="240" w:lineRule="auto"/>
              <w:jc w:val="right"/>
              <w:rPr>
                <w:sz w:val="12"/>
                <w:lang w:eastAsia="en-AU"/>
              </w:rPr>
            </w:pPr>
            <w:r w:rsidRPr="00CD1518">
              <w:rPr>
                <w:sz w:val="12"/>
                <w:lang w:eastAsia="en-AU"/>
              </w:rPr>
              <w:t>76%</w:t>
            </w:r>
          </w:p>
        </w:tc>
      </w:tr>
      <w:tr w:rsidR="007F1647" w:rsidRPr="007F1647" w:rsidTr="00CD1518">
        <w:trPr>
          <w:trHeight w:val="290"/>
        </w:trPr>
        <w:tc>
          <w:tcPr>
            <w:tcW w:w="712" w:type="pct"/>
            <w:tcBorders>
              <w:top w:val="nil"/>
              <w:left w:val="single" w:sz="4" w:space="0" w:color="5B9BD5"/>
              <w:bottom w:val="nil"/>
              <w:right w:val="nil"/>
            </w:tcBorders>
            <w:shd w:val="clear" w:color="000000" w:fill="FFFFFF"/>
            <w:noWrap/>
            <w:vAlign w:val="center"/>
            <w:hideMark/>
          </w:tcPr>
          <w:p w:rsidR="007F1647" w:rsidRPr="00CD1518" w:rsidRDefault="007F1647">
            <w:pPr>
              <w:spacing w:line="240" w:lineRule="auto"/>
              <w:rPr>
                <w:color w:val="000000"/>
                <w:sz w:val="12"/>
                <w:lang w:eastAsia="en-AU"/>
              </w:rPr>
            </w:pPr>
            <w:proofErr w:type="spellStart"/>
            <w:r w:rsidRPr="00CD1518">
              <w:rPr>
                <w:color w:val="000000"/>
                <w:sz w:val="12"/>
                <w:lang w:eastAsia="en-AU"/>
              </w:rPr>
              <w:t>CardioProsth</w:t>
            </w:r>
            <w:proofErr w:type="spellEnd"/>
          </w:p>
        </w:tc>
        <w:tc>
          <w:tcPr>
            <w:tcW w:w="429" w:type="pct"/>
            <w:tcBorders>
              <w:top w:val="nil"/>
              <w:left w:val="single" w:sz="4" w:space="0" w:color="5B9BD5"/>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676</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676</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0"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665</w:t>
            </w:r>
          </w:p>
        </w:tc>
        <w:tc>
          <w:tcPr>
            <w:tcW w:w="438"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8"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665</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11</w:t>
            </w:r>
          </w:p>
        </w:tc>
        <w:tc>
          <w:tcPr>
            <w:tcW w:w="428" w:type="pct"/>
            <w:tcBorders>
              <w:top w:val="nil"/>
              <w:left w:val="nil"/>
              <w:bottom w:val="nil"/>
              <w:right w:val="single" w:sz="4" w:space="0" w:color="5B9BD5"/>
            </w:tcBorders>
            <w:shd w:val="clear" w:color="000000" w:fill="FFFFFF"/>
            <w:noWrap/>
            <w:vAlign w:val="center"/>
            <w:hideMark/>
          </w:tcPr>
          <w:p w:rsidR="007F1647" w:rsidRPr="00CD1518" w:rsidRDefault="007F1647">
            <w:pPr>
              <w:spacing w:line="240" w:lineRule="auto"/>
              <w:jc w:val="right"/>
              <w:rPr>
                <w:color w:val="000000"/>
                <w:sz w:val="12"/>
                <w:lang w:eastAsia="en-AU"/>
              </w:rPr>
            </w:pPr>
            <w:r w:rsidRPr="00CD1518">
              <w:rPr>
                <w:color w:val="000000"/>
                <w:sz w:val="12"/>
                <w:lang w:eastAsia="en-AU"/>
              </w:rPr>
              <w:t>98%</w:t>
            </w:r>
          </w:p>
        </w:tc>
      </w:tr>
      <w:tr w:rsidR="007F1647" w:rsidRPr="007F1647" w:rsidTr="00CD1518">
        <w:trPr>
          <w:trHeight w:val="290"/>
        </w:trPr>
        <w:tc>
          <w:tcPr>
            <w:tcW w:w="712" w:type="pct"/>
            <w:tcBorders>
              <w:top w:val="nil"/>
              <w:left w:val="single" w:sz="4" w:space="0" w:color="5B9BD5"/>
              <w:bottom w:val="nil"/>
              <w:right w:val="nil"/>
            </w:tcBorders>
            <w:shd w:val="clear" w:color="000000" w:fill="DDEBF7"/>
            <w:noWrap/>
            <w:vAlign w:val="center"/>
            <w:hideMark/>
          </w:tcPr>
          <w:p w:rsidR="007F1647" w:rsidRPr="00CD1518" w:rsidRDefault="007F1647">
            <w:pPr>
              <w:spacing w:line="240" w:lineRule="auto"/>
              <w:rPr>
                <w:sz w:val="12"/>
                <w:lang w:eastAsia="en-AU"/>
              </w:rPr>
            </w:pPr>
            <w:r w:rsidRPr="00CD1518">
              <w:rPr>
                <w:sz w:val="12"/>
                <w:lang w:eastAsia="en-AU"/>
              </w:rPr>
              <w:t>Imaging</w:t>
            </w:r>
          </w:p>
        </w:tc>
        <w:tc>
          <w:tcPr>
            <w:tcW w:w="429" w:type="pct"/>
            <w:tcBorders>
              <w:top w:val="nil"/>
              <w:left w:val="single" w:sz="4" w:space="0" w:color="5B9BD5"/>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194,801</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194,801</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0"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56,530</w:t>
            </w:r>
          </w:p>
        </w:tc>
        <w:tc>
          <w:tcPr>
            <w:tcW w:w="438"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115,017</w:t>
            </w:r>
          </w:p>
        </w:tc>
        <w:tc>
          <w:tcPr>
            <w:tcW w:w="428"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12,375</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183,922</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10,879</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w:t>
            </w:r>
          </w:p>
        </w:tc>
        <w:tc>
          <w:tcPr>
            <w:tcW w:w="428" w:type="pct"/>
            <w:tcBorders>
              <w:top w:val="nil"/>
              <w:left w:val="nil"/>
              <w:bottom w:val="nil"/>
              <w:right w:val="single" w:sz="4" w:space="0" w:color="5B9BD5"/>
            </w:tcBorders>
            <w:shd w:val="clear" w:color="000000" w:fill="DDEBF7"/>
            <w:noWrap/>
            <w:vAlign w:val="center"/>
            <w:hideMark/>
          </w:tcPr>
          <w:p w:rsidR="007F1647" w:rsidRPr="00CD1518" w:rsidRDefault="007F1647">
            <w:pPr>
              <w:spacing w:line="240" w:lineRule="auto"/>
              <w:jc w:val="right"/>
              <w:rPr>
                <w:sz w:val="12"/>
                <w:lang w:eastAsia="en-AU"/>
              </w:rPr>
            </w:pPr>
            <w:r w:rsidRPr="00CD1518">
              <w:rPr>
                <w:sz w:val="12"/>
                <w:lang w:eastAsia="en-AU"/>
              </w:rPr>
              <w:t>94%</w:t>
            </w:r>
          </w:p>
        </w:tc>
      </w:tr>
      <w:tr w:rsidR="007F1647" w:rsidRPr="007F1647" w:rsidTr="00CD1518">
        <w:trPr>
          <w:trHeight w:val="290"/>
        </w:trPr>
        <w:tc>
          <w:tcPr>
            <w:tcW w:w="712" w:type="pct"/>
            <w:tcBorders>
              <w:top w:val="nil"/>
              <w:left w:val="single" w:sz="4" w:space="0" w:color="5B9BD5"/>
              <w:bottom w:val="nil"/>
              <w:right w:val="nil"/>
            </w:tcBorders>
            <w:shd w:val="clear" w:color="000000" w:fill="FFFFFF"/>
            <w:noWrap/>
            <w:vAlign w:val="center"/>
            <w:hideMark/>
          </w:tcPr>
          <w:p w:rsidR="007F1647" w:rsidRPr="00CD1518" w:rsidRDefault="007F1647">
            <w:pPr>
              <w:spacing w:line="240" w:lineRule="auto"/>
              <w:rPr>
                <w:color w:val="000000"/>
                <w:sz w:val="12"/>
                <w:lang w:eastAsia="en-AU"/>
              </w:rPr>
            </w:pPr>
            <w:r w:rsidRPr="00CD1518">
              <w:rPr>
                <w:color w:val="000000"/>
                <w:sz w:val="12"/>
                <w:lang w:eastAsia="en-AU"/>
              </w:rPr>
              <w:t>Nuclear Medicine</w:t>
            </w:r>
          </w:p>
        </w:tc>
        <w:tc>
          <w:tcPr>
            <w:tcW w:w="429" w:type="pct"/>
            <w:tcBorders>
              <w:top w:val="nil"/>
              <w:left w:val="single" w:sz="4" w:space="0" w:color="5B9BD5"/>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4,247</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4,247</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0"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2,040</w:t>
            </w:r>
          </w:p>
        </w:tc>
        <w:tc>
          <w:tcPr>
            <w:tcW w:w="438"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148</w:t>
            </w:r>
          </w:p>
        </w:tc>
        <w:tc>
          <w:tcPr>
            <w:tcW w:w="428"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475</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2,663</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1,584</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8" w:type="pct"/>
            <w:tcBorders>
              <w:top w:val="nil"/>
              <w:left w:val="nil"/>
              <w:bottom w:val="nil"/>
              <w:right w:val="single" w:sz="4" w:space="0" w:color="5B9BD5"/>
            </w:tcBorders>
            <w:shd w:val="clear" w:color="000000" w:fill="FFFFFF"/>
            <w:noWrap/>
            <w:vAlign w:val="center"/>
            <w:hideMark/>
          </w:tcPr>
          <w:p w:rsidR="007F1647" w:rsidRPr="00CD1518" w:rsidRDefault="007F1647">
            <w:pPr>
              <w:spacing w:line="240" w:lineRule="auto"/>
              <w:jc w:val="right"/>
              <w:rPr>
                <w:color w:val="000000"/>
                <w:sz w:val="12"/>
                <w:lang w:eastAsia="en-AU"/>
              </w:rPr>
            </w:pPr>
            <w:r w:rsidRPr="00CD1518">
              <w:rPr>
                <w:color w:val="000000"/>
                <w:sz w:val="12"/>
                <w:lang w:eastAsia="en-AU"/>
              </w:rPr>
              <w:t>63%</w:t>
            </w:r>
          </w:p>
        </w:tc>
      </w:tr>
      <w:tr w:rsidR="007F1647" w:rsidRPr="007F1647" w:rsidTr="00CD1518">
        <w:trPr>
          <w:trHeight w:val="290"/>
        </w:trPr>
        <w:tc>
          <w:tcPr>
            <w:tcW w:w="712" w:type="pct"/>
            <w:tcBorders>
              <w:top w:val="nil"/>
              <w:left w:val="single" w:sz="4" w:space="0" w:color="5B9BD5"/>
              <w:bottom w:val="nil"/>
              <w:right w:val="nil"/>
            </w:tcBorders>
            <w:shd w:val="clear" w:color="000000" w:fill="DDEBF7"/>
            <w:noWrap/>
            <w:vAlign w:val="center"/>
            <w:hideMark/>
          </w:tcPr>
          <w:p w:rsidR="007F1647" w:rsidRPr="00CD1518" w:rsidRDefault="007F1647">
            <w:pPr>
              <w:spacing w:line="240" w:lineRule="auto"/>
              <w:rPr>
                <w:sz w:val="12"/>
                <w:lang w:eastAsia="en-AU"/>
              </w:rPr>
            </w:pPr>
            <w:r w:rsidRPr="00CD1518">
              <w:rPr>
                <w:sz w:val="12"/>
                <w:lang w:eastAsia="en-AU"/>
              </w:rPr>
              <w:t>Operating Room</w:t>
            </w:r>
          </w:p>
        </w:tc>
        <w:tc>
          <w:tcPr>
            <w:tcW w:w="429" w:type="pct"/>
            <w:tcBorders>
              <w:top w:val="nil"/>
              <w:left w:val="single" w:sz="4" w:space="0" w:color="5B9BD5"/>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20,655</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20,655</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0"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18,490</w:t>
            </w:r>
          </w:p>
        </w:tc>
        <w:tc>
          <w:tcPr>
            <w:tcW w:w="438"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w:t>
            </w:r>
          </w:p>
        </w:tc>
        <w:tc>
          <w:tcPr>
            <w:tcW w:w="428"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2,136</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20,626</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29</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w:t>
            </w:r>
          </w:p>
        </w:tc>
        <w:tc>
          <w:tcPr>
            <w:tcW w:w="428" w:type="pct"/>
            <w:tcBorders>
              <w:top w:val="nil"/>
              <w:left w:val="nil"/>
              <w:bottom w:val="nil"/>
              <w:right w:val="single" w:sz="4" w:space="0" w:color="5B9BD5"/>
            </w:tcBorders>
            <w:shd w:val="clear" w:color="000000" w:fill="DDEBF7"/>
            <w:noWrap/>
            <w:vAlign w:val="center"/>
            <w:hideMark/>
          </w:tcPr>
          <w:p w:rsidR="007F1647" w:rsidRPr="00CD1518" w:rsidRDefault="007F1647">
            <w:pPr>
              <w:spacing w:line="240" w:lineRule="auto"/>
              <w:jc w:val="right"/>
              <w:rPr>
                <w:sz w:val="12"/>
                <w:lang w:eastAsia="en-AU"/>
              </w:rPr>
            </w:pPr>
            <w:r w:rsidRPr="00CD1518">
              <w:rPr>
                <w:sz w:val="12"/>
                <w:lang w:eastAsia="en-AU"/>
              </w:rPr>
              <w:t>100%</w:t>
            </w:r>
          </w:p>
        </w:tc>
      </w:tr>
      <w:tr w:rsidR="007F1647" w:rsidRPr="007F1647" w:rsidTr="00CD1518">
        <w:trPr>
          <w:trHeight w:val="290"/>
        </w:trPr>
        <w:tc>
          <w:tcPr>
            <w:tcW w:w="712" w:type="pct"/>
            <w:tcBorders>
              <w:top w:val="nil"/>
              <w:left w:val="single" w:sz="4" w:space="0" w:color="5B9BD5"/>
              <w:bottom w:val="nil"/>
              <w:right w:val="nil"/>
            </w:tcBorders>
            <w:shd w:val="clear" w:color="000000" w:fill="FFFFFF"/>
            <w:noWrap/>
            <w:vAlign w:val="center"/>
            <w:hideMark/>
          </w:tcPr>
          <w:p w:rsidR="007F1647" w:rsidRPr="00CD1518" w:rsidRDefault="007F1647">
            <w:pPr>
              <w:spacing w:line="240" w:lineRule="auto"/>
              <w:rPr>
                <w:color w:val="000000"/>
                <w:sz w:val="12"/>
                <w:lang w:eastAsia="en-AU"/>
              </w:rPr>
            </w:pPr>
            <w:proofErr w:type="spellStart"/>
            <w:r w:rsidRPr="00CD1518">
              <w:rPr>
                <w:color w:val="000000"/>
                <w:sz w:val="12"/>
                <w:lang w:eastAsia="en-AU"/>
              </w:rPr>
              <w:t>ORProsth</w:t>
            </w:r>
            <w:proofErr w:type="spellEnd"/>
          </w:p>
        </w:tc>
        <w:tc>
          <w:tcPr>
            <w:tcW w:w="429" w:type="pct"/>
            <w:tcBorders>
              <w:top w:val="nil"/>
              <w:left w:val="single" w:sz="4" w:space="0" w:color="5B9BD5"/>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20,255</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20,255</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0"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20,226</w:t>
            </w:r>
          </w:p>
        </w:tc>
        <w:tc>
          <w:tcPr>
            <w:tcW w:w="438"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8"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9</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20,235</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20</w:t>
            </w:r>
          </w:p>
        </w:tc>
        <w:tc>
          <w:tcPr>
            <w:tcW w:w="428" w:type="pct"/>
            <w:tcBorders>
              <w:top w:val="nil"/>
              <w:left w:val="nil"/>
              <w:bottom w:val="nil"/>
              <w:right w:val="single" w:sz="4" w:space="0" w:color="5B9BD5"/>
            </w:tcBorders>
            <w:shd w:val="clear" w:color="000000" w:fill="FFFFFF"/>
            <w:noWrap/>
            <w:vAlign w:val="center"/>
            <w:hideMark/>
          </w:tcPr>
          <w:p w:rsidR="007F1647" w:rsidRPr="00CD1518" w:rsidRDefault="007F1647">
            <w:pPr>
              <w:spacing w:line="240" w:lineRule="auto"/>
              <w:jc w:val="right"/>
              <w:rPr>
                <w:color w:val="000000"/>
                <w:sz w:val="12"/>
                <w:lang w:eastAsia="en-AU"/>
              </w:rPr>
            </w:pPr>
            <w:r w:rsidRPr="00CD1518">
              <w:rPr>
                <w:color w:val="000000"/>
                <w:sz w:val="12"/>
                <w:lang w:eastAsia="en-AU"/>
              </w:rPr>
              <w:t>100%</w:t>
            </w:r>
          </w:p>
        </w:tc>
      </w:tr>
      <w:tr w:rsidR="007F1647" w:rsidRPr="007F1647" w:rsidTr="00CD1518">
        <w:trPr>
          <w:trHeight w:val="290"/>
        </w:trPr>
        <w:tc>
          <w:tcPr>
            <w:tcW w:w="712" w:type="pct"/>
            <w:tcBorders>
              <w:top w:val="nil"/>
              <w:left w:val="single" w:sz="4" w:space="0" w:color="5B9BD5"/>
              <w:bottom w:val="nil"/>
              <w:right w:val="nil"/>
            </w:tcBorders>
            <w:shd w:val="clear" w:color="000000" w:fill="DDEBF7"/>
            <w:noWrap/>
            <w:vAlign w:val="center"/>
            <w:hideMark/>
          </w:tcPr>
          <w:p w:rsidR="007F1647" w:rsidRPr="00CD1518" w:rsidRDefault="007F1647">
            <w:pPr>
              <w:spacing w:line="240" w:lineRule="auto"/>
              <w:rPr>
                <w:sz w:val="12"/>
                <w:lang w:eastAsia="en-AU"/>
              </w:rPr>
            </w:pPr>
            <w:r w:rsidRPr="00CD1518">
              <w:rPr>
                <w:sz w:val="12"/>
                <w:lang w:eastAsia="en-AU"/>
              </w:rPr>
              <w:t>Pathology</w:t>
            </w:r>
          </w:p>
        </w:tc>
        <w:tc>
          <w:tcPr>
            <w:tcW w:w="429" w:type="pct"/>
            <w:tcBorders>
              <w:top w:val="nil"/>
              <w:left w:val="single" w:sz="4" w:space="0" w:color="5B9BD5"/>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270,266</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270,266</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0"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157,906</w:t>
            </w:r>
          </w:p>
        </w:tc>
        <w:tc>
          <w:tcPr>
            <w:tcW w:w="438"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99,685</w:t>
            </w:r>
          </w:p>
        </w:tc>
        <w:tc>
          <w:tcPr>
            <w:tcW w:w="428"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4,553</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262,144</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8,122</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w:t>
            </w:r>
          </w:p>
        </w:tc>
        <w:tc>
          <w:tcPr>
            <w:tcW w:w="428" w:type="pct"/>
            <w:tcBorders>
              <w:top w:val="nil"/>
              <w:left w:val="nil"/>
              <w:bottom w:val="nil"/>
              <w:right w:val="single" w:sz="4" w:space="0" w:color="5B9BD5"/>
            </w:tcBorders>
            <w:shd w:val="clear" w:color="000000" w:fill="DDEBF7"/>
            <w:noWrap/>
            <w:vAlign w:val="center"/>
            <w:hideMark/>
          </w:tcPr>
          <w:p w:rsidR="007F1647" w:rsidRPr="00CD1518" w:rsidRDefault="007F1647">
            <w:pPr>
              <w:spacing w:line="240" w:lineRule="auto"/>
              <w:jc w:val="right"/>
              <w:rPr>
                <w:sz w:val="12"/>
                <w:lang w:eastAsia="en-AU"/>
              </w:rPr>
            </w:pPr>
            <w:r w:rsidRPr="00CD1518">
              <w:rPr>
                <w:sz w:val="12"/>
                <w:lang w:eastAsia="en-AU"/>
              </w:rPr>
              <w:t>97%</w:t>
            </w:r>
          </w:p>
        </w:tc>
      </w:tr>
      <w:tr w:rsidR="007F1647" w:rsidRPr="007F1647" w:rsidTr="00CD1518">
        <w:trPr>
          <w:trHeight w:val="290"/>
        </w:trPr>
        <w:tc>
          <w:tcPr>
            <w:tcW w:w="712" w:type="pct"/>
            <w:tcBorders>
              <w:top w:val="nil"/>
              <w:left w:val="single" w:sz="4" w:space="0" w:color="5B9BD5"/>
              <w:bottom w:val="nil"/>
              <w:right w:val="nil"/>
            </w:tcBorders>
            <w:shd w:val="clear" w:color="000000" w:fill="FFFFFF"/>
            <w:noWrap/>
            <w:vAlign w:val="center"/>
            <w:hideMark/>
          </w:tcPr>
          <w:p w:rsidR="007F1647" w:rsidRPr="00CD1518" w:rsidRDefault="007F1647">
            <w:pPr>
              <w:spacing w:line="240" w:lineRule="auto"/>
              <w:rPr>
                <w:color w:val="000000"/>
                <w:sz w:val="12"/>
                <w:lang w:eastAsia="en-AU"/>
              </w:rPr>
            </w:pPr>
            <w:r w:rsidRPr="00CD1518">
              <w:rPr>
                <w:color w:val="000000"/>
                <w:sz w:val="12"/>
                <w:lang w:eastAsia="en-AU"/>
              </w:rPr>
              <w:t>Pharmacy</w:t>
            </w:r>
          </w:p>
        </w:tc>
        <w:tc>
          <w:tcPr>
            <w:tcW w:w="429" w:type="pct"/>
            <w:tcBorders>
              <w:top w:val="nil"/>
              <w:left w:val="single" w:sz="4" w:space="0" w:color="5B9BD5"/>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205,713</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205,713</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0"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155,830</w:t>
            </w:r>
          </w:p>
        </w:tc>
        <w:tc>
          <w:tcPr>
            <w:tcW w:w="438"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7,758</w:t>
            </w:r>
          </w:p>
        </w:tc>
        <w:tc>
          <w:tcPr>
            <w:tcW w:w="428"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13,373</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176,961</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28,752</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8" w:type="pct"/>
            <w:tcBorders>
              <w:top w:val="nil"/>
              <w:left w:val="nil"/>
              <w:bottom w:val="nil"/>
              <w:right w:val="single" w:sz="4" w:space="0" w:color="5B9BD5"/>
            </w:tcBorders>
            <w:shd w:val="clear" w:color="000000" w:fill="FFFFFF"/>
            <w:noWrap/>
            <w:vAlign w:val="center"/>
            <w:hideMark/>
          </w:tcPr>
          <w:p w:rsidR="007F1647" w:rsidRPr="00CD1518" w:rsidRDefault="007F1647">
            <w:pPr>
              <w:spacing w:line="240" w:lineRule="auto"/>
              <w:jc w:val="right"/>
              <w:rPr>
                <w:color w:val="000000"/>
                <w:sz w:val="12"/>
                <w:lang w:eastAsia="en-AU"/>
              </w:rPr>
            </w:pPr>
            <w:r w:rsidRPr="00CD1518">
              <w:rPr>
                <w:color w:val="000000"/>
                <w:sz w:val="12"/>
                <w:lang w:eastAsia="en-AU"/>
              </w:rPr>
              <w:t>86%</w:t>
            </w:r>
          </w:p>
        </w:tc>
      </w:tr>
      <w:tr w:rsidR="007F1647" w:rsidRPr="007F1647" w:rsidTr="00CD1518">
        <w:trPr>
          <w:trHeight w:val="290"/>
        </w:trPr>
        <w:tc>
          <w:tcPr>
            <w:tcW w:w="712" w:type="pct"/>
            <w:tcBorders>
              <w:top w:val="nil"/>
              <w:left w:val="single" w:sz="4" w:space="0" w:color="5B9BD5"/>
              <w:bottom w:val="nil"/>
              <w:right w:val="nil"/>
            </w:tcBorders>
            <w:shd w:val="clear" w:color="000000" w:fill="DDEBF7"/>
            <w:noWrap/>
            <w:vAlign w:val="center"/>
            <w:hideMark/>
          </w:tcPr>
          <w:p w:rsidR="007F1647" w:rsidRPr="00CD1518" w:rsidRDefault="007F1647">
            <w:pPr>
              <w:spacing w:line="240" w:lineRule="auto"/>
              <w:rPr>
                <w:sz w:val="12"/>
                <w:lang w:eastAsia="en-AU"/>
              </w:rPr>
            </w:pPr>
            <w:r w:rsidRPr="00CD1518">
              <w:rPr>
                <w:sz w:val="12"/>
                <w:lang w:eastAsia="en-AU"/>
              </w:rPr>
              <w:t>Recovery</w:t>
            </w:r>
          </w:p>
        </w:tc>
        <w:tc>
          <w:tcPr>
            <w:tcW w:w="429" w:type="pct"/>
            <w:tcBorders>
              <w:top w:val="nil"/>
              <w:left w:val="single" w:sz="4" w:space="0" w:color="5B9BD5"/>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19,953</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19,953</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0"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17,832</w:t>
            </w:r>
          </w:p>
        </w:tc>
        <w:tc>
          <w:tcPr>
            <w:tcW w:w="438"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w:t>
            </w:r>
          </w:p>
        </w:tc>
        <w:tc>
          <w:tcPr>
            <w:tcW w:w="428"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2,096</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19,928</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25</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w:t>
            </w:r>
          </w:p>
        </w:tc>
        <w:tc>
          <w:tcPr>
            <w:tcW w:w="428" w:type="pct"/>
            <w:tcBorders>
              <w:top w:val="nil"/>
              <w:left w:val="nil"/>
              <w:bottom w:val="nil"/>
              <w:right w:val="single" w:sz="4" w:space="0" w:color="5B9BD5"/>
            </w:tcBorders>
            <w:shd w:val="clear" w:color="000000" w:fill="DDEBF7"/>
            <w:noWrap/>
            <w:vAlign w:val="center"/>
            <w:hideMark/>
          </w:tcPr>
          <w:p w:rsidR="007F1647" w:rsidRPr="00CD1518" w:rsidRDefault="007F1647">
            <w:pPr>
              <w:spacing w:line="240" w:lineRule="auto"/>
              <w:jc w:val="right"/>
              <w:rPr>
                <w:sz w:val="12"/>
                <w:lang w:eastAsia="en-AU"/>
              </w:rPr>
            </w:pPr>
            <w:r w:rsidRPr="00CD1518">
              <w:rPr>
                <w:sz w:val="12"/>
                <w:lang w:eastAsia="en-AU"/>
              </w:rPr>
              <w:t>100%</w:t>
            </w:r>
          </w:p>
        </w:tc>
      </w:tr>
      <w:tr w:rsidR="007F1647" w:rsidRPr="007F1647" w:rsidTr="00CD1518">
        <w:trPr>
          <w:trHeight w:val="290"/>
        </w:trPr>
        <w:tc>
          <w:tcPr>
            <w:tcW w:w="712" w:type="pct"/>
            <w:tcBorders>
              <w:top w:val="nil"/>
              <w:left w:val="single" w:sz="4" w:space="0" w:color="5B9BD5"/>
              <w:bottom w:val="nil"/>
              <w:right w:val="nil"/>
            </w:tcBorders>
            <w:shd w:val="clear" w:color="000000" w:fill="FFFFFF"/>
            <w:noWrap/>
            <w:vAlign w:val="center"/>
            <w:hideMark/>
          </w:tcPr>
          <w:p w:rsidR="007F1647" w:rsidRPr="00CD1518" w:rsidRDefault="007F1647">
            <w:pPr>
              <w:spacing w:line="240" w:lineRule="auto"/>
              <w:rPr>
                <w:color w:val="000000"/>
                <w:sz w:val="12"/>
                <w:lang w:eastAsia="en-AU"/>
              </w:rPr>
            </w:pPr>
            <w:r w:rsidRPr="00CD1518">
              <w:rPr>
                <w:color w:val="000000"/>
                <w:sz w:val="12"/>
                <w:lang w:eastAsia="en-AU"/>
              </w:rPr>
              <w:t>Service ED</w:t>
            </w:r>
          </w:p>
        </w:tc>
        <w:tc>
          <w:tcPr>
            <w:tcW w:w="429" w:type="pct"/>
            <w:tcBorders>
              <w:top w:val="nil"/>
              <w:left w:val="single" w:sz="4" w:space="0" w:color="5B9BD5"/>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144,707</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144,707</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0"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38"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144,706</w:t>
            </w:r>
          </w:p>
        </w:tc>
        <w:tc>
          <w:tcPr>
            <w:tcW w:w="428"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9" w:type="pct"/>
            <w:tcBorders>
              <w:top w:val="nil"/>
              <w:left w:val="nil"/>
              <w:bottom w:val="nil"/>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144,706</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9" w:type="pct"/>
            <w:tcBorders>
              <w:top w:val="nil"/>
              <w:left w:val="nil"/>
              <w:bottom w:val="nil"/>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1</w:t>
            </w:r>
          </w:p>
        </w:tc>
        <w:tc>
          <w:tcPr>
            <w:tcW w:w="428" w:type="pct"/>
            <w:tcBorders>
              <w:top w:val="nil"/>
              <w:left w:val="nil"/>
              <w:bottom w:val="nil"/>
              <w:right w:val="single" w:sz="4" w:space="0" w:color="5B9BD5"/>
            </w:tcBorders>
            <w:shd w:val="clear" w:color="000000" w:fill="FFFFFF"/>
            <w:noWrap/>
            <w:vAlign w:val="center"/>
            <w:hideMark/>
          </w:tcPr>
          <w:p w:rsidR="007F1647" w:rsidRPr="00CD1518" w:rsidRDefault="007F1647">
            <w:pPr>
              <w:spacing w:line="240" w:lineRule="auto"/>
              <w:jc w:val="right"/>
              <w:rPr>
                <w:color w:val="000000"/>
                <w:sz w:val="12"/>
                <w:lang w:eastAsia="en-AU"/>
              </w:rPr>
            </w:pPr>
            <w:r w:rsidRPr="00CD1518">
              <w:rPr>
                <w:color w:val="000000"/>
                <w:sz w:val="12"/>
                <w:lang w:eastAsia="en-AU"/>
              </w:rPr>
              <w:t>100%</w:t>
            </w:r>
          </w:p>
        </w:tc>
      </w:tr>
      <w:tr w:rsidR="007F1647" w:rsidRPr="007F1647" w:rsidTr="00CD1518">
        <w:trPr>
          <w:trHeight w:val="290"/>
        </w:trPr>
        <w:tc>
          <w:tcPr>
            <w:tcW w:w="712" w:type="pct"/>
            <w:tcBorders>
              <w:top w:val="nil"/>
              <w:left w:val="single" w:sz="4" w:space="0" w:color="5B9BD5"/>
              <w:bottom w:val="single" w:sz="4" w:space="0" w:color="5B9BD5"/>
              <w:right w:val="nil"/>
            </w:tcBorders>
            <w:shd w:val="clear" w:color="000000" w:fill="DDEBF7"/>
            <w:noWrap/>
            <w:vAlign w:val="center"/>
            <w:hideMark/>
          </w:tcPr>
          <w:p w:rsidR="007F1647" w:rsidRPr="00CD1518" w:rsidRDefault="007F1647">
            <w:pPr>
              <w:spacing w:line="240" w:lineRule="auto"/>
              <w:rPr>
                <w:sz w:val="12"/>
                <w:lang w:eastAsia="en-AU"/>
              </w:rPr>
            </w:pPr>
            <w:r w:rsidRPr="00CD1518">
              <w:rPr>
                <w:sz w:val="12"/>
                <w:lang w:eastAsia="en-AU"/>
              </w:rPr>
              <w:t>Service NAP</w:t>
            </w:r>
          </w:p>
        </w:tc>
        <w:tc>
          <w:tcPr>
            <w:tcW w:w="429" w:type="pct"/>
            <w:tcBorders>
              <w:top w:val="nil"/>
              <w:left w:val="single" w:sz="4" w:space="0" w:color="5B9BD5"/>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437,114</w:t>
            </w:r>
          </w:p>
        </w:tc>
        <w:tc>
          <w:tcPr>
            <w:tcW w:w="429"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437,114</w:t>
            </w:r>
          </w:p>
        </w:tc>
        <w:tc>
          <w:tcPr>
            <w:tcW w:w="429"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w:t>
            </w:r>
          </w:p>
        </w:tc>
        <w:tc>
          <w:tcPr>
            <w:tcW w:w="420"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w:t>
            </w:r>
          </w:p>
        </w:tc>
        <w:tc>
          <w:tcPr>
            <w:tcW w:w="43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w:t>
            </w:r>
          </w:p>
        </w:tc>
        <w:tc>
          <w:tcPr>
            <w:tcW w:w="42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437,114</w:t>
            </w:r>
          </w:p>
        </w:tc>
        <w:tc>
          <w:tcPr>
            <w:tcW w:w="429"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2"/>
                <w:lang w:eastAsia="en-AU"/>
              </w:rPr>
            </w:pPr>
            <w:r w:rsidRPr="00CD1518">
              <w:rPr>
                <w:color w:val="000000"/>
                <w:sz w:val="12"/>
                <w:lang w:eastAsia="en-AU"/>
              </w:rPr>
              <w:t>437,114</w:t>
            </w:r>
          </w:p>
        </w:tc>
        <w:tc>
          <w:tcPr>
            <w:tcW w:w="429"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w:t>
            </w:r>
          </w:p>
        </w:tc>
        <w:tc>
          <w:tcPr>
            <w:tcW w:w="429"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sz w:val="12"/>
                <w:lang w:eastAsia="en-AU"/>
              </w:rPr>
            </w:pPr>
            <w:r w:rsidRPr="00CD1518">
              <w:rPr>
                <w:sz w:val="12"/>
                <w:lang w:eastAsia="en-AU"/>
              </w:rPr>
              <w:t>-</w:t>
            </w:r>
          </w:p>
        </w:tc>
        <w:tc>
          <w:tcPr>
            <w:tcW w:w="42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pPr>
              <w:spacing w:line="240" w:lineRule="auto"/>
              <w:jc w:val="right"/>
              <w:rPr>
                <w:sz w:val="12"/>
                <w:lang w:eastAsia="en-AU"/>
              </w:rPr>
            </w:pPr>
            <w:r w:rsidRPr="00CD1518">
              <w:rPr>
                <w:sz w:val="12"/>
                <w:lang w:eastAsia="en-AU"/>
              </w:rPr>
              <w:t>100%</w:t>
            </w:r>
          </w:p>
        </w:tc>
      </w:tr>
    </w:tbl>
    <w:p w:rsidR="00972129" w:rsidRPr="00975E6B" w:rsidRDefault="007F1647">
      <w:pPr>
        <w:rPr>
          <w:bCs/>
          <w:i/>
          <w:sz w:val="16"/>
          <w:szCs w:val="16"/>
        </w:rPr>
      </w:pPr>
      <w:r>
        <w:rPr>
          <w:bCs/>
          <w:i/>
          <w:sz w:val="16"/>
          <w:szCs w:val="16"/>
        </w:rPr>
        <w:t>S</w:t>
      </w:r>
      <w:r w:rsidR="00972129" w:rsidRPr="00975E6B">
        <w:rPr>
          <w:bCs/>
          <w:i/>
          <w:sz w:val="16"/>
          <w:szCs w:val="16"/>
        </w:rPr>
        <w:t xml:space="preserve">ource: KPMG based on data supplied by Illawarra Shoalhaven LHD </w:t>
      </w:r>
    </w:p>
    <w:p w:rsidR="00972129" w:rsidRPr="00975E6B" w:rsidRDefault="00972129" w:rsidP="00972129">
      <w:pPr>
        <w:spacing w:before="120" w:after="120" w:line="280" w:lineRule="atLeast"/>
        <w:jc w:val="both"/>
        <w:rPr>
          <w:szCs w:val="22"/>
        </w:rPr>
      </w:pPr>
      <w:r w:rsidRPr="00975E6B">
        <w:rPr>
          <w:szCs w:val="22"/>
        </w:rPr>
        <w:t>The following should be noted about the activity and feeder data for Illawarra Shoalhaven LHD:</w:t>
      </w:r>
    </w:p>
    <w:p w:rsidR="00851875" w:rsidRPr="00975E6B" w:rsidRDefault="00851875" w:rsidP="00F26328">
      <w:pPr>
        <w:numPr>
          <w:ilvl w:val="0"/>
          <w:numId w:val="35"/>
        </w:numPr>
        <w:spacing w:before="120" w:after="120" w:line="280" w:lineRule="atLeast"/>
        <w:jc w:val="both"/>
        <w:rPr>
          <w:szCs w:val="22"/>
        </w:rPr>
      </w:pPr>
      <w:r w:rsidRPr="00975E6B">
        <w:rPr>
          <w:szCs w:val="22"/>
        </w:rPr>
        <w:t xml:space="preserve">There are 14 feeders reported from hospital source systems </w:t>
      </w:r>
      <w:r w:rsidR="007155A1" w:rsidRPr="00975E6B">
        <w:rPr>
          <w:szCs w:val="22"/>
        </w:rPr>
        <w:t>and they appear to represent major hospital departments providing resource activity</w:t>
      </w:r>
      <w:r w:rsidRPr="00975E6B">
        <w:rPr>
          <w:szCs w:val="22"/>
        </w:rPr>
        <w:t>.</w:t>
      </w:r>
    </w:p>
    <w:p w:rsidR="00851875" w:rsidRDefault="00851875" w:rsidP="00F26328">
      <w:pPr>
        <w:numPr>
          <w:ilvl w:val="0"/>
          <w:numId w:val="35"/>
        </w:numPr>
        <w:spacing w:before="120" w:after="120" w:line="280" w:lineRule="atLeast"/>
        <w:jc w:val="both"/>
        <w:rPr>
          <w:szCs w:val="22"/>
        </w:rPr>
      </w:pPr>
      <w:r w:rsidRPr="00975E6B">
        <w:rPr>
          <w:szCs w:val="22"/>
        </w:rPr>
        <w:t xml:space="preserve">With the exception of three feeder data systems, the number of records that are linked to either </w:t>
      </w:r>
      <w:proofErr w:type="gramStart"/>
      <w:r w:rsidRPr="00975E6B">
        <w:rPr>
          <w:szCs w:val="22"/>
        </w:rPr>
        <w:t>admitted</w:t>
      </w:r>
      <w:proofErr w:type="gramEnd"/>
      <w:r w:rsidRPr="00975E6B">
        <w:rPr>
          <w:szCs w:val="22"/>
        </w:rPr>
        <w:t xml:space="preserve"> </w:t>
      </w:r>
      <w:r w:rsidR="00846982" w:rsidRPr="00975E6B">
        <w:rPr>
          <w:szCs w:val="22"/>
        </w:rPr>
        <w:t xml:space="preserve">acute </w:t>
      </w:r>
      <w:r w:rsidRPr="00975E6B">
        <w:rPr>
          <w:szCs w:val="22"/>
        </w:rPr>
        <w:t>patients, emergency or non-admitted patients had a greater than 90 percent link or match. The three exceptions had a greater than 63 percent link or match. This would suggest that there is robustness in the level of feeder activity reported back to episodes.</w:t>
      </w:r>
    </w:p>
    <w:p w:rsidR="00851875" w:rsidRPr="00975E6B" w:rsidRDefault="00851875" w:rsidP="00F26328">
      <w:pPr>
        <w:numPr>
          <w:ilvl w:val="0"/>
          <w:numId w:val="35"/>
        </w:numPr>
        <w:spacing w:before="120" w:after="120" w:line="280" w:lineRule="atLeast"/>
        <w:jc w:val="both"/>
        <w:rPr>
          <w:szCs w:val="22"/>
        </w:rPr>
      </w:pPr>
      <w:r w:rsidRPr="00975E6B">
        <w:rPr>
          <w:szCs w:val="22"/>
        </w:rPr>
        <w:t xml:space="preserve">The Nuclear Medicine feeder has the lowest percentage of linked records. </w:t>
      </w:r>
    </w:p>
    <w:p w:rsidR="00851875" w:rsidRPr="00975E6B" w:rsidRDefault="00851875" w:rsidP="00DC6EA0">
      <w:pPr>
        <w:spacing w:before="120" w:after="120" w:line="280" w:lineRule="atLeast"/>
        <w:jc w:val="both"/>
        <w:rPr>
          <w:szCs w:val="22"/>
        </w:rPr>
      </w:pPr>
      <w:r w:rsidRPr="00975E6B">
        <w:rPr>
          <w:szCs w:val="22"/>
        </w:rPr>
        <w:lastRenderedPageBreak/>
        <w:fldChar w:fldCharType="begin"/>
      </w:r>
      <w:r w:rsidRPr="00975E6B">
        <w:rPr>
          <w:szCs w:val="22"/>
        </w:rPr>
        <w:instrText xml:space="preserve"> REF _Ref435381124 \h  \* MERGEFORMAT </w:instrText>
      </w:r>
      <w:r w:rsidRPr="00975E6B">
        <w:rPr>
          <w:szCs w:val="22"/>
        </w:rPr>
      </w:r>
      <w:r w:rsidRPr="00975E6B">
        <w:rPr>
          <w:szCs w:val="22"/>
        </w:rPr>
        <w:fldChar w:fldCharType="separate"/>
      </w:r>
      <w:r w:rsidR="00154CF7" w:rsidRPr="00154CF7">
        <w:rPr>
          <w:bCs/>
        </w:rPr>
        <w:t xml:space="preserve">Table </w:t>
      </w:r>
      <w:r w:rsidR="00154CF7" w:rsidRPr="00154CF7">
        <w:rPr>
          <w:bCs/>
          <w:noProof/>
        </w:rPr>
        <w:t>14</w:t>
      </w:r>
      <w:r w:rsidRPr="00975E6B">
        <w:rPr>
          <w:szCs w:val="22"/>
        </w:rPr>
        <w:fldChar w:fldCharType="end"/>
      </w:r>
      <w:r w:rsidRPr="00975E6B">
        <w:rPr>
          <w:szCs w:val="22"/>
        </w:rPr>
        <w:t xml:space="preserve"> highlights the transfer of activity data from Illawarra Shoalhaven LHD to NSW Health and then through to IHPA submission and finalisation.</w:t>
      </w:r>
    </w:p>
    <w:p w:rsidR="007F1647" w:rsidRPr="00975E6B" w:rsidRDefault="00972129" w:rsidP="00CD1518">
      <w:pPr>
        <w:keepNext/>
        <w:spacing w:before="120" w:after="120"/>
        <w:rPr>
          <w:szCs w:val="22"/>
        </w:rPr>
      </w:pPr>
      <w:bookmarkStart w:id="687" w:name="_Ref435381124"/>
      <w:r w:rsidRPr="00975E6B">
        <w:rPr>
          <w:bCs/>
          <w:i/>
        </w:rPr>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14</w:t>
      </w:r>
      <w:r w:rsidRPr="00975E6B">
        <w:rPr>
          <w:bCs/>
          <w:i/>
          <w:noProof/>
        </w:rPr>
        <w:fldChar w:fldCharType="end"/>
      </w:r>
      <w:bookmarkEnd w:id="687"/>
      <w:r w:rsidR="00BA3F4B" w:rsidRPr="00975E6B">
        <w:rPr>
          <w:bCs/>
          <w:i/>
        </w:rPr>
        <w:t xml:space="preserve"> </w:t>
      </w:r>
      <w:r w:rsidRPr="00975E6B">
        <w:rPr>
          <w:bCs/>
          <w:i/>
        </w:rPr>
        <w:t>– Activity data submission – Illawarra Shoalhaven LHD</w:t>
      </w:r>
    </w:p>
    <w:tbl>
      <w:tblPr>
        <w:tblW w:w="5000" w:type="pct"/>
        <w:tblLayout w:type="fixed"/>
        <w:tblLook w:val="04A0" w:firstRow="1" w:lastRow="0" w:firstColumn="1" w:lastColumn="0" w:noHBand="0" w:noVBand="1"/>
        <w:tblCaption w:val="Table 14 - Activity submission - Illawarra Shoalhaven LHD"/>
        <w:tblDescription w:val="This table highlights the transfer of activity data from Illawarra Shoalhaven LHD to NSW Health and then through to IHPA submission and finalisation. There are 8 columns. Column 1 is the NHCDC product type, Column 2 is the activity related to 2013-14 costs, column 3 is the adjustments to Column 2, column 4 is the activity submitted to the jurisdiction, column 5 is the adjustments to column 4, column 6 is the activity submitted to IHPA, column 7 is the adjustments to column 6 and column 8 is the total activity submitted for the Round 18 NHCDC.&#10;"/>
      </w:tblPr>
      <w:tblGrid>
        <w:gridCol w:w="1668"/>
        <w:gridCol w:w="1007"/>
        <w:gridCol w:w="1008"/>
        <w:gridCol w:w="1008"/>
        <w:gridCol w:w="1006"/>
        <w:gridCol w:w="1008"/>
        <w:gridCol w:w="1008"/>
        <w:gridCol w:w="1008"/>
      </w:tblGrid>
      <w:tr w:rsidR="007F1647" w:rsidRPr="007F1647" w:rsidTr="00E14378">
        <w:trPr>
          <w:trHeight w:val="799"/>
        </w:trPr>
        <w:tc>
          <w:tcPr>
            <w:tcW w:w="956"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7F1647" w:rsidRPr="00CD1518" w:rsidRDefault="007F1647" w:rsidP="007F1647">
            <w:pPr>
              <w:spacing w:line="240" w:lineRule="auto"/>
              <w:rPr>
                <w:b/>
                <w:bCs/>
                <w:color w:val="FFFFFF"/>
                <w:sz w:val="14"/>
                <w:lang w:eastAsia="en-AU"/>
              </w:rPr>
            </w:pPr>
            <w:r w:rsidRPr="00CD1518">
              <w:rPr>
                <w:b/>
                <w:bCs/>
                <w:color w:val="FFFFFF"/>
                <w:sz w:val="14"/>
                <w:lang w:eastAsia="en-AU"/>
              </w:rPr>
              <w:t>Product</w:t>
            </w:r>
          </w:p>
        </w:tc>
        <w:tc>
          <w:tcPr>
            <w:tcW w:w="577" w:type="pct"/>
            <w:tcBorders>
              <w:top w:val="single" w:sz="4" w:space="0" w:color="5B9BD5"/>
              <w:left w:val="nil"/>
              <w:bottom w:val="single" w:sz="4" w:space="0" w:color="5B9BD5"/>
              <w:right w:val="single" w:sz="4" w:space="0" w:color="5B9BD5"/>
            </w:tcBorders>
            <w:shd w:val="clear" w:color="auto" w:fill="002060"/>
            <w:vAlign w:val="bottom"/>
            <w:hideMark/>
          </w:tcPr>
          <w:p w:rsidR="007F1647" w:rsidRPr="00CD1518" w:rsidRDefault="007F1647" w:rsidP="007F1647">
            <w:pPr>
              <w:spacing w:line="240" w:lineRule="auto"/>
              <w:jc w:val="center"/>
              <w:rPr>
                <w:b/>
                <w:bCs/>
                <w:color w:val="FFFFFF"/>
                <w:sz w:val="14"/>
                <w:lang w:eastAsia="en-AU"/>
              </w:rPr>
            </w:pPr>
            <w:r w:rsidRPr="00CD1518">
              <w:rPr>
                <w:b/>
                <w:bCs/>
                <w:color w:val="FFFFFF"/>
                <w:sz w:val="14"/>
                <w:lang w:eastAsia="en-AU"/>
              </w:rPr>
              <w:t>Activity related to 2013-14 Costs</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7F1647" w:rsidRPr="00CD1518" w:rsidRDefault="007F1647" w:rsidP="007F1647">
            <w:pPr>
              <w:spacing w:line="240" w:lineRule="auto"/>
              <w:jc w:val="center"/>
              <w:rPr>
                <w:b/>
                <w:bCs/>
                <w:color w:val="FFFFFF"/>
                <w:sz w:val="12"/>
                <w:lang w:eastAsia="en-AU"/>
              </w:rPr>
            </w:pPr>
            <w:r w:rsidRPr="00CD1518">
              <w:rPr>
                <w:b/>
                <w:bCs/>
                <w:color w:val="FFFFFF"/>
                <w:sz w:val="12"/>
                <w:lang w:eastAsia="en-AU"/>
              </w:rPr>
              <w:t>Adjustments</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7F1647" w:rsidRPr="00CD1518" w:rsidRDefault="007F1647" w:rsidP="007F1647">
            <w:pPr>
              <w:spacing w:line="240" w:lineRule="auto"/>
              <w:jc w:val="center"/>
              <w:rPr>
                <w:b/>
                <w:bCs/>
                <w:color w:val="FFFFFF"/>
                <w:sz w:val="14"/>
                <w:lang w:eastAsia="en-AU"/>
              </w:rPr>
            </w:pPr>
            <w:r w:rsidRPr="00CD1518">
              <w:rPr>
                <w:b/>
                <w:bCs/>
                <w:color w:val="FFFFFF"/>
                <w:sz w:val="14"/>
                <w:lang w:eastAsia="en-AU"/>
              </w:rPr>
              <w:t>Activity submitted to jurisdiction</w:t>
            </w:r>
          </w:p>
        </w:tc>
        <w:tc>
          <w:tcPr>
            <w:tcW w:w="577" w:type="pct"/>
            <w:tcBorders>
              <w:top w:val="single" w:sz="4" w:space="0" w:color="5B9BD5"/>
              <w:left w:val="nil"/>
              <w:bottom w:val="single" w:sz="4" w:space="0" w:color="5B9BD5"/>
              <w:right w:val="single" w:sz="4" w:space="0" w:color="5B9BD5"/>
            </w:tcBorders>
            <w:shd w:val="clear" w:color="auto" w:fill="002060"/>
            <w:vAlign w:val="bottom"/>
            <w:hideMark/>
          </w:tcPr>
          <w:p w:rsidR="007F1647" w:rsidRPr="00CD1518" w:rsidRDefault="007F1647" w:rsidP="007F1647">
            <w:pPr>
              <w:spacing w:line="240" w:lineRule="auto"/>
              <w:jc w:val="center"/>
              <w:rPr>
                <w:b/>
                <w:bCs/>
                <w:color w:val="FFFFFF"/>
                <w:sz w:val="14"/>
                <w:lang w:eastAsia="en-AU"/>
              </w:rPr>
            </w:pPr>
            <w:r w:rsidRPr="00CD1518">
              <w:rPr>
                <w:b/>
                <w:bCs/>
                <w:color w:val="FFFFFF"/>
                <w:sz w:val="12"/>
                <w:lang w:eastAsia="en-AU"/>
              </w:rPr>
              <w:t>Adjustments</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7F1647" w:rsidRPr="00CD1518" w:rsidRDefault="007F1647" w:rsidP="007F1647">
            <w:pPr>
              <w:spacing w:line="240" w:lineRule="auto"/>
              <w:jc w:val="center"/>
              <w:rPr>
                <w:b/>
                <w:bCs/>
                <w:color w:val="FFFFFF"/>
                <w:sz w:val="14"/>
                <w:lang w:eastAsia="en-AU"/>
              </w:rPr>
            </w:pPr>
            <w:r w:rsidRPr="00CD1518">
              <w:rPr>
                <w:b/>
                <w:bCs/>
                <w:color w:val="FFFFFF"/>
                <w:sz w:val="14"/>
                <w:lang w:eastAsia="en-AU"/>
              </w:rPr>
              <w:t>Activity submitted to IHPA</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7F1647" w:rsidRPr="00CD1518" w:rsidRDefault="007F1647" w:rsidP="007F1647">
            <w:pPr>
              <w:spacing w:line="240" w:lineRule="auto"/>
              <w:jc w:val="center"/>
              <w:rPr>
                <w:b/>
                <w:bCs/>
                <w:color w:val="FFFFFF"/>
                <w:sz w:val="12"/>
                <w:lang w:eastAsia="en-AU"/>
              </w:rPr>
            </w:pPr>
            <w:r w:rsidRPr="00CD1518">
              <w:rPr>
                <w:b/>
                <w:bCs/>
                <w:color w:val="FFFFFF"/>
                <w:sz w:val="12"/>
                <w:lang w:eastAsia="en-AU"/>
              </w:rPr>
              <w:t>Adjustments</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7F1647" w:rsidRPr="00CD1518" w:rsidRDefault="007F1647" w:rsidP="007F1647">
            <w:pPr>
              <w:spacing w:line="240" w:lineRule="auto"/>
              <w:jc w:val="center"/>
              <w:rPr>
                <w:b/>
                <w:bCs/>
                <w:color w:val="FFFFFF"/>
                <w:sz w:val="14"/>
                <w:lang w:eastAsia="en-AU"/>
              </w:rPr>
            </w:pPr>
            <w:r w:rsidRPr="00CD1518">
              <w:rPr>
                <w:b/>
                <w:bCs/>
                <w:color w:val="FFFFFF"/>
                <w:sz w:val="14"/>
                <w:lang w:eastAsia="en-AU"/>
              </w:rPr>
              <w:t>Total Activity submitted for Round 18 NHCDC</w:t>
            </w:r>
          </w:p>
        </w:tc>
      </w:tr>
      <w:tr w:rsidR="007F1647" w:rsidRPr="007F1647" w:rsidTr="00CD1518">
        <w:trPr>
          <w:trHeight w:val="29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7F1647" w:rsidRPr="00CD1518" w:rsidRDefault="007F1647">
            <w:pPr>
              <w:spacing w:line="240" w:lineRule="auto"/>
              <w:rPr>
                <w:color w:val="000000"/>
                <w:sz w:val="14"/>
                <w:lang w:eastAsia="en-AU"/>
              </w:rPr>
            </w:pPr>
            <w:r w:rsidRPr="00CD1518">
              <w:rPr>
                <w:color w:val="000000"/>
                <w:sz w:val="14"/>
                <w:lang w:eastAsia="en-AU"/>
              </w:rPr>
              <w:t>Acute</w:t>
            </w:r>
          </w:p>
        </w:tc>
        <w:tc>
          <w:tcPr>
            <w:tcW w:w="577"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79,856</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79,856</w:t>
            </w:r>
          </w:p>
        </w:tc>
        <w:tc>
          <w:tcPr>
            <w:tcW w:w="577"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(3,748)</w:t>
            </w:r>
          </w:p>
        </w:tc>
        <w:tc>
          <w:tcPr>
            <w:tcW w:w="578"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76,108</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76,108</w:t>
            </w:r>
          </w:p>
        </w:tc>
      </w:tr>
      <w:tr w:rsidR="007F1647" w:rsidRPr="007F1647" w:rsidTr="00CD1518">
        <w:trPr>
          <w:trHeight w:val="29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7F1647" w:rsidRPr="00CD1518" w:rsidRDefault="007F1647">
            <w:pPr>
              <w:spacing w:line="240" w:lineRule="auto"/>
              <w:rPr>
                <w:color w:val="000000"/>
                <w:sz w:val="14"/>
                <w:lang w:eastAsia="en-AU"/>
              </w:rPr>
            </w:pPr>
            <w:r w:rsidRPr="00CD1518">
              <w:rPr>
                <w:color w:val="000000"/>
                <w:sz w:val="14"/>
                <w:lang w:eastAsia="en-AU"/>
              </w:rPr>
              <w:t>Non-admitted</w:t>
            </w:r>
          </w:p>
        </w:tc>
        <w:tc>
          <w:tcPr>
            <w:tcW w:w="577"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380,780</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380,780</w:t>
            </w:r>
          </w:p>
        </w:tc>
        <w:tc>
          <w:tcPr>
            <w:tcW w:w="577"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(154,727)</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226,053</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226,053</w:t>
            </w:r>
          </w:p>
        </w:tc>
      </w:tr>
      <w:tr w:rsidR="007F1647" w:rsidRPr="007F1647" w:rsidTr="00CD1518">
        <w:trPr>
          <w:trHeight w:val="29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7F1647" w:rsidRPr="00CD1518" w:rsidRDefault="007F1647">
            <w:pPr>
              <w:spacing w:line="240" w:lineRule="auto"/>
              <w:rPr>
                <w:color w:val="000000"/>
                <w:sz w:val="14"/>
                <w:lang w:eastAsia="en-AU"/>
              </w:rPr>
            </w:pPr>
            <w:r w:rsidRPr="00CD1518">
              <w:rPr>
                <w:color w:val="000000"/>
                <w:sz w:val="14"/>
                <w:lang w:eastAsia="en-AU"/>
              </w:rPr>
              <w:t>Emergency</w:t>
            </w:r>
          </w:p>
        </w:tc>
        <w:tc>
          <w:tcPr>
            <w:tcW w:w="577"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144,706</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144,706</w:t>
            </w:r>
          </w:p>
        </w:tc>
        <w:tc>
          <w:tcPr>
            <w:tcW w:w="577"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(26,509)</w:t>
            </w:r>
          </w:p>
        </w:tc>
        <w:tc>
          <w:tcPr>
            <w:tcW w:w="578"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118,197</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118,197</w:t>
            </w:r>
          </w:p>
        </w:tc>
      </w:tr>
      <w:tr w:rsidR="007F1647" w:rsidRPr="007F1647" w:rsidTr="00CD1518">
        <w:trPr>
          <w:trHeight w:val="29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7F1647" w:rsidRPr="00CD1518" w:rsidRDefault="007F1647">
            <w:pPr>
              <w:spacing w:line="240" w:lineRule="auto"/>
              <w:rPr>
                <w:color w:val="000000"/>
                <w:sz w:val="14"/>
                <w:lang w:eastAsia="en-AU"/>
              </w:rPr>
            </w:pPr>
            <w:proofErr w:type="spellStart"/>
            <w:r w:rsidRPr="00CD1518">
              <w:rPr>
                <w:color w:val="000000"/>
                <w:sz w:val="14"/>
                <w:lang w:eastAsia="en-AU"/>
              </w:rPr>
              <w:t>Sub Acute</w:t>
            </w:r>
            <w:proofErr w:type="spellEnd"/>
          </w:p>
        </w:tc>
        <w:tc>
          <w:tcPr>
            <w:tcW w:w="577"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8,010</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8,010</w:t>
            </w:r>
          </w:p>
        </w:tc>
        <w:tc>
          <w:tcPr>
            <w:tcW w:w="577"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(1,907)</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6,103</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6,103</w:t>
            </w:r>
          </w:p>
        </w:tc>
      </w:tr>
      <w:tr w:rsidR="007F1647" w:rsidRPr="007F1647" w:rsidTr="00CD1518">
        <w:trPr>
          <w:trHeight w:val="29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7F1647" w:rsidRPr="00CD1518" w:rsidRDefault="007F1647">
            <w:pPr>
              <w:spacing w:line="240" w:lineRule="auto"/>
              <w:rPr>
                <w:color w:val="000000"/>
                <w:sz w:val="14"/>
                <w:lang w:eastAsia="en-AU"/>
              </w:rPr>
            </w:pPr>
            <w:r w:rsidRPr="00CD1518">
              <w:rPr>
                <w:color w:val="000000"/>
                <w:sz w:val="14"/>
                <w:lang w:eastAsia="en-AU"/>
              </w:rPr>
              <w:t>Mental Health</w:t>
            </w:r>
          </w:p>
        </w:tc>
        <w:tc>
          <w:tcPr>
            <w:tcW w:w="577"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r>
      <w:tr w:rsidR="007F1647" w:rsidRPr="007F1647" w:rsidTr="00CD1518">
        <w:trPr>
          <w:trHeight w:val="29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7F1647" w:rsidRPr="00CD1518" w:rsidRDefault="007F1647">
            <w:pPr>
              <w:spacing w:line="240" w:lineRule="auto"/>
              <w:rPr>
                <w:color w:val="000000"/>
                <w:sz w:val="14"/>
                <w:lang w:eastAsia="en-AU"/>
              </w:rPr>
            </w:pPr>
            <w:r w:rsidRPr="00CD1518">
              <w:rPr>
                <w:color w:val="000000"/>
                <w:sz w:val="14"/>
                <w:lang w:eastAsia="en-AU"/>
              </w:rPr>
              <w:t>Other</w:t>
            </w:r>
          </w:p>
        </w:tc>
        <w:tc>
          <w:tcPr>
            <w:tcW w:w="577"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32,965</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32,965</w:t>
            </w:r>
          </w:p>
        </w:tc>
        <w:tc>
          <w:tcPr>
            <w:tcW w:w="577"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(32,396)</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569</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569</w:t>
            </w:r>
          </w:p>
        </w:tc>
      </w:tr>
      <w:tr w:rsidR="007F1647" w:rsidRPr="007F1647" w:rsidTr="00CD1518">
        <w:trPr>
          <w:trHeight w:val="29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7F1647" w:rsidRPr="00CD1518" w:rsidRDefault="007F1647">
            <w:pPr>
              <w:spacing w:line="240" w:lineRule="auto"/>
              <w:rPr>
                <w:color w:val="000000"/>
                <w:sz w:val="14"/>
                <w:lang w:eastAsia="en-AU"/>
              </w:rPr>
            </w:pPr>
            <w:r w:rsidRPr="00CD1518">
              <w:rPr>
                <w:color w:val="000000"/>
                <w:sz w:val="14"/>
                <w:lang w:eastAsia="en-AU"/>
              </w:rPr>
              <w:t>Research</w:t>
            </w:r>
          </w:p>
        </w:tc>
        <w:tc>
          <w:tcPr>
            <w:tcW w:w="577"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r>
      <w:tr w:rsidR="007F1647" w:rsidRPr="007F1647" w:rsidTr="00CD1518">
        <w:trPr>
          <w:trHeight w:val="29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7F1647" w:rsidRPr="00CD1518" w:rsidRDefault="007F1647">
            <w:pPr>
              <w:spacing w:line="240" w:lineRule="auto"/>
              <w:rPr>
                <w:color w:val="000000"/>
                <w:sz w:val="14"/>
                <w:lang w:eastAsia="en-AU"/>
              </w:rPr>
            </w:pPr>
            <w:r w:rsidRPr="00CD1518">
              <w:rPr>
                <w:color w:val="000000"/>
                <w:sz w:val="14"/>
                <w:lang w:eastAsia="en-AU"/>
              </w:rPr>
              <w:t>Teaching and Training</w:t>
            </w:r>
          </w:p>
        </w:tc>
        <w:tc>
          <w:tcPr>
            <w:tcW w:w="577"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7F1647" w:rsidRPr="00CD1518" w:rsidRDefault="007F1647" w:rsidP="00CD1518">
            <w:pPr>
              <w:spacing w:line="240" w:lineRule="auto"/>
              <w:jc w:val="right"/>
              <w:rPr>
                <w:color w:val="000000"/>
                <w:sz w:val="14"/>
                <w:lang w:eastAsia="en-AU"/>
              </w:rPr>
            </w:pPr>
            <w:r w:rsidRPr="00CD1518">
              <w:rPr>
                <w:color w:val="000000"/>
                <w:sz w:val="14"/>
                <w:lang w:eastAsia="en-AU"/>
              </w:rPr>
              <w:t>-</w:t>
            </w:r>
          </w:p>
        </w:tc>
      </w:tr>
      <w:tr w:rsidR="007F1647" w:rsidRPr="007F1647" w:rsidTr="00CD1518">
        <w:trPr>
          <w:trHeight w:val="290"/>
        </w:trPr>
        <w:tc>
          <w:tcPr>
            <w:tcW w:w="956" w:type="pct"/>
            <w:tcBorders>
              <w:top w:val="nil"/>
              <w:left w:val="single" w:sz="4" w:space="0" w:color="5B9BD5"/>
              <w:bottom w:val="single" w:sz="4" w:space="0" w:color="5B9BD5"/>
              <w:right w:val="single" w:sz="4" w:space="0" w:color="5B9BD5"/>
            </w:tcBorders>
            <w:shd w:val="clear" w:color="000000" w:fill="D0CECE"/>
            <w:noWrap/>
            <w:vAlign w:val="center"/>
            <w:hideMark/>
          </w:tcPr>
          <w:p w:rsidR="007F1647" w:rsidRPr="00CD1518" w:rsidRDefault="007F1647">
            <w:pPr>
              <w:spacing w:line="240" w:lineRule="auto"/>
              <w:rPr>
                <w:b/>
                <w:bCs/>
                <w:color w:val="000000"/>
                <w:sz w:val="14"/>
                <w:lang w:eastAsia="en-AU"/>
              </w:rPr>
            </w:pPr>
            <w:r w:rsidRPr="00CD1518">
              <w:rPr>
                <w:b/>
                <w:bCs/>
                <w:color w:val="000000"/>
                <w:sz w:val="14"/>
                <w:lang w:eastAsia="en-AU"/>
              </w:rPr>
              <w:t>Total</w:t>
            </w:r>
          </w:p>
        </w:tc>
        <w:tc>
          <w:tcPr>
            <w:tcW w:w="577" w:type="pct"/>
            <w:tcBorders>
              <w:top w:val="nil"/>
              <w:left w:val="nil"/>
              <w:bottom w:val="single" w:sz="4" w:space="0" w:color="5B9BD5"/>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4"/>
                <w:lang w:eastAsia="en-AU"/>
              </w:rPr>
            </w:pPr>
            <w:r w:rsidRPr="00CD1518">
              <w:rPr>
                <w:b/>
                <w:bCs/>
                <w:color w:val="000000"/>
                <w:sz w:val="14"/>
                <w:lang w:eastAsia="en-AU"/>
              </w:rPr>
              <w:t>646,317</w:t>
            </w:r>
          </w:p>
        </w:tc>
        <w:tc>
          <w:tcPr>
            <w:tcW w:w="578" w:type="pct"/>
            <w:tcBorders>
              <w:top w:val="nil"/>
              <w:left w:val="nil"/>
              <w:bottom w:val="single" w:sz="4" w:space="0" w:color="5B9BD5"/>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4"/>
                <w:lang w:eastAsia="en-AU"/>
              </w:rPr>
            </w:pPr>
            <w:r w:rsidRPr="00CD1518">
              <w:rPr>
                <w:b/>
                <w:bCs/>
                <w:color w:val="000000"/>
                <w:sz w:val="14"/>
                <w:lang w:eastAsia="en-AU"/>
              </w:rPr>
              <w:t>-</w:t>
            </w:r>
          </w:p>
        </w:tc>
        <w:tc>
          <w:tcPr>
            <w:tcW w:w="578" w:type="pct"/>
            <w:tcBorders>
              <w:top w:val="nil"/>
              <w:left w:val="nil"/>
              <w:bottom w:val="single" w:sz="4" w:space="0" w:color="5B9BD5"/>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4"/>
                <w:lang w:eastAsia="en-AU"/>
              </w:rPr>
            </w:pPr>
            <w:r w:rsidRPr="00CD1518">
              <w:rPr>
                <w:b/>
                <w:bCs/>
                <w:color w:val="000000"/>
                <w:sz w:val="14"/>
                <w:lang w:eastAsia="en-AU"/>
              </w:rPr>
              <w:t>646,317</w:t>
            </w:r>
          </w:p>
        </w:tc>
        <w:tc>
          <w:tcPr>
            <w:tcW w:w="577" w:type="pct"/>
            <w:tcBorders>
              <w:top w:val="nil"/>
              <w:left w:val="nil"/>
              <w:bottom w:val="single" w:sz="4" w:space="0" w:color="5B9BD5"/>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4"/>
                <w:lang w:eastAsia="en-AU"/>
              </w:rPr>
            </w:pPr>
            <w:r w:rsidRPr="00CD1518">
              <w:rPr>
                <w:b/>
                <w:bCs/>
                <w:color w:val="000000"/>
                <w:sz w:val="14"/>
                <w:lang w:eastAsia="en-AU"/>
              </w:rPr>
              <w:t>(219,287)</w:t>
            </w:r>
          </w:p>
        </w:tc>
        <w:tc>
          <w:tcPr>
            <w:tcW w:w="578" w:type="pct"/>
            <w:tcBorders>
              <w:top w:val="nil"/>
              <w:left w:val="nil"/>
              <w:bottom w:val="single" w:sz="4" w:space="0" w:color="5B9BD5"/>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4"/>
                <w:lang w:eastAsia="en-AU"/>
              </w:rPr>
            </w:pPr>
            <w:r w:rsidRPr="00CD1518">
              <w:rPr>
                <w:b/>
                <w:bCs/>
                <w:color w:val="000000"/>
                <w:sz w:val="14"/>
                <w:lang w:eastAsia="en-AU"/>
              </w:rPr>
              <w:t>427,030</w:t>
            </w:r>
          </w:p>
        </w:tc>
        <w:tc>
          <w:tcPr>
            <w:tcW w:w="578" w:type="pct"/>
            <w:tcBorders>
              <w:top w:val="nil"/>
              <w:left w:val="nil"/>
              <w:bottom w:val="single" w:sz="4" w:space="0" w:color="5B9BD5"/>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4"/>
                <w:lang w:eastAsia="en-AU"/>
              </w:rPr>
            </w:pPr>
            <w:r w:rsidRPr="00CD1518">
              <w:rPr>
                <w:b/>
                <w:bCs/>
                <w:color w:val="000000"/>
                <w:sz w:val="14"/>
                <w:lang w:eastAsia="en-AU"/>
              </w:rPr>
              <w:t>-</w:t>
            </w:r>
          </w:p>
        </w:tc>
        <w:tc>
          <w:tcPr>
            <w:tcW w:w="578" w:type="pct"/>
            <w:tcBorders>
              <w:top w:val="nil"/>
              <w:left w:val="nil"/>
              <w:bottom w:val="single" w:sz="4" w:space="0" w:color="5B9BD5"/>
              <w:right w:val="single" w:sz="4" w:space="0" w:color="5B9BD5"/>
            </w:tcBorders>
            <w:shd w:val="clear" w:color="000000" w:fill="D0CECE"/>
            <w:noWrap/>
            <w:vAlign w:val="center"/>
            <w:hideMark/>
          </w:tcPr>
          <w:p w:rsidR="007F1647" w:rsidRPr="00CD1518" w:rsidRDefault="007F1647" w:rsidP="00CD1518">
            <w:pPr>
              <w:spacing w:line="240" w:lineRule="auto"/>
              <w:jc w:val="right"/>
              <w:rPr>
                <w:b/>
                <w:bCs/>
                <w:color w:val="000000"/>
                <w:sz w:val="14"/>
                <w:lang w:eastAsia="en-AU"/>
              </w:rPr>
            </w:pPr>
            <w:r w:rsidRPr="00CD1518">
              <w:rPr>
                <w:b/>
                <w:bCs/>
                <w:color w:val="000000"/>
                <w:sz w:val="14"/>
                <w:lang w:eastAsia="en-AU"/>
              </w:rPr>
              <w:t>427,030</w:t>
            </w:r>
          </w:p>
        </w:tc>
      </w:tr>
    </w:tbl>
    <w:p w:rsidR="00972129" w:rsidRPr="00975E6B" w:rsidRDefault="00972129" w:rsidP="00972129">
      <w:pPr>
        <w:rPr>
          <w:bCs/>
          <w:i/>
          <w:sz w:val="16"/>
          <w:szCs w:val="16"/>
        </w:rPr>
      </w:pPr>
      <w:r w:rsidRPr="00975E6B">
        <w:rPr>
          <w:bCs/>
          <w:i/>
          <w:sz w:val="16"/>
          <w:szCs w:val="16"/>
        </w:rPr>
        <w:t xml:space="preserve">Source: KPMG based on data supplied by Illawarra Shoalhaven LHD, NSW Health and IHPA </w:t>
      </w:r>
    </w:p>
    <w:p w:rsidR="00972129" w:rsidRPr="00975E6B" w:rsidRDefault="00972129" w:rsidP="00972129">
      <w:pPr>
        <w:spacing w:before="120" w:after="120" w:line="280" w:lineRule="atLeast"/>
        <w:jc w:val="both"/>
        <w:rPr>
          <w:szCs w:val="22"/>
        </w:rPr>
      </w:pPr>
      <w:r w:rsidRPr="00975E6B">
        <w:rPr>
          <w:szCs w:val="22"/>
        </w:rPr>
        <w:t xml:space="preserve">The following should be noted about the transfer of activity data for </w:t>
      </w:r>
      <w:r w:rsidR="007F1647">
        <w:rPr>
          <w:szCs w:val="22"/>
        </w:rPr>
        <w:t>Illawarra Shoalhaven</w:t>
      </w:r>
      <w:r w:rsidRPr="00975E6B">
        <w:rPr>
          <w:szCs w:val="22"/>
        </w:rPr>
        <w:t xml:space="preserve"> LHD:</w:t>
      </w:r>
    </w:p>
    <w:p w:rsidR="00464004" w:rsidRDefault="00464004" w:rsidP="00F26328">
      <w:pPr>
        <w:numPr>
          <w:ilvl w:val="0"/>
          <w:numId w:val="35"/>
        </w:numPr>
        <w:spacing w:before="120" w:after="120" w:line="280" w:lineRule="atLeast"/>
        <w:jc w:val="both"/>
        <w:rPr>
          <w:szCs w:val="22"/>
        </w:rPr>
      </w:pPr>
      <w:r>
        <w:rPr>
          <w:szCs w:val="22"/>
        </w:rPr>
        <w:t xml:space="preserve">The variance between records from source </w:t>
      </w:r>
      <w:r w:rsidRPr="00C264CF">
        <w:rPr>
          <w:szCs w:val="22"/>
        </w:rPr>
        <w:t xml:space="preserve">detailed in </w:t>
      </w:r>
      <w:r w:rsidRPr="00C264CF">
        <w:rPr>
          <w:szCs w:val="22"/>
        </w:rPr>
        <w:fldChar w:fldCharType="begin"/>
      </w:r>
      <w:r w:rsidRPr="00C264CF">
        <w:rPr>
          <w:szCs w:val="22"/>
        </w:rPr>
        <w:instrText xml:space="preserve"> REF _Ref433267035 \h  \* MERGEFORMAT </w:instrText>
      </w:r>
      <w:r w:rsidRPr="00C264CF">
        <w:rPr>
          <w:szCs w:val="22"/>
        </w:rPr>
      </w:r>
      <w:r w:rsidRPr="00C264CF">
        <w:rPr>
          <w:szCs w:val="22"/>
        </w:rPr>
        <w:fldChar w:fldCharType="separate"/>
      </w:r>
      <w:r w:rsidR="00154CF7" w:rsidRPr="00154CF7">
        <w:rPr>
          <w:bCs/>
        </w:rPr>
        <w:t xml:space="preserve">Table </w:t>
      </w:r>
      <w:r w:rsidR="00154CF7" w:rsidRPr="00154CF7">
        <w:rPr>
          <w:bCs/>
          <w:noProof/>
        </w:rPr>
        <w:t>13</w:t>
      </w:r>
      <w:r w:rsidRPr="00C264CF">
        <w:rPr>
          <w:szCs w:val="22"/>
        </w:rPr>
        <w:fldChar w:fldCharType="end"/>
      </w:r>
      <w:r w:rsidRPr="00C264CF">
        <w:rPr>
          <w:szCs w:val="22"/>
        </w:rPr>
        <w:t xml:space="preserve"> </w:t>
      </w:r>
      <w:r w:rsidR="006945BF">
        <w:rPr>
          <w:szCs w:val="22"/>
        </w:rPr>
        <w:t xml:space="preserve">(611,951 records) </w:t>
      </w:r>
      <w:r w:rsidRPr="00C264CF">
        <w:rPr>
          <w:szCs w:val="22"/>
        </w:rPr>
        <w:t xml:space="preserve">and activity related to 2013-14 costs by NHCDC product in </w:t>
      </w:r>
      <w:r w:rsidRPr="00C264CF">
        <w:rPr>
          <w:szCs w:val="22"/>
        </w:rPr>
        <w:fldChar w:fldCharType="begin"/>
      </w:r>
      <w:r w:rsidRPr="00C264CF">
        <w:rPr>
          <w:szCs w:val="22"/>
        </w:rPr>
        <w:instrText xml:space="preserve"> REF _Ref435381124 \h  \* MERGEFORMAT </w:instrText>
      </w:r>
      <w:r w:rsidRPr="00C264CF">
        <w:rPr>
          <w:szCs w:val="22"/>
        </w:rPr>
      </w:r>
      <w:r w:rsidRPr="00C264CF">
        <w:rPr>
          <w:szCs w:val="22"/>
        </w:rPr>
        <w:fldChar w:fldCharType="separate"/>
      </w:r>
      <w:r w:rsidR="00154CF7" w:rsidRPr="00154CF7">
        <w:rPr>
          <w:bCs/>
        </w:rPr>
        <w:t xml:space="preserve">Table </w:t>
      </w:r>
      <w:r w:rsidR="00154CF7" w:rsidRPr="00154CF7">
        <w:rPr>
          <w:bCs/>
          <w:noProof/>
        </w:rPr>
        <w:t>14</w:t>
      </w:r>
      <w:r w:rsidRPr="00C264CF">
        <w:rPr>
          <w:szCs w:val="22"/>
        </w:rPr>
        <w:fldChar w:fldCharType="end"/>
      </w:r>
      <w:r w:rsidRPr="00C264CF">
        <w:rPr>
          <w:szCs w:val="22"/>
        </w:rPr>
        <w:t xml:space="preserve"> </w:t>
      </w:r>
      <w:r w:rsidR="006945BF">
        <w:rPr>
          <w:szCs w:val="22"/>
        </w:rPr>
        <w:t xml:space="preserve">(646,317 records) </w:t>
      </w:r>
      <w:r w:rsidRPr="00C264CF">
        <w:rPr>
          <w:szCs w:val="22"/>
        </w:rPr>
        <w:t>was attribut</w:t>
      </w:r>
      <w:r w:rsidR="006945BF">
        <w:rPr>
          <w:szCs w:val="22"/>
        </w:rPr>
        <w:t>able</w:t>
      </w:r>
      <w:r>
        <w:rPr>
          <w:szCs w:val="22"/>
        </w:rPr>
        <w:t xml:space="preserve"> to:</w:t>
      </w:r>
    </w:p>
    <w:p w:rsidR="00464004" w:rsidRPr="00C264CF" w:rsidRDefault="00464004" w:rsidP="00F26328">
      <w:pPr>
        <w:pStyle w:val="ListParagraph"/>
        <w:numPr>
          <w:ilvl w:val="0"/>
          <w:numId w:val="35"/>
        </w:numPr>
        <w:tabs>
          <w:tab w:val="clear" w:pos="340"/>
          <w:tab w:val="num" w:pos="680"/>
        </w:tabs>
        <w:ind w:left="680"/>
        <w:rPr>
          <w:sz w:val="20"/>
        </w:rPr>
      </w:pPr>
      <w:r w:rsidRPr="00C264CF">
        <w:rPr>
          <w:sz w:val="20"/>
        </w:rPr>
        <w:t xml:space="preserve">Only patient level records </w:t>
      </w:r>
      <w:r>
        <w:rPr>
          <w:sz w:val="20"/>
        </w:rPr>
        <w:t>were</w:t>
      </w:r>
      <w:r w:rsidRPr="00C264CF">
        <w:rPr>
          <w:sz w:val="20"/>
        </w:rPr>
        <w:t xml:space="preserve"> allocated to </w:t>
      </w:r>
      <w:r>
        <w:rPr>
          <w:sz w:val="20"/>
        </w:rPr>
        <w:t>a</w:t>
      </w:r>
      <w:r w:rsidRPr="00C264CF">
        <w:rPr>
          <w:sz w:val="20"/>
        </w:rPr>
        <w:t xml:space="preserve">cute, </w:t>
      </w:r>
      <w:r>
        <w:rPr>
          <w:sz w:val="20"/>
        </w:rPr>
        <w:t>s</w:t>
      </w:r>
      <w:r w:rsidRPr="00C264CF">
        <w:rPr>
          <w:sz w:val="20"/>
        </w:rPr>
        <w:t>ub</w:t>
      </w:r>
      <w:r>
        <w:rPr>
          <w:sz w:val="20"/>
        </w:rPr>
        <w:t>-a</w:t>
      </w:r>
      <w:r w:rsidRPr="00C264CF">
        <w:rPr>
          <w:sz w:val="20"/>
        </w:rPr>
        <w:t xml:space="preserve">cute, </w:t>
      </w:r>
      <w:r>
        <w:rPr>
          <w:sz w:val="20"/>
        </w:rPr>
        <w:t>e</w:t>
      </w:r>
      <w:r w:rsidRPr="00C264CF">
        <w:rPr>
          <w:sz w:val="20"/>
        </w:rPr>
        <w:t xml:space="preserve">mergency and </w:t>
      </w:r>
      <w:r>
        <w:rPr>
          <w:sz w:val="20"/>
        </w:rPr>
        <w:t>n</w:t>
      </w:r>
      <w:r w:rsidRPr="00553B77">
        <w:rPr>
          <w:sz w:val="20"/>
        </w:rPr>
        <w:t>on-</w:t>
      </w:r>
      <w:r>
        <w:rPr>
          <w:sz w:val="20"/>
        </w:rPr>
        <w:t>a</w:t>
      </w:r>
      <w:r w:rsidRPr="00C264CF">
        <w:rPr>
          <w:sz w:val="20"/>
        </w:rPr>
        <w:t xml:space="preserve">dmitted (patient level) </w:t>
      </w:r>
      <w:r>
        <w:rPr>
          <w:sz w:val="20"/>
        </w:rPr>
        <w:t xml:space="preserve">NHCDC </w:t>
      </w:r>
      <w:r w:rsidRPr="00C264CF">
        <w:rPr>
          <w:sz w:val="20"/>
        </w:rPr>
        <w:t>products</w:t>
      </w:r>
      <w:r>
        <w:rPr>
          <w:sz w:val="20"/>
        </w:rPr>
        <w:t>. Non-patient level data was removed; and</w:t>
      </w:r>
    </w:p>
    <w:p w:rsidR="00464004" w:rsidRPr="00464004" w:rsidRDefault="00464004" w:rsidP="00F26328">
      <w:pPr>
        <w:numPr>
          <w:ilvl w:val="0"/>
          <w:numId w:val="35"/>
        </w:numPr>
        <w:tabs>
          <w:tab w:val="clear" w:pos="340"/>
          <w:tab w:val="num" w:pos="680"/>
        </w:tabs>
        <w:spacing w:before="120" w:after="120" w:line="280" w:lineRule="atLeast"/>
        <w:ind w:left="680"/>
        <w:jc w:val="both"/>
        <w:rPr>
          <w:szCs w:val="22"/>
        </w:rPr>
      </w:pPr>
      <w:r>
        <w:rPr>
          <w:szCs w:val="22"/>
        </w:rPr>
        <w:t>Records allocated to the other product category related to dummy and virtual encounters which included aggregate non-admitted patient records and TTR (for example).</w:t>
      </w:r>
    </w:p>
    <w:p w:rsidR="00972129" w:rsidRPr="00975E6B" w:rsidRDefault="00972129" w:rsidP="00F26328">
      <w:pPr>
        <w:numPr>
          <w:ilvl w:val="0"/>
          <w:numId w:val="35"/>
        </w:numPr>
        <w:spacing w:before="120" w:after="120" w:line="280" w:lineRule="atLeast"/>
        <w:jc w:val="both"/>
        <w:rPr>
          <w:szCs w:val="22"/>
        </w:rPr>
      </w:pPr>
      <w:r w:rsidRPr="00975E6B">
        <w:rPr>
          <w:szCs w:val="22"/>
        </w:rPr>
        <w:t>Adjustments made by NSW Health relate to the</w:t>
      </w:r>
      <w:r w:rsidR="00D52AA9" w:rsidRPr="00975E6B">
        <w:rPr>
          <w:szCs w:val="22"/>
        </w:rPr>
        <w:t xml:space="preserve"> </w:t>
      </w:r>
      <w:r w:rsidR="00D52AA9">
        <w:rPr>
          <w:szCs w:val="22"/>
        </w:rPr>
        <w:t xml:space="preserve">activity associated with the </w:t>
      </w:r>
      <w:r w:rsidRPr="00975E6B">
        <w:rPr>
          <w:szCs w:val="22"/>
        </w:rPr>
        <w:t xml:space="preserve">exclusion of costs </w:t>
      </w:r>
      <w:r w:rsidR="004A564A" w:rsidRPr="00975E6B">
        <w:rPr>
          <w:szCs w:val="22"/>
        </w:rPr>
        <w:t>(</w:t>
      </w:r>
      <w:r w:rsidRPr="00975E6B">
        <w:rPr>
          <w:szCs w:val="22"/>
        </w:rPr>
        <w:t>at Item G in the reconciliation</w:t>
      </w:r>
      <w:r w:rsidR="004A564A" w:rsidRPr="00975E6B">
        <w:rPr>
          <w:szCs w:val="22"/>
        </w:rPr>
        <w:t>) such as Non-ABF facilities, ABF facility excluded encounters and ABF facility non-patient level products</w:t>
      </w:r>
      <w:r w:rsidRPr="00975E6B">
        <w:rPr>
          <w:szCs w:val="22"/>
        </w:rPr>
        <w:t>.</w:t>
      </w:r>
    </w:p>
    <w:p w:rsidR="00972129" w:rsidRDefault="00972129" w:rsidP="00F26328">
      <w:pPr>
        <w:numPr>
          <w:ilvl w:val="0"/>
          <w:numId w:val="65"/>
        </w:numPr>
        <w:spacing w:before="120" w:after="120" w:line="280" w:lineRule="atLeast"/>
        <w:jc w:val="both"/>
        <w:rPr>
          <w:szCs w:val="22"/>
        </w:rPr>
      </w:pPr>
      <w:r w:rsidRPr="00975E6B">
        <w:rPr>
          <w:szCs w:val="22"/>
        </w:rPr>
        <w:t>The adjustments made by IHPA relating to admitted emergency reallocations</w:t>
      </w:r>
      <w:r w:rsidR="004A564A" w:rsidRPr="00975E6B">
        <w:rPr>
          <w:szCs w:val="22"/>
        </w:rPr>
        <w:t xml:space="preserve"> for reporting and analysis purposes</w:t>
      </w:r>
      <w:r w:rsidRPr="00975E6B">
        <w:rPr>
          <w:szCs w:val="22"/>
        </w:rPr>
        <w:t xml:space="preserve"> (as discussed in Item J of the explanation of reconciliation items) has no impact on the reported activity.</w:t>
      </w:r>
    </w:p>
    <w:p w:rsidR="00972129" w:rsidRPr="00975E6B" w:rsidRDefault="00972129" w:rsidP="003B387A">
      <w:pPr>
        <w:pStyle w:val="Heading3"/>
        <w:numPr>
          <w:ilvl w:val="2"/>
          <w:numId w:val="77"/>
        </w:numPr>
      </w:pPr>
      <w:r w:rsidRPr="00F76EBA">
        <w:t>Treatment</w:t>
      </w:r>
      <w:r w:rsidRPr="00975E6B">
        <w:t xml:space="preserve"> of WIP</w:t>
      </w:r>
    </w:p>
    <w:p w:rsidR="00972129" w:rsidRPr="00471E5C" w:rsidRDefault="00040389" w:rsidP="00972129">
      <w:pPr>
        <w:spacing w:before="120" w:after="120" w:line="280" w:lineRule="atLeast"/>
        <w:jc w:val="both"/>
        <w:rPr>
          <w:bCs/>
        </w:rPr>
      </w:pPr>
      <w:r>
        <w:rPr>
          <w:bCs/>
        </w:rPr>
        <w:fldChar w:fldCharType="begin"/>
      </w:r>
      <w:r>
        <w:rPr>
          <w:bCs/>
        </w:rPr>
        <w:instrText xml:space="preserve"> REF _Ref444515881 \h  \* MERGEFORMAT </w:instrText>
      </w:r>
      <w:r>
        <w:rPr>
          <w:bCs/>
        </w:rPr>
      </w:r>
      <w:r>
        <w:rPr>
          <w:bCs/>
        </w:rPr>
        <w:fldChar w:fldCharType="separate"/>
      </w:r>
      <w:r w:rsidR="00154CF7" w:rsidRPr="00154CF7">
        <w:rPr>
          <w:bCs/>
        </w:rPr>
        <w:t>Table 15</w:t>
      </w:r>
      <w:r>
        <w:rPr>
          <w:bCs/>
        </w:rPr>
        <w:fldChar w:fldCharType="end"/>
      </w:r>
      <w:r>
        <w:rPr>
          <w:bCs/>
        </w:rPr>
        <w:t xml:space="preserve"> </w:t>
      </w:r>
      <w:r w:rsidR="00972129" w:rsidRPr="00471E5C">
        <w:rPr>
          <w:bCs/>
        </w:rPr>
        <w:t>demonstrates models for WIP and what was included in the Illawarra Shoalhaven LHD Round 18 NHCDC submission.</w:t>
      </w:r>
    </w:p>
    <w:p w:rsidR="00972129" w:rsidRPr="00975E6B" w:rsidRDefault="00972129" w:rsidP="00040389">
      <w:pPr>
        <w:keepNext/>
        <w:pageBreakBefore/>
        <w:spacing w:before="120" w:after="120"/>
        <w:rPr>
          <w:bCs/>
          <w:i/>
        </w:rPr>
      </w:pPr>
      <w:bookmarkStart w:id="688" w:name="_Ref433226765"/>
      <w:bookmarkStart w:id="689" w:name="_Ref444515881"/>
      <w:r w:rsidRPr="00975E6B">
        <w:rPr>
          <w:bCs/>
          <w:i/>
        </w:rPr>
        <w:lastRenderedPageBreak/>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15</w:t>
      </w:r>
      <w:r w:rsidRPr="00975E6B">
        <w:rPr>
          <w:bCs/>
          <w:i/>
          <w:noProof/>
        </w:rPr>
        <w:fldChar w:fldCharType="end"/>
      </w:r>
      <w:bookmarkEnd w:id="688"/>
      <w:bookmarkEnd w:id="689"/>
      <w:r w:rsidRPr="00975E6B">
        <w:rPr>
          <w:bCs/>
          <w:i/>
        </w:rPr>
        <w:t xml:space="preserve"> – WIP – Illawarra Shoalhaven LHD</w:t>
      </w:r>
    </w:p>
    <w:tbl>
      <w:tblPr>
        <w:tblStyle w:val="ListTable4-Accent11"/>
        <w:tblW w:w="5000" w:type="pct"/>
        <w:tblLayout w:type="fixed"/>
        <w:tblLook w:val="0620" w:firstRow="1" w:lastRow="0" w:firstColumn="0" w:lastColumn="0" w:noHBand="1" w:noVBand="1"/>
        <w:tblCaption w:val="Table 15 - Models for Work In Progress - Illawarra Shoalhaven LHD"/>
        <w:tblDescription w:val="This table describes the models for Work In Progress and how that applied to Illawarra Shoalhaven LHD.  The first column is the model number, the second column is the description and the third column is how that model was applied for the relevant hospital.&#10;"/>
      </w:tblPr>
      <w:tblGrid>
        <w:gridCol w:w="873"/>
        <w:gridCol w:w="4217"/>
        <w:gridCol w:w="3631"/>
      </w:tblGrid>
      <w:tr w:rsidR="00972129" w:rsidRPr="00975E6B" w:rsidTr="00E14378">
        <w:trPr>
          <w:cnfStyle w:val="100000000000" w:firstRow="1" w:lastRow="0" w:firstColumn="0" w:lastColumn="0" w:oddVBand="0" w:evenVBand="0" w:oddHBand="0" w:evenHBand="0" w:firstRowFirstColumn="0" w:firstRowLastColumn="0" w:lastRowFirstColumn="0" w:lastRowLastColumn="0"/>
          <w:tblHeader/>
        </w:trPr>
        <w:tc>
          <w:tcPr>
            <w:tcW w:w="500" w:type="pct"/>
            <w:tcBorders>
              <w:right w:val="single" w:sz="4" w:space="0" w:color="548DD4" w:themeColor="text2" w:themeTint="99"/>
            </w:tcBorders>
            <w:shd w:val="clear" w:color="auto" w:fill="002060"/>
            <w:noWrap/>
          </w:tcPr>
          <w:p w:rsidR="00972129" w:rsidRPr="00975E6B" w:rsidRDefault="00972129" w:rsidP="00972129">
            <w:r w:rsidRPr="00975E6B">
              <w:t>Model</w:t>
            </w:r>
          </w:p>
        </w:tc>
        <w:tc>
          <w:tcPr>
            <w:tcW w:w="2418" w:type="pct"/>
            <w:tcBorders>
              <w:left w:val="single" w:sz="4" w:space="0" w:color="548DD4" w:themeColor="text2" w:themeTint="99"/>
            </w:tcBorders>
            <w:shd w:val="clear" w:color="auto" w:fill="002060"/>
          </w:tcPr>
          <w:p w:rsidR="00972129" w:rsidRPr="00975E6B" w:rsidRDefault="00972129" w:rsidP="00972129">
            <w:r w:rsidRPr="00975E6B">
              <w:t>Description</w:t>
            </w:r>
          </w:p>
        </w:tc>
        <w:tc>
          <w:tcPr>
            <w:tcW w:w="2082" w:type="pct"/>
            <w:tcBorders>
              <w:left w:val="single" w:sz="4" w:space="0" w:color="548DD4" w:themeColor="text2" w:themeTint="99"/>
            </w:tcBorders>
            <w:shd w:val="clear" w:color="auto" w:fill="002060"/>
          </w:tcPr>
          <w:p w:rsidR="00972129" w:rsidRPr="00975E6B" w:rsidRDefault="00972129" w:rsidP="00972129">
            <w:pPr>
              <w:jc w:val="center"/>
            </w:pPr>
            <w:r w:rsidRPr="00975E6B">
              <w:t>Submitted to Round 18 NHCDC</w:t>
            </w:r>
          </w:p>
        </w:tc>
      </w:tr>
      <w:tr w:rsidR="00972129" w:rsidRPr="00975E6B" w:rsidTr="00972129">
        <w:tc>
          <w:tcPr>
            <w:tcW w:w="500" w:type="pct"/>
            <w:tcBorders>
              <w:right w:val="single" w:sz="4" w:space="0" w:color="548DD4" w:themeColor="text2" w:themeTint="99"/>
            </w:tcBorders>
            <w:noWrap/>
          </w:tcPr>
          <w:p w:rsidR="00972129" w:rsidRPr="00975E6B" w:rsidRDefault="00972129" w:rsidP="00972129">
            <w:pPr>
              <w:jc w:val="center"/>
            </w:pPr>
            <w:r w:rsidRPr="00975E6B">
              <w:t>1</w:t>
            </w:r>
          </w:p>
        </w:tc>
        <w:tc>
          <w:tcPr>
            <w:tcW w:w="2418" w:type="pct"/>
            <w:tcBorders>
              <w:left w:val="single" w:sz="4" w:space="0" w:color="548DD4" w:themeColor="text2" w:themeTint="99"/>
            </w:tcBorders>
          </w:tcPr>
          <w:p w:rsidR="00972129" w:rsidRPr="00975E6B" w:rsidRDefault="00972129" w:rsidP="00972129">
            <w:r w:rsidRPr="00975E6B">
              <w:t>Admitted and Discharged Patients in 2013/14 only</w:t>
            </w:r>
          </w:p>
        </w:tc>
        <w:tc>
          <w:tcPr>
            <w:tcW w:w="2082" w:type="pct"/>
            <w:tcBorders>
              <w:left w:val="single" w:sz="4" w:space="0" w:color="548DD4" w:themeColor="text2" w:themeTint="99"/>
            </w:tcBorders>
          </w:tcPr>
          <w:p w:rsidR="00972129" w:rsidRPr="00975E6B" w:rsidRDefault="00972129" w:rsidP="00972129">
            <w:pPr>
              <w:jc w:val="center"/>
            </w:pPr>
            <w:r w:rsidRPr="00975E6B">
              <w:t>Submitted to Round 18 of the NHCDC</w:t>
            </w:r>
          </w:p>
        </w:tc>
      </w:tr>
      <w:tr w:rsidR="00972129" w:rsidRPr="00975E6B" w:rsidTr="00972129">
        <w:tc>
          <w:tcPr>
            <w:tcW w:w="500" w:type="pct"/>
            <w:tcBorders>
              <w:right w:val="single" w:sz="4" w:space="0" w:color="548DD4" w:themeColor="text2" w:themeTint="99"/>
            </w:tcBorders>
            <w:noWrap/>
          </w:tcPr>
          <w:p w:rsidR="00972129" w:rsidRPr="00975E6B" w:rsidRDefault="00972129" w:rsidP="00972129">
            <w:pPr>
              <w:jc w:val="center"/>
            </w:pPr>
            <w:r w:rsidRPr="00975E6B">
              <w:t>2</w:t>
            </w:r>
          </w:p>
        </w:tc>
        <w:tc>
          <w:tcPr>
            <w:tcW w:w="2418" w:type="pct"/>
            <w:tcBorders>
              <w:left w:val="single" w:sz="4" w:space="0" w:color="548DD4" w:themeColor="text2" w:themeTint="99"/>
            </w:tcBorders>
          </w:tcPr>
          <w:p w:rsidR="00972129" w:rsidRPr="00975E6B" w:rsidRDefault="00972129" w:rsidP="00972129">
            <w:r w:rsidRPr="00975E6B">
              <w:t>Costs for patients discharged in 2013/14 but admitted prior to 2013/14</w:t>
            </w:r>
          </w:p>
        </w:tc>
        <w:tc>
          <w:tcPr>
            <w:tcW w:w="2082" w:type="pct"/>
            <w:tcBorders>
              <w:left w:val="single" w:sz="4" w:space="0" w:color="548DD4" w:themeColor="text2" w:themeTint="99"/>
            </w:tcBorders>
          </w:tcPr>
          <w:p w:rsidR="00972129" w:rsidRPr="00975E6B" w:rsidRDefault="00972129" w:rsidP="00972129">
            <w:pPr>
              <w:jc w:val="center"/>
            </w:pPr>
            <w:r w:rsidRPr="00975E6B">
              <w:t>Submitted to Round 18 of the NHCDC. Costs are submitted from 2011/12 and escalated.</w:t>
            </w:r>
          </w:p>
        </w:tc>
      </w:tr>
      <w:tr w:rsidR="00972129" w:rsidRPr="00975E6B" w:rsidTr="00972129">
        <w:tc>
          <w:tcPr>
            <w:tcW w:w="500" w:type="pct"/>
            <w:tcBorders>
              <w:right w:val="single" w:sz="4" w:space="0" w:color="548DD4" w:themeColor="text2" w:themeTint="99"/>
            </w:tcBorders>
            <w:noWrap/>
          </w:tcPr>
          <w:p w:rsidR="00972129" w:rsidRPr="00975E6B" w:rsidRDefault="00972129" w:rsidP="00972129">
            <w:pPr>
              <w:jc w:val="center"/>
            </w:pPr>
            <w:r w:rsidRPr="00975E6B">
              <w:t>3</w:t>
            </w:r>
          </w:p>
        </w:tc>
        <w:tc>
          <w:tcPr>
            <w:tcW w:w="2418" w:type="pct"/>
            <w:tcBorders>
              <w:left w:val="single" w:sz="4" w:space="0" w:color="548DD4" w:themeColor="text2" w:themeTint="99"/>
            </w:tcBorders>
          </w:tcPr>
          <w:p w:rsidR="00972129" w:rsidRPr="00975E6B" w:rsidRDefault="00972129" w:rsidP="00972129">
            <w:r w:rsidRPr="00975E6B">
              <w:t>Costs for patients admitted prior to or in 2013/14 and remain admitted at 30/06/2014</w:t>
            </w:r>
          </w:p>
        </w:tc>
        <w:tc>
          <w:tcPr>
            <w:tcW w:w="2082" w:type="pct"/>
            <w:tcBorders>
              <w:left w:val="single" w:sz="4" w:space="0" w:color="548DD4" w:themeColor="text2" w:themeTint="99"/>
            </w:tcBorders>
          </w:tcPr>
          <w:p w:rsidR="00972129" w:rsidRPr="00975E6B" w:rsidRDefault="00972129" w:rsidP="00972129">
            <w:pPr>
              <w:jc w:val="center"/>
            </w:pPr>
            <w:r w:rsidRPr="00975E6B">
              <w:t>Not submitted to Round 18 of the NHCDC</w:t>
            </w:r>
          </w:p>
        </w:tc>
      </w:tr>
      <w:tr w:rsidR="00972129" w:rsidRPr="00975E6B" w:rsidTr="00972129">
        <w:tc>
          <w:tcPr>
            <w:tcW w:w="500" w:type="pct"/>
            <w:tcBorders>
              <w:right w:val="single" w:sz="4" w:space="0" w:color="548DD4" w:themeColor="text2" w:themeTint="99"/>
            </w:tcBorders>
            <w:noWrap/>
          </w:tcPr>
          <w:p w:rsidR="00972129" w:rsidRPr="00975E6B" w:rsidRDefault="00972129" w:rsidP="00972129">
            <w:pPr>
              <w:jc w:val="center"/>
            </w:pPr>
            <w:r w:rsidRPr="00975E6B">
              <w:t>4</w:t>
            </w:r>
          </w:p>
        </w:tc>
        <w:tc>
          <w:tcPr>
            <w:tcW w:w="2418" w:type="pct"/>
            <w:tcBorders>
              <w:left w:val="single" w:sz="4" w:space="0" w:color="548DD4" w:themeColor="text2" w:themeTint="99"/>
            </w:tcBorders>
          </w:tcPr>
          <w:p w:rsidR="00972129" w:rsidRPr="00975E6B" w:rsidRDefault="00972129" w:rsidP="00972129">
            <w:r w:rsidRPr="00975E6B">
              <w:t>Costs for patients admitted prior to 2013/14 and still admitted at 30/06/2014</w:t>
            </w:r>
          </w:p>
        </w:tc>
        <w:tc>
          <w:tcPr>
            <w:tcW w:w="2082" w:type="pct"/>
            <w:tcBorders>
              <w:left w:val="single" w:sz="4" w:space="0" w:color="548DD4" w:themeColor="text2" w:themeTint="99"/>
            </w:tcBorders>
          </w:tcPr>
          <w:p w:rsidR="00972129" w:rsidRPr="00975E6B" w:rsidRDefault="00972129" w:rsidP="00972129">
            <w:pPr>
              <w:jc w:val="center"/>
            </w:pPr>
            <w:r w:rsidRPr="00975E6B">
              <w:t>Not submitted to Round 18 of the NHCDC</w:t>
            </w:r>
          </w:p>
        </w:tc>
      </w:tr>
    </w:tbl>
    <w:p w:rsidR="00972129" w:rsidRPr="00975E6B" w:rsidRDefault="00972129" w:rsidP="00972129">
      <w:pPr>
        <w:rPr>
          <w:bCs/>
          <w:i/>
          <w:sz w:val="16"/>
          <w:szCs w:val="16"/>
        </w:rPr>
      </w:pPr>
      <w:r w:rsidRPr="00975E6B">
        <w:rPr>
          <w:bCs/>
          <w:i/>
          <w:sz w:val="16"/>
          <w:szCs w:val="16"/>
        </w:rPr>
        <w:t xml:space="preserve">Source: KPMG, based on Illawarra Shoalhaven LHD templates and review discussions </w:t>
      </w:r>
    </w:p>
    <w:p w:rsidR="00972129" w:rsidRPr="00975E6B" w:rsidRDefault="00972129" w:rsidP="00972129">
      <w:pPr>
        <w:spacing w:before="120" w:after="120" w:line="280" w:lineRule="atLeast"/>
        <w:jc w:val="both"/>
        <w:rPr>
          <w:szCs w:val="22"/>
        </w:rPr>
      </w:pPr>
      <w:r w:rsidRPr="00975E6B">
        <w:rPr>
          <w:szCs w:val="22"/>
        </w:rPr>
        <w:t xml:space="preserve">In summary, for Illawarra Shoalhaven LHD, NSW Health submitted </w:t>
      </w:r>
      <w:r w:rsidR="00B7080E" w:rsidRPr="00975E6B">
        <w:rPr>
          <w:szCs w:val="22"/>
        </w:rPr>
        <w:t xml:space="preserve">WIP </w:t>
      </w:r>
      <w:r w:rsidRPr="00975E6B">
        <w:rPr>
          <w:szCs w:val="22"/>
        </w:rPr>
        <w:t xml:space="preserve">costs for admitted and discharged patients in 2013/14 and </w:t>
      </w:r>
      <w:r w:rsidR="00B7080E" w:rsidRPr="00975E6B">
        <w:rPr>
          <w:szCs w:val="22"/>
        </w:rPr>
        <w:t xml:space="preserve">WIP </w:t>
      </w:r>
      <w:r w:rsidRPr="00975E6B">
        <w:rPr>
          <w:szCs w:val="22"/>
        </w:rPr>
        <w:t>costs for 2011/12 and 2012/13 for those patients admitted prior to, but discharged, in 2013/14.</w:t>
      </w:r>
    </w:p>
    <w:p w:rsidR="00972129" w:rsidRPr="00975E6B" w:rsidRDefault="00972129" w:rsidP="00F76EBA">
      <w:pPr>
        <w:pStyle w:val="Heading4"/>
        <w:numPr>
          <w:ilvl w:val="0"/>
          <w:numId w:val="0"/>
        </w:numPr>
        <w:ind w:left="720" w:hanging="720"/>
      </w:pPr>
      <w:r w:rsidRPr="00975E6B">
        <w:t>Escalation factor</w:t>
      </w:r>
    </w:p>
    <w:p w:rsidR="00972129" w:rsidRPr="00975E6B" w:rsidRDefault="00972129" w:rsidP="00972129">
      <w:pPr>
        <w:spacing w:before="120" w:after="120" w:line="280" w:lineRule="atLeast"/>
        <w:jc w:val="both"/>
        <w:rPr>
          <w:szCs w:val="22"/>
        </w:rPr>
      </w:pPr>
      <w:r w:rsidRPr="00975E6B">
        <w:rPr>
          <w:szCs w:val="22"/>
        </w:rPr>
        <w:t>NSW Health applied the escalation factors provided by IHPA for prior years to the costs associated with WIP as part of the Round 18 submission to the NHCDC for Illawarra Shoalhaven LHD.</w:t>
      </w:r>
    </w:p>
    <w:p w:rsidR="00972129" w:rsidRPr="00975E6B" w:rsidRDefault="00972129" w:rsidP="003B387A">
      <w:pPr>
        <w:pStyle w:val="Heading3"/>
        <w:numPr>
          <w:ilvl w:val="2"/>
          <w:numId w:val="77"/>
        </w:numPr>
      </w:pPr>
      <w:r w:rsidRPr="00F76EBA">
        <w:t>Treatment</w:t>
      </w:r>
      <w:r w:rsidRPr="00975E6B">
        <w:t xml:space="preserve"> of specific items</w:t>
      </w:r>
    </w:p>
    <w:p w:rsidR="00972129" w:rsidRPr="00975E6B" w:rsidRDefault="00972129" w:rsidP="00972129">
      <w:r w:rsidRPr="00975E6B">
        <w:t>The following items were discussed during the reviews to understand their treatment in the costing process as the cost data is used to inform the NEP and specific funding model adjustments for particular patient cohorts. It should be noted that costing staff acknowledged that they cost according to the NSW Health costing guidelines</w:t>
      </w:r>
      <w:r w:rsidR="00720A54" w:rsidRPr="00975E6B">
        <w:t>, and the jurisdiction stated that where possible the NSW guidelines comply with the AHPCS</w:t>
      </w:r>
      <w:r w:rsidRPr="00975E6B">
        <w:t>.</w:t>
      </w:r>
    </w:p>
    <w:p w:rsidR="00972129" w:rsidRPr="00975E6B" w:rsidRDefault="00972129" w:rsidP="00972129">
      <w:pPr>
        <w:keepNext/>
        <w:spacing w:before="120" w:after="120"/>
        <w:rPr>
          <w:bCs/>
          <w:i/>
        </w:rPr>
      </w:pPr>
      <w:r w:rsidRPr="00975E6B">
        <w:rPr>
          <w:bCs/>
          <w:i/>
        </w:rPr>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16</w:t>
      </w:r>
      <w:r w:rsidRPr="00975E6B">
        <w:rPr>
          <w:bCs/>
          <w:i/>
          <w:noProof/>
        </w:rPr>
        <w:fldChar w:fldCharType="end"/>
      </w:r>
      <w:r w:rsidRPr="00975E6B">
        <w:rPr>
          <w:bCs/>
          <w:i/>
        </w:rPr>
        <w:t xml:space="preserve"> – Treatment of specific items – Illawarra Shoalhaven LHD </w:t>
      </w:r>
    </w:p>
    <w:tbl>
      <w:tblPr>
        <w:tblStyle w:val="ListTable4-Accent11"/>
        <w:tblW w:w="5000" w:type="pct"/>
        <w:tblLayout w:type="fixed"/>
        <w:tblLook w:val="0620" w:firstRow="1" w:lastRow="0" w:firstColumn="0" w:lastColumn="0" w:noHBand="1" w:noVBand="1"/>
        <w:tblCaption w:val="Table 16 - Treatment of specific items - Illawarra Shoalhaven LHD"/>
        <w:tblDescription w:val="This table describes how Illawarra Shoalhaven LHD treated specific items in their Round 18 NHCDC Submission.  The first column is the item and the second column is the description of the treatment.&#10;"/>
      </w:tblPr>
      <w:tblGrid>
        <w:gridCol w:w="3342"/>
        <w:gridCol w:w="5379"/>
      </w:tblGrid>
      <w:tr w:rsidR="00972129" w:rsidRPr="00975E6B" w:rsidTr="00E14378">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tcPr>
          <w:p w:rsidR="00972129" w:rsidRPr="00CD1518" w:rsidRDefault="00972129" w:rsidP="00972129">
            <w:r w:rsidRPr="00CF5CD5">
              <w:t>Item</w:t>
            </w:r>
          </w:p>
        </w:tc>
        <w:tc>
          <w:tcPr>
            <w:tcW w:w="3084" w:type="pct"/>
            <w:tcBorders>
              <w:left w:val="single" w:sz="4" w:space="0" w:color="548DD4" w:themeColor="text2" w:themeTint="99"/>
            </w:tcBorders>
            <w:shd w:val="clear" w:color="auto" w:fill="002060"/>
          </w:tcPr>
          <w:p w:rsidR="00972129" w:rsidRPr="00CD1518" w:rsidRDefault="00972129" w:rsidP="00972129">
            <w:r w:rsidRPr="00CF5CD5">
              <w:t>Treatment</w:t>
            </w:r>
          </w:p>
        </w:tc>
      </w:tr>
      <w:tr w:rsidR="00972129" w:rsidRPr="00975E6B" w:rsidTr="00972129">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t>Research</w:t>
            </w:r>
          </w:p>
        </w:tc>
        <w:tc>
          <w:tcPr>
            <w:tcW w:w="3084"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Research costs are assigned to a product. However are excluded from NHCDC submission.</w:t>
            </w:r>
          </w:p>
        </w:tc>
      </w:tr>
      <w:tr w:rsidR="00972129" w:rsidRPr="00975E6B" w:rsidTr="00972129">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t>Teaching and Training</w:t>
            </w:r>
          </w:p>
        </w:tc>
        <w:tc>
          <w:tcPr>
            <w:tcW w:w="3084"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Teaching and Training costs are assigned to a product. However are excluded from NHCDC submission.</w:t>
            </w:r>
          </w:p>
        </w:tc>
      </w:tr>
      <w:tr w:rsidR="00972129" w:rsidRPr="00975E6B" w:rsidTr="00972129">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t>Shared/Other commercial entities</w:t>
            </w:r>
          </w:p>
        </w:tc>
        <w:tc>
          <w:tcPr>
            <w:tcW w:w="3084" w:type="pct"/>
            <w:tcBorders>
              <w:left w:val="single" w:sz="4" w:space="0" w:color="548DD4" w:themeColor="text2" w:themeTint="99"/>
            </w:tcBorders>
          </w:tcPr>
          <w:p w:rsidR="00972129" w:rsidRPr="00975E6B" w:rsidRDefault="00972129" w:rsidP="00616472">
            <w:pPr>
              <w:spacing w:before="120" w:after="120" w:line="280" w:lineRule="atLeast"/>
              <w:rPr>
                <w:szCs w:val="22"/>
              </w:rPr>
            </w:pPr>
            <w:r w:rsidRPr="00975E6B">
              <w:rPr>
                <w:szCs w:val="22"/>
              </w:rPr>
              <w:t>Expenditure is excluded by the LHD</w:t>
            </w:r>
            <w:r w:rsidR="00DF5FC7">
              <w:rPr>
                <w:szCs w:val="22"/>
              </w:rPr>
              <w:t xml:space="preserve"> </w:t>
            </w:r>
            <w:r w:rsidR="00DF5FC7" w:rsidRPr="00DF5FC7">
              <w:rPr>
                <w:szCs w:val="22"/>
              </w:rPr>
              <w:t>by allocati</w:t>
            </w:r>
            <w:r w:rsidR="00DF5FC7">
              <w:rPr>
                <w:szCs w:val="22"/>
              </w:rPr>
              <w:t>ng it</w:t>
            </w:r>
            <w:r w:rsidR="00DF5FC7" w:rsidRPr="00DF5FC7">
              <w:rPr>
                <w:szCs w:val="22"/>
              </w:rPr>
              <w:t xml:space="preserve"> to a non</w:t>
            </w:r>
            <w:r w:rsidR="00DF5FC7">
              <w:rPr>
                <w:szCs w:val="22"/>
              </w:rPr>
              <w:t>-</w:t>
            </w:r>
            <w:r w:rsidR="00DF5FC7" w:rsidRPr="00DF5FC7">
              <w:rPr>
                <w:szCs w:val="22"/>
              </w:rPr>
              <w:t>patient product</w:t>
            </w:r>
            <w:r w:rsidR="00DF5FC7">
              <w:rPr>
                <w:szCs w:val="22"/>
              </w:rPr>
              <w:t>.</w:t>
            </w:r>
          </w:p>
        </w:tc>
      </w:tr>
      <w:tr w:rsidR="00972129" w:rsidRPr="00975E6B" w:rsidTr="00972129">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t xml:space="preserve">Intensive Care Unit </w:t>
            </w:r>
          </w:p>
        </w:tc>
        <w:tc>
          <w:tcPr>
            <w:tcW w:w="3084"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No change to the costing methodology. No ICU weights or adjustments made.</w:t>
            </w:r>
          </w:p>
        </w:tc>
      </w:tr>
      <w:tr w:rsidR="00972129" w:rsidRPr="00975E6B" w:rsidTr="00972129">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t>Aboriginal Torres Strait Islander patients</w:t>
            </w:r>
          </w:p>
        </w:tc>
        <w:tc>
          <w:tcPr>
            <w:tcW w:w="3084"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No change to the costing methodology. No ATSI weights or adjustments made. Costs based on resources linked.</w:t>
            </w:r>
          </w:p>
        </w:tc>
      </w:tr>
      <w:tr w:rsidR="00972129" w:rsidRPr="00975E6B" w:rsidTr="00972129">
        <w:trPr>
          <w:trHeight w:val="516"/>
        </w:trPr>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t xml:space="preserve">Private Patients </w:t>
            </w:r>
          </w:p>
        </w:tc>
        <w:tc>
          <w:tcPr>
            <w:tcW w:w="3084" w:type="pct"/>
            <w:tcBorders>
              <w:left w:val="single" w:sz="4" w:space="0" w:color="548DD4" w:themeColor="text2" w:themeTint="99"/>
            </w:tcBorders>
          </w:tcPr>
          <w:p w:rsidR="00972129" w:rsidRPr="00975E6B" w:rsidRDefault="00972129" w:rsidP="00616472">
            <w:pPr>
              <w:spacing w:before="120" w:after="120" w:line="280" w:lineRule="atLeast"/>
              <w:rPr>
                <w:szCs w:val="22"/>
              </w:rPr>
            </w:pPr>
            <w:r w:rsidRPr="00975E6B">
              <w:rPr>
                <w:szCs w:val="22"/>
              </w:rPr>
              <w:t xml:space="preserve">No change to the costing methodology. </w:t>
            </w:r>
            <w:r w:rsidR="00DF5FC7" w:rsidRPr="00DF5FC7">
              <w:rPr>
                <w:szCs w:val="22"/>
              </w:rPr>
              <w:t>VMO costs are not allocated to private patients</w:t>
            </w:r>
            <w:r w:rsidR="00873964">
              <w:rPr>
                <w:szCs w:val="22"/>
              </w:rPr>
              <w:t xml:space="preserve">. </w:t>
            </w:r>
            <w:r w:rsidR="00DF5FC7" w:rsidRPr="00DF5FC7">
              <w:rPr>
                <w:szCs w:val="22"/>
              </w:rPr>
              <w:t xml:space="preserve">No private patient </w:t>
            </w:r>
            <w:r w:rsidR="00DF5FC7" w:rsidRPr="00DF5FC7">
              <w:rPr>
                <w:szCs w:val="22"/>
              </w:rPr>
              <w:lastRenderedPageBreak/>
              <w:t>weights or adjustments</w:t>
            </w:r>
            <w:r w:rsidR="00DF5FC7">
              <w:rPr>
                <w:szCs w:val="22"/>
              </w:rPr>
              <w:t xml:space="preserve"> are made for staff specialists.</w:t>
            </w:r>
          </w:p>
        </w:tc>
      </w:tr>
      <w:tr w:rsidR="00972129" w:rsidRPr="00975E6B" w:rsidTr="00972129">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lastRenderedPageBreak/>
              <w:t>Pharmaceutical Benefits Scheme drugs</w:t>
            </w:r>
          </w:p>
        </w:tc>
        <w:tc>
          <w:tcPr>
            <w:tcW w:w="3084" w:type="pct"/>
            <w:tcBorders>
              <w:left w:val="single" w:sz="4" w:space="0" w:color="548DD4" w:themeColor="text2" w:themeTint="99"/>
            </w:tcBorders>
          </w:tcPr>
          <w:p w:rsidR="00E97BCD" w:rsidRPr="00887E43" w:rsidRDefault="00E97BCD" w:rsidP="00E97BCD">
            <w:pPr>
              <w:spacing w:before="120" w:after="120" w:line="280" w:lineRule="atLeast"/>
              <w:rPr>
                <w:szCs w:val="22"/>
              </w:rPr>
            </w:pPr>
            <w:r w:rsidRPr="00887E43">
              <w:rPr>
                <w:szCs w:val="22"/>
              </w:rPr>
              <w:t>NSW is not a signatory to the PBS Agreement so distinction between PBS and Non-PBS is not applicable.</w:t>
            </w:r>
          </w:p>
          <w:p w:rsidR="00972129" w:rsidRPr="00975E6B" w:rsidRDefault="00E97BCD" w:rsidP="00616472">
            <w:pPr>
              <w:spacing w:before="120" w:after="120" w:line="280" w:lineRule="atLeast"/>
              <w:rPr>
                <w:szCs w:val="22"/>
              </w:rPr>
            </w:pPr>
            <w:r w:rsidRPr="00887E43">
              <w:rPr>
                <w:szCs w:val="22"/>
              </w:rPr>
              <w:t xml:space="preserve">S100 drugs are not allocated to </w:t>
            </w:r>
            <w:r w:rsidR="00873964">
              <w:rPr>
                <w:szCs w:val="22"/>
              </w:rPr>
              <w:t>non-admitted</w:t>
            </w:r>
            <w:r w:rsidRPr="00887E43">
              <w:rPr>
                <w:szCs w:val="22"/>
              </w:rPr>
              <w:t xml:space="preserve"> service events.</w:t>
            </w:r>
          </w:p>
        </w:tc>
      </w:tr>
    </w:tbl>
    <w:p w:rsidR="00972129" w:rsidRPr="00975E6B" w:rsidRDefault="00972129" w:rsidP="00972129">
      <w:pPr>
        <w:rPr>
          <w:bCs/>
          <w:i/>
          <w:sz w:val="16"/>
          <w:szCs w:val="16"/>
        </w:rPr>
      </w:pPr>
      <w:r w:rsidRPr="00975E6B">
        <w:rPr>
          <w:bCs/>
          <w:i/>
          <w:sz w:val="16"/>
          <w:szCs w:val="16"/>
        </w:rPr>
        <w:t>Source: KPMG</w:t>
      </w:r>
    </w:p>
    <w:p w:rsidR="00972129" w:rsidRPr="00975E6B" w:rsidRDefault="00972129" w:rsidP="003B387A">
      <w:pPr>
        <w:pStyle w:val="Heading3"/>
        <w:numPr>
          <w:ilvl w:val="2"/>
          <w:numId w:val="77"/>
        </w:numPr>
      </w:pPr>
      <w:r w:rsidRPr="00F76EBA">
        <w:t>Sample</w:t>
      </w:r>
      <w:r w:rsidRPr="00975E6B">
        <w:t xml:space="preserve"> patient data</w:t>
      </w:r>
    </w:p>
    <w:p w:rsidR="00972129" w:rsidRPr="00975E6B" w:rsidRDefault="00972129" w:rsidP="00972129">
      <w:pPr>
        <w:spacing w:before="120" w:after="120" w:line="280" w:lineRule="atLeast"/>
        <w:jc w:val="both"/>
        <w:rPr>
          <w:szCs w:val="22"/>
        </w:rPr>
      </w:pPr>
      <w:r w:rsidRPr="00975E6B">
        <w:rPr>
          <w:szCs w:val="22"/>
        </w:rPr>
        <w:t xml:space="preserve">IHPA selected a sample of five patients from Illawarra Shoalhaven LHD for the purposes of testing the data flow from jurisdictions to IHPA at the patient level. NSW Health provided the patient level costs for all five patients and these reconciled to IHPA records. The results are summarised in </w:t>
      </w:r>
      <w:r w:rsidRPr="00975E6B">
        <w:rPr>
          <w:szCs w:val="22"/>
        </w:rPr>
        <w:fldChar w:fldCharType="begin"/>
      </w:r>
      <w:r w:rsidRPr="00975E6B">
        <w:rPr>
          <w:szCs w:val="22"/>
        </w:rPr>
        <w:instrText xml:space="preserve"> REF _Ref434486535 \h </w:instrText>
      </w:r>
      <w:r w:rsidR="00851875" w:rsidRPr="00975E6B">
        <w:rPr>
          <w:szCs w:val="22"/>
        </w:rPr>
        <w:instrText xml:space="preserve"> \* MERGEFORMAT </w:instrText>
      </w:r>
      <w:r w:rsidRPr="00975E6B">
        <w:rPr>
          <w:szCs w:val="22"/>
        </w:rPr>
      </w:r>
      <w:r w:rsidRPr="00975E6B">
        <w:rPr>
          <w:szCs w:val="22"/>
        </w:rPr>
        <w:fldChar w:fldCharType="separate"/>
      </w:r>
      <w:r w:rsidR="00154CF7" w:rsidRPr="00154CF7">
        <w:rPr>
          <w:bCs/>
        </w:rPr>
        <w:t xml:space="preserve">Table </w:t>
      </w:r>
      <w:r w:rsidR="00154CF7" w:rsidRPr="00154CF7">
        <w:rPr>
          <w:bCs/>
          <w:noProof/>
        </w:rPr>
        <w:t>17</w:t>
      </w:r>
      <w:r w:rsidRPr="00975E6B">
        <w:rPr>
          <w:szCs w:val="22"/>
        </w:rPr>
        <w:fldChar w:fldCharType="end"/>
      </w:r>
      <w:r w:rsidRPr="00975E6B">
        <w:rPr>
          <w:szCs w:val="22"/>
        </w:rPr>
        <w:t>.</w:t>
      </w:r>
    </w:p>
    <w:p w:rsidR="00972129" w:rsidRPr="00975E6B" w:rsidRDefault="00972129" w:rsidP="00972129">
      <w:pPr>
        <w:keepNext/>
        <w:spacing w:before="120" w:after="120"/>
        <w:rPr>
          <w:bCs/>
          <w:i/>
        </w:rPr>
      </w:pPr>
      <w:bookmarkStart w:id="690" w:name="_Ref434486535"/>
      <w:r w:rsidRPr="00975E6B">
        <w:rPr>
          <w:bCs/>
          <w:i/>
        </w:rPr>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17</w:t>
      </w:r>
      <w:r w:rsidRPr="00975E6B">
        <w:rPr>
          <w:bCs/>
          <w:i/>
          <w:noProof/>
        </w:rPr>
        <w:fldChar w:fldCharType="end"/>
      </w:r>
      <w:bookmarkEnd w:id="690"/>
      <w:r w:rsidRPr="00975E6B">
        <w:rPr>
          <w:bCs/>
          <w:i/>
        </w:rPr>
        <w:t xml:space="preserve"> – Sample patients – Illawarra Shoalhaven LHD</w:t>
      </w:r>
    </w:p>
    <w:tbl>
      <w:tblPr>
        <w:tblW w:w="5000" w:type="pct"/>
        <w:tblLook w:val="04A0" w:firstRow="1" w:lastRow="0" w:firstColumn="1" w:lastColumn="0" w:noHBand="0" w:noVBand="1"/>
        <w:tblCaption w:val="Table 17 - Sample patients - Illawarra Shoalhaven LHD"/>
        <w:tblDescription w:val="This table presents the results of the 5 sample patients tested for the data flow from jurisdictions to IHPA at the patient level for Illawarra Shoalhaven LHD. There are 5 columns.  Column 1 is the sample number, Column 2 is the product type, column 3 is the amount in  jurisdiction records, Column 4 is the amount received by IHPA and Column 5 is the variance between jurisdiction and IHPA.&#10;"/>
      </w:tblPr>
      <w:tblGrid>
        <w:gridCol w:w="509"/>
        <w:gridCol w:w="2274"/>
        <w:gridCol w:w="2274"/>
        <w:gridCol w:w="2274"/>
        <w:gridCol w:w="1390"/>
      </w:tblGrid>
      <w:tr w:rsidR="00486425" w:rsidRPr="00486425" w:rsidTr="00E14378">
        <w:trPr>
          <w:trHeight w:val="260"/>
        </w:trPr>
        <w:tc>
          <w:tcPr>
            <w:tcW w:w="291"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486425" w:rsidRPr="00486425" w:rsidRDefault="00486425" w:rsidP="00486425">
            <w:pPr>
              <w:spacing w:line="240" w:lineRule="auto"/>
              <w:jc w:val="center"/>
              <w:rPr>
                <w:b/>
                <w:bCs/>
                <w:color w:val="FFFFFF"/>
                <w:lang w:eastAsia="en-AU"/>
              </w:rPr>
            </w:pPr>
            <w:r w:rsidRPr="00486425">
              <w:rPr>
                <w:b/>
                <w:bCs/>
                <w:color w:val="FFFFFF"/>
                <w:lang w:eastAsia="en-AU"/>
              </w:rPr>
              <w: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486425" w:rsidRPr="00486425" w:rsidRDefault="00486425" w:rsidP="00CD1518">
            <w:pPr>
              <w:spacing w:line="240" w:lineRule="auto"/>
              <w:rPr>
                <w:b/>
                <w:bCs/>
                <w:color w:val="FFFFFF"/>
                <w:lang w:eastAsia="en-AU"/>
              </w:rPr>
            </w:pPr>
            <w:r w:rsidRPr="00486425">
              <w:rPr>
                <w:b/>
                <w:bCs/>
                <w:color w:val="FFFFFF"/>
                <w:lang w:eastAsia="en-AU"/>
              </w:rPr>
              <w:t>Product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486425" w:rsidRPr="00486425" w:rsidRDefault="00486425" w:rsidP="00486425">
            <w:pPr>
              <w:spacing w:line="240" w:lineRule="auto"/>
              <w:jc w:val="center"/>
              <w:rPr>
                <w:b/>
                <w:bCs/>
                <w:color w:val="FFFFFF"/>
                <w:lang w:eastAsia="en-AU"/>
              </w:rPr>
            </w:pPr>
            <w:r w:rsidRPr="00486425">
              <w:rPr>
                <w:b/>
                <w:bCs/>
                <w:color w:val="FFFFFF"/>
                <w:lang w:eastAsia="en-AU"/>
              </w:rPr>
              <w:t>Jurisdiction records</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486425" w:rsidRPr="00486425" w:rsidRDefault="00486425" w:rsidP="00486425">
            <w:pPr>
              <w:spacing w:line="240" w:lineRule="auto"/>
              <w:jc w:val="center"/>
              <w:rPr>
                <w:b/>
                <w:bCs/>
                <w:color w:val="FFFFFF"/>
                <w:lang w:eastAsia="en-AU"/>
              </w:rPr>
            </w:pPr>
            <w:r w:rsidRPr="00486425">
              <w:rPr>
                <w:b/>
                <w:bCs/>
                <w:color w:val="FFFFFF"/>
                <w:lang w:eastAsia="en-AU"/>
              </w:rPr>
              <w:t>Received by IHPA</w:t>
            </w:r>
          </w:p>
        </w:tc>
        <w:tc>
          <w:tcPr>
            <w:tcW w:w="797" w:type="pct"/>
            <w:tcBorders>
              <w:top w:val="nil"/>
              <w:left w:val="nil"/>
              <w:bottom w:val="nil"/>
              <w:right w:val="single" w:sz="4" w:space="0" w:color="5B9BD5"/>
            </w:tcBorders>
            <w:shd w:val="clear" w:color="auto" w:fill="002060"/>
            <w:vAlign w:val="bottom"/>
            <w:hideMark/>
          </w:tcPr>
          <w:p w:rsidR="00486425" w:rsidRPr="00486425" w:rsidRDefault="00486425" w:rsidP="00486425">
            <w:pPr>
              <w:spacing w:line="240" w:lineRule="auto"/>
              <w:jc w:val="center"/>
              <w:rPr>
                <w:b/>
                <w:bCs/>
                <w:color w:val="FFFFFF"/>
                <w:lang w:eastAsia="en-AU"/>
              </w:rPr>
            </w:pPr>
            <w:r w:rsidRPr="00486425">
              <w:rPr>
                <w:b/>
                <w:bCs/>
                <w:color w:val="FFFFFF"/>
                <w:lang w:eastAsia="en-AU"/>
              </w:rPr>
              <w:t>Variance</w:t>
            </w:r>
          </w:p>
        </w:tc>
      </w:tr>
      <w:tr w:rsidR="00CA7B4E" w:rsidRPr="00486425"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486425" w:rsidRDefault="00CA7B4E" w:rsidP="00CA7B4E">
            <w:pPr>
              <w:spacing w:line="240" w:lineRule="auto"/>
              <w:jc w:val="center"/>
              <w:rPr>
                <w:color w:val="000000"/>
                <w:lang w:eastAsia="en-AU"/>
              </w:rPr>
            </w:pPr>
            <w:r w:rsidRPr="00486425">
              <w:rPr>
                <w:color w:val="000000"/>
                <w:lang w:eastAsia="en-AU"/>
              </w:rPr>
              <w:t>1</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486425" w:rsidRDefault="00CA7B4E" w:rsidP="00CA7B4E">
            <w:pPr>
              <w:spacing w:line="240" w:lineRule="auto"/>
              <w:rPr>
                <w:color w:val="000000"/>
                <w:lang w:eastAsia="en-AU"/>
              </w:rPr>
            </w:pPr>
            <w:r w:rsidRPr="00486425">
              <w:rPr>
                <w:color w:val="000000"/>
                <w:lang w:eastAsia="en-AU"/>
              </w:rPr>
              <w:t xml:space="preserve"> Non-admitted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486425" w:rsidRDefault="00CA7B4E" w:rsidP="00CD1518">
            <w:pPr>
              <w:spacing w:line="240" w:lineRule="auto"/>
              <w:jc w:val="right"/>
              <w:rPr>
                <w:color w:val="000000"/>
                <w:lang w:eastAsia="en-AU"/>
              </w:rPr>
            </w:pPr>
            <w:r w:rsidRPr="00486425">
              <w:rPr>
                <w:color w:val="000000"/>
                <w:lang w:eastAsia="en-AU"/>
              </w:rPr>
              <w:t xml:space="preserve"> $445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486425" w:rsidRDefault="00CA7B4E" w:rsidP="00CD1518">
            <w:pPr>
              <w:spacing w:line="240" w:lineRule="auto"/>
              <w:jc w:val="right"/>
              <w:rPr>
                <w:color w:val="000000"/>
                <w:lang w:eastAsia="en-AU"/>
              </w:rPr>
            </w:pPr>
            <w:r w:rsidRPr="00486425">
              <w:rPr>
                <w:color w:val="000000"/>
                <w:lang w:eastAsia="en-AU"/>
              </w:rPr>
              <w:t xml:space="preserve"> $445 </w:t>
            </w:r>
          </w:p>
        </w:tc>
        <w:tc>
          <w:tcPr>
            <w:tcW w:w="797" w:type="pct"/>
            <w:tcBorders>
              <w:top w:val="single" w:sz="4" w:space="0" w:color="5B9BD5"/>
              <w:left w:val="nil"/>
              <w:bottom w:val="single" w:sz="4" w:space="0" w:color="5B9BD5"/>
              <w:right w:val="single" w:sz="4" w:space="0" w:color="5B9BD5"/>
            </w:tcBorders>
            <w:shd w:val="clear" w:color="000000" w:fill="FFFFFF"/>
            <w:noWrap/>
            <w:vAlign w:val="bottom"/>
            <w:hideMark/>
          </w:tcPr>
          <w:p w:rsidR="00CA7B4E" w:rsidRPr="00486425" w:rsidRDefault="00CA7B4E" w:rsidP="00CD1518">
            <w:pPr>
              <w:spacing w:line="240" w:lineRule="auto"/>
              <w:jc w:val="right"/>
              <w:rPr>
                <w:color w:val="000000"/>
                <w:lang w:eastAsia="en-AU"/>
              </w:rPr>
            </w:pPr>
            <w:r w:rsidRPr="003940A4">
              <w:rPr>
                <w:color w:val="000000"/>
                <w:lang w:eastAsia="en-AU"/>
              </w:rPr>
              <w:t xml:space="preserve"> $- </w:t>
            </w:r>
          </w:p>
        </w:tc>
      </w:tr>
      <w:tr w:rsidR="00CA7B4E" w:rsidRPr="00486425" w:rsidTr="00CD1518">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486425" w:rsidRDefault="00CA7B4E" w:rsidP="00CA7B4E">
            <w:pPr>
              <w:spacing w:line="240" w:lineRule="auto"/>
              <w:jc w:val="center"/>
              <w:rPr>
                <w:color w:val="000000"/>
                <w:lang w:eastAsia="en-AU"/>
              </w:rPr>
            </w:pPr>
            <w:r w:rsidRPr="00486425">
              <w:rPr>
                <w:color w:val="000000"/>
                <w:lang w:eastAsia="en-AU"/>
              </w:rPr>
              <w:t>2</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486425" w:rsidRDefault="00CA7B4E" w:rsidP="00CA7B4E">
            <w:pPr>
              <w:spacing w:line="240" w:lineRule="auto"/>
              <w:rPr>
                <w:color w:val="000000"/>
                <w:lang w:eastAsia="en-AU"/>
              </w:rPr>
            </w:pPr>
            <w:r w:rsidRPr="00486425">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486425" w:rsidRDefault="00CA7B4E" w:rsidP="00CD1518">
            <w:pPr>
              <w:spacing w:line="240" w:lineRule="auto"/>
              <w:jc w:val="right"/>
              <w:rPr>
                <w:color w:val="000000"/>
                <w:lang w:eastAsia="en-AU"/>
              </w:rPr>
            </w:pPr>
            <w:r>
              <w:rPr>
                <w:color w:val="000000"/>
                <w:lang w:eastAsia="en-AU"/>
              </w:rPr>
              <w:t xml:space="preserve"> $</w:t>
            </w:r>
            <w:r w:rsidRPr="00486425">
              <w:rPr>
                <w:color w:val="000000"/>
                <w:lang w:eastAsia="en-AU"/>
              </w:rPr>
              <w:t xml:space="preserve">17,462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486425" w:rsidRDefault="00CA7B4E" w:rsidP="00CD1518">
            <w:pPr>
              <w:spacing w:line="240" w:lineRule="auto"/>
              <w:jc w:val="right"/>
              <w:rPr>
                <w:color w:val="000000"/>
                <w:lang w:eastAsia="en-AU"/>
              </w:rPr>
            </w:pPr>
            <w:r>
              <w:rPr>
                <w:color w:val="000000"/>
                <w:lang w:eastAsia="en-AU"/>
              </w:rPr>
              <w:t xml:space="preserve"> $</w:t>
            </w:r>
            <w:r w:rsidRPr="00486425">
              <w:rPr>
                <w:color w:val="000000"/>
                <w:lang w:eastAsia="en-AU"/>
              </w:rPr>
              <w:t xml:space="preserve">17,462 </w:t>
            </w:r>
          </w:p>
        </w:tc>
        <w:tc>
          <w:tcPr>
            <w:tcW w:w="797" w:type="pct"/>
            <w:tcBorders>
              <w:top w:val="nil"/>
              <w:left w:val="nil"/>
              <w:bottom w:val="single" w:sz="4" w:space="0" w:color="5B9BD5"/>
              <w:right w:val="single" w:sz="4" w:space="0" w:color="5B9BD5"/>
            </w:tcBorders>
            <w:shd w:val="clear" w:color="000000" w:fill="DDEBF7"/>
            <w:noWrap/>
            <w:vAlign w:val="bottom"/>
            <w:hideMark/>
          </w:tcPr>
          <w:p w:rsidR="00CA7B4E" w:rsidRPr="00486425" w:rsidRDefault="00CA7B4E" w:rsidP="00CD1518">
            <w:pPr>
              <w:spacing w:line="240" w:lineRule="auto"/>
              <w:jc w:val="right"/>
              <w:rPr>
                <w:color w:val="000000"/>
                <w:lang w:eastAsia="en-AU"/>
              </w:rPr>
            </w:pPr>
            <w:r w:rsidRPr="003940A4">
              <w:rPr>
                <w:color w:val="000000"/>
                <w:lang w:eastAsia="en-AU"/>
              </w:rPr>
              <w:t xml:space="preserve"> $- </w:t>
            </w:r>
          </w:p>
        </w:tc>
      </w:tr>
      <w:tr w:rsidR="00CA7B4E" w:rsidRPr="00486425"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486425" w:rsidRDefault="00CA7B4E" w:rsidP="00CA7B4E">
            <w:pPr>
              <w:spacing w:line="240" w:lineRule="auto"/>
              <w:jc w:val="center"/>
              <w:rPr>
                <w:color w:val="000000"/>
                <w:lang w:eastAsia="en-AU"/>
              </w:rPr>
            </w:pPr>
            <w:r w:rsidRPr="00486425">
              <w:rPr>
                <w:color w:val="000000"/>
                <w:lang w:eastAsia="en-AU"/>
              </w:rPr>
              <w:t>3</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486425" w:rsidRDefault="00CA7B4E" w:rsidP="00CA7B4E">
            <w:pPr>
              <w:spacing w:line="240" w:lineRule="auto"/>
              <w:rPr>
                <w:color w:val="000000"/>
                <w:lang w:eastAsia="en-AU"/>
              </w:rPr>
            </w:pPr>
            <w:r w:rsidRPr="00486425">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486425" w:rsidRDefault="00CA7B4E" w:rsidP="00CD1518">
            <w:pPr>
              <w:spacing w:line="240" w:lineRule="auto"/>
              <w:jc w:val="right"/>
              <w:rPr>
                <w:color w:val="000000"/>
                <w:lang w:eastAsia="en-AU"/>
              </w:rPr>
            </w:pPr>
            <w:r w:rsidRPr="00486425">
              <w:rPr>
                <w:color w:val="000000"/>
                <w:lang w:eastAsia="en-AU"/>
              </w:rPr>
              <w:t xml:space="preserve"> $19,591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486425" w:rsidRDefault="00CA7B4E" w:rsidP="00CD1518">
            <w:pPr>
              <w:spacing w:line="240" w:lineRule="auto"/>
              <w:jc w:val="right"/>
              <w:rPr>
                <w:color w:val="000000"/>
                <w:lang w:eastAsia="en-AU"/>
              </w:rPr>
            </w:pPr>
            <w:r w:rsidRPr="00486425">
              <w:rPr>
                <w:color w:val="000000"/>
                <w:lang w:eastAsia="en-AU"/>
              </w:rPr>
              <w:t xml:space="preserve"> $19,591 </w:t>
            </w:r>
          </w:p>
        </w:tc>
        <w:tc>
          <w:tcPr>
            <w:tcW w:w="797" w:type="pct"/>
            <w:tcBorders>
              <w:top w:val="nil"/>
              <w:left w:val="nil"/>
              <w:bottom w:val="single" w:sz="4" w:space="0" w:color="5B9BD5"/>
              <w:right w:val="single" w:sz="4" w:space="0" w:color="5B9BD5"/>
            </w:tcBorders>
            <w:shd w:val="clear" w:color="000000" w:fill="FFFFFF"/>
            <w:noWrap/>
            <w:vAlign w:val="bottom"/>
            <w:hideMark/>
          </w:tcPr>
          <w:p w:rsidR="00CA7B4E" w:rsidRPr="00486425" w:rsidRDefault="00CA7B4E" w:rsidP="00CD1518">
            <w:pPr>
              <w:spacing w:line="240" w:lineRule="auto"/>
              <w:jc w:val="right"/>
              <w:rPr>
                <w:color w:val="000000"/>
                <w:lang w:eastAsia="en-AU"/>
              </w:rPr>
            </w:pPr>
            <w:r w:rsidRPr="003940A4">
              <w:rPr>
                <w:color w:val="000000"/>
                <w:lang w:eastAsia="en-AU"/>
              </w:rPr>
              <w:t xml:space="preserve"> $- </w:t>
            </w:r>
          </w:p>
        </w:tc>
      </w:tr>
      <w:tr w:rsidR="00CA7B4E" w:rsidRPr="00486425" w:rsidTr="00CD1518">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486425" w:rsidRDefault="00CA7B4E" w:rsidP="00CA7B4E">
            <w:pPr>
              <w:spacing w:line="240" w:lineRule="auto"/>
              <w:jc w:val="center"/>
              <w:rPr>
                <w:color w:val="000000"/>
                <w:lang w:eastAsia="en-AU"/>
              </w:rPr>
            </w:pPr>
            <w:r w:rsidRPr="00486425">
              <w:rPr>
                <w:color w:val="000000"/>
                <w:lang w:eastAsia="en-AU"/>
              </w:rPr>
              <w:t>4</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486425" w:rsidRDefault="00CA7B4E" w:rsidP="00CA7B4E">
            <w:pPr>
              <w:spacing w:line="240" w:lineRule="auto"/>
              <w:rPr>
                <w:color w:val="000000"/>
                <w:lang w:eastAsia="en-AU"/>
              </w:rPr>
            </w:pPr>
            <w:r w:rsidRPr="00486425">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486425" w:rsidRDefault="00CA7B4E" w:rsidP="00CD1518">
            <w:pPr>
              <w:spacing w:line="240" w:lineRule="auto"/>
              <w:jc w:val="right"/>
              <w:rPr>
                <w:color w:val="000000"/>
                <w:lang w:eastAsia="en-AU"/>
              </w:rPr>
            </w:pPr>
            <w:r w:rsidRPr="00486425">
              <w:rPr>
                <w:color w:val="000000"/>
                <w:lang w:eastAsia="en-AU"/>
              </w:rPr>
              <w:t xml:space="preserve"> $20,007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486425" w:rsidRDefault="00CA7B4E" w:rsidP="00CD1518">
            <w:pPr>
              <w:spacing w:line="240" w:lineRule="auto"/>
              <w:jc w:val="right"/>
              <w:rPr>
                <w:color w:val="000000"/>
                <w:lang w:eastAsia="en-AU"/>
              </w:rPr>
            </w:pPr>
            <w:r w:rsidRPr="00486425">
              <w:rPr>
                <w:color w:val="000000"/>
                <w:lang w:eastAsia="en-AU"/>
              </w:rPr>
              <w:t xml:space="preserve"> $20,007 </w:t>
            </w:r>
          </w:p>
        </w:tc>
        <w:tc>
          <w:tcPr>
            <w:tcW w:w="797" w:type="pct"/>
            <w:tcBorders>
              <w:top w:val="nil"/>
              <w:left w:val="nil"/>
              <w:bottom w:val="single" w:sz="4" w:space="0" w:color="5B9BD5"/>
              <w:right w:val="single" w:sz="4" w:space="0" w:color="5B9BD5"/>
            </w:tcBorders>
            <w:shd w:val="clear" w:color="000000" w:fill="DDEBF7"/>
            <w:noWrap/>
            <w:vAlign w:val="bottom"/>
            <w:hideMark/>
          </w:tcPr>
          <w:p w:rsidR="00CA7B4E" w:rsidRPr="00486425" w:rsidRDefault="00CA7B4E" w:rsidP="00CD1518">
            <w:pPr>
              <w:spacing w:line="240" w:lineRule="auto"/>
              <w:jc w:val="right"/>
              <w:rPr>
                <w:color w:val="000000"/>
                <w:lang w:eastAsia="en-AU"/>
              </w:rPr>
            </w:pPr>
            <w:r w:rsidRPr="003940A4">
              <w:rPr>
                <w:color w:val="000000"/>
                <w:lang w:eastAsia="en-AU"/>
              </w:rPr>
              <w:t xml:space="preserve"> $- </w:t>
            </w:r>
          </w:p>
        </w:tc>
      </w:tr>
      <w:tr w:rsidR="00CA7B4E" w:rsidRPr="00486425"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486425" w:rsidRDefault="00CA7B4E" w:rsidP="00CA7B4E">
            <w:pPr>
              <w:spacing w:line="240" w:lineRule="auto"/>
              <w:jc w:val="center"/>
              <w:rPr>
                <w:color w:val="000000"/>
                <w:lang w:eastAsia="en-AU"/>
              </w:rPr>
            </w:pPr>
            <w:r w:rsidRPr="00486425">
              <w:rPr>
                <w:color w:val="000000"/>
                <w:lang w:eastAsia="en-AU"/>
              </w:rPr>
              <w:t>5</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486425" w:rsidRDefault="00CA7B4E" w:rsidP="00CA7B4E">
            <w:pPr>
              <w:spacing w:line="240" w:lineRule="auto"/>
              <w:rPr>
                <w:color w:val="000000"/>
                <w:lang w:eastAsia="en-AU"/>
              </w:rPr>
            </w:pPr>
            <w:r w:rsidRPr="00486425">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486425" w:rsidRDefault="00CA7B4E" w:rsidP="00CD1518">
            <w:pPr>
              <w:spacing w:line="240" w:lineRule="auto"/>
              <w:jc w:val="right"/>
              <w:rPr>
                <w:color w:val="000000"/>
                <w:lang w:eastAsia="en-AU"/>
              </w:rPr>
            </w:pPr>
            <w:r w:rsidRPr="00486425">
              <w:rPr>
                <w:color w:val="000000"/>
                <w:lang w:eastAsia="en-AU"/>
              </w:rPr>
              <w:t xml:space="preserve"> $46,974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486425" w:rsidRDefault="00CA7B4E" w:rsidP="00CD1518">
            <w:pPr>
              <w:spacing w:line="240" w:lineRule="auto"/>
              <w:jc w:val="right"/>
              <w:rPr>
                <w:color w:val="000000"/>
                <w:lang w:eastAsia="en-AU"/>
              </w:rPr>
            </w:pPr>
            <w:r w:rsidRPr="00486425">
              <w:rPr>
                <w:color w:val="000000"/>
                <w:lang w:eastAsia="en-AU"/>
              </w:rPr>
              <w:t xml:space="preserve"> $46,974 </w:t>
            </w:r>
          </w:p>
        </w:tc>
        <w:tc>
          <w:tcPr>
            <w:tcW w:w="797" w:type="pct"/>
            <w:tcBorders>
              <w:top w:val="nil"/>
              <w:left w:val="nil"/>
              <w:bottom w:val="single" w:sz="4" w:space="0" w:color="5B9BD5"/>
              <w:right w:val="single" w:sz="4" w:space="0" w:color="5B9BD5"/>
            </w:tcBorders>
            <w:shd w:val="clear" w:color="000000" w:fill="FFFFFF"/>
            <w:noWrap/>
            <w:vAlign w:val="bottom"/>
            <w:hideMark/>
          </w:tcPr>
          <w:p w:rsidR="00CA7B4E" w:rsidRPr="00486425" w:rsidRDefault="00CA7B4E" w:rsidP="00CD1518">
            <w:pPr>
              <w:spacing w:line="240" w:lineRule="auto"/>
              <w:jc w:val="right"/>
              <w:rPr>
                <w:color w:val="000000"/>
                <w:lang w:eastAsia="en-AU"/>
              </w:rPr>
            </w:pPr>
            <w:r w:rsidRPr="003940A4">
              <w:rPr>
                <w:color w:val="000000"/>
                <w:lang w:eastAsia="en-AU"/>
              </w:rPr>
              <w:t xml:space="preserve"> $- </w:t>
            </w:r>
          </w:p>
        </w:tc>
      </w:tr>
    </w:tbl>
    <w:p w:rsidR="00972129" w:rsidRPr="00975E6B" w:rsidRDefault="00972129" w:rsidP="00F71180">
      <w:pPr>
        <w:spacing w:before="120" w:after="120" w:line="280" w:lineRule="atLeast"/>
        <w:jc w:val="both"/>
        <w:rPr>
          <w:bCs/>
          <w:i/>
          <w:sz w:val="16"/>
          <w:szCs w:val="16"/>
        </w:rPr>
      </w:pPr>
      <w:r w:rsidRPr="00975E6B">
        <w:rPr>
          <w:bCs/>
          <w:i/>
          <w:sz w:val="16"/>
          <w:szCs w:val="16"/>
        </w:rPr>
        <w:t>Source: KPMG, based on Illawarra Shoalhaven LHD and IHPA data</w:t>
      </w:r>
    </w:p>
    <w:p w:rsidR="00664CB0" w:rsidRPr="00975E6B" w:rsidRDefault="00664CB0">
      <w:pPr>
        <w:spacing w:line="240" w:lineRule="auto"/>
        <w:rPr>
          <w:b/>
          <w:bCs/>
          <w:color w:val="1F497D" w:themeColor="text2"/>
          <w:sz w:val="24"/>
          <w:szCs w:val="24"/>
        </w:rPr>
      </w:pPr>
      <w:r w:rsidRPr="00975E6B">
        <w:rPr>
          <w:sz w:val="24"/>
        </w:rPr>
        <w:br w:type="page"/>
      </w:r>
    </w:p>
    <w:p w:rsidR="00972129" w:rsidRPr="00975E6B" w:rsidRDefault="00972129" w:rsidP="003B387A">
      <w:pPr>
        <w:pStyle w:val="Heading2"/>
        <w:numPr>
          <w:ilvl w:val="1"/>
          <w:numId w:val="77"/>
        </w:numPr>
      </w:pPr>
      <w:bookmarkStart w:id="691" w:name="_Toc444523653"/>
      <w:r w:rsidRPr="00F76EBA">
        <w:lastRenderedPageBreak/>
        <w:t>Northern</w:t>
      </w:r>
      <w:r w:rsidRPr="00975E6B">
        <w:t xml:space="preserve"> NSW Local Health District</w:t>
      </w:r>
      <w:bookmarkEnd w:id="691"/>
      <w:r w:rsidRPr="00975E6B">
        <w:t xml:space="preserve"> </w:t>
      </w:r>
    </w:p>
    <w:p w:rsidR="00972129" w:rsidRPr="00975E6B" w:rsidRDefault="00D650E2" w:rsidP="003B387A">
      <w:pPr>
        <w:pStyle w:val="Heading3"/>
        <w:numPr>
          <w:ilvl w:val="2"/>
          <w:numId w:val="77"/>
        </w:numPr>
      </w:pPr>
      <w:r w:rsidRPr="00F76EBA">
        <w:t>O</w:t>
      </w:r>
      <w:r w:rsidR="00972129" w:rsidRPr="00F76EBA">
        <w:t>verview</w:t>
      </w:r>
    </w:p>
    <w:p w:rsidR="00972129" w:rsidRPr="00975E6B" w:rsidRDefault="00972129" w:rsidP="00972129">
      <w:pPr>
        <w:spacing w:before="120" w:after="120" w:line="280" w:lineRule="atLeast"/>
        <w:jc w:val="both"/>
        <w:rPr>
          <w:szCs w:val="22"/>
        </w:rPr>
      </w:pPr>
      <w:r w:rsidRPr="00975E6B">
        <w:rPr>
          <w:szCs w:val="22"/>
        </w:rPr>
        <w:t xml:space="preserve">The Northern NSW LHD encompasses fourteen hospitals and a variety of community health centres (approximately 21) from Tweed Heads to Grafton. The Northern NSW LHD has approximately 4,000 </w:t>
      </w:r>
      <w:r w:rsidR="00850523" w:rsidRPr="00975E6B">
        <w:rPr>
          <w:szCs w:val="22"/>
        </w:rPr>
        <w:t xml:space="preserve">full-time equivalent </w:t>
      </w:r>
      <w:r w:rsidRPr="00975E6B">
        <w:rPr>
          <w:szCs w:val="22"/>
        </w:rPr>
        <w:t>employees. Hospitals included in this LHD are:</w:t>
      </w:r>
    </w:p>
    <w:p w:rsidR="00972129" w:rsidRPr="00975E6B" w:rsidRDefault="00972129" w:rsidP="00F26328">
      <w:pPr>
        <w:numPr>
          <w:ilvl w:val="0"/>
          <w:numId w:val="62"/>
        </w:numPr>
        <w:spacing w:before="120" w:after="120" w:line="280" w:lineRule="atLeast"/>
        <w:jc w:val="both"/>
        <w:rPr>
          <w:szCs w:val="22"/>
        </w:rPr>
      </w:pPr>
      <w:r w:rsidRPr="00975E6B">
        <w:rPr>
          <w:szCs w:val="22"/>
        </w:rPr>
        <w:t>Ballina District Hospital</w:t>
      </w:r>
    </w:p>
    <w:p w:rsidR="00972129" w:rsidRPr="00975E6B" w:rsidRDefault="00972129" w:rsidP="00F26328">
      <w:pPr>
        <w:numPr>
          <w:ilvl w:val="0"/>
          <w:numId w:val="62"/>
        </w:numPr>
        <w:spacing w:before="120" w:after="120" w:line="280" w:lineRule="atLeast"/>
        <w:jc w:val="both"/>
        <w:rPr>
          <w:szCs w:val="22"/>
        </w:rPr>
      </w:pPr>
      <w:r w:rsidRPr="00975E6B">
        <w:rPr>
          <w:szCs w:val="22"/>
        </w:rPr>
        <w:t>Byron Central Hospital Development</w:t>
      </w:r>
    </w:p>
    <w:p w:rsidR="00972129" w:rsidRPr="00975E6B" w:rsidRDefault="00972129" w:rsidP="00F26328">
      <w:pPr>
        <w:numPr>
          <w:ilvl w:val="0"/>
          <w:numId w:val="62"/>
        </w:numPr>
        <w:spacing w:before="120" w:after="120" w:line="280" w:lineRule="atLeast"/>
        <w:jc w:val="both"/>
        <w:rPr>
          <w:szCs w:val="22"/>
        </w:rPr>
      </w:pPr>
      <w:r w:rsidRPr="00975E6B">
        <w:rPr>
          <w:szCs w:val="22"/>
        </w:rPr>
        <w:t>Bonalbo Hospital</w:t>
      </w:r>
    </w:p>
    <w:p w:rsidR="00972129" w:rsidRPr="00975E6B" w:rsidRDefault="00972129" w:rsidP="00F26328">
      <w:pPr>
        <w:numPr>
          <w:ilvl w:val="0"/>
          <w:numId w:val="62"/>
        </w:numPr>
        <w:spacing w:before="120" w:after="120" w:line="280" w:lineRule="atLeast"/>
        <w:jc w:val="both"/>
        <w:rPr>
          <w:szCs w:val="22"/>
        </w:rPr>
      </w:pPr>
      <w:r w:rsidRPr="00975E6B">
        <w:rPr>
          <w:szCs w:val="22"/>
        </w:rPr>
        <w:t>Byron District Hospital</w:t>
      </w:r>
    </w:p>
    <w:p w:rsidR="00972129" w:rsidRPr="00975E6B" w:rsidRDefault="00972129" w:rsidP="00F26328">
      <w:pPr>
        <w:numPr>
          <w:ilvl w:val="0"/>
          <w:numId w:val="62"/>
        </w:numPr>
        <w:spacing w:before="120" w:after="120" w:line="280" w:lineRule="atLeast"/>
        <w:jc w:val="both"/>
        <w:rPr>
          <w:szCs w:val="22"/>
        </w:rPr>
      </w:pPr>
      <w:r w:rsidRPr="00975E6B">
        <w:rPr>
          <w:szCs w:val="22"/>
        </w:rPr>
        <w:t>Casino &amp; District Memorial Hospital</w:t>
      </w:r>
    </w:p>
    <w:p w:rsidR="00972129" w:rsidRPr="00975E6B" w:rsidRDefault="00972129" w:rsidP="00F26328">
      <w:pPr>
        <w:numPr>
          <w:ilvl w:val="0"/>
          <w:numId w:val="62"/>
        </w:numPr>
        <w:spacing w:before="120" w:after="120" w:line="280" w:lineRule="atLeast"/>
        <w:jc w:val="both"/>
        <w:rPr>
          <w:szCs w:val="22"/>
        </w:rPr>
      </w:pPr>
      <w:r w:rsidRPr="00975E6B">
        <w:rPr>
          <w:szCs w:val="22"/>
        </w:rPr>
        <w:t>Grafton Base Hospital</w:t>
      </w:r>
    </w:p>
    <w:p w:rsidR="00972129" w:rsidRPr="00975E6B" w:rsidRDefault="00972129" w:rsidP="00F26328">
      <w:pPr>
        <w:numPr>
          <w:ilvl w:val="0"/>
          <w:numId w:val="62"/>
        </w:numPr>
        <w:spacing w:before="120" w:after="120" w:line="280" w:lineRule="atLeast"/>
        <w:jc w:val="both"/>
        <w:rPr>
          <w:szCs w:val="22"/>
        </w:rPr>
      </w:pPr>
      <w:r w:rsidRPr="00975E6B">
        <w:rPr>
          <w:szCs w:val="22"/>
        </w:rPr>
        <w:t>Kyogle Memorial Hospital</w:t>
      </w:r>
    </w:p>
    <w:p w:rsidR="00972129" w:rsidRPr="00975E6B" w:rsidRDefault="00972129" w:rsidP="00F26328">
      <w:pPr>
        <w:numPr>
          <w:ilvl w:val="0"/>
          <w:numId w:val="62"/>
        </w:numPr>
        <w:spacing w:before="120" w:after="120" w:line="280" w:lineRule="atLeast"/>
        <w:jc w:val="both"/>
        <w:rPr>
          <w:szCs w:val="22"/>
        </w:rPr>
      </w:pPr>
      <w:r w:rsidRPr="00975E6B">
        <w:rPr>
          <w:szCs w:val="22"/>
        </w:rPr>
        <w:t>Lismore Base Hospital</w:t>
      </w:r>
    </w:p>
    <w:p w:rsidR="00972129" w:rsidRPr="00975E6B" w:rsidRDefault="00972129" w:rsidP="00F26328">
      <w:pPr>
        <w:numPr>
          <w:ilvl w:val="0"/>
          <w:numId w:val="62"/>
        </w:numPr>
        <w:spacing w:before="120" w:after="120" w:line="280" w:lineRule="atLeast"/>
        <w:jc w:val="both"/>
        <w:rPr>
          <w:szCs w:val="22"/>
        </w:rPr>
      </w:pPr>
      <w:r w:rsidRPr="00975E6B">
        <w:rPr>
          <w:szCs w:val="22"/>
        </w:rPr>
        <w:t>Maclean District Hospital</w:t>
      </w:r>
    </w:p>
    <w:p w:rsidR="00972129" w:rsidRPr="00975E6B" w:rsidRDefault="00972129" w:rsidP="00F26328">
      <w:pPr>
        <w:numPr>
          <w:ilvl w:val="0"/>
          <w:numId w:val="62"/>
        </w:numPr>
        <w:spacing w:before="120" w:after="120" w:line="280" w:lineRule="atLeast"/>
        <w:jc w:val="both"/>
        <w:rPr>
          <w:szCs w:val="22"/>
        </w:rPr>
      </w:pPr>
      <w:r w:rsidRPr="00975E6B">
        <w:rPr>
          <w:szCs w:val="22"/>
        </w:rPr>
        <w:t>Mullumbimby War Memorial Hospital</w:t>
      </w:r>
    </w:p>
    <w:p w:rsidR="00972129" w:rsidRPr="00975E6B" w:rsidRDefault="00972129" w:rsidP="00F26328">
      <w:pPr>
        <w:numPr>
          <w:ilvl w:val="0"/>
          <w:numId w:val="62"/>
        </w:numPr>
        <w:spacing w:before="120" w:after="120" w:line="280" w:lineRule="atLeast"/>
        <w:jc w:val="both"/>
        <w:rPr>
          <w:szCs w:val="22"/>
        </w:rPr>
      </w:pPr>
      <w:r w:rsidRPr="00975E6B">
        <w:rPr>
          <w:szCs w:val="22"/>
        </w:rPr>
        <w:t>Murwillumbah District Hospital</w:t>
      </w:r>
    </w:p>
    <w:p w:rsidR="00972129" w:rsidRPr="00975E6B" w:rsidRDefault="00972129" w:rsidP="00F26328">
      <w:pPr>
        <w:numPr>
          <w:ilvl w:val="0"/>
          <w:numId w:val="62"/>
        </w:numPr>
        <w:spacing w:before="120" w:after="120" w:line="280" w:lineRule="atLeast"/>
        <w:jc w:val="both"/>
        <w:rPr>
          <w:szCs w:val="22"/>
        </w:rPr>
      </w:pPr>
      <w:r w:rsidRPr="00975E6B">
        <w:rPr>
          <w:szCs w:val="22"/>
        </w:rPr>
        <w:t>Nimbin Multi-Purpose Centre</w:t>
      </w:r>
    </w:p>
    <w:p w:rsidR="00972129" w:rsidRPr="00975E6B" w:rsidRDefault="00972129" w:rsidP="00F26328">
      <w:pPr>
        <w:numPr>
          <w:ilvl w:val="0"/>
          <w:numId w:val="62"/>
        </w:numPr>
        <w:spacing w:before="120" w:after="120" w:line="280" w:lineRule="atLeast"/>
        <w:jc w:val="both"/>
        <w:rPr>
          <w:szCs w:val="22"/>
        </w:rPr>
      </w:pPr>
      <w:r w:rsidRPr="00975E6B">
        <w:rPr>
          <w:szCs w:val="22"/>
        </w:rPr>
        <w:t>The Tweed Hospital</w:t>
      </w:r>
    </w:p>
    <w:p w:rsidR="00972129" w:rsidRPr="00975E6B" w:rsidRDefault="00972129" w:rsidP="00F26328">
      <w:pPr>
        <w:numPr>
          <w:ilvl w:val="0"/>
          <w:numId w:val="62"/>
        </w:numPr>
        <w:spacing w:before="120" w:after="120" w:line="280" w:lineRule="atLeast"/>
        <w:jc w:val="both"/>
        <w:rPr>
          <w:szCs w:val="22"/>
        </w:rPr>
      </w:pPr>
      <w:r w:rsidRPr="00975E6B">
        <w:rPr>
          <w:szCs w:val="22"/>
        </w:rPr>
        <w:t>Urbenville Rural Hospital.</w:t>
      </w:r>
      <w:r w:rsidRPr="00975E6B">
        <w:rPr>
          <w:szCs w:val="22"/>
          <w:vertAlign w:val="superscript"/>
        </w:rPr>
        <w:footnoteReference w:id="3"/>
      </w:r>
    </w:p>
    <w:p w:rsidR="00972129" w:rsidRPr="00975E6B" w:rsidRDefault="00972129" w:rsidP="003B387A">
      <w:pPr>
        <w:pStyle w:val="Heading3"/>
        <w:numPr>
          <w:ilvl w:val="2"/>
          <w:numId w:val="77"/>
        </w:numPr>
      </w:pPr>
      <w:r w:rsidRPr="00F76EBA">
        <w:t>Financial</w:t>
      </w:r>
      <w:r w:rsidRPr="00975E6B">
        <w:t xml:space="preserve"> data</w:t>
      </w:r>
    </w:p>
    <w:p w:rsidR="00972129" w:rsidRPr="00975E6B" w:rsidRDefault="00972129" w:rsidP="00972129">
      <w:pPr>
        <w:spacing w:before="120" w:after="120" w:line="280" w:lineRule="atLeast"/>
        <w:jc w:val="both"/>
        <w:rPr>
          <w:szCs w:val="22"/>
        </w:rPr>
      </w:pPr>
      <w:r w:rsidRPr="00975E6B">
        <w:rPr>
          <w:szCs w:val="22"/>
        </w:rPr>
        <w:t xml:space="preserve">For the Round 18 IFR, representatives from NSW Health completed the IFR templates and participated in consultations during the review. </w:t>
      </w:r>
    </w:p>
    <w:p w:rsidR="00972129" w:rsidRPr="00975E6B" w:rsidRDefault="00972129" w:rsidP="00972129">
      <w:pPr>
        <w:spacing w:before="120" w:after="120" w:line="280" w:lineRule="atLeast"/>
        <w:jc w:val="both"/>
        <w:rPr>
          <w:szCs w:val="22"/>
        </w:rPr>
      </w:pPr>
      <w:r w:rsidRPr="00975E6B">
        <w:rPr>
          <w:szCs w:val="22"/>
        </w:rPr>
        <w:fldChar w:fldCharType="begin"/>
      </w:r>
      <w:r w:rsidRPr="00975E6B">
        <w:rPr>
          <w:szCs w:val="22"/>
        </w:rPr>
        <w:instrText xml:space="preserve"> REF _Ref433227623 \h </w:instrText>
      </w:r>
      <w:r w:rsidR="00851875" w:rsidRPr="00975E6B">
        <w:rPr>
          <w:szCs w:val="22"/>
        </w:rPr>
        <w:instrText xml:space="preserve"> \* MERGEFORMAT </w:instrText>
      </w:r>
      <w:r w:rsidRPr="00975E6B">
        <w:rPr>
          <w:szCs w:val="22"/>
        </w:rPr>
      </w:r>
      <w:r w:rsidRPr="00975E6B">
        <w:rPr>
          <w:szCs w:val="22"/>
        </w:rPr>
        <w:fldChar w:fldCharType="separate"/>
      </w:r>
      <w:r w:rsidR="00154CF7" w:rsidRPr="00154CF7">
        <w:rPr>
          <w:bCs/>
        </w:rPr>
        <w:t xml:space="preserve">Table </w:t>
      </w:r>
      <w:r w:rsidR="00154CF7" w:rsidRPr="00154CF7">
        <w:rPr>
          <w:bCs/>
          <w:noProof/>
        </w:rPr>
        <w:t>18</w:t>
      </w:r>
      <w:r w:rsidRPr="00975E6B">
        <w:rPr>
          <w:szCs w:val="22"/>
        </w:rPr>
        <w:fldChar w:fldCharType="end"/>
      </w:r>
      <w:r w:rsidRPr="00975E6B">
        <w:rPr>
          <w:szCs w:val="22"/>
        </w:rPr>
        <w:t xml:space="preserve"> presents a summary of Northern NSW LHD costs, commencing with extraction of the GL through to the final NHCDC costs for the hospital for Round 18.</w:t>
      </w:r>
    </w:p>
    <w:p w:rsidR="00972129" w:rsidRPr="00975E6B" w:rsidRDefault="00972129" w:rsidP="00972129">
      <w:pPr>
        <w:spacing w:before="120" w:after="120" w:line="280" w:lineRule="atLeast"/>
        <w:jc w:val="both"/>
        <w:rPr>
          <w:szCs w:val="22"/>
        </w:rPr>
        <w:sectPr w:rsidR="00972129" w:rsidRPr="00975E6B" w:rsidSect="00835E8A">
          <w:endnotePr>
            <w:numFmt w:val="decimal"/>
          </w:endnotePr>
          <w:pgSz w:w="11907" w:h="16840" w:code="9"/>
          <w:pgMar w:top="1964" w:right="1474" w:bottom="1588" w:left="1474" w:header="958" w:footer="737" w:gutter="454"/>
          <w:cols w:space="720"/>
          <w:docGrid w:linePitch="272"/>
        </w:sectPr>
      </w:pPr>
    </w:p>
    <w:p w:rsidR="00972129" w:rsidRPr="00975E6B" w:rsidRDefault="00972129" w:rsidP="00972129">
      <w:pPr>
        <w:keepNext/>
        <w:spacing w:before="120" w:after="120"/>
        <w:rPr>
          <w:bCs/>
          <w:i/>
        </w:rPr>
      </w:pPr>
      <w:bookmarkStart w:id="692" w:name="_Ref433227623"/>
      <w:r w:rsidRPr="00975E6B">
        <w:rPr>
          <w:bCs/>
          <w:i/>
        </w:rPr>
        <w:lastRenderedPageBreak/>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18</w:t>
      </w:r>
      <w:r w:rsidRPr="00975E6B">
        <w:rPr>
          <w:bCs/>
          <w:i/>
          <w:noProof/>
        </w:rPr>
        <w:fldChar w:fldCharType="end"/>
      </w:r>
      <w:bookmarkEnd w:id="692"/>
      <w:r w:rsidRPr="00975E6B">
        <w:rPr>
          <w:bCs/>
          <w:i/>
        </w:rPr>
        <w:t xml:space="preserve"> – </w:t>
      </w:r>
      <w:proofErr w:type="gramStart"/>
      <w:r w:rsidRPr="00975E6B">
        <w:rPr>
          <w:bCs/>
          <w:i/>
        </w:rPr>
        <w:t>Round 18 NHCDC Reconciliation – Northern NSW LHD</w:t>
      </w:r>
      <w:proofErr w:type="gramEnd"/>
      <w:r w:rsidRPr="00975E6B">
        <w:rPr>
          <w:bCs/>
          <w:i/>
        </w:rPr>
        <w:t xml:space="preserve"> </w:t>
      </w:r>
    </w:p>
    <w:p w:rsidR="00972129" w:rsidRPr="00975E6B" w:rsidRDefault="007939A0" w:rsidP="00972129">
      <w:pPr>
        <w:spacing w:before="120" w:after="120" w:line="280" w:lineRule="atLeast"/>
        <w:jc w:val="both"/>
        <w:rPr>
          <w:szCs w:val="22"/>
        </w:rPr>
      </w:pPr>
      <w:r>
        <w:rPr>
          <w:noProof/>
          <w:szCs w:val="22"/>
          <w:lang w:eastAsia="en-AU"/>
        </w:rPr>
        <w:drawing>
          <wp:inline distT="0" distB="0" distL="0" distR="0" wp14:anchorId="36AC356D" wp14:editId="078A553E">
            <wp:extent cx="8448675" cy="3272155"/>
            <wp:effectExtent l="0" t="0" r="9525" b="4445"/>
            <wp:docPr id="61" name="Picture 8" descr="This table presents the financial reconciliation of hospital expenditure for Round 18 for Northern NSW LHD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 title="Table 18 - Round 18 NHCDC Reconciliation - Northern NSW LH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his table presents the financial reconciliation of hospital expenditure for Round 18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8448675" cy="3272155"/>
                    </a:xfrm>
                    <a:prstGeom prst="rect">
                      <a:avLst/>
                    </a:prstGeom>
                    <a:noFill/>
                    <a:ln>
                      <a:noFill/>
                    </a:ln>
                  </pic:spPr>
                </pic:pic>
              </a:graphicData>
            </a:graphic>
          </wp:inline>
        </w:drawing>
      </w:r>
    </w:p>
    <w:p w:rsidR="00972129" w:rsidRPr="00975E6B" w:rsidRDefault="00972129" w:rsidP="00972129">
      <w:pPr>
        <w:rPr>
          <w:bCs/>
          <w:i/>
          <w:sz w:val="16"/>
          <w:szCs w:val="16"/>
        </w:rPr>
      </w:pPr>
      <w:r w:rsidRPr="00975E6B">
        <w:rPr>
          <w:bCs/>
          <w:i/>
          <w:sz w:val="16"/>
          <w:szCs w:val="16"/>
        </w:rPr>
        <w:t xml:space="preserve">Source: KPMG based on data supplied by LHD, jurisdiction and IHPA </w:t>
      </w:r>
    </w:p>
    <w:p w:rsidR="00972129" w:rsidRPr="00975E6B" w:rsidRDefault="00972129" w:rsidP="00972129">
      <w:pPr>
        <w:rPr>
          <w:bCs/>
          <w:i/>
          <w:sz w:val="16"/>
          <w:szCs w:val="16"/>
        </w:rPr>
      </w:pPr>
      <w:r w:rsidRPr="00975E6B">
        <w:rPr>
          <w:bCs/>
          <w:i/>
          <w:sz w:val="16"/>
          <w:szCs w:val="16"/>
        </w:rPr>
        <w:t>* These figures include admitted emergency costs.</w:t>
      </w:r>
    </w:p>
    <w:p w:rsidR="00972129" w:rsidRPr="00975E6B" w:rsidRDefault="00972129" w:rsidP="00972129">
      <w:pPr>
        <w:sectPr w:rsidR="00972129" w:rsidRPr="00975E6B" w:rsidSect="00835E8A">
          <w:endnotePr>
            <w:numFmt w:val="decimal"/>
          </w:endnotePr>
          <w:pgSz w:w="16840" w:h="11907" w:orient="landscape" w:code="9"/>
          <w:pgMar w:top="1474" w:right="1964" w:bottom="1474" w:left="1588" w:header="958" w:footer="737" w:gutter="454"/>
          <w:cols w:space="720"/>
          <w:docGrid w:linePitch="272"/>
        </w:sectPr>
      </w:pPr>
    </w:p>
    <w:p w:rsidR="00972129" w:rsidRPr="00975E6B" w:rsidRDefault="00972129" w:rsidP="007C525F">
      <w:pPr>
        <w:pStyle w:val="Heading4"/>
        <w:numPr>
          <w:ilvl w:val="0"/>
          <w:numId w:val="0"/>
        </w:numPr>
        <w:ind w:left="720" w:hanging="720"/>
      </w:pPr>
      <w:r w:rsidRPr="00975E6B">
        <w:lastRenderedPageBreak/>
        <w:t xml:space="preserve">Explanation </w:t>
      </w:r>
      <w:r w:rsidRPr="007C525F">
        <w:t>of</w:t>
      </w:r>
      <w:r w:rsidRPr="00975E6B">
        <w:t xml:space="preserve"> reconciliation items</w:t>
      </w:r>
    </w:p>
    <w:p w:rsidR="00972129" w:rsidRPr="00975E6B" w:rsidRDefault="00972129" w:rsidP="00972129">
      <w:pPr>
        <w:spacing w:before="120" w:after="120" w:line="280" w:lineRule="atLeast"/>
        <w:jc w:val="both"/>
        <w:rPr>
          <w:szCs w:val="22"/>
        </w:rPr>
      </w:pPr>
      <w:r w:rsidRPr="00975E6B">
        <w:rPr>
          <w:szCs w:val="22"/>
        </w:rPr>
        <w:fldChar w:fldCharType="begin"/>
      </w:r>
      <w:r w:rsidRPr="00975E6B">
        <w:rPr>
          <w:szCs w:val="22"/>
        </w:rPr>
        <w:instrText xml:space="preserve"> REF _Ref434491711 \h </w:instrText>
      </w:r>
      <w:r w:rsidR="00851875" w:rsidRPr="00975E6B">
        <w:rPr>
          <w:szCs w:val="22"/>
        </w:rPr>
        <w:instrText xml:space="preserve"> \* MERGEFORMAT </w:instrText>
      </w:r>
      <w:r w:rsidRPr="00975E6B">
        <w:rPr>
          <w:szCs w:val="22"/>
        </w:rPr>
      </w:r>
      <w:r w:rsidRPr="00975E6B">
        <w:rPr>
          <w:szCs w:val="22"/>
        </w:rPr>
        <w:fldChar w:fldCharType="separate"/>
      </w:r>
      <w:r w:rsidR="00154CF7" w:rsidRPr="00154CF7">
        <w:rPr>
          <w:bCs/>
        </w:rPr>
        <w:t xml:space="preserve">Table </w:t>
      </w:r>
      <w:r w:rsidR="00154CF7" w:rsidRPr="00154CF7">
        <w:rPr>
          <w:bCs/>
          <w:noProof/>
        </w:rPr>
        <w:t>19</w:t>
      </w:r>
      <w:r w:rsidRPr="00975E6B">
        <w:rPr>
          <w:szCs w:val="22"/>
        </w:rPr>
        <w:fldChar w:fldCharType="end"/>
      </w:r>
      <w:r w:rsidRPr="00975E6B">
        <w:rPr>
          <w:szCs w:val="22"/>
        </w:rPr>
        <w:t xml:space="preserve"> discusses each of the reconciliation items including adjustments, inclusions and exclusions to the </w:t>
      </w:r>
      <w:r w:rsidR="00851875" w:rsidRPr="00975E6B">
        <w:rPr>
          <w:szCs w:val="22"/>
        </w:rPr>
        <w:t>GL</w:t>
      </w:r>
      <w:r w:rsidRPr="00975E6B">
        <w:rPr>
          <w:szCs w:val="22"/>
        </w:rPr>
        <w:t>.</w:t>
      </w:r>
    </w:p>
    <w:p w:rsidR="00972129" w:rsidRPr="00975E6B" w:rsidRDefault="00972129" w:rsidP="00972129">
      <w:pPr>
        <w:keepNext/>
        <w:spacing w:before="120" w:after="120"/>
        <w:rPr>
          <w:bCs/>
          <w:i/>
        </w:rPr>
      </w:pPr>
      <w:bookmarkStart w:id="693" w:name="_Ref434491711"/>
      <w:r w:rsidRPr="00975E6B">
        <w:rPr>
          <w:bCs/>
          <w:i/>
        </w:rPr>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19</w:t>
      </w:r>
      <w:r w:rsidRPr="00975E6B">
        <w:rPr>
          <w:bCs/>
          <w:i/>
          <w:noProof/>
        </w:rPr>
        <w:fldChar w:fldCharType="end"/>
      </w:r>
      <w:bookmarkEnd w:id="693"/>
      <w:r w:rsidRPr="00975E6B">
        <w:rPr>
          <w:bCs/>
          <w:i/>
        </w:rPr>
        <w:t xml:space="preserve"> – Financial Reconciliation, explanation of items – Northern NSW LHD</w:t>
      </w:r>
      <w:r w:rsidR="00BA3F4B" w:rsidRPr="00975E6B">
        <w:rPr>
          <w:bCs/>
          <w:i/>
        </w:rPr>
        <w:t xml:space="preserve"> </w:t>
      </w:r>
    </w:p>
    <w:tbl>
      <w:tblPr>
        <w:tblStyle w:val="ListTable4-Accent11"/>
        <w:tblW w:w="5000" w:type="pct"/>
        <w:tblLayout w:type="fixed"/>
        <w:tblLook w:val="0620" w:firstRow="1" w:lastRow="0" w:firstColumn="0" w:lastColumn="0" w:noHBand="1" w:noVBand="1"/>
        <w:tblCaption w:val="Table 19 - Financial reconciliation, explanation of items - Northern NSW LHD"/>
        <w:tblDescription w:val="This table describes the information presented in Table 18.  The first column is the item number (A to K), the second column is the title of the item number and the third column is a description of the financial information included at that item.&#10;"/>
      </w:tblPr>
      <w:tblGrid>
        <w:gridCol w:w="722"/>
        <w:gridCol w:w="2622"/>
        <w:gridCol w:w="5377"/>
      </w:tblGrid>
      <w:tr w:rsidR="00972129"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14" w:type="pct"/>
            <w:tcBorders>
              <w:right w:val="single" w:sz="4" w:space="0" w:color="548DD4" w:themeColor="text2" w:themeTint="99"/>
            </w:tcBorders>
            <w:shd w:val="clear" w:color="auto" w:fill="002060"/>
            <w:noWrap/>
          </w:tcPr>
          <w:p w:rsidR="00972129" w:rsidRPr="00975E6B" w:rsidRDefault="00972129" w:rsidP="00972129">
            <w:r w:rsidRPr="00975E6B">
              <w:t>Item</w:t>
            </w:r>
          </w:p>
        </w:tc>
        <w:tc>
          <w:tcPr>
            <w:tcW w:w="1503" w:type="pct"/>
            <w:tcBorders>
              <w:left w:val="single" w:sz="4" w:space="0" w:color="548DD4" w:themeColor="text2" w:themeTint="99"/>
            </w:tcBorders>
            <w:shd w:val="clear" w:color="auto" w:fill="002060"/>
          </w:tcPr>
          <w:p w:rsidR="00972129" w:rsidRPr="00975E6B" w:rsidRDefault="00972129" w:rsidP="00972129">
            <w:r w:rsidRPr="00975E6B">
              <w:t>Heading</w:t>
            </w:r>
          </w:p>
        </w:tc>
        <w:tc>
          <w:tcPr>
            <w:tcW w:w="3083" w:type="pct"/>
            <w:tcBorders>
              <w:left w:val="single" w:sz="4" w:space="0" w:color="548DD4" w:themeColor="text2" w:themeTint="99"/>
            </w:tcBorders>
            <w:shd w:val="clear" w:color="auto" w:fill="002060"/>
          </w:tcPr>
          <w:p w:rsidR="00972129" w:rsidRPr="00975E6B" w:rsidRDefault="00972129" w:rsidP="00972129">
            <w:r w:rsidRPr="00975E6B">
              <w:t>Discussion</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A</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General Ledger</w:t>
            </w:r>
          </w:p>
        </w:tc>
        <w:tc>
          <w:tcPr>
            <w:tcW w:w="3083"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The final GL extracted from NSW financial systems indicates expenditure for the Northern NSW LHD was $665.5 million.</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B</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Adjustments to the GL</w:t>
            </w:r>
          </w:p>
        </w:tc>
        <w:tc>
          <w:tcPr>
            <w:tcW w:w="3083"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 xml:space="preserve">A number of adjustments are made to the GL. </w:t>
            </w:r>
            <w:r w:rsidR="00E97BCD" w:rsidRPr="00E97BCD">
              <w:rPr>
                <w:szCs w:val="22"/>
              </w:rPr>
              <w:t>Expenditure for NGO coordination, Mental Health and Renal service management and salary packaging services hosted for other LHDs are excluded base</w:t>
            </w:r>
            <w:r w:rsidR="00E97BCD">
              <w:rPr>
                <w:szCs w:val="22"/>
              </w:rPr>
              <w:t xml:space="preserve"> on an agreed percentage split. </w:t>
            </w:r>
            <w:r w:rsidRPr="00975E6B">
              <w:rPr>
                <w:szCs w:val="22"/>
              </w:rPr>
              <w:t>Combined, this excluded expenditure totals $1,657.</w:t>
            </w:r>
          </w:p>
          <w:p w:rsidR="00972129" w:rsidRPr="00975E6B" w:rsidRDefault="00972129" w:rsidP="00972129">
            <w:pPr>
              <w:spacing w:before="120" w:after="120" w:line="280" w:lineRule="atLeast"/>
              <w:jc w:val="both"/>
              <w:rPr>
                <w:szCs w:val="22"/>
              </w:rPr>
            </w:pPr>
            <w:r w:rsidRPr="00975E6B">
              <w:rPr>
                <w:szCs w:val="22"/>
              </w:rPr>
              <w:t>Expenditures included relate to medical indemnity insurance which is held by NSW Health and is not included in the LHD GL. Expenditure included totals $10.7 million.</w:t>
            </w:r>
          </w:p>
          <w:p w:rsidR="00972129" w:rsidRPr="00975E6B" w:rsidRDefault="00972129" w:rsidP="00972129">
            <w:pPr>
              <w:spacing w:before="120" w:after="120" w:line="280" w:lineRule="atLeast"/>
              <w:jc w:val="both"/>
              <w:rPr>
                <w:szCs w:val="22"/>
              </w:rPr>
            </w:pPr>
            <w:r w:rsidRPr="00975E6B">
              <w:rPr>
                <w:szCs w:val="22"/>
              </w:rPr>
              <w:t xml:space="preserve">These adjustments established an expenditure base for costing of $676.2 million. This was approximately 102 percent of total expenditure reported in the </w:t>
            </w:r>
            <w:r w:rsidR="00851875" w:rsidRPr="00975E6B">
              <w:rPr>
                <w:szCs w:val="22"/>
              </w:rPr>
              <w:t>GL</w:t>
            </w:r>
            <w:r w:rsidRPr="00975E6B">
              <w:rPr>
                <w:szCs w:val="22"/>
              </w:rPr>
              <w:t>.</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C</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Allocation of Costs</w:t>
            </w:r>
          </w:p>
        </w:tc>
        <w:tc>
          <w:tcPr>
            <w:tcW w:w="3083"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 xml:space="preserve">The LHD undertakes a process of reclass/transfers etc. between direct cost centres. The net effect of these reclass/transfers </w:t>
            </w:r>
            <w:r w:rsidR="00774BC8" w:rsidRPr="00975E6B">
              <w:rPr>
                <w:szCs w:val="22"/>
              </w:rPr>
              <w:t xml:space="preserve">was </w:t>
            </w:r>
            <w:r w:rsidRPr="00975E6B">
              <w:rPr>
                <w:szCs w:val="22"/>
              </w:rPr>
              <w:t>zero. Reclass/transfers are determined based on discussion with cost centre managers.</w:t>
            </w:r>
          </w:p>
          <w:p w:rsidR="00972129" w:rsidRPr="00975E6B" w:rsidRDefault="00972129" w:rsidP="00F26328">
            <w:pPr>
              <w:numPr>
                <w:ilvl w:val="0"/>
                <w:numId w:val="38"/>
              </w:numPr>
              <w:spacing w:before="120" w:after="120" w:line="280" w:lineRule="atLeast"/>
              <w:jc w:val="both"/>
              <w:rPr>
                <w:szCs w:val="22"/>
              </w:rPr>
            </w:pPr>
            <w:r w:rsidRPr="00975E6B">
              <w:rPr>
                <w:szCs w:val="22"/>
              </w:rPr>
              <w:t>It was observed that the total of all direct cost centres of $516.8 million was allocated pre and post allocation.</w:t>
            </w:r>
          </w:p>
          <w:p w:rsidR="00972129" w:rsidRPr="00975E6B" w:rsidRDefault="00972129" w:rsidP="00F26328">
            <w:pPr>
              <w:numPr>
                <w:ilvl w:val="0"/>
                <w:numId w:val="60"/>
              </w:numPr>
              <w:spacing w:before="120" w:after="120" w:line="280" w:lineRule="atLeast"/>
              <w:jc w:val="both"/>
              <w:rPr>
                <w:szCs w:val="22"/>
              </w:rPr>
            </w:pPr>
            <w:r w:rsidRPr="00975E6B">
              <w:rPr>
                <w:szCs w:val="22"/>
              </w:rPr>
              <w:t>It was observed through the template that all overheads of $159.4 million were allocated to direct cost centres, pre and post allocation.</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D</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Post Allocation Adjustments</w:t>
            </w:r>
          </w:p>
        </w:tc>
        <w:tc>
          <w:tcPr>
            <w:tcW w:w="3083"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No post allocation adjustments at the LHD level were reported. It was observed through the template that direct care costs of $516.8 million and overhead costs of $159.4 million reconcile to the expenditure base for costing of $676.2 million.</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E</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Costed Products Submitted to jurisdiction</w:t>
            </w:r>
          </w:p>
        </w:tc>
        <w:tc>
          <w:tcPr>
            <w:tcW w:w="3083" w:type="pct"/>
            <w:tcBorders>
              <w:left w:val="single" w:sz="4" w:space="0" w:color="548DD4" w:themeColor="text2" w:themeTint="99"/>
            </w:tcBorders>
          </w:tcPr>
          <w:p w:rsidR="00972129" w:rsidRPr="00975E6B" w:rsidRDefault="00972129">
            <w:pPr>
              <w:spacing w:before="120" w:after="120" w:line="280" w:lineRule="atLeast"/>
              <w:jc w:val="both"/>
              <w:rPr>
                <w:szCs w:val="22"/>
              </w:rPr>
            </w:pPr>
            <w:r w:rsidRPr="00975E6B">
              <w:rPr>
                <w:szCs w:val="22"/>
              </w:rPr>
              <w:t xml:space="preserve">Costs derived by the jurisdiction and reported at product level reconcile to $676.2 million. The LHD included </w:t>
            </w:r>
            <w:r w:rsidR="00E7664C" w:rsidRPr="00975E6B">
              <w:rPr>
                <w:szCs w:val="22"/>
              </w:rPr>
              <w:t>acute</w:t>
            </w:r>
            <w:r w:rsidRPr="00975E6B">
              <w:rPr>
                <w:szCs w:val="22"/>
              </w:rPr>
              <w:t xml:space="preserve">, </w:t>
            </w:r>
            <w:r w:rsidR="00E7664C" w:rsidRPr="00975E6B">
              <w:rPr>
                <w:szCs w:val="22"/>
              </w:rPr>
              <w:lastRenderedPageBreak/>
              <w:t>non</w:t>
            </w:r>
            <w:r w:rsidR="009079A4" w:rsidRPr="00975E6B">
              <w:rPr>
                <w:szCs w:val="22"/>
              </w:rPr>
              <w:t>-admitted</w:t>
            </w:r>
            <w:r w:rsidRPr="00975E6B">
              <w:rPr>
                <w:szCs w:val="22"/>
              </w:rPr>
              <w:t xml:space="preserve">, </w:t>
            </w:r>
            <w:r w:rsidR="00E7664C" w:rsidRPr="00975E6B">
              <w:rPr>
                <w:szCs w:val="22"/>
              </w:rPr>
              <w:t>emergency</w:t>
            </w:r>
            <w:r w:rsidRPr="00975E6B">
              <w:rPr>
                <w:szCs w:val="22"/>
              </w:rPr>
              <w:t xml:space="preserve">, </w:t>
            </w:r>
            <w:r w:rsidR="00E7664C" w:rsidRPr="00975E6B">
              <w:rPr>
                <w:szCs w:val="22"/>
              </w:rPr>
              <w:t>sub</w:t>
            </w:r>
            <w:r w:rsidRPr="00975E6B">
              <w:rPr>
                <w:szCs w:val="22"/>
              </w:rPr>
              <w:t xml:space="preserve">acute, </w:t>
            </w:r>
            <w:r w:rsidR="00E7664C" w:rsidRPr="00975E6B">
              <w:rPr>
                <w:szCs w:val="22"/>
              </w:rPr>
              <w:t xml:space="preserve">mental health </w:t>
            </w:r>
            <w:r w:rsidRPr="00975E6B">
              <w:rPr>
                <w:szCs w:val="22"/>
              </w:rPr>
              <w:t xml:space="preserve">and </w:t>
            </w:r>
            <w:r w:rsidR="00E7664C" w:rsidRPr="00975E6B">
              <w:rPr>
                <w:szCs w:val="22"/>
              </w:rPr>
              <w:t xml:space="preserve">other </w:t>
            </w:r>
            <w:r w:rsidRPr="00975E6B">
              <w:rPr>
                <w:szCs w:val="22"/>
              </w:rPr>
              <w:t>costed products.</w:t>
            </w:r>
          </w:p>
        </w:tc>
      </w:tr>
      <w:tr w:rsidR="00972129" w:rsidRPr="00975E6B" w:rsidTr="00972129">
        <w:trPr>
          <w:trHeight w:val="285"/>
        </w:trPr>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lastRenderedPageBreak/>
              <w:t>F</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Costed Products received by jurisdiction</w:t>
            </w:r>
          </w:p>
        </w:tc>
        <w:tc>
          <w:tcPr>
            <w:tcW w:w="3083"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No variance was noted between Items E and F.</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G</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Final Adjustments</w:t>
            </w:r>
          </w:p>
        </w:tc>
        <w:tc>
          <w:tcPr>
            <w:tcW w:w="3083"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The jurisdiction makes adjustments to the cost data prior to submission to IHPA. These adjustments related to the inclusion of WIP (including WIP adjustment for the escalation factor), and exclusions of activity data and associated costs as they were considered out of scope for the submission. The total amount of adjustments was $215.9 million. The breakdown of adjustment items included:</w:t>
            </w:r>
          </w:p>
          <w:p w:rsidR="00972129" w:rsidRPr="00975E6B" w:rsidRDefault="00972129" w:rsidP="00F26328">
            <w:pPr>
              <w:numPr>
                <w:ilvl w:val="0"/>
                <w:numId w:val="38"/>
              </w:numPr>
              <w:spacing w:before="120" w:after="120" w:line="280" w:lineRule="atLeast"/>
              <w:jc w:val="both"/>
              <w:rPr>
                <w:szCs w:val="22"/>
              </w:rPr>
            </w:pPr>
            <w:r w:rsidRPr="00975E6B">
              <w:rPr>
                <w:szCs w:val="22"/>
              </w:rPr>
              <w:t>Non ABF Facilities of $134.5 million</w:t>
            </w:r>
          </w:p>
          <w:p w:rsidR="00972129" w:rsidRPr="00975E6B" w:rsidRDefault="00972129" w:rsidP="00F26328">
            <w:pPr>
              <w:numPr>
                <w:ilvl w:val="0"/>
                <w:numId w:val="38"/>
              </w:numPr>
              <w:spacing w:before="120" w:after="120" w:line="280" w:lineRule="atLeast"/>
              <w:jc w:val="both"/>
              <w:rPr>
                <w:szCs w:val="22"/>
              </w:rPr>
            </w:pPr>
            <w:r w:rsidRPr="00975E6B">
              <w:rPr>
                <w:szCs w:val="22"/>
              </w:rPr>
              <w:t>ABF Facility Excluded Encounters of $35.2 million</w:t>
            </w:r>
          </w:p>
          <w:p w:rsidR="00972129" w:rsidRPr="00975E6B" w:rsidRDefault="00972129" w:rsidP="00F26328">
            <w:pPr>
              <w:numPr>
                <w:ilvl w:val="0"/>
                <w:numId w:val="38"/>
              </w:numPr>
              <w:spacing w:before="120" w:after="120" w:line="280" w:lineRule="atLeast"/>
              <w:jc w:val="both"/>
              <w:rPr>
                <w:szCs w:val="22"/>
              </w:rPr>
            </w:pPr>
            <w:r w:rsidRPr="00975E6B">
              <w:rPr>
                <w:szCs w:val="22"/>
              </w:rPr>
              <w:t>ABF Facility Non Patient Level Products of $54.2 million</w:t>
            </w:r>
          </w:p>
          <w:p w:rsidR="00972129" w:rsidRPr="00975E6B" w:rsidRDefault="00972129" w:rsidP="00F26328">
            <w:pPr>
              <w:numPr>
                <w:ilvl w:val="0"/>
                <w:numId w:val="38"/>
              </w:numPr>
              <w:spacing w:before="120" w:after="120" w:line="280" w:lineRule="atLeast"/>
              <w:jc w:val="both"/>
              <w:rPr>
                <w:szCs w:val="22"/>
              </w:rPr>
            </w:pPr>
            <w:r w:rsidRPr="00975E6B">
              <w:rPr>
                <w:szCs w:val="22"/>
              </w:rPr>
              <w:t xml:space="preserve">A WIP escalation amount of $8 million </w:t>
            </w:r>
          </w:p>
          <w:p w:rsidR="00972129" w:rsidRPr="00975E6B" w:rsidRDefault="00972129" w:rsidP="00972129">
            <w:pPr>
              <w:spacing w:before="120" w:after="120" w:line="280" w:lineRule="atLeast"/>
              <w:jc w:val="both"/>
              <w:rPr>
                <w:szCs w:val="22"/>
              </w:rPr>
            </w:pPr>
            <w:r w:rsidRPr="00975E6B">
              <w:rPr>
                <w:szCs w:val="22"/>
              </w:rPr>
              <w:t>The total cost after these adjustments was $460.3 million.</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H</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Costed Products submitted to IHPA</w:t>
            </w:r>
          </w:p>
        </w:tc>
        <w:tc>
          <w:tcPr>
            <w:tcW w:w="3083" w:type="pct"/>
            <w:tcBorders>
              <w:left w:val="single" w:sz="4" w:space="0" w:color="548DD4" w:themeColor="text2" w:themeTint="99"/>
            </w:tcBorders>
          </w:tcPr>
          <w:p w:rsidR="00972129" w:rsidRPr="00975E6B" w:rsidRDefault="00972129">
            <w:pPr>
              <w:spacing w:before="120" w:after="120" w:line="280" w:lineRule="atLeast"/>
              <w:jc w:val="both"/>
              <w:rPr>
                <w:szCs w:val="22"/>
              </w:rPr>
            </w:pPr>
            <w:r w:rsidRPr="00975E6B">
              <w:rPr>
                <w:szCs w:val="22"/>
              </w:rPr>
              <w:t xml:space="preserve">Total costs submitted to IHPA by NSW Health were $460.3 million. NSW Health included </w:t>
            </w:r>
            <w:r w:rsidR="00E7664C" w:rsidRPr="00975E6B">
              <w:rPr>
                <w:szCs w:val="22"/>
              </w:rPr>
              <w:t>acute</w:t>
            </w:r>
            <w:r w:rsidRPr="00975E6B">
              <w:rPr>
                <w:szCs w:val="22"/>
              </w:rPr>
              <w:t xml:space="preserve">, </w:t>
            </w:r>
            <w:r w:rsidR="00E7664C" w:rsidRPr="00975E6B">
              <w:rPr>
                <w:szCs w:val="22"/>
              </w:rPr>
              <w:t>non</w:t>
            </w:r>
            <w:r w:rsidR="009079A4" w:rsidRPr="00975E6B">
              <w:rPr>
                <w:szCs w:val="22"/>
              </w:rPr>
              <w:t>-admitted</w:t>
            </w:r>
            <w:r w:rsidRPr="00975E6B">
              <w:rPr>
                <w:szCs w:val="22"/>
              </w:rPr>
              <w:t xml:space="preserve">, </w:t>
            </w:r>
            <w:r w:rsidR="00E7664C" w:rsidRPr="00975E6B">
              <w:rPr>
                <w:szCs w:val="22"/>
              </w:rPr>
              <w:t>emergency</w:t>
            </w:r>
            <w:r w:rsidRPr="00975E6B">
              <w:rPr>
                <w:szCs w:val="22"/>
              </w:rPr>
              <w:t xml:space="preserve">, </w:t>
            </w:r>
            <w:r w:rsidR="00E7664C" w:rsidRPr="00975E6B">
              <w:rPr>
                <w:szCs w:val="22"/>
              </w:rPr>
              <w:t>sub</w:t>
            </w:r>
            <w:r w:rsidRPr="00975E6B">
              <w:rPr>
                <w:szCs w:val="22"/>
              </w:rPr>
              <w:t xml:space="preserve">acute and </w:t>
            </w:r>
            <w:r w:rsidR="00E7664C" w:rsidRPr="00975E6B">
              <w:rPr>
                <w:szCs w:val="22"/>
              </w:rPr>
              <w:t xml:space="preserve">other </w:t>
            </w:r>
            <w:r w:rsidRPr="00975E6B">
              <w:rPr>
                <w:szCs w:val="22"/>
              </w:rPr>
              <w:t xml:space="preserve">costed products. A minor variance of $6 </w:t>
            </w:r>
            <w:r w:rsidR="00E7664C" w:rsidRPr="00975E6B">
              <w:rPr>
                <w:szCs w:val="22"/>
              </w:rPr>
              <w:t xml:space="preserve">was </w:t>
            </w:r>
            <w:r w:rsidRPr="00975E6B">
              <w:rPr>
                <w:szCs w:val="22"/>
              </w:rPr>
              <w:t>noted between Item G and Item H.</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I</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Total Products received by IHPA</w:t>
            </w:r>
          </w:p>
        </w:tc>
        <w:tc>
          <w:tcPr>
            <w:tcW w:w="3083" w:type="pct"/>
            <w:tcBorders>
              <w:left w:val="single" w:sz="4" w:space="0" w:color="548DD4" w:themeColor="text2" w:themeTint="99"/>
            </w:tcBorders>
          </w:tcPr>
          <w:p w:rsidR="00972129" w:rsidRPr="00975E6B" w:rsidRDefault="00972129">
            <w:pPr>
              <w:spacing w:before="120" w:after="120" w:line="280" w:lineRule="atLeast"/>
              <w:jc w:val="both"/>
              <w:rPr>
                <w:szCs w:val="22"/>
              </w:rPr>
            </w:pPr>
            <w:r w:rsidRPr="00975E6B">
              <w:rPr>
                <w:szCs w:val="22"/>
              </w:rPr>
              <w:t xml:space="preserve">Costed products received by IHPA totalled $460.3 million. There was no variance between costs submitted by the jurisdiction and costs received by IHPA. A minor variance of $1 </w:t>
            </w:r>
            <w:r w:rsidR="00E7664C" w:rsidRPr="00975E6B">
              <w:rPr>
                <w:szCs w:val="22"/>
              </w:rPr>
              <w:t xml:space="preserve">was </w:t>
            </w:r>
            <w:r w:rsidRPr="00975E6B">
              <w:rPr>
                <w:szCs w:val="22"/>
              </w:rPr>
              <w:t>noted between Item H and Item I.</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J</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IHPA Adjustments</w:t>
            </w:r>
          </w:p>
        </w:tc>
        <w:tc>
          <w:tcPr>
            <w:tcW w:w="3083" w:type="pct"/>
            <w:tcBorders>
              <w:left w:val="single" w:sz="4" w:space="0" w:color="548DD4" w:themeColor="text2" w:themeTint="99"/>
            </w:tcBorders>
          </w:tcPr>
          <w:p w:rsidR="00972129" w:rsidRPr="00975E6B" w:rsidRDefault="00972129" w:rsidP="00972129">
            <w:pPr>
              <w:spacing w:before="120" w:after="120" w:line="280" w:lineRule="atLeast"/>
              <w:jc w:val="both"/>
              <w:rPr>
                <w:i/>
                <w:szCs w:val="22"/>
              </w:rPr>
            </w:pPr>
            <w:r w:rsidRPr="00975E6B">
              <w:rPr>
                <w:i/>
                <w:szCs w:val="22"/>
              </w:rPr>
              <w:t>Admitted Emergency</w:t>
            </w:r>
          </w:p>
          <w:p w:rsidR="00972129" w:rsidRPr="00975E6B" w:rsidRDefault="00972129" w:rsidP="00972129">
            <w:pPr>
              <w:spacing w:before="120" w:after="120" w:line="280" w:lineRule="atLeast"/>
              <w:jc w:val="both"/>
              <w:rPr>
                <w:szCs w:val="22"/>
              </w:rPr>
            </w:pPr>
            <w:r w:rsidRPr="00975E6B">
              <w:rPr>
                <w:szCs w:val="22"/>
              </w:rPr>
              <w:t xml:space="preserve">Upon receipt of cost data, IHPA allocates the admitted emergency costs back to admitted patients for the purposes of reporting and analysis. Within IHPA’s reconciliation this amount </w:t>
            </w:r>
            <w:r w:rsidR="00774BC8" w:rsidRPr="00975E6B">
              <w:rPr>
                <w:szCs w:val="22"/>
              </w:rPr>
              <w:t xml:space="preserve">was </w:t>
            </w:r>
            <w:r w:rsidRPr="00975E6B">
              <w:rPr>
                <w:szCs w:val="22"/>
              </w:rPr>
              <w:t>a duplication of admitted emergency costs and not an additional cost. For Northern NSW LHD this amounted to $44.7 million.</w:t>
            </w:r>
          </w:p>
          <w:p w:rsidR="00972129" w:rsidRPr="00975E6B" w:rsidRDefault="00972129" w:rsidP="00972129">
            <w:pPr>
              <w:spacing w:before="120" w:after="120" w:line="280" w:lineRule="atLeast"/>
              <w:jc w:val="both"/>
              <w:rPr>
                <w:i/>
                <w:szCs w:val="22"/>
              </w:rPr>
            </w:pPr>
            <w:r w:rsidRPr="00975E6B">
              <w:rPr>
                <w:i/>
                <w:szCs w:val="22"/>
              </w:rPr>
              <w:t>Unqualified Baby Adjustment</w:t>
            </w:r>
          </w:p>
          <w:p w:rsidR="00972129" w:rsidRPr="00975E6B" w:rsidRDefault="00972129">
            <w:pPr>
              <w:spacing w:before="120" w:after="120" w:line="280" w:lineRule="atLeast"/>
              <w:jc w:val="both"/>
              <w:rPr>
                <w:szCs w:val="22"/>
              </w:rPr>
            </w:pPr>
            <w:r w:rsidRPr="00975E6B">
              <w:rPr>
                <w:szCs w:val="22"/>
              </w:rPr>
              <w:t xml:space="preserve">Upon receipt of cost data, IHPA redistributes the unqualified baby cost to the mother DRG to provide a complete delivery DRG cost. Within IHPAs reconciliation </w:t>
            </w:r>
            <w:r w:rsidRPr="00975E6B">
              <w:rPr>
                <w:szCs w:val="22"/>
              </w:rPr>
              <w:lastRenderedPageBreak/>
              <w:t xml:space="preserve">this </w:t>
            </w:r>
            <w:r w:rsidR="00774BC8" w:rsidRPr="00975E6B">
              <w:rPr>
                <w:szCs w:val="22"/>
              </w:rPr>
              <w:t xml:space="preserve">was </w:t>
            </w:r>
            <w:r w:rsidRPr="00975E6B">
              <w:rPr>
                <w:szCs w:val="22"/>
              </w:rPr>
              <w:t xml:space="preserve">not an additional cost but a movement between patients. </w:t>
            </w:r>
          </w:p>
        </w:tc>
      </w:tr>
      <w:tr w:rsidR="00972129" w:rsidRPr="00975E6B" w:rsidTr="00972129">
        <w:tc>
          <w:tcPr>
            <w:tcW w:w="414"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lastRenderedPageBreak/>
              <w:t>K</w:t>
            </w:r>
          </w:p>
        </w:tc>
        <w:tc>
          <w:tcPr>
            <w:tcW w:w="1503"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Final NHCDC Costed Outputs</w:t>
            </w:r>
          </w:p>
        </w:tc>
        <w:tc>
          <w:tcPr>
            <w:tcW w:w="3083" w:type="pct"/>
            <w:tcBorders>
              <w:left w:val="single" w:sz="4" w:space="0" w:color="548DD4" w:themeColor="text2" w:themeTint="99"/>
            </w:tcBorders>
          </w:tcPr>
          <w:p w:rsidR="00972129" w:rsidRPr="00975E6B" w:rsidRDefault="00972129">
            <w:pPr>
              <w:spacing w:before="120" w:after="120" w:line="280" w:lineRule="atLeast"/>
              <w:jc w:val="both"/>
              <w:rPr>
                <w:szCs w:val="22"/>
              </w:rPr>
            </w:pPr>
            <w:r w:rsidRPr="00975E6B">
              <w:rPr>
                <w:szCs w:val="22"/>
              </w:rPr>
              <w:t xml:space="preserve">The final NHCDC costed data for Northern NSW LHD that was loaded into the National Round 18 cost data set </w:t>
            </w:r>
            <w:r w:rsidR="00774BC8" w:rsidRPr="00975E6B">
              <w:rPr>
                <w:szCs w:val="22"/>
              </w:rPr>
              <w:t xml:space="preserve">was </w:t>
            </w:r>
            <w:r w:rsidRPr="00975E6B">
              <w:rPr>
                <w:szCs w:val="22"/>
              </w:rPr>
              <w:t xml:space="preserve">$505 million which includes the admitted emergency cost of $44.7 million. A minor variance of $3 </w:t>
            </w:r>
            <w:r w:rsidR="00774BC8" w:rsidRPr="00975E6B">
              <w:rPr>
                <w:szCs w:val="22"/>
              </w:rPr>
              <w:t xml:space="preserve">was </w:t>
            </w:r>
            <w:r w:rsidRPr="00975E6B">
              <w:rPr>
                <w:szCs w:val="22"/>
              </w:rPr>
              <w:t>noted between Item J and Item K.</w:t>
            </w:r>
          </w:p>
        </w:tc>
      </w:tr>
    </w:tbl>
    <w:p w:rsidR="00664CB0" w:rsidRPr="00975E6B" w:rsidRDefault="00664CB0" w:rsidP="003D1169">
      <w:pPr>
        <w:rPr>
          <w:bCs/>
          <w:i/>
          <w:sz w:val="16"/>
          <w:szCs w:val="16"/>
        </w:rPr>
      </w:pPr>
      <w:r w:rsidRPr="00975E6B">
        <w:rPr>
          <w:bCs/>
          <w:i/>
          <w:sz w:val="16"/>
          <w:szCs w:val="16"/>
        </w:rPr>
        <w:t>Source: KPMG, based on Northern NSW LHD templates and review discussions</w:t>
      </w:r>
    </w:p>
    <w:p w:rsidR="00972129" w:rsidRPr="00975E6B" w:rsidRDefault="00972129" w:rsidP="003B387A">
      <w:pPr>
        <w:pStyle w:val="Heading3"/>
        <w:numPr>
          <w:ilvl w:val="2"/>
          <w:numId w:val="77"/>
        </w:numPr>
      </w:pPr>
      <w:r w:rsidRPr="007C525F">
        <w:t>Activity</w:t>
      </w:r>
      <w:r w:rsidRPr="00975E6B">
        <w:t xml:space="preserve"> data</w:t>
      </w:r>
    </w:p>
    <w:p w:rsidR="00972129" w:rsidRPr="00975E6B" w:rsidRDefault="00972129" w:rsidP="00972129">
      <w:pPr>
        <w:spacing w:before="120" w:after="120" w:line="280" w:lineRule="atLeast"/>
        <w:jc w:val="both"/>
        <w:rPr>
          <w:szCs w:val="22"/>
        </w:rPr>
      </w:pPr>
      <w:r w:rsidRPr="00975E6B">
        <w:rPr>
          <w:szCs w:val="22"/>
        </w:rPr>
        <w:fldChar w:fldCharType="begin"/>
      </w:r>
      <w:r w:rsidRPr="00975E6B">
        <w:rPr>
          <w:szCs w:val="22"/>
        </w:rPr>
        <w:instrText xml:space="preserve"> REF _Ref433267073 \h </w:instrText>
      </w:r>
      <w:r w:rsidR="007A24FF" w:rsidRPr="00975E6B">
        <w:rPr>
          <w:szCs w:val="22"/>
        </w:rPr>
        <w:instrText xml:space="preserve"> \* MERGEFORMAT </w:instrText>
      </w:r>
      <w:r w:rsidRPr="00975E6B">
        <w:rPr>
          <w:szCs w:val="22"/>
        </w:rPr>
      </w:r>
      <w:r w:rsidRPr="00975E6B">
        <w:rPr>
          <w:szCs w:val="22"/>
        </w:rPr>
        <w:fldChar w:fldCharType="separate"/>
      </w:r>
      <w:r w:rsidR="00154CF7" w:rsidRPr="00154CF7">
        <w:rPr>
          <w:bCs/>
        </w:rPr>
        <w:t xml:space="preserve">Table </w:t>
      </w:r>
      <w:r w:rsidR="00154CF7" w:rsidRPr="00154CF7">
        <w:rPr>
          <w:bCs/>
          <w:noProof/>
        </w:rPr>
        <w:t>20</w:t>
      </w:r>
      <w:r w:rsidRPr="00975E6B">
        <w:rPr>
          <w:szCs w:val="22"/>
        </w:rPr>
        <w:fldChar w:fldCharType="end"/>
      </w:r>
      <w:r w:rsidRPr="00975E6B">
        <w:rPr>
          <w:szCs w:val="22"/>
        </w:rPr>
        <w:t xml:space="preserve"> presents </w:t>
      </w:r>
      <w:r w:rsidR="00BE0978">
        <w:rPr>
          <w:szCs w:val="22"/>
        </w:rPr>
        <w:t xml:space="preserve">patient </w:t>
      </w:r>
      <w:r w:rsidRPr="00975E6B">
        <w:rPr>
          <w:szCs w:val="22"/>
        </w:rPr>
        <w:t>activity and feeder data for Northern NSW LHD.</w:t>
      </w:r>
    </w:p>
    <w:p w:rsidR="00464004" w:rsidRPr="00975E6B" w:rsidRDefault="00972129" w:rsidP="00CD1518">
      <w:pPr>
        <w:keepNext/>
        <w:spacing w:before="120" w:after="120"/>
        <w:rPr>
          <w:i/>
          <w:sz w:val="16"/>
          <w:szCs w:val="16"/>
        </w:rPr>
      </w:pPr>
      <w:bookmarkStart w:id="694" w:name="_Ref433267073"/>
      <w:r w:rsidRPr="00975E6B">
        <w:rPr>
          <w:bCs/>
          <w:i/>
        </w:rPr>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20</w:t>
      </w:r>
      <w:r w:rsidRPr="00975E6B">
        <w:rPr>
          <w:bCs/>
          <w:i/>
          <w:noProof/>
        </w:rPr>
        <w:fldChar w:fldCharType="end"/>
      </w:r>
      <w:bookmarkEnd w:id="694"/>
      <w:r w:rsidRPr="00975E6B">
        <w:rPr>
          <w:bCs/>
          <w:i/>
        </w:rPr>
        <w:t xml:space="preserve"> – Activity data – Northern NSW LHD</w:t>
      </w:r>
    </w:p>
    <w:tbl>
      <w:tblPr>
        <w:tblW w:w="5000" w:type="pct"/>
        <w:tblLayout w:type="fixed"/>
        <w:tblLook w:val="04A0" w:firstRow="1" w:lastRow="0" w:firstColumn="1" w:lastColumn="0" w:noHBand="0" w:noVBand="1"/>
        <w:tblCaption w:val="Table 20 - Activity data - Northern NSW LHD"/>
        <w:tblDescription w:val="This table presents activity and feeder data for Northern NSW LHD.  There are 11 columns.  Column 1 is the Data source, Column 2 is the number of records from source, Column 3 is the number of records in costing system, Column 4 is the variance between Column 2 and 3, Column 5 is the number of records linked to acute, column 6 is the number of records linked to emergency, Column 7 is the number of records linked to non-admitted, column 8 is the total linked records, column 9 is the number linked to other, column 10 is the number of unlinked records and column 11 is the % of linked to source."/>
      </w:tblPr>
      <w:tblGrid>
        <w:gridCol w:w="960"/>
        <w:gridCol w:w="777"/>
        <w:gridCol w:w="776"/>
        <w:gridCol w:w="776"/>
        <w:gridCol w:w="776"/>
        <w:gridCol w:w="776"/>
        <w:gridCol w:w="776"/>
        <w:gridCol w:w="776"/>
        <w:gridCol w:w="776"/>
        <w:gridCol w:w="776"/>
        <w:gridCol w:w="776"/>
      </w:tblGrid>
      <w:tr w:rsidR="00C24933" w:rsidRPr="00464004" w:rsidTr="00E14378">
        <w:trPr>
          <w:trHeight w:val="835"/>
        </w:trPr>
        <w:tc>
          <w:tcPr>
            <w:tcW w:w="550" w:type="pct"/>
            <w:tcBorders>
              <w:top w:val="single" w:sz="4" w:space="0" w:color="5B9BD5"/>
              <w:left w:val="single" w:sz="4" w:space="0" w:color="5B9BD5"/>
              <w:bottom w:val="nil"/>
              <w:right w:val="nil"/>
            </w:tcBorders>
            <w:shd w:val="clear" w:color="auto" w:fill="002060"/>
            <w:vAlign w:val="bottom"/>
            <w:hideMark/>
          </w:tcPr>
          <w:p w:rsidR="00464004" w:rsidRPr="00CD1518" w:rsidRDefault="00464004" w:rsidP="00464004">
            <w:pPr>
              <w:spacing w:line="240" w:lineRule="auto"/>
              <w:rPr>
                <w:b/>
                <w:bCs/>
                <w:color w:val="FFFFFF"/>
                <w:sz w:val="12"/>
                <w:lang w:eastAsia="en-AU"/>
              </w:rPr>
            </w:pPr>
            <w:r w:rsidRPr="00CD1518">
              <w:rPr>
                <w:b/>
                <w:bCs/>
                <w:color w:val="FFFFFF"/>
                <w:sz w:val="12"/>
                <w:lang w:eastAsia="en-AU"/>
              </w:rPr>
              <w:t>Data</w:t>
            </w:r>
          </w:p>
        </w:tc>
        <w:tc>
          <w:tcPr>
            <w:tcW w:w="445" w:type="pct"/>
            <w:tcBorders>
              <w:top w:val="single" w:sz="4" w:space="0" w:color="5B9BD5"/>
              <w:left w:val="single" w:sz="4" w:space="0" w:color="5B9BD5"/>
              <w:bottom w:val="nil"/>
              <w:right w:val="single" w:sz="4" w:space="0" w:color="5B9BD5"/>
            </w:tcBorders>
            <w:shd w:val="clear" w:color="auto" w:fill="002060"/>
            <w:vAlign w:val="bottom"/>
            <w:hideMark/>
          </w:tcPr>
          <w:p w:rsidR="00464004" w:rsidRPr="00CD1518" w:rsidRDefault="00464004" w:rsidP="00464004">
            <w:pPr>
              <w:spacing w:line="240" w:lineRule="auto"/>
              <w:jc w:val="center"/>
              <w:rPr>
                <w:b/>
                <w:bCs/>
                <w:color w:val="FFFFFF"/>
                <w:sz w:val="12"/>
                <w:lang w:eastAsia="en-AU"/>
              </w:rPr>
            </w:pPr>
            <w:r w:rsidRPr="00CD1518">
              <w:rPr>
                <w:b/>
                <w:bCs/>
                <w:color w:val="FFFFFF"/>
                <w:sz w:val="12"/>
                <w:lang w:eastAsia="en-AU"/>
              </w:rPr>
              <w:t># Records from Source</w:t>
            </w:r>
          </w:p>
        </w:tc>
        <w:tc>
          <w:tcPr>
            <w:tcW w:w="445" w:type="pct"/>
            <w:tcBorders>
              <w:top w:val="single" w:sz="4" w:space="0" w:color="5B9BD5"/>
              <w:left w:val="nil"/>
              <w:bottom w:val="nil"/>
              <w:right w:val="nil"/>
            </w:tcBorders>
            <w:shd w:val="clear" w:color="auto" w:fill="002060"/>
            <w:vAlign w:val="bottom"/>
            <w:hideMark/>
          </w:tcPr>
          <w:p w:rsidR="00464004" w:rsidRPr="00CD1518" w:rsidRDefault="00464004" w:rsidP="00464004">
            <w:pPr>
              <w:spacing w:line="240" w:lineRule="auto"/>
              <w:jc w:val="center"/>
              <w:rPr>
                <w:b/>
                <w:bCs/>
                <w:color w:val="FFFFFF"/>
                <w:sz w:val="12"/>
                <w:lang w:eastAsia="en-AU"/>
              </w:rPr>
            </w:pPr>
            <w:r w:rsidRPr="00CD1518">
              <w:rPr>
                <w:b/>
                <w:bCs/>
                <w:color w:val="FFFFFF"/>
                <w:sz w:val="12"/>
                <w:lang w:eastAsia="en-AU"/>
              </w:rPr>
              <w:t># Records in costing system</w:t>
            </w:r>
          </w:p>
        </w:tc>
        <w:tc>
          <w:tcPr>
            <w:tcW w:w="445" w:type="pct"/>
            <w:tcBorders>
              <w:top w:val="single" w:sz="4" w:space="0" w:color="5B9BD5"/>
              <w:left w:val="single" w:sz="4" w:space="0" w:color="5B9BD5"/>
              <w:bottom w:val="nil"/>
              <w:right w:val="single" w:sz="4" w:space="0" w:color="5B9BD5"/>
            </w:tcBorders>
            <w:shd w:val="clear" w:color="auto" w:fill="002060"/>
            <w:vAlign w:val="bottom"/>
            <w:hideMark/>
          </w:tcPr>
          <w:p w:rsidR="00464004" w:rsidRPr="00CD1518" w:rsidRDefault="00464004" w:rsidP="00464004">
            <w:pPr>
              <w:spacing w:line="240" w:lineRule="auto"/>
              <w:jc w:val="center"/>
              <w:rPr>
                <w:b/>
                <w:bCs/>
                <w:color w:val="FFFFFF"/>
                <w:sz w:val="12"/>
                <w:lang w:eastAsia="en-AU"/>
              </w:rPr>
            </w:pPr>
            <w:r w:rsidRPr="00CD1518">
              <w:rPr>
                <w:b/>
                <w:bCs/>
                <w:color w:val="FFFFFF"/>
                <w:sz w:val="12"/>
                <w:lang w:eastAsia="en-AU"/>
              </w:rPr>
              <w:t>Variance</w:t>
            </w:r>
          </w:p>
        </w:tc>
        <w:tc>
          <w:tcPr>
            <w:tcW w:w="445" w:type="pct"/>
            <w:tcBorders>
              <w:top w:val="single" w:sz="4" w:space="0" w:color="5B9BD5"/>
              <w:left w:val="nil"/>
              <w:bottom w:val="nil"/>
              <w:right w:val="nil"/>
            </w:tcBorders>
            <w:shd w:val="clear" w:color="auto" w:fill="002060"/>
            <w:vAlign w:val="bottom"/>
            <w:hideMark/>
          </w:tcPr>
          <w:p w:rsidR="00464004" w:rsidRPr="00CD1518" w:rsidRDefault="00464004" w:rsidP="00464004">
            <w:pPr>
              <w:spacing w:line="240" w:lineRule="auto"/>
              <w:jc w:val="center"/>
              <w:rPr>
                <w:b/>
                <w:bCs/>
                <w:color w:val="FFFFFF"/>
                <w:sz w:val="12"/>
                <w:lang w:eastAsia="en-AU"/>
              </w:rPr>
            </w:pPr>
            <w:r w:rsidRPr="00CD1518">
              <w:rPr>
                <w:b/>
                <w:bCs/>
                <w:color w:val="FFFFFF"/>
                <w:sz w:val="12"/>
                <w:lang w:eastAsia="en-AU"/>
              </w:rPr>
              <w:t># Records linked to Acute</w:t>
            </w:r>
          </w:p>
        </w:tc>
        <w:tc>
          <w:tcPr>
            <w:tcW w:w="445" w:type="pct"/>
            <w:tcBorders>
              <w:top w:val="single" w:sz="4" w:space="0" w:color="5B9BD5"/>
              <w:left w:val="single" w:sz="4" w:space="0" w:color="5B9BD5"/>
              <w:bottom w:val="nil"/>
              <w:right w:val="single" w:sz="4" w:space="0" w:color="5B9BD5"/>
            </w:tcBorders>
            <w:shd w:val="clear" w:color="auto" w:fill="002060"/>
            <w:vAlign w:val="bottom"/>
            <w:hideMark/>
          </w:tcPr>
          <w:p w:rsidR="00464004" w:rsidRPr="00CD1518" w:rsidRDefault="00464004" w:rsidP="007A16C6">
            <w:pPr>
              <w:spacing w:line="240" w:lineRule="auto"/>
              <w:jc w:val="center"/>
              <w:rPr>
                <w:b/>
                <w:bCs/>
                <w:color w:val="FFFFFF"/>
                <w:sz w:val="12"/>
                <w:lang w:eastAsia="en-AU"/>
              </w:rPr>
            </w:pPr>
            <w:r w:rsidRPr="00CD1518">
              <w:rPr>
                <w:b/>
                <w:bCs/>
                <w:color w:val="FFFFFF"/>
                <w:sz w:val="12"/>
                <w:lang w:eastAsia="en-AU"/>
              </w:rPr>
              <w:t xml:space="preserve"># Records linked to </w:t>
            </w:r>
            <w:proofErr w:type="spellStart"/>
            <w:r w:rsidRPr="00CD1518">
              <w:rPr>
                <w:b/>
                <w:bCs/>
                <w:color w:val="FFFFFF"/>
                <w:sz w:val="12"/>
                <w:lang w:eastAsia="en-AU"/>
              </w:rPr>
              <w:t>Emerg</w:t>
            </w:r>
            <w:proofErr w:type="spellEnd"/>
            <w:r w:rsidR="00EC7DD7">
              <w:rPr>
                <w:b/>
                <w:bCs/>
                <w:color w:val="FFFFFF"/>
                <w:sz w:val="12"/>
                <w:lang w:eastAsia="en-AU"/>
              </w:rPr>
              <w:t>.</w:t>
            </w:r>
          </w:p>
        </w:tc>
        <w:tc>
          <w:tcPr>
            <w:tcW w:w="445" w:type="pct"/>
            <w:tcBorders>
              <w:top w:val="single" w:sz="4" w:space="0" w:color="5B9BD5"/>
              <w:left w:val="nil"/>
              <w:bottom w:val="nil"/>
              <w:right w:val="single" w:sz="4" w:space="0" w:color="5B9BD5"/>
            </w:tcBorders>
            <w:shd w:val="clear" w:color="auto" w:fill="002060"/>
            <w:vAlign w:val="bottom"/>
            <w:hideMark/>
          </w:tcPr>
          <w:p w:rsidR="00464004" w:rsidRPr="00CD1518" w:rsidRDefault="00464004" w:rsidP="00464004">
            <w:pPr>
              <w:spacing w:line="240" w:lineRule="auto"/>
              <w:jc w:val="center"/>
              <w:rPr>
                <w:b/>
                <w:bCs/>
                <w:color w:val="FFFFFF"/>
                <w:sz w:val="12"/>
                <w:lang w:eastAsia="en-AU"/>
              </w:rPr>
            </w:pPr>
            <w:r w:rsidRPr="00CD1518">
              <w:rPr>
                <w:b/>
                <w:bCs/>
                <w:color w:val="FFFFFF"/>
                <w:sz w:val="12"/>
                <w:lang w:eastAsia="en-AU"/>
              </w:rPr>
              <w:t># Records linked to Non-admitted</w:t>
            </w:r>
          </w:p>
        </w:tc>
        <w:tc>
          <w:tcPr>
            <w:tcW w:w="445" w:type="pct"/>
            <w:tcBorders>
              <w:top w:val="single" w:sz="4" w:space="0" w:color="5B9BD5"/>
              <w:left w:val="nil"/>
              <w:bottom w:val="nil"/>
              <w:right w:val="single" w:sz="4" w:space="0" w:color="5B9BD5"/>
            </w:tcBorders>
            <w:shd w:val="clear" w:color="auto" w:fill="002060"/>
            <w:vAlign w:val="bottom"/>
            <w:hideMark/>
          </w:tcPr>
          <w:p w:rsidR="00464004" w:rsidRPr="00CD1518" w:rsidRDefault="00464004" w:rsidP="00464004">
            <w:pPr>
              <w:spacing w:line="240" w:lineRule="auto"/>
              <w:jc w:val="center"/>
              <w:rPr>
                <w:b/>
                <w:bCs/>
                <w:color w:val="FFFFFF"/>
                <w:sz w:val="12"/>
                <w:lang w:eastAsia="en-AU"/>
              </w:rPr>
            </w:pPr>
            <w:r w:rsidRPr="00CD1518">
              <w:rPr>
                <w:b/>
                <w:bCs/>
                <w:color w:val="FFFFFF"/>
                <w:sz w:val="12"/>
                <w:lang w:eastAsia="en-AU"/>
              </w:rPr>
              <w:t>Total Linking Process to Products</w:t>
            </w:r>
          </w:p>
        </w:tc>
        <w:tc>
          <w:tcPr>
            <w:tcW w:w="445" w:type="pct"/>
            <w:tcBorders>
              <w:top w:val="single" w:sz="4" w:space="0" w:color="5B9BD5"/>
              <w:left w:val="nil"/>
              <w:bottom w:val="nil"/>
              <w:right w:val="nil"/>
            </w:tcBorders>
            <w:shd w:val="clear" w:color="auto" w:fill="002060"/>
            <w:vAlign w:val="bottom"/>
            <w:hideMark/>
          </w:tcPr>
          <w:p w:rsidR="00464004" w:rsidRPr="00CD1518" w:rsidRDefault="00464004" w:rsidP="00464004">
            <w:pPr>
              <w:spacing w:line="240" w:lineRule="auto"/>
              <w:jc w:val="center"/>
              <w:rPr>
                <w:b/>
                <w:bCs/>
                <w:color w:val="FFFFFF"/>
                <w:sz w:val="12"/>
                <w:lang w:eastAsia="en-AU"/>
              </w:rPr>
            </w:pPr>
            <w:r w:rsidRPr="00CD1518">
              <w:rPr>
                <w:b/>
                <w:bCs/>
                <w:color w:val="FFFFFF"/>
                <w:sz w:val="12"/>
                <w:lang w:eastAsia="en-AU"/>
              </w:rPr>
              <w:t># Records linked to Other</w:t>
            </w:r>
          </w:p>
        </w:tc>
        <w:tc>
          <w:tcPr>
            <w:tcW w:w="445" w:type="pct"/>
            <w:tcBorders>
              <w:top w:val="single" w:sz="4" w:space="0" w:color="5B9BD5"/>
              <w:left w:val="single" w:sz="4" w:space="0" w:color="5B9BD5"/>
              <w:bottom w:val="nil"/>
              <w:right w:val="single" w:sz="4" w:space="0" w:color="5B9BD5"/>
            </w:tcBorders>
            <w:shd w:val="clear" w:color="auto" w:fill="002060"/>
            <w:vAlign w:val="bottom"/>
            <w:hideMark/>
          </w:tcPr>
          <w:p w:rsidR="00464004" w:rsidRPr="00CD1518" w:rsidRDefault="00464004" w:rsidP="00464004">
            <w:pPr>
              <w:spacing w:line="240" w:lineRule="auto"/>
              <w:jc w:val="center"/>
              <w:rPr>
                <w:b/>
                <w:bCs/>
                <w:color w:val="FFFFFF"/>
                <w:sz w:val="12"/>
                <w:lang w:eastAsia="en-AU"/>
              </w:rPr>
            </w:pPr>
            <w:r w:rsidRPr="00CD1518">
              <w:rPr>
                <w:b/>
                <w:bCs/>
                <w:color w:val="FFFFFF"/>
                <w:sz w:val="12"/>
                <w:lang w:eastAsia="en-AU"/>
              </w:rPr>
              <w:t># Unlinked records</w:t>
            </w:r>
          </w:p>
        </w:tc>
        <w:tc>
          <w:tcPr>
            <w:tcW w:w="445" w:type="pct"/>
            <w:tcBorders>
              <w:top w:val="single" w:sz="4" w:space="0" w:color="5B9BD5"/>
              <w:left w:val="nil"/>
              <w:bottom w:val="nil"/>
              <w:right w:val="single" w:sz="4" w:space="0" w:color="5B9BD5"/>
            </w:tcBorders>
            <w:shd w:val="clear" w:color="auto" w:fill="002060"/>
            <w:vAlign w:val="bottom"/>
            <w:hideMark/>
          </w:tcPr>
          <w:p w:rsidR="00464004" w:rsidRPr="00CD1518" w:rsidRDefault="00464004" w:rsidP="00464004">
            <w:pPr>
              <w:spacing w:line="240" w:lineRule="auto"/>
              <w:jc w:val="center"/>
              <w:rPr>
                <w:b/>
                <w:bCs/>
                <w:color w:val="FFFFFF"/>
                <w:sz w:val="12"/>
                <w:lang w:eastAsia="en-AU"/>
              </w:rPr>
            </w:pPr>
            <w:r w:rsidRPr="00CD1518">
              <w:rPr>
                <w:b/>
                <w:bCs/>
                <w:color w:val="FFFFFF"/>
                <w:sz w:val="12"/>
                <w:lang w:eastAsia="en-AU"/>
              </w:rPr>
              <w:t>% Linked</w:t>
            </w:r>
          </w:p>
        </w:tc>
      </w:tr>
      <w:tr w:rsidR="004D0865" w:rsidRPr="00464004" w:rsidTr="00464004">
        <w:trPr>
          <w:trHeight w:val="290"/>
        </w:trPr>
        <w:tc>
          <w:tcPr>
            <w:tcW w:w="550" w:type="pct"/>
            <w:tcBorders>
              <w:top w:val="nil"/>
              <w:left w:val="single" w:sz="4" w:space="0" w:color="5B9BD5"/>
              <w:bottom w:val="nil"/>
              <w:right w:val="nil"/>
            </w:tcBorders>
            <w:shd w:val="clear" w:color="000000" w:fill="D0CECE"/>
            <w:noWrap/>
            <w:vAlign w:val="center"/>
            <w:hideMark/>
          </w:tcPr>
          <w:p w:rsidR="00464004" w:rsidRPr="00CD1518" w:rsidRDefault="00464004">
            <w:pPr>
              <w:spacing w:line="240" w:lineRule="auto"/>
              <w:rPr>
                <w:b/>
                <w:bCs/>
                <w:color w:val="000000"/>
                <w:sz w:val="12"/>
                <w:lang w:eastAsia="en-AU"/>
              </w:rPr>
            </w:pPr>
            <w:r w:rsidRPr="00CD1518">
              <w:rPr>
                <w:b/>
                <w:bCs/>
                <w:color w:val="000000"/>
                <w:sz w:val="12"/>
                <w:lang w:eastAsia="en-AU"/>
              </w:rPr>
              <w:t>Activity Data</w:t>
            </w:r>
          </w:p>
        </w:tc>
        <w:tc>
          <w:tcPr>
            <w:tcW w:w="445" w:type="pct"/>
            <w:tcBorders>
              <w:top w:val="nil"/>
              <w:left w:val="single" w:sz="4" w:space="0" w:color="5B9BD5"/>
              <w:bottom w:val="nil"/>
              <w:right w:val="single" w:sz="4" w:space="0" w:color="5B9BD5"/>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c>
          <w:tcPr>
            <w:tcW w:w="445" w:type="pct"/>
            <w:tcBorders>
              <w:top w:val="nil"/>
              <w:left w:val="nil"/>
              <w:bottom w:val="nil"/>
              <w:right w:val="nil"/>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c>
          <w:tcPr>
            <w:tcW w:w="445" w:type="pct"/>
            <w:tcBorders>
              <w:top w:val="nil"/>
              <w:left w:val="single" w:sz="4" w:space="0" w:color="5B9BD5"/>
              <w:bottom w:val="nil"/>
              <w:right w:val="single" w:sz="4" w:space="0" w:color="5B9BD5"/>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c>
          <w:tcPr>
            <w:tcW w:w="445" w:type="pct"/>
            <w:tcBorders>
              <w:top w:val="nil"/>
              <w:left w:val="nil"/>
              <w:bottom w:val="nil"/>
              <w:right w:val="nil"/>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c>
          <w:tcPr>
            <w:tcW w:w="445" w:type="pct"/>
            <w:tcBorders>
              <w:top w:val="nil"/>
              <w:left w:val="single" w:sz="4" w:space="0" w:color="5B9BD5"/>
              <w:bottom w:val="nil"/>
              <w:right w:val="single" w:sz="4" w:space="0" w:color="5B9BD5"/>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c>
          <w:tcPr>
            <w:tcW w:w="445" w:type="pct"/>
            <w:tcBorders>
              <w:top w:val="nil"/>
              <w:left w:val="nil"/>
              <w:bottom w:val="nil"/>
              <w:right w:val="single" w:sz="4" w:space="0" w:color="5B9BD5"/>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c>
          <w:tcPr>
            <w:tcW w:w="445" w:type="pct"/>
            <w:tcBorders>
              <w:top w:val="nil"/>
              <w:left w:val="nil"/>
              <w:bottom w:val="nil"/>
              <w:right w:val="single" w:sz="4" w:space="0" w:color="5B9BD5"/>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c>
          <w:tcPr>
            <w:tcW w:w="445" w:type="pct"/>
            <w:tcBorders>
              <w:top w:val="nil"/>
              <w:left w:val="nil"/>
              <w:bottom w:val="nil"/>
              <w:right w:val="nil"/>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c>
          <w:tcPr>
            <w:tcW w:w="445" w:type="pct"/>
            <w:tcBorders>
              <w:top w:val="nil"/>
              <w:left w:val="single" w:sz="4" w:space="0" w:color="5B9BD5"/>
              <w:bottom w:val="nil"/>
              <w:right w:val="single" w:sz="4" w:space="0" w:color="5B9BD5"/>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c>
          <w:tcPr>
            <w:tcW w:w="445" w:type="pct"/>
            <w:tcBorders>
              <w:top w:val="nil"/>
              <w:left w:val="nil"/>
              <w:bottom w:val="nil"/>
              <w:right w:val="single" w:sz="4" w:space="0" w:color="5B9BD5"/>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r>
      <w:tr w:rsidR="00464004" w:rsidRPr="00464004" w:rsidTr="00CD1518">
        <w:trPr>
          <w:trHeight w:val="290"/>
        </w:trPr>
        <w:tc>
          <w:tcPr>
            <w:tcW w:w="550" w:type="pct"/>
            <w:tcBorders>
              <w:top w:val="nil"/>
              <w:left w:val="single" w:sz="4" w:space="0" w:color="5B9BD5"/>
              <w:bottom w:val="nil"/>
              <w:right w:val="nil"/>
            </w:tcBorders>
            <w:shd w:val="clear" w:color="000000" w:fill="FFFFFF"/>
            <w:noWrap/>
            <w:vAlign w:val="center"/>
            <w:hideMark/>
          </w:tcPr>
          <w:p w:rsidR="00464004" w:rsidRPr="00CD1518" w:rsidRDefault="00464004">
            <w:pPr>
              <w:spacing w:line="240" w:lineRule="auto"/>
              <w:rPr>
                <w:color w:val="000000"/>
                <w:sz w:val="12"/>
                <w:lang w:eastAsia="en-AU"/>
              </w:rPr>
            </w:pPr>
            <w:r w:rsidRPr="00CD1518">
              <w:rPr>
                <w:color w:val="000000"/>
                <w:sz w:val="12"/>
                <w:lang w:eastAsia="en-AU"/>
              </w:rPr>
              <w:t>PAS</w:t>
            </w:r>
          </w:p>
        </w:tc>
        <w:tc>
          <w:tcPr>
            <w:tcW w:w="445" w:type="pct"/>
            <w:tcBorders>
              <w:top w:val="nil"/>
              <w:left w:val="single" w:sz="4" w:space="0" w:color="5B9BD5"/>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89,901</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89,815</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(86)</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178,559</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(88,744)</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86</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pPr>
              <w:spacing w:line="240" w:lineRule="auto"/>
              <w:jc w:val="right"/>
              <w:rPr>
                <w:color w:val="000000"/>
                <w:sz w:val="12"/>
                <w:lang w:eastAsia="en-AU"/>
              </w:rPr>
            </w:pPr>
            <w:r w:rsidRPr="00CD1518">
              <w:rPr>
                <w:color w:val="000000"/>
                <w:sz w:val="12"/>
                <w:lang w:eastAsia="en-AU"/>
              </w:rPr>
              <w:t>198.62%</w:t>
            </w:r>
          </w:p>
        </w:tc>
      </w:tr>
      <w:tr w:rsidR="00464004" w:rsidRPr="00464004" w:rsidTr="00CD1518">
        <w:trPr>
          <w:trHeight w:val="290"/>
        </w:trPr>
        <w:tc>
          <w:tcPr>
            <w:tcW w:w="550" w:type="pct"/>
            <w:tcBorders>
              <w:top w:val="nil"/>
              <w:left w:val="single" w:sz="4" w:space="0" w:color="5B9BD5"/>
              <w:bottom w:val="nil"/>
              <w:right w:val="nil"/>
            </w:tcBorders>
            <w:shd w:val="clear" w:color="000000" w:fill="DDEBF7"/>
            <w:noWrap/>
            <w:vAlign w:val="center"/>
            <w:hideMark/>
          </w:tcPr>
          <w:p w:rsidR="00464004" w:rsidRPr="00CD1518" w:rsidRDefault="00464004">
            <w:pPr>
              <w:spacing w:line="240" w:lineRule="auto"/>
              <w:rPr>
                <w:sz w:val="12"/>
                <w:lang w:eastAsia="en-AU"/>
              </w:rPr>
            </w:pPr>
            <w:r w:rsidRPr="00CD1518">
              <w:rPr>
                <w:sz w:val="12"/>
                <w:lang w:eastAsia="en-AU"/>
              </w:rPr>
              <w:t>Emergency</w:t>
            </w:r>
          </w:p>
        </w:tc>
        <w:tc>
          <w:tcPr>
            <w:tcW w:w="445" w:type="pct"/>
            <w:tcBorders>
              <w:top w:val="nil"/>
              <w:left w:val="single" w:sz="4" w:space="0" w:color="5B9BD5"/>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185,164</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185,164</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w:t>
            </w:r>
          </w:p>
        </w:tc>
      </w:tr>
      <w:tr w:rsidR="00464004" w:rsidRPr="00464004" w:rsidTr="00CD1518">
        <w:trPr>
          <w:trHeight w:val="290"/>
        </w:trPr>
        <w:tc>
          <w:tcPr>
            <w:tcW w:w="550" w:type="pct"/>
            <w:tcBorders>
              <w:top w:val="nil"/>
              <w:left w:val="single" w:sz="4" w:space="0" w:color="5B9BD5"/>
              <w:bottom w:val="single" w:sz="4" w:space="0" w:color="5B9BD5"/>
              <w:right w:val="nil"/>
            </w:tcBorders>
            <w:shd w:val="clear" w:color="000000" w:fill="FFFFFF"/>
            <w:noWrap/>
            <w:vAlign w:val="center"/>
            <w:hideMark/>
          </w:tcPr>
          <w:p w:rsidR="00464004" w:rsidRPr="00CD1518" w:rsidRDefault="00464004">
            <w:pPr>
              <w:spacing w:line="240" w:lineRule="auto"/>
              <w:rPr>
                <w:color w:val="000000"/>
                <w:sz w:val="12"/>
                <w:lang w:eastAsia="en-AU"/>
              </w:rPr>
            </w:pPr>
            <w:r w:rsidRPr="00CD1518">
              <w:rPr>
                <w:color w:val="000000"/>
                <w:sz w:val="12"/>
                <w:lang w:eastAsia="en-AU"/>
              </w:rPr>
              <w:t>Non-admitted</w:t>
            </w:r>
          </w:p>
        </w:tc>
        <w:tc>
          <w:tcPr>
            <w:tcW w:w="445" w:type="pct"/>
            <w:tcBorders>
              <w:top w:val="nil"/>
              <w:left w:val="single" w:sz="4" w:space="0" w:color="5B9BD5"/>
              <w:bottom w:val="single" w:sz="4" w:space="0" w:color="5B9BD5"/>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376,379</w:t>
            </w:r>
          </w:p>
        </w:tc>
        <w:tc>
          <w:tcPr>
            <w:tcW w:w="445" w:type="pct"/>
            <w:tcBorders>
              <w:top w:val="nil"/>
              <w:left w:val="nil"/>
              <w:bottom w:val="single" w:sz="4" w:space="0" w:color="5B9BD5"/>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376,379</w:t>
            </w:r>
          </w:p>
        </w:tc>
        <w:tc>
          <w:tcPr>
            <w:tcW w:w="445" w:type="pct"/>
            <w:tcBorders>
              <w:top w:val="nil"/>
              <w:left w:val="nil"/>
              <w:bottom w:val="single" w:sz="4" w:space="0" w:color="5B9BD5"/>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single" w:sz="4" w:space="0" w:color="5B9BD5"/>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single" w:sz="4" w:space="0" w:color="5B9BD5"/>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single" w:sz="4" w:space="0" w:color="5B9BD5"/>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single" w:sz="4" w:space="0" w:color="5B9BD5"/>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single" w:sz="4" w:space="0" w:color="5B9BD5"/>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single" w:sz="4" w:space="0" w:color="5B9BD5"/>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single" w:sz="4" w:space="0" w:color="5B9BD5"/>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r>
      <w:tr w:rsidR="00464004" w:rsidRPr="00464004" w:rsidTr="00CD1518">
        <w:trPr>
          <w:trHeight w:val="290"/>
        </w:trPr>
        <w:tc>
          <w:tcPr>
            <w:tcW w:w="550" w:type="pct"/>
            <w:tcBorders>
              <w:top w:val="nil"/>
              <w:left w:val="single" w:sz="4" w:space="0" w:color="5B9BD5"/>
              <w:bottom w:val="nil"/>
              <w:right w:val="nil"/>
            </w:tcBorders>
            <w:shd w:val="clear" w:color="000000" w:fill="DDEBF7"/>
            <w:noWrap/>
            <w:vAlign w:val="center"/>
            <w:hideMark/>
          </w:tcPr>
          <w:p w:rsidR="00464004" w:rsidRPr="00CD1518" w:rsidRDefault="00464004">
            <w:pPr>
              <w:spacing w:line="240" w:lineRule="auto"/>
              <w:rPr>
                <w:b/>
                <w:bCs/>
                <w:color w:val="000000"/>
                <w:sz w:val="12"/>
                <w:lang w:eastAsia="en-AU"/>
              </w:rPr>
            </w:pPr>
            <w:r w:rsidRPr="00CD1518">
              <w:rPr>
                <w:b/>
                <w:bCs/>
                <w:color w:val="000000"/>
                <w:sz w:val="12"/>
                <w:lang w:eastAsia="en-AU"/>
              </w:rPr>
              <w:t>TOTAL</w:t>
            </w:r>
          </w:p>
        </w:tc>
        <w:tc>
          <w:tcPr>
            <w:tcW w:w="445" w:type="pct"/>
            <w:tcBorders>
              <w:top w:val="nil"/>
              <w:left w:val="single" w:sz="4" w:space="0" w:color="5B9BD5"/>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b/>
                <w:bCs/>
                <w:color w:val="000000"/>
                <w:sz w:val="12"/>
                <w:lang w:eastAsia="en-AU"/>
              </w:rPr>
            </w:pPr>
            <w:r w:rsidRPr="00CD1518">
              <w:rPr>
                <w:b/>
                <w:bCs/>
                <w:color w:val="000000"/>
                <w:sz w:val="12"/>
                <w:lang w:eastAsia="en-AU"/>
              </w:rPr>
              <w:t>651,444</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b/>
                <w:bCs/>
                <w:color w:val="000000"/>
                <w:sz w:val="12"/>
                <w:lang w:eastAsia="en-AU"/>
              </w:rPr>
            </w:pPr>
            <w:r w:rsidRPr="00CD1518">
              <w:rPr>
                <w:b/>
                <w:bCs/>
                <w:color w:val="000000"/>
                <w:sz w:val="12"/>
                <w:lang w:eastAsia="en-AU"/>
              </w:rPr>
              <w:t>651,358</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b/>
                <w:bCs/>
                <w:color w:val="000000"/>
                <w:sz w:val="12"/>
                <w:lang w:eastAsia="en-AU"/>
              </w:rPr>
            </w:pPr>
            <w:r w:rsidRPr="00CD1518">
              <w:rPr>
                <w:b/>
                <w:bCs/>
                <w:color w:val="000000"/>
                <w:sz w:val="12"/>
                <w:lang w:eastAsia="en-AU"/>
              </w:rPr>
              <w:t>(86)</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b/>
                <w:bCs/>
                <w:color w:val="000000"/>
                <w:sz w:val="12"/>
                <w:lang w:eastAsia="en-AU"/>
              </w:rPr>
            </w:pPr>
            <w:r w:rsidRPr="00CD1518">
              <w:rPr>
                <w:b/>
                <w:bCs/>
                <w:color w:val="000000"/>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b/>
                <w:bCs/>
                <w:color w:val="000000"/>
                <w:sz w:val="12"/>
                <w:lang w:eastAsia="en-AU"/>
              </w:rPr>
            </w:pPr>
            <w:r w:rsidRPr="00CD1518">
              <w:rPr>
                <w:b/>
                <w:bCs/>
                <w:color w:val="000000"/>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b/>
                <w:bCs/>
                <w:color w:val="000000"/>
                <w:sz w:val="12"/>
                <w:lang w:eastAsia="en-AU"/>
              </w:rPr>
            </w:pPr>
            <w:r w:rsidRPr="00CD1518">
              <w:rPr>
                <w:b/>
                <w:bCs/>
                <w:color w:val="000000"/>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b/>
                <w:bCs/>
                <w:color w:val="000000"/>
                <w:sz w:val="12"/>
                <w:lang w:eastAsia="en-AU"/>
              </w:rPr>
            </w:pPr>
            <w:r w:rsidRPr="00CD1518">
              <w:rPr>
                <w:b/>
                <w:bCs/>
                <w:color w:val="000000"/>
                <w:sz w:val="12"/>
                <w:lang w:eastAsia="en-AU"/>
              </w:rPr>
              <w:t>178,559</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b/>
                <w:bCs/>
                <w:color w:val="000000"/>
                <w:sz w:val="12"/>
                <w:lang w:eastAsia="en-AU"/>
              </w:rPr>
            </w:pPr>
            <w:r w:rsidRPr="00CD1518">
              <w:rPr>
                <w:b/>
                <w:bCs/>
                <w:color w:val="000000"/>
                <w:sz w:val="12"/>
                <w:lang w:eastAsia="en-AU"/>
              </w:rPr>
              <w:t>(88,744)</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b/>
                <w:bCs/>
                <w:color w:val="000000"/>
                <w:sz w:val="12"/>
                <w:lang w:eastAsia="en-AU"/>
              </w:rPr>
            </w:pPr>
            <w:r w:rsidRPr="00CD1518">
              <w:rPr>
                <w:b/>
                <w:bCs/>
                <w:color w:val="000000"/>
                <w:sz w:val="12"/>
                <w:lang w:eastAsia="en-AU"/>
              </w:rPr>
              <w:t>86</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b/>
                <w:bCs/>
                <w:color w:val="000000"/>
                <w:sz w:val="12"/>
                <w:lang w:eastAsia="en-AU"/>
              </w:rPr>
            </w:pPr>
          </w:p>
        </w:tc>
      </w:tr>
      <w:tr w:rsidR="004D0865" w:rsidRPr="00464004" w:rsidTr="00464004">
        <w:trPr>
          <w:trHeight w:val="290"/>
        </w:trPr>
        <w:tc>
          <w:tcPr>
            <w:tcW w:w="550" w:type="pct"/>
            <w:tcBorders>
              <w:top w:val="nil"/>
              <w:left w:val="single" w:sz="4" w:space="0" w:color="5B9BD5"/>
              <w:bottom w:val="nil"/>
              <w:right w:val="nil"/>
            </w:tcBorders>
            <w:shd w:val="clear" w:color="000000" w:fill="D0CECE"/>
            <w:noWrap/>
            <w:vAlign w:val="center"/>
            <w:hideMark/>
          </w:tcPr>
          <w:p w:rsidR="00464004" w:rsidRPr="00CD1518" w:rsidRDefault="00464004">
            <w:pPr>
              <w:spacing w:line="240" w:lineRule="auto"/>
              <w:rPr>
                <w:b/>
                <w:bCs/>
                <w:color w:val="000000"/>
                <w:sz w:val="12"/>
                <w:lang w:eastAsia="en-AU"/>
              </w:rPr>
            </w:pPr>
            <w:r w:rsidRPr="00CD1518">
              <w:rPr>
                <w:b/>
                <w:bCs/>
                <w:color w:val="000000"/>
                <w:sz w:val="12"/>
                <w:lang w:eastAsia="en-AU"/>
              </w:rPr>
              <w:t>Feeder Data</w:t>
            </w:r>
          </w:p>
        </w:tc>
        <w:tc>
          <w:tcPr>
            <w:tcW w:w="445" w:type="pct"/>
            <w:tcBorders>
              <w:top w:val="nil"/>
              <w:left w:val="single" w:sz="4" w:space="0" w:color="5B9BD5"/>
              <w:bottom w:val="nil"/>
              <w:right w:val="single" w:sz="4" w:space="0" w:color="5B9BD5"/>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c>
          <w:tcPr>
            <w:tcW w:w="445" w:type="pct"/>
            <w:tcBorders>
              <w:top w:val="nil"/>
              <w:left w:val="nil"/>
              <w:bottom w:val="nil"/>
              <w:right w:val="nil"/>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c>
          <w:tcPr>
            <w:tcW w:w="445" w:type="pct"/>
            <w:tcBorders>
              <w:top w:val="nil"/>
              <w:left w:val="single" w:sz="4" w:space="0" w:color="5B9BD5"/>
              <w:bottom w:val="nil"/>
              <w:right w:val="single" w:sz="4" w:space="0" w:color="5B9BD5"/>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c>
          <w:tcPr>
            <w:tcW w:w="445" w:type="pct"/>
            <w:tcBorders>
              <w:top w:val="nil"/>
              <w:left w:val="nil"/>
              <w:bottom w:val="nil"/>
              <w:right w:val="nil"/>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c>
          <w:tcPr>
            <w:tcW w:w="445" w:type="pct"/>
            <w:tcBorders>
              <w:top w:val="nil"/>
              <w:left w:val="single" w:sz="4" w:space="0" w:color="5B9BD5"/>
              <w:bottom w:val="nil"/>
              <w:right w:val="single" w:sz="4" w:space="0" w:color="5B9BD5"/>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c>
          <w:tcPr>
            <w:tcW w:w="445" w:type="pct"/>
            <w:tcBorders>
              <w:top w:val="nil"/>
              <w:left w:val="nil"/>
              <w:bottom w:val="nil"/>
              <w:right w:val="single" w:sz="4" w:space="0" w:color="5B9BD5"/>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c>
          <w:tcPr>
            <w:tcW w:w="445" w:type="pct"/>
            <w:tcBorders>
              <w:top w:val="nil"/>
              <w:left w:val="nil"/>
              <w:bottom w:val="nil"/>
              <w:right w:val="single" w:sz="4" w:space="0" w:color="5B9BD5"/>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c>
          <w:tcPr>
            <w:tcW w:w="445" w:type="pct"/>
            <w:tcBorders>
              <w:top w:val="nil"/>
              <w:left w:val="nil"/>
              <w:bottom w:val="nil"/>
              <w:right w:val="nil"/>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c>
          <w:tcPr>
            <w:tcW w:w="445" w:type="pct"/>
            <w:tcBorders>
              <w:top w:val="nil"/>
              <w:left w:val="single" w:sz="4" w:space="0" w:color="5B9BD5"/>
              <w:bottom w:val="nil"/>
              <w:right w:val="single" w:sz="4" w:space="0" w:color="5B9BD5"/>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c>
          <w:tcPr>
            <w:tcW w:w="445" w:type="pct"/>
            <w:tcBorders>
              <w:top w:val="nil"/>
              <w:left w:val="nil"/>
              <w:bottom w:val="nil"/>
              <w:right w:val="single" w:sz="4" w:space="0" w:color="5B9BD5"/>
            </w:tcBorders>
            <w:shd w:val="clear" w:color="000000" w:fill="D0CECE"/>
            <w:noWrap/>
            <w:vAlign w:val="center"/>
            <w:hideMark/>
          </w:tcPr>
          <w:p w:rsidR="00464004" w:rsidRPr="00CD1518" w:rsidRDefault="00464004" w:rsidP="00CD1518">
            <w:pPr>
              <w:spacing w:line="240" w:lineRule="auto"/>
              <w:jc w:val="right"/>
              <w:rPr>
                <w:b/>
                <w:bCs/>
                <w:color w:val="000000"/>
                <w:sz w:val="12"/>
                <w:lang w:eastAsia="en-AU"/>
              </w:rPr>
            </w:pPr>
          </w:p>
        </w:tc>
      </w:tr>
      <w:tr w:rsidR="00464004" w:rsidRPr="00464004" w:rsidTr="00CD1518">
        <w:trPr>
          <w:trHeight w:val="290"/>
        </w:trPr>
        <w:tc>
          <w:tcPr>
            <w:tcW w:w="550" w:type="pct"/>
            <w:tcBorders>
              <w:top w:val="nil"/>
              <w:left w:val="single" w:sz="4" w:space="0" w:color="5B9BD5"/>
              <w:bottom w:val="nil"/>
              <w:right w:val="nil"/>
            </w:tcBorders>
            <w:shd w:val="clear" w:color="000000" w:fill="FFFFFF"/>
            <w:noWrap/>
            <w:vAlign w:val="center"/>
            <w:hideMark/>
          </w:tcPr>
          <w:p w:rsidR="00464004" w:rsidRPr="00CD1518" w:rsidRDefault="00464004">
            <w:pPr>
              <w:spacing w:line="240" w:lineRule="auto"/>
              <w:rPr>
                <w:color w:val="000000"/>
                <w:sz w:val="12"/>
                <w:lang w:eastAsia="en-AU"/>
              </w:rPr>
            </w:pPr>
            <w:r w:rsidRPr="00CD1518">
              <w:rPr>
                <w:color w:val="000000"/>
                <w:sz w:val="12"/>
                <w:lang w:eastAsia="en-AU"/>
              </w:rPr>
              <w:t>Anaesthetics</w:t>
            </w:r>
          </w:p>
        </w:tc>
        <w:tc>
          <w:tcPr>
            <w:tcW w:w="445" w:type="pct"/>
            <w:tcBorders>
              <w:top w:val="nil"/>
              <w:left w:val="single" w:sz="4" w:space="0" w:color="5B9BD5"/>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23,944</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23,944</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23,944</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pPr>
              <w:spacing w:line="240" w:lineRule="auto"/>
              <w:jc w:val="right"/>
              <w:rPr>
                <w:color w:val="000000"/>
                <w:sz w:val="12"/>
                <w:lang w:eastAsia="en-AU"/>
              </w:rPr>
            </w:pPr>
            <w:r w:rsidRPr="00CD1518">
              <w:rPr>
                <w:color w:val="000000"/>
                <w:sz w:val="12"/>
                <w:lang w:eastAsia="en-AU"/>
              </w:rPr>
              <w:t>100%</w:t>
            </w:r>
          </w:p>
        </w:tc>
      </w:tr>
      <w:tr w:rsidR="00464004" w:rsidRPr="00464004" w:rsidTr="00CD1518">
        <w:trPr>
          <w:trHeight w:val="290"/>
        </w:trPr>
        <w:tc>
          <w:tcPr>
            <w:tcW w:w="550" w:type="pct"/>
            <w:tcBorders>
              <w:top w:val="nil"/>
              <w:left w:val="single" w:sz="4" w:space="0" w:color="5B9BD5"/>
              <w:bottom w:val="nil"/>
              <w:right w:val="nil"/>
            </w:tcBorders>
            <w:shd w:val="clear" w:color="000000" w:fill="DDEBF7"/>
            <w:noWrap/>
            <w:vAlign w:val="center"/>
            <w:hideMark/>
          </w:tcPr>
          <w:p w:rsidR="00464004" w:rsidRPr="00CD1518" w:rsidRDefault="00464004">
            <w:pPr>
              <w:spacing w:line="240" w:lineRule="auto"/>
              <w:rPr>
                <w:sz w:val="12"/>
                <w:lang w:eastAsia="en-AU"/>
              </w:rPr>
            </w:pPr>
            <w:r w:rsidRPr="00CD1518">
              <w:rPr>
                <w:sz w:val="12"/>
                <w:lang w:eastAsia="en-AU"/>
              </w:rPr>
              <w:t>Theatre</w:t>
            </w:r>
          </w:p>
        </w:tc>
        <w:tc>
          <w:tcPr>
            <w:tcW w:w="445" w:type="pct"/>
            <w:tcBorders>
              <w:top w:val="nil"/>
              <w:left w:val="single" w:sz="4" w:space="0" w:color="5B9BD5"/>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23,947</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23,947</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23,947</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pPr>
              <w:spacing w:line="240" w:lineRule="auto"/>
              <w:jc w:val="right"/>
              <w:rPr>
                <w:sz w:val="12"/>
                <w:lang w:eastAsia="en-AU"/>
              </w:rPr>
            </w:pPr>
            <w:r w:rsidRPr="00CD1518">
              <w:rPr>
                <w:sz w:val="12"/>
                <w:lang w:eastAsia="en-AU"/>
              </w:rPr>
              <w:t>100%</w:t>
            </w:r>
          </w:p>
        </w:tc>
      </w:tr>
      <w:tr w:rsidR="00464004" w:rsidRPr="00464004" w:rsidTr="00CD1518">
        <w:trPr>
          <w:trHeight w:val="290"/>
        </w:trPr>
        <w:tc>
          <w:tcPr>
            <w:tcW w:w="550" w:type="pct"/>
            <w:tcBorders>
              <w:top w:val="nil"/>
              <w:left w:val="single" w:sz="4" w:space="0" w:color="5B9BD5"/>
              <w:bottom w:val="nil"/>
              <w:right w:val="nil"/>
            </w:tcBorders>
            <w:shd w:val="clear" w:color="000000" w:fill="FFFFFF"/>
            <w:noWrap/>
            <w:vAlign w:val="center"/>
            <w:hideMark/>
          </w:tcPr>
          <w:p w:rsidR="00464004" w:rsidRPr="00CD1518" w:rsidRDefault="00464004">
            <w:pPr>
              <w:spacing w:line="240" w:lineRule="auto"/>
              <w:rPr>
                <w:color w:val="000000"/>
                <w:sz w:val="12"/>
                <w:lang w:eastAsia="en-AU"/>
              </w:rPr>
            </w:pPr>
            <w:r w:rsidRPr="00CD1518">
              <w:rPr>
                <w:color w:val="000000"/>
                <w:sz w:val="12"/>
                <w:lang w:eastAsia="en-AU"/>
              </w:rPr>
              <w:t>Prosthetics</w:t>
            </w:r>
          </w:p>
        </w:tc>
        <w:tc>
          <w:tcPr>
            <w:tcW w:w="445" w:type="pct"/>
            <w:tcBorders>
              <w:top w:val="nil"/>
              <w:left w:val="single" w:sz="4" w:space="0" w:color="5B9BD5"/>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14,931</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14,931</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14,931</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pPr>
              <w:spacing w:line="240" w:lineRule="auto"/>
              <w:jc w:val="right"/>
              <w:rPr>
                <w:color w:val="000000"/>
                <w:sz w:val="12"/>
                <w:lang w:eastAsia="en-AU"/>
              </w:rPr>
            </w:pPr>
            <w:r w:rsidRPr="00CD1518">
              <w:rPr>
                <w:color w:val="000000"/>
                <w:sz w:val="12"/>
                <w:lang w:eastAsia="en-AU"/>
              </w:rPr>
              <w:t>100%</w:t>
            </w:r>
          </w:p>
        </w:tc>
      </w:tr>
      <w:tr w:rsidR="00464004" w:rsidRPr="00464004" w:rsidTr="00CD1518">
        <w:trPr>
          <w:trHeight w:val="290"/>
        </w:trPr>
        <w:tc>
          <w:tcPr>
            <w:tcW w:w="550" w:type="pct"/>
            <w:tcBorders>
              <w:top w:val="nil"/>
              <w:left w:val="single" w:sz="4" w:space="0" w:color="5B9BD5"/>
              <w:bottom w:val="nil"/>
              <w:right w:val="nil"/>
            </w:tcBorders>
            <w:shd w:val="clear" w:color="000000" w:fill="DDEBF7"/>
            <w:noWrap/>
            <w:vAlign w:val="center"/>
            <w:hideMark/>
          </w:tcPr>
          <w:p w:rsidR="00464004" w:rsidRPr="00CD1518" w:rsidRDefault="00464004">
            <w:pPr>
              <w:spacing w:line="240" w:lineRule="auto"/>
              <w:rPr>
                <w:sz w:val="12"/>
                <w:lang w:eastAsia="en-AU"/>
              </w:rPr>
            </w:pPr>
            <w:r w:rsidRPr="00CD1518">
              <w:rPr>
                <w:sz w:val="12"/>
                <w:lang w:eastAsia="en-AU"/>
              </w:rPr>
              <w:t>Pathology</w:t>
            </w:r>
          </w:p>
        </w:tc>
        <w:tc>
          <w:tcPr>
            <w:tcW w:w="445" w:type="pct"/>
            <w:tcBorders>
              <w:top w:val="nil"/>
              <w:left w:val="single" w:sz="4" w:space="0" w:color="5B9BD5"/>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525,658</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525,658</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522,867</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2,791</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pPr>
              <w:spacing w:line="240" w:lineRule="auto"/>
              <w:jc w:val="right"/>
              <w:rPr>
                <w:sz w:val="12"/>
                <w:lang w:eastAsia="en-AU"/>
              </w:rPr>
            </w:pPr>
            <w:r w:rsidRPr="00CD1518">
              <w:rPr>
                <w:sz w:val="12"/>
                <w:lang w:eastAsia="en-AU"/>
              </w:rPr>
              <w:t>99%</w:t>
            </w:r>
          </w:p>
        </w:tc>
      </w:tr>
      <w:tr w:rsidR="00464004" w:rsidRPr="00464004" w:rsidTr="00CD1518">
        <w:trPr>
          <w:trHeight w:val="290"/>
        </w:trPr>
        <w:tc>
          <w:tcPr>
            <w:tcW w:w="550" w:type="pct"/>
            <w:tcBorders>
              <w:top w:val="nil"/>
              <w:left w:val="single" w:sz="4" w:space="0" w:color="5B9BD5"/>
              <w:bottom w:val="nil"/>
              <w:right w:val="nil"/>
            </w:tcBorders>
            <w:shd w:val="clear" w:color="000000" w:fill="FFFFFF"/>
            <w:noWrap/>
            <w:vAlign w:val="center"/>
            <w:hideMark/>
          </w:tcPr>
          <w:p w:rsidR="00464004" w:rsidRPr="00CD1518" w:rsidRDefault="00464004">
            <w:pPr>
              <w:spacing w:line="240" w:lineRule="auto"/>
              <w:rPr>
                <w:color w:val="000000"/>
                <w:sz w:val="12"/>
                <w:lang w:eastAsia="en-AU"/>
              </w:rPr>
            </w:pPr>
            <w:r w:rsidRPr="00CD1518">
              <w:rPr>
                <w:color w:val="000000"/>
                <w:sz w:val="12"/>
                <w:lang w:eastAsia="en-AU"/>
              </w:rPr>
              <w:t>Blood</w:t>
            </w:r>
          </w:p>
        </w:tc>
        <w:tc>
          <w:tcPr>
            <w:tcW w:w="445" w:type="pct"/>
            <w:tcBorders>
              <w:top w:val="nil"/>
              <w:left w:val="single" w:sz="4" w:space="0" w:color="5B9BD5"/>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7,949</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7,949</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7,655</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294</w:t>
            </w:r>
          </w:p>
        </w:tc>
        <w:tc>
          <w:tcPr>
            <w:tcW w:w="445" w:type="pct"/>
            <w:tcBorders>
              <w:top w:val="nil"/>
              <w:left w:val="nil"/>
              <w:bottom w:val="nil"/>
              <w:right w:val="single" w:sz="4" w:space="0" w:color="5B9BD5"/>
            </w:tcBorders>
            <w:shd w:val="clear" w:color="000000" w:fill="FFFFFF"/>
            <w:noWrap/>
            <w:vAlign w:val="center"/>
            <w:hideMark/>
          </w:tcPr>
          <w:p w:rsidR="00464004" w:rsidRPr="00CD1518" w:rsidRDefault="00464004">
            <w:pPr>
              <w:spacing w:line="240" w:lineRule="auto"/>
              <w:jc w:val="right"/>
              <w:rPr>
                <w:color w:val="000000"/>
                <w:sz w:val="12"/>
                <w:lang w:eastAsia="en-AU"/>
              </w:rPr>
            </w:pPr>
            <w:r w:rsidRPr="00CD1518">
              <w:rPr>
                <w:color w:val="000000"/>
                <w:sz w:val="12"/>
                <w:lang w:eastAsia="en-AU"/>
              </w:rPr>
              <w:t>96%</w:t>
            </w:r>
          </w:p>
        </w:tc>
      </w:tr>
      <w:tr w:rsidR="00464004" w:rsidRPr="00464004" w:rsidTr="00CD1518">
        <w:trPr>
          <w:trHeight w:val="290"/>
        </w:trPr>
        <w:tc>
          <w:tcPr>
            <w:tcW w:w="550" w:type="pct"/>
            <w:tcBorders>
              <w:top w:val="nil"/>
              <w:left w:val="single" w:sz="4" w:space="0" w:color="5B9BD5"/>
              <w:bottom w:val="nil"/>
              <w:right w:val="nil"/>
            </w:tcBorders>
            <w:shd w:val="clear" w:color="000000" w:fill="DDEBF7"/>
            <w:noWrap/>
            <w:vAlign w:val="center"/>
            <w:hideMark/>
          </w:tcPr>
          <w:p w:rsidR="00464004" w:rsidRPr="00CD1518" w:rsidRDefault="00464004">
            <w:pPr>
              <w:spacing w:line="240" w:lineRule="auto"/>
              <w:rPr>
                <w:sz w:val="12"/>
                <w:lang w:eastAsia="en-AU"/>
              </w:rPr>
            </w:pPr>
            <w:r w:rsidRPr="00CD1518">
              <w:rPr>
                <w:sz w:val="12"/>
                <w:lang w:eastAsia="en-AU"/>
              </w:rPr>
              <w:t>Pharmacy</w:t>
            </w:r>
          </w:p>
        </w:tc>
        <w:tc>
          <w:tcPr>
            <w:tcW w:w="445" w:type="pct"/>
            <w:tcBorders>
              <w:top w:val="nil"/>
              <w:left w:val="single" w:sz="4" w:space="0" w:color="5B9BD5"/>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80,555</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80,555</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74,084</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rsidP="00CD1518">
            <w:pPr>
              <w:spacing w:line="240" w:lineRule="auto"/>
              <w:jc w:val="right"/>
              <w:rPr>
                <w:sz w:val="12"/>
                <w:lang w:eastAsia="en-AU"/>
              </w:rPr>
            </w:pPr>
            <w:r w:rsidRPr="00CD1518">
              <w:rPr>
                <w:sz w:val="12"/>
                <w:lang w:eastAsia="en-AU"/>
              </w:rPr>
              <w:t>6,471</w:t>
            </w:r>
          </w:p>
        </w:tc>
        <w:tc>
          <w:tcPr>
            <w:tcW w:w="445" w:type="pct"/>
            <w:tcBorders>
              <w:top w:val="nil"/>
              <w:left w:val="nil"/>
              <w:bottom w:val="nil"/>
              <w:right w:val="single" w:sz="4" w:space="0" w:color="5B9BD5"/>
            </w:tcBorders>
            <w:shd w:val="clear" w:color="000000" w:fill="DDEBF7"/>
            <w:noWrap/>
            <w:vAlign w:val="center"/>
            <w:hideMark/>
          </w:tcPr>
          <w:p w:rsidR="00464004" w:rsidRPr="00CD1518" w:rsidRDefault="00464004">
            <w:pPr>
              <w:spacing w:line="240" w:lineRule="auto"/>
              <w:jc w:val="right"/>
              <w:rPr>
                <w:sz w:val="12"/>
                <w:lang w:eastAsia="en-AU"/>
              </w:rPr>
            </w:pPr>
            <w:r w:rsidRPr="00CD1518">
              <w:rPr>
                <w:sz w:val="12"/>
                <w:lang w:eastAsia="en-AU"/>
              </w:rPr>
              <w:t>92%</w:t>
            </w:r>
          </w:p>
        </w:tc>
      </w:tr>
      <w:tr w:rsidR="00464004" w:rsidRPr="00464004" w:rsidTr="00CD1518">
        <w:trPr>
          <w:trHeight w:val="290"/>
        </w:trPr>
        <w:tc>
          <w:tcPr>
            <w:tcW w:w="550" w:type="pct"/>
            <w:tcBorders>
              <w:top w:val="nil"/>
              <w:left w:val="single" w:sz="4" w:space="0" w:color="5B9BD5"/>
              <w:bottom w:val="single" w:sz="4" w:space="0" w:color="5B9BD5"/>
              <w:right w:val="nil"/>
            </w:tcBorders>
            <w:shd w:val="clear" w:color="000000" w:fill="FFFFFF"/>
            <w:noWrap/>
            <w:vAlign w:val="center"/>
            <w:hideMark/>
          </w:tcPr>
          <w:p w:rsidR="00464004" w:rsidRPr="00CD1518" w:rsidRDefault="00464004">
            <w:pPr>
              <w:spacing w:line="240" w:lineRule="auto"/>
              <w:rPr>
                <w:color w:val="000000"/>
                <w:sz w:val="12"/>
                <w:lang w:eastAsia="en-AU"/>
              </w:rPr>
            </w:pPr>
            <w:r w:rsidRPr="00CD1518">
              <w:rPr>
                <w:color w:val="000000"/>
                <w:sz w:val="12"/>
                <w:lang w:eastAsia="en-AU"/>
              </w:rPr>
              <w:t>Imaging</w:t>
            </w:r>
          </w:p>
        </w:tc>
        <w:tc>
          <w:tcPr>
            <w:tcW w:w="445" w:type="pct"/>
            <w:tcBorders>
              <w:top w:val="nil"/>
              <w:left w:val="single" w:sz="4" w:space="0" w:color="5B9BD5"/>
              <w:bottom w:val="single" w:sz="4" w:space="0" w:color="5B9BD5"/>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135,779</w:t>
            </w:r>
          </w:p>
        </w:tc>
        <w:tc>
          <w:tcPr>
            <w:tcW w:w="445" w:type="pct"/>
            <w:tcBorders>
              <w:top w:val="nil"/>
              <w:left w:val="nil"/>
              <w:bottom w:val="single" w:sz="4" w:space="0" w:color="5B9BD5"/>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135,779</w:t>
            </w:r>
          </w:p>
        </w:tc>
        <w:tc>
          <w:tcPr>
            <w:tcW w:w="445" w:type="pct"/>
            <w:tcBorders>
              <w:top w:val="nil"/>
              <w:left w:val="nil"/>
              <w:bottom w:val="single" w:sz="4" w:space="0" w:color="5B9BD5"/>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single" w:sz="4" w:space="0" w:color="5B9BD5"/>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single" w:sz="4" w:space="0" w:color="5B9BD5"/>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single" w:sz="4" w:space="0" w:color="5B9BD5"/>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single" w:sz="4" w:space="0" w:color="5B9BD5"/>
              <w:right w:val="single" w:sz="4" w:space="0" w:color="5B9BD5"/>
            </w:tcBorders>
            <w:shd w:val="clear" w:color="000000" w:fill="DDEBF7"/>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124,586</w:t>
            </w:r>
          </w:p>
        </w:tc>
        <w:tc>
          <w:tcPr>
            <w:tcW w:w="445" w:type="pct"/>
            <w:tcBorders>
              <w:top w:val="nil"/>
              <w:left w:val="nil"/>
              <w:bottom w:val="single" w:sz="4" w:space="0" w:color="5B9BD5"/>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w:t>
            </w:r>
          </w:p>
        </w:tc>
        <w:tc>
          <w:tcPr>
            <w:tcW w:w="445" w:type="pct"/>
            <w:tcBorders>
              <w:top w:val="nil"/>
              <w:left w:val="nil"/>
              <w:bottom w:val="single" w:sz="4" w:space="0" w:color="5B9BD5"/>
              <w:right w:val="single" w:sz="4" w:space="0" w:color="5B9BD5"/>
            </w:tcBorders>
            <w:shd w:val="clear" w:color="000000" w:fill="FFFFFF"/>
            <w:noWrap/>
            <w:vAlign w:val="center"/>
            <w:hideMark/>
          </w:tcPr>
          <w:p w:rsidR="00464004" w:rsidRPr="00CD1518" w:rsidRDefault="00464004" w:rsidP="00CD1518">
            <w:pPr>
              <w:spacing w:line="240" w:lineRule="auto"/>
              <w:jc w:val="right"/>
              <w:rPr>
                <w:color w:val="000000"/>
                <w:sz w:val="12"/>
                <w:lang w:eastAsia="en-AU"/>
              </w:rPr>
            </w:pPr>
            <w:r w:rsidRPr="00CD1518">
              <w:rPr>
                <w:color w:val="000000"/>
                <w:sz w:val="12"/>
                <w:lang w:eastAsia="en-AU"/>
              </w:rPr>
              <w:t>11,193</w:t>
            </w:r>
          </w:p>
        </w:tc>
        <w:tc>
          <w:tcPr>
            <w:tcW w:w="445" w:type="pct"/>
            <w:tcBorders>
              <w:top w:val="nil"/>
              <w:left w:val="nil"/>
              <w:bottom w:val="single" w:sz="4" w:space="0" w:color="5B9BD5"/>
              <w:right w:val="single" w:sz="4" w:space="0" w:color="5B9BD5"/>
            </w:tcBorders>
            <w:shd w:val="clear" w:color="000000" w:fill="FFFFFF"/>
            <w:noWrap/>
            <w:vAlign w:val="center"/>
            <w:hideMark/>
          </w:tcPr>
          <w:p w:rsidR="00464004" w:rsidRPr="00CD1518" w:rsidRDefault="00464004">
            <w:pPr>
              <w:spacing w:line="240" w:lineRule="auto"/>
              <w:jc w:val="right"/>
              <w:rPr>
                <w:color w:val="000000"/>
                <w:sz w:val="12"/>
                <w:lang w:eastAsia="en-AU"/>
              </w:rPr>
            </w:pPr>
            <w:r w:rsidRPr="00CD1518">
              <w:rPr>
                <w:color w:val="000000"/>
                <w:sz w:val="12"/>
                <w:lang w:eastAsia="en-AU"/>
              </w:rPr>
              <w:t>92%</w:t>
            </w:r>
          </w:p>
        </w:tc>
      </w:tr>
    </w:tbl>
    <w:p w:rsidR="00972129" w:rsidRPr="00975E6B" w:rsidRDefault="00972129" w:rsidP="00972129">
      <w:pPr>
        <w:rPr>
          <w:bCs/>
          <w:i/>
          <w:sz w:val="16"/>
          <w:szCs w:val="16"/>
        </w:rPr>
      </w:pPr>
      <w:r w:rsidRPr="00975E6B">
        <w:rPr>
          <w:bCs/>
          <w:i/>
          <w:sz w:val="16"/>
          <w:szCs w:val="16"/>
        </w:rPr>
        <w:t xml:space="preserve">Source: KPMG based on data supplied by Northern NSW LHD </w:t>
      </w:r>
    </w:p>
    <w:p w:rsidR="00972129" w:rsidRPr="00975E6B" w:rsidRDefault="00972129" w:rsidP="00972129">
      <w:pPr>
        <w:spacing w:before="120" w:after="120" w:line="280" w:lineRule="atLeast"/>
        <w:jc w:val="both"/>
        <w:rPr>
          <w:szCs w:val="22"/>
        </w:rPr>
      </w:pPr>
      <w:r w:rsidRPr="00975E6B">
        <w:rPr>
          <w:szCs w:val="22"/>
        </w:rPr>
        <w:t xml:space="preserve">The following should be noted about the activity and feeder data for Northern NSW LHD. </w:t>
      </w:r>
    </w:p>
    <w:p w:rsidR="00464004" w:rsidRPr="004D0865" w:rsidRDefault="00464004" w:rsidP="00F26328">
      <w:pPr>
        <w:numPr>
          <w:ilvl w:val="0"/>
          <w:numId w:val="35"/>
        </w:numPr>
        <w:spacing w:before="120" w:after="120" w:line="280" w:lineRule="atLeast"/>
        <w:jc w:val="both"/>
        <w:rPr>
          <w:szCs w:val="22"/>
        </w:rPr>
      </w:pPr>
      <w:r w:rsidRPr="00CD1518">
        <w:rPr>
          <w:szCs w:val="22"/>
        </w:rPr>
        <w:t>During Round 18, there was an issue with the extract from the source system for the PAS data for N</w:t>
      </w:r>
      <w:r w:rsidR="00AD277D">
        <w:rPr>
          <w:szCs w:val="22"/>
        </w:rPr>
        <w:t xml:space="preserve">orthern </w:t>
      </w:r>
      <w:r w:rsidRPr="00CD1518">
        <w:rPr>
          <w:szCs w:val="22"/>
        </w:rPr>
        <w:t>NSW</w:t>
      </w:r>
      <w:r w:rsidR="00AD277D">
        <w:rPr>
          <w:szCs w:val="22"/>
        </w:rPr>
        <w:t xml:space="preserve"> </w:t>
      </w:r>
      <w:r w:rsidRPr="00CD1518">
        <w:rPr>
          <w:szCs w:val="22"/>
        </w:rPr>
        <w:t>LHD which resulted in a near duplication of records.</w:t>
      </w:r>
      <w:r w:rsidR="00A44A67">
        <w:rPr>
          <w:szCs w:val="22"/>
        </w:rPr>
        <w:t xml:space="preserve"> </w:t>
      </w:r>
      <w:r w:rsidRPr="00CD1518">
        <w:rPr>
          <w:szCs w:val="22"/>
        </w:rPr>
        <w:t xml:space="preserve">The numbers reflected in the activity data for PAS reflected the initial extract before the duplication issue was corrected. </w:t>
      </w:r>
      <w:r>
        <w:rPr>
          <w:szCs w:val="22"/>
        </w:rPr>
        <w:t>The 88,744 duplicated records were not costed.</w:t>
      </w:r>
    </w:p>
    <w:p w:rsidR="00972129" w:rsidRPr="00975E6B" w:rsidRDefault="00972129" w:rsidP="00F26328">
      <w:pPr>
        <w:numPr>
          <w:ilvl w:val="0"/>
          <w:numId w:val="35"/>
        </w:numPr>
        <w:spacing w:before="120" w:after="120" w:line="280" w:lineRule="atLeast"/>
        <w:jc w:val="both"/>
        <w:rPr>
          <w:szCs w:val="22"/>
        </w:rPr>
      </w:pPr>
      <w:r w:rsidRPr="00975E6B">
        <w:rPr>
          <w:szCs w:val="22"/>
        </w:rPr>
        <w:t>There are seven feeders reported from hospital source systems.</w:t>
      </w:r>
    </w:p>
    <w:p w:rsidR="00972129" w:rsidRPr="00975E6B" w:rsidRDefault="00972129" w:rsidP="00F26328">
      <w:pPr>
        <w:numPr>
          <w:ilvl w:val="0"/>
          <w:numId w:val="35"/>
        </w:numPr>
        <w:spacing w:before="120" w:after="120" w:line="280" w:lineRule="atLeast"/>
        <w:jc w:val="both"/>
        <w:rPr>
          <w:szCs w:val="22"/>
        </w:rPr>
      </w:pPr>
      <w:r w:rsidRPr="00975E6B">
        <w:rPr>
          <w:szCs w:val="22"/>
        </w:rPr>
        <w:t>The number of records linked from source to product was significant as anaesthetics, theatre and prostheses demonstrated zero unlinked records.</w:t>
      </w:r>
      <w:r w:rsidR="00017513" w:rsidRPr="00975E6B">
        <w:rPr>
          <w:szCs w:val="22"/>
        </w:rPr>
        <w:t xml:space="preserve"> </w:t>
      </w:r>
      <w:r w:rsidRPr="00975E6B">
        <w:rPr>
          <w:szCs w:val="22"/>
        </w:rPr>
        <w:t xml:space="preserve">Pathology had less than one percent of unlinked records. </w:t>
      </w:r>
    </w:p>
    <w:p w:rsidR="00972129" w:rsidRPr="00975E6B" w:rsidRDefault="00972129" w:rsidP="00F26328">
      <w:pPr>
        <w:numPr>
          <w:ilvl w:val="0"/>
          <w:numId w:val="35"/>
        </w:numPr>
        <w:spacing w:before="120" w:after="120" w:line="280" w:lineRule="atLeast"/>
        <w:jc w:val="both"/>
        <w:rPr>
          <w:szCs w:val="22"/>
        </w:rPr>
      </w:pPr>
      <w:r w:rsidRPr="00975E6B">
        <w:rPr>
          <w:szCs w:val="22"/>
        </w:rPr>
        <w:t xml:space="preserve">The Blood feeder system had four percent of records unlinked, however that feeder will be decommissioned and a new system in place and is expected to be used in Round 19. </w:t>
      </w:r>
    </w:p>
    <w:p w:rsidR="00972129" w:rsidRPr="00975E6B" w:rsidRDefault="00972129" w:rsidP="00F26328">
      <w:pPr>
        <w:numPr>
          <w:ilvl w:val="0"/>
          <w:numId w:val="35"/>
        </w:numPr>
        <w:spacing w:before="120" w:after="120" w:line="240" w:lineRule="auto"/>
        <w:jc w:val="both"/>
        <w:rPr>
          <w:szCs w:val="22"/>
        </w:rPr>
      </w:pPr>
      <w:r w:rsidRPr="00975E6B">
        <w:rPr>
          <w:szCs w:val="22"/>
        </w:rPr>
        <w:lastRenderedPageBreak/>
        <w:t xml:space="preserve">Pharmacy and imaging had 8 percent unlinked records. The unlinked records are a result of a number of patients </w:t>
      </w:r>
      <w:r w:rsidR="00851875" w:rsidRPr="00975E6B">
        <w:rPr>
          <w:szCs w:val="22"/>
        </w:rPr>
        <w:t xml:space="preserve">having </w:t>
      </w:r>
      <w:r w:rsidRPr="00975E6B">
        <w:rPr>
          <w:szCs w:val="22"/>
        </w:rPr>
        <w:t xml:space="preserve">scripts filled outside of linking rule ranges, including patients having </w:t>
      </w:r>
      <w:r w:rsidR="00851875" w:rsidRPr="00975E6B">
        <w:rPr>
          <w:szCs w:val="22"/>
        </w:rPr>
        <w:t xml:space="preserve">three </w:t>
      </w:r>
      <w:r w:rsidRPr="00975E6B">
        <w:rPr>
          <w:szCs w:val="22"/>
        </w:rPr>
        <w:t xml:space="preserve">week post discharge interactions with the health service. Costing staff indicated that to change linking rules to accommodate this practice, would increase the rate of unlinked records. </w:t>
      </w:r>
    </w:p>
    <w:p w:rsidR="00017513" w:rsidRPr="00975E6B" w:rsidRDefault="00017513" w:rsidP="00F26328">
      <w:pPr>
        <w:numPr>
          <w:ilvl w:val="0"/>
          <w:numId w:val="35"/>
        </w:numPr>
        <w:spacing w:before="120" w:after="120" w:line="240" w:lineRule="auto"/>
        <w:jc w:val="both"/>
        <w:rPr>
          <w:szCs w:val="22"/>
        </w:rPr>
      </w:pPr>
      <w:r w:rsidRPr="00975E6B">
        <w:rPr>
          <w:szCs w:val="22"/>
        </w:rPr>
        <w:t xml:space="preserve">The linking </w:t>
      </w:r>
      <w:r w:rsidR="000C19A6" w:rsidRPr="00975E6B">
        <w:rPr>
          <w:szCs w:val="22"/>
        </w:rPr>
        <w:t>ratios across all feeders suggest</w:t>
      </w:r>
      <w:r w:rsidRPr="00975E6B">
        <w:rPr>
          <w:szCs w:val="22"/>
        </w:rPr>
        <w:t xml:space="preserve"> that there is robustness in the level of feeder activity reported back to episodes</w:t>
      </w:r>
      <w:r w:rsidR="00AD71DB" w:rsidRPr="00975E6B">
        <w:rPr>
          <w:szCs w:val="22"/>
        </w:rPr>
        <w:t>.</w:t>
      </w:r>
    </w:p>
    <w:p w:rsidR="00972129" w:rsidRPr="00471E5C" w:rsidRDefault="00972129" w:rsidP="00B464CA">
      <w:pPr>
        <w:spacing w:before="120" w:after="120" w:line="280" w:lineRule="atLeast"/>
        <w:jc w:val="both"/>
        <w:rPr>
          <w:bCs/>
        </w:rPr>
      </w:pPr>
      <w:r w:rsidRPr="00B464CA">
        <w:rPr>
          <w:bCs/>
        </w:rPr>
        <w:fldChar w:fldCharType="begin"/>
      </w:r>
      <w:r w:rsidRPr="00B464CA">
        <w:rPr>
          <w:bCs/>
        </w:rPr>
        <w:instrText xml:space="preserve"> REF _Ref434488704 \h </w:instrText>
      </w:r>
      <w:r w:rsidR="008375B1" w:rsidRPr="00B464CA">
        <w:rPr>
          <w:bCs/>
        </w:rPr>
        <w:instrText xml:space="preserve"> \* MERGEFORMAT </w:instrText>
      </w:r>
      <w:r w:rsidRPr="00B464CA">
        <w:rPr>
          <w:bCs/>
        </w:rPr>
      </w:r>
      <w:r w:rsidRPr="00B464CA">
        <w:rPr>
          <w:bCs/>
        </w:rPr>
        <w:fldChar w:fldCharType="separate"/>
      </w:r>
      <w:r w:rsidR="00154CF7" w:rsidRPr="00154CF7">
        <w:rPr>
          <w:bCs/>
        </w:rPr>
        <w:t>Table 21</w:t>
      </w:r>
      <w:r w:rsidRPr="00B464CA">
        <w:rPr>
          <w:bCs/>
        </w:rPr>
        <w:fldChar w:fldCharType="end"/>
      </w:r>
      <w:r w:rsidRPr="00B464CA">
        <w:rPr>
          <w:bCs/>
        </w:rPr>
        <w:t xml:space="preserve"> highlights the transfer of activity data from Northern NSW LHD to NSW Health and then </w:t>
      </w:r>
      <w:r w:rsidRPr="00471E5C">
        <w:rPr>
          <w:bCs/>
        </w:rPr>
        <w:t>through to IHPA submission and finalisation.</w:t>
      </w:r>
    </w:p>
    <w:p w:rsidR="001E3CFA" w:rsidRPr="00975E6B" w:rsidRDefault="00972129" w:rsidP="00CD1518">
      <w:pPr>
        <w:keepNext/>
        <w:spacing w:before="120" w:after="120"/>
        <w:rPr>
          <w:szCs w:val="22"/>
        </w:rPr>
      </w:pPr>
      <w:bookmarkStart w:id="695" w:name="_Ref434488704"/>
      <w:r w:rsidRPr="00975E6B">
        <w:rPr>
          <w:bCs/>
          <w:i/>
        </w:rPr>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21</w:t>
      </w:r>
      <w:r w:rsidRPr="00975E6B">
        <w:rPr>
          <w:bCs/>
          <w:i/>
          <w:noProof/>
        </w:rPr>
        <w:fldChar w:fldCharType="end"/>
      </w:r>
      <w:bookmarkEnd w:id="695"/>
      <w:r w:rsidR="00BA3F4B" w:rsidRPr="00975E6B">
        <w:rPr>
          <w:bCs/>
          <w:i/>
        </w:rPr>
        <w:t xml:space="preserve"> </w:t>
      </w:r>
      <w:r w:rsidRPr="00975E6B">
        <w:rPr>
          <w:bCs/>
          <w:i/>
        </w:rPr>
        <w:t>– Activity data submission – Northern NSW LHD</w:t>
      </w:r>
    </w:p>
    <w:tbl>
      <w:tblPr>
        <w:tblW w:w="5000" w:type="pct"/>
        <w:tblLayout w:type="fixed"/>
        <w:tblLook w:val="04A0" w:firstRow="1" w:lastRow="0" w:firstColumn="1" w:lastColumn="0" w:noHBand="0" w:noVBand="1"/>
        <w:tblCaption w:val="Table 21 - Activity submission - Northern NSW LHD"/>
        <w:tblDescription w:val="This table highlights the transfer of activity data from Northern NSW LHD to NSW Health and then through to IHPA submission and finalisation. There are 8 columns. Column 1 is the NHCDC product type, Column 2 is the activity related to 2013-14 costs, column 3 is the adjustments to Column 2, column 4 is the activity submitted to the jurisdiction, column 5 is the adjustments to column 4, column 6 is the activity submitted to IHPA, column 7 is the adjustments to column 6 and column 8 is the total activity submitted for the Round 18 NHCDC."/>
      </w:tblPr>
      <w:tblGrid>
        <w:gridCol w:w="1668"/>
        <w:gridCol w:w="1007"/>
        <w:gridCol w:w="1008"/>
        <w:gridCol w:w="1008"/>
        <w:gridCol w:w="1006"/>
        <w:gridCol w:w="1008"/>
        <w:gridCol w:w="1008"/>
        <w:gridCol w:w="1008"/>
      </w:tblGrid>
      <w:tr w:rsidR="001E3CFA" w:rsidRPr="001E3CFA" w:rsidTr="00E14378">
        <w:trPr>
          <w:trHeight w:val="1050"/>
        </w:trPr>
        <w:tc>
          <w:tcPr>
            <w:tcW w:w="956"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1E3CFA" w:rsidRPr="00CD1518" w:rsidRDefault="001E3CFA" w:rsidP="001E3CFA">
            <w:pPr>
              <w:spacing w:line="240" w:lineRule="auto"/>
              <w:rPr>
                <w:b/>
                <w:bCs/>
                <w:color w:val="FFFFFF"/>
                <w:sz w:val="14"/>
                <w:lang w:eastAsia="en-AU"/>
              </w:rPr>
            </w:pPr>
            <w:r w:rsidRPr="00CD1518">
              <w:rPr>
                <w:b/>
                <w:bCs/>
                <w:color w:val="FFFFFF"/>
                <w:sz w:val="14"/>
                <w:lang w:eastAsia="en-AU"/>
              </w:rPr>
              <w:t>Product</w:t>
            </w:r>
          </w:p>
        </w:tc>
        <w:tc>
          <w:tcPr>
            <w:tcW w:w="577" w:type="pct"/>
            <w:tcBorders>
              <w:top w:val="single" w:sz="4" w:space="0" w:color="5B9BD5"/>
              <w:left w:val="nil"/>
              <w:bottom w:val="single" w:sz="4" w:space="0" w:color="5B9BD5"/>
              <w:right w:val="single" w:sz="4" w:space="0" w:color="5B9BD5"/>
            </w:tcBorders>
            <w:shd w:val="clear" w:color="auto" w:fill="002060"/>
            <w:vAlign w:val="bottom"/>
            <w:hideMark/>
          </w:tcPr>
          <w:p w:rsidR="001E3CFA" w:rsidRPr="00CD1518" w:rsidRDefault="001E3CFA" w:rsidP="001E3CFA">
            <w:pPr>
              <w:spacing w:line="240" w:lineRule="auto"/>
              <w:jc w:val="center"/>
              <w:rPr>
                <w:b/>
                <w:bCs/>
                <w:color w:val="FFFFFF"/>
                <w:sz w:val="14"/>
                <w:lang w:eastAsia="en-AU"/>
              </w:rPr>
            </w:pPr>
            <w:r w:rsidRPr="00CD1518">
              <w:rPr>
                <w:b/>
                <w:bCs/>
                <w:color w:val="FFFFFF"/>
                <w:sz w:val="14"/>
                <w:lang w:eastAsia="en-AU"/>
              </w:rPr>
              <w:t>Activity related to 2013-14 Costs</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1E3CFA" w:rsidRPr="00CD1518" w:rsidRDefault="001E3CFA" w:rsidP="001E3CFA">
            <w:pPr>
              <w:spacing w:line="240" w:lineRule="auto"/>
              <w:jc w:val="center"/>
              <w:rPr>
                <w:b/>
                <w:bCs/>
                <w:color w:val="FFFFFF"/>
                <w:sz w:val="14"/>
                <w:lang w:eastAsia="en-AU"/>
              </w:rPr>
            </w:pPr>
            <w:r w:rsidRPr="00CD1518">
              <w:rPr>
                <w:b/>
                <w:bCs/>
                <w:color w:val="FFFFFF"/>
                <w:sz w:val="12"/>
                <w:lang w:eastAsia="en-AU"/>
              </w:rPr>
              <w:t>Adjustments</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1E3CFA" w:rsidRPr="00CD1518" w:rsidRDefault="001E3CFA" w:rsidP="001E3CFA">
            <w:pPr>
              <w:spacing w:line="240" w:lineRule="auto"/>
              <w:jc w:val="center"/>
              <w:rPr>
                <w:b/>
                <w:bCs/>
                <w:color w:val="FFFFFF"/>
                <w:sz w:val="14"/>
                <w:lang w:eastAsia="en-AU"/>
              </w:rPr>
            </w:pPr>
            <w:r w:rsidRPr="00CD1518">
              <w:rPr>
                <w:b/>
                <w:bCs/>
                <w:color w:val="FFFFFF"/>
                <w:sz w:val="14"/>
                <w:lang w:eastAsia="en-AU"/>
              </w:rPr>
              <w:t>Activity submitted to jurisdiction</w:t>
            </w:r>
          </w:p>
        </w:tc>
        <w:tc>
          <w:tcPr>
            <w:tcW w:w="577" w:type="pct"/>
            <w:tcBorders>
              <w:top w:val="single" w:sz="4" w:space="0" w:color="5B9BD5"/>
              <w:left w:val="nil"/>
              <w:bottom w:val="single" w:sz="4" w:space="0" w:color="5B9BD5"/>
              <w:right w:val="single" w:sz="4" w:space="0" w:color="5B9BD5"/>
            </w:tcBorders>
            <w:shd w:val="clear" w:color="auto" w:fill="002060"/>
            <w:vAlign w:val="bottom"/>
            <w:hideMark/>
          </w:tcPr>
          <w:p w:rsidR="001E3CFA" w:rsidRPr="00CD1518" w:rsidRDefault="001E3CFA" w:rsidP="001E3CFA">
            <w:pPr>
              <w:spacing w:line="240" w:lineRule="auto"/>
              <w:jc w:val="center"/>
              <w:rPr>
                <w:b/>
                <w:bCs/>
                <w:color w:val="FFFFFF"/>
                <w:sz w:val="14"/>
                <w:lang w:eastAsia="en-AU"/>
              </w:rPr>
            </w:pPr>
            <w:r w:rsidRPr="00CD1518">
              <w:rPr>
                <w:b/>
                <w:bCs/>
                <w:color w:val="FFFFFF"/>
                <w:sz w:val="12"/>
                <w:lang w:eastAsia="en-AU"/>
              </w:rPr>
              <w:t>Adjustments</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1E3CFA" w:rsidRPr="00CD1518" w:rsidRDefault="001E3CFA" w:rsidP="001E3CFA">
            <w:pPr>
              <w:spacing w:line="240" w:lineRule="auto"/>
              <w:jc w:val="center"/>
              <w:rPr>
                <w:b/>
                <w:bCs/>
                <w:color w:val="FFFFFF"/>
                <w:sz w:val="14"/>
                <w:lang w:eastAsia="en-AU"/>
              </w:rPr>
            </w:pPr>
            <w:r w:rsidRPr="00CD1518">
              <w:rPr>
                <w:b/>
                <w:bCs/>
                <w:color w:val="FFFFFF"/>
                <w:sz w:val="14"/>
                <w:lang w:eastAsia="en-AU"/>
              </w:rPr>
              <w:t>Activity submitted to IHPA</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1E3CFA" w:rsidRPr="00CD1518" w:rsidRDefault="001E3CFA" w:rsidP="001E3CFA">
            <w:pPr>
              <w:spacing w:line="240" w:lineRule="auto"/>
              <w:jc w:val="center"/>
              <w:rPr>
                <w:b/>
                <w:bCs/>
                <w:color w:val="FFFFFF"/>
                <w:sz w:val="14"/>
                <w:lang w:eastAsia="en-AU"/>
              </w:rPr>
            </w:pPr>
            <w:r w:rsidRPr="00CD1518">
              <w:rPr>
                <w:b/>
                <w:bCs/>
                <w:color w:val="FFFFFF"/>
                <w:sz w:val="12"/>
                <w:lang w:eastAsia="en-AU"/>
              </w:rPr>
              <w:t>Adjustments</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1E3CFA" w:rsidRPr="00CD1518" w:rsidRDefault="001E3CFA" w:rsidP="001E3CFA">
            <w:pPr>
              <w:spacing w:line="240" w:lineRule="auto"/>
              <w:jc w:val="center"/>
              <w:rPr>
                <w:b/>
                <w:bCs/>
                <w:color w:val="FFFFFF"/>
                <w:sz w:val="14"/>
                <w:lang w:eastAsia="en-AU"/>
              </w:rPr>
            </w:pPr>
            <w:r w:rsidRPr="00CD1518">
              <w:rPr>
                <w:b/>
                <w:bCs/>
                <w:color w:val="FFFFFF"/>
                <w:sz w:val="14"/>
                <w:lang w:eastAsia="en-AU"/>
              </w:rPr>
              <w:t>Total Activity submitted for Round 18 NHCDC</w:t>
            </w:r>
          </w:p>
        </w:tc>
      </w:tr>
      <w:tr w:rsidR="001E3CFA" w:rsidRPr="001E3CFA" w:rsidTr="00CD1518">
        <w:trPr>
          <w:trHeight w:val="29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1E3CFA" w:rsidRPr="00CD1518" w:rsidRDefault="001E3CFA">
            <w:pPr>
              <w:spacing w:line="240" w:lineRule="auto"/>
              <w:rPr>
                <w:color w:val="000000"/>
                <w:sz w:val="14"/>
                <w:lang w:eastAsia="en-AU"/>
              </w:rPr>
            </w:pPr>
            <w:r w:rsidRPr="00CD1518">
              <w:rPr>
                <w:color w:val="000000"/>
                <w:sz w:val="14"/>
                <w:lang w:eastAsia="en-AU"/>
              </w:rPr>
              <w:t>Acute</w:t>
            </w:r>
          </w:p>
        </w:tc>
        <w:tc>
          <w:tcPr>
            <w:tcW w:w="577" w:type="pct"/>
            <w:tcBorders>
              <w:top w:val="nil"/>
              <w:left w:val="nil"/>
              <w:bottom w:val="single" w:sz="4" w:space="0" w:color="5B9BD5"/>
              <w:right w:val="single" w:sz="4" w:space="0" w:color="5B9BD5"/>
            </w:tcBorders>
            <w:shd w:val="clear" w:color="000000" w:fill="FFFFFF"/>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87,120</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87,120</w:t>
            </w:r>
          </w:p>
        </w:tc>
        <w:tc>
          <w:tcPr>
            <w:tcW w:w="577"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(5,102)</w:t>
            </w:r>
          </w:p>
        </w:tc>
        <w:tc>
          <w:tcPr>
            <w:tcW w:w="578" w:type="pct"/>
            <w:tcBorders>
              <w:top w:val="nil"/>
              <w:left w:val="nil"/>
              <w:bottom w:val="single" w:sz="4" w:space="0" w:color="5B9BD5"/>
              <w:right w:val="single" w:sz="4" w:space="0" w:color="5B9BD5"/>
            </w:tcBorders>
            <w:shd w:val="clear" w:color="000000" w:fill="FFFFFF"/>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82,018</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82,018</w:t>
            </w:r>
          </w:p>
        </w:tc>
      </w:tr>
      <w:tr w:rsidR="001E3CFA" w:rsidRPr="001E3CFA" w:rsidTr="00CD1518">
        <w:trPr>
          <w:trHeight w:val="29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1E3CFA" w:rsidRPr="00CD1518" w:rsidRDefault="001E3CFA">
            <w:pPr>
              <w:spacing w:line="240" w:lineRule="auto"/>
              <w:rPr>
                <w:color w:val="000000"/>
                <w:sz w:val="14"/>
                <w:lang w:eastAsia="en-AU"/>
              </w:rPr>
            </w:pPr>
            <w:r w:rsidRPr="00CD1518">
              <w:rPr>
                <w:color w:val="000000"/>
                <w:sz w:val="14"/>
                <w:lang w:eastAsia="en-AU"/>
              </w:rPr>
              <w:t>Non-admitted</w:t>
            </w:r>
          </w:p>
        </w:tc>
        <w:tc>
          <w:tcPr>
            <w:tcW w:w="577"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249,852</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249,852</w:t>
            </w:r>
          </w:p>
        </w:tc>
        <w:tc>
          <w:tcPr>
            <w:tcW w:w="577"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(132,374)</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117,478</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117,478</w:t>
            </w:r>
          </w:p>
        </w:tc>
      </w:tr>
      <w:tr w:rsidR="001E3CFA" w:rsidRPr="001E3CFA" w:rsidTr="00CD1518">
        <w:trPr>
          <w:trHeight w:val="29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1E3CFA" w:rsidRPr="00CD1518" w:rsidRDefault="001E3CFA">
            <w:pPr>
              <w:spacing w:line="240" w:lineRule="auto"/>
              <w:rPr>
                <w:color w:val="000000"/>
                <w:sz w:val="14"/>
                <w:lang w:eastAsia="en-AU"/>
              </w:rPr>
            </w:pPr>
            <w:r w:rsidRPr="00CD1518">
              <w:rPr>
                <w:color w:val="000000"/>
                <w:sz w:val="14"/>
                <w:lang w:eastAsia="en-AU"/>
              </w:rPr>
              <w:t>Emergency</w:t>
            </w:r>
          </w:p>
        </w:tc>
        <w:tc>
          <w:tcPr>
            <w:tcW w:w="577" w:type="pct"/>
            <w:tcBorders>
              <w:top w:val="nil"/>
              <w:left w:val="nil"/>
              <w:bottom w:val="single" w:sz="4" w:space="0" w:color="5B9BD5"/>
              <w:right w:val="single" w:sz="4" w:space="0" w:color="5B9BD5"/>
            </w:tcBorders>
            <w:shd w:val="clear" w:color="000000" w:fill="FFFFFF"/>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185,157</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185,157</w:t>
            </w:r>
          </w:p>
        </w:tc>
        <w:tc>
          <w:tcPr>
            <w:tcW w:w="577"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(63,333)</w:t>
            </w:r>
          </w:p>
        </w:tc>
        <w:tc>
          <w:tcPr>
            <w:tcW w:w="578" w:type="pct"/>
            <w:tcBorders>
              <w:top w:val="nil"/>
              <w:left w:val="nil"/>
              <w:bottom w:val="single" w:sz="4" w:space="0" w:color="5B9BD5"/>
              <w:right w:val="single" w:sz="4" w:space="0" w:color="5B9BD5"/>
            </w:tcBorders>
            <w:shd w:val="clear" w:color="000000" w:fill="FFFFFF"/>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121,824</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121,824</w:t>
            </w:r>
          </w:p>
        </w:tc>
      </w:tr>
      <w:tr w:rsidR="001E3CFA" w:rsidRPr="001E3CFA" w:rsidTr="00CD1518">
        <w:trPr>
          <w:trHeight w:val="29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1E3CFA" w:rsidRPr="00CD1518" w:rsidRDefault="001E3CFA">
            <w:pPr>
              <w:spacing w:line="240" w:lineRule="auto"/>
              <w:rPr>
                <w:color w:val="000000"/>
                <w:sz w:val="14"/>
                <w:lang w:eastAsia="en-AU"/>
              </w:rPr>
            </w:pPr>
            <w:proofErr w:type="spellStart"/>
            <w:r w:rsidRPr="00CD1518">
              <w:rPr>
                <w:color w:val="000000"/>
                <w:sz w:val="14"/>
                <w:lang w:eastAsia="en-AU"/>
              </w:rPr>
              <w:t>Sub Acute</w:t>
            </w:r>
            <w:proofErr w:type="spellEnd"/>
          </w:p>
        </w:tc>
        <w:tc>
          <w:tcPr>
            <w:tcW w:w="577"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2,582</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2,582</w:t>
            </w:r>
          </w:p>
        </w:tc>
        <w:tc>
          <w:tcPr>
            <w:tcW w:w="577"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(316)</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2,266</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2,266</w:t>
            </w:r>
          </w:p>
        </w:tc>
      </w:tr>
      <w:tr w:rsidR="001E3CFA" w:rsidRPr="001E3CFA" w:rsidTr="00CD1518">
        <w:trPr>
          <w:trHeight w:val="29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1E3CFA" w:rsidRPr="00CD1518" w:rsidRDefault="001E3CFA">
            <w:pPr>
              <w:spacing w:line="240" w:lineRule="auto"/>
              <w:rPr>
                <w:color w:val="000000"/>
                <w:sz w:val="14"/>
                <w:lang w:eastAsia="en-AU"/>
              </w:rPr>
            </w:pPr>
            <w:r w:rsidRPr="00CD1518">
              <w:rPr>
                <w:color w:val="000000"/>
                <w:sz w:val="14"/>
                <w:lang w:eastAsia="en-AU"/>
              </w:rPr>
              <w:t>Mental Health</w:t>
            </w:r>
          </w:p>
        </w:tc>
        <w:tc>
          <w:tcPr>
            <w:tcW w:w="577" w:type="pct"/>
            <w:tcBorders>
              <w:top w:val="nil"/>
              <w:left w:val="nil"/>
              <w:bottom w:val="single" w:sz="4" w:space="0" w:color="5B9BD5"/>
              <w:right w:val="single" w:sz="4" w:space="0" w:color="5B9BD5"/>
            </w:tcBorders>
            <w:shd w:val="clear" w:color="000000" w:fill="FFFFFF"/>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418</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418</w:t>
            </w:r>
          </w:p>
        </w:tc>
        <w:tc>
          <w:tcPr>
            <w:tcW w:w="577"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(418)</w:t>
            </w:r>
          </w:p>
        </w:tc>
        <w:tc>
          <w:tcPr>
            <w:tcW w:w="578" w:type="pct"/>
            <w:tcBorders>
              <w:top w:val="nil"/>
              <w:left w:val="nil"/>
              <w:bottom w:val="single" w:sz="4" w:space="0" w:color="5B9BD5"/>
              <w:right w:val="single" w:sz="4" w:space="0" w:color="5B9BD5"/>
            </w:tcBorders>
            <w:shd w:val="clear" w:color="000000" w:fill="FFFFFF"/>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r>
      <w:tr w:rsidR="001E3CFA" w:rsidRPr="001E3CFA" w:rsidTr="00CD1518">
        <w:trPr>
          <w:trHeight w:val="29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1E3CFA" w:rsidRPr="00CD1518" w:rsidRDefault="001E3CFA">
            <w:pPr>
              <w:spacing w:line="240" w:lineRule="auto"/>
              <w:rPr>
                <w:color w:val="000000"/>
                <w:sz w:val="14"/>
                <w:lang w:eastAsia="en-AU"/>
              </w:rPr>
            </w:pPr>
            <w:r w:rsidRPr="00CD1518">
              <w:rPr>
                <w:color w:val="000000"/>
                <w:sz w:val="14"/>
                <w:lang w:eastAsia="en-AU"/>
              </w:rPr>
              <w:t>Other</w:t>
            </w:r>
          </w:p>
        </w:tc>
        <w:tc>
          <w:tcPr>
            <w:tcW w:w="577"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21,172</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21,172</w:t>
            </w:r>
          </w:p>
        </w:tc>
        <w:tc>
          <w:tcPr>
            <w:tcW w:w="577"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(20,245)</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927</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(5)</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922</w:t>
            </w:r>
          </w:p>
        </w:tc>
      </w:tr>
      <w:tr w:rsidR="001E3CFA" w:rsidRPr="001E3CFA" w:rsidTr="00CD1518">
        <w:trPr>
          <w:trHeight w:val="29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1E3CFA" w:rsidRPr="00CD1518" w:rsidRDefault="001E3CFA">
            <w:pPr>
              <w:spacing w:line="240" w:lineRule="auto"/>
              <w:rPr>
                <w:color w:val="000000"/>
                <w:sz w:val="14"/>
                <w:lang w:eastAsia="en-AU"/>
              </w:rPr>
            </w:pPr>
            <w:r w:rsidRPr="00CD1518">
              <w:rPr>
                <w:color w:val="000000"/>
                <w:sz w:val="14"/>
                <w:lang w:eastAsia="en-AU"/>
              </w:rPr>
              <w:t>Research</w:t>
            </w:r>
          </w:p>
        </w:tc>
        <w:tc>
          <w:tcPr>
            <w:tcW w:w="577" w:type="pct"/>
            <w:tcBorders>
              <w:top w:val="nil"/>
              <w:left w:val="nil"/>
              <w:bottom w:val="single" w:sz="4" w:space="0" w:color="5B9BD5"/>
              <w:right w:val="single" w:sz="4" w:space="0" w:color="5B9BD5"/>
            </w:tcBorders>
            <w:shd w:val="clear" w:color="000000" w:fill="FFFFFF"/>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r>
      <w:tr w:rsidR="001E3CFA" w:rsidRPr="001E3CFA" w:rsidTr="00CD1518">
        <w:trPr>
          <w:trHeight w:val="29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1E3CFA" w:rsidRPr="00CD1518" w:rsidRDefault="001E3CFA">
            <w:pPr>
              <w:spacing w:line="240" w:lineRule="auto"/>
              <w:rPr>
                <w:color w:val="000000"/>
                <w:sz w:val="14"/>
                <w:lang w:eastAsia="en-AU"/>
              </w:rPr>
            </w:pPr>
            <w:r w:rsidRPr="00CD1518">
              <w:rPr>
                <w:color w:val="000000"/>
                <w:sz w:val="14"/>
                <w:lang w:eastAsia="en-AU"/>
              </w:rPr>
              <w:t>Teaching and Training</w:t>
            </w:r>
          </w:p>
        </w:tc>
        <w:tc>
          <w:tcPr>
            <w:tcW w:w="577"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1E3CFA" w:rsidRPr="00CD1518" w:rsidRDefault="001E3CFA" w:rsidP="00CD1518">
            <w:pPr>
              <w:spacing w:line="240" w:lineRule="auto"/>
              <w:jc w:val="right"/>
              <w:rPr>
                <w:color w:val="000000"/>
                <w:sz w:val="14"/>
                <w:lang w:eastAsia="en-AU"/>
              </w:rPr>
            </w:pPr>
            <w:r w:rsidRPr="00CD1518">
              <w:rPr>
                <w:color w:val="000000"/>
                <w:sz w:val="14"/>
                <w:lang w:eastAsia="en-AU"/>
              </w:rPr>
              <w:t>-</w:t>
            </w:r>
          </w:p>
        </w:tc>
      </w:tr>
      <w:tr w:rsidR="001E3CFA" w:rsidRPr="001E3CFA" w:rsidTr="00CD1518">
        <w:trPr>
          <w:trHeight w:val="290"/>
        </w:trPr>
        <w:tc>
          <w:tcPr>
            <w:tcW w:w="956" w:type="pct"/>
            <w:tcBorders>
              <w:top w:val="nil"/>
              <w:left w:val="single" w:sz="4" w:space="0" w:color="5B9BD5"/>
              <w:bottom w:val="single" w:sz="4" w:space="0" w:color="5B9BD5"/>
              <w:right w:val="single" w:sz="4" w:space="0" w:color="5B9BD5"/>
            </w:tcBorders>
            <w:shd w:val="clear" w:color="000000" w:fill="D0CECE"/>
            <w:noWrap/>
            <w:vAlign w:val="center"/>
            <w:hideMark/>
          </w:tcPr>
          <w:p w:rsidR="001E3CFA" w:rsidRPr="00CD1518" w:rsidRDefault="001E3CFA">
            <w:pPr>
              <w:spacing w:line="240" w:lineRule="auto"/>
              <w:rPr>
                <w:b/>
                <w:bCs/>
                <w:color w:val="000000"/>
                <w:sz w:val="14"/>
                <w:lang w:eastAsia="en-AU"/>
              </w:rPr>
            </w:pPr>
            <w:r w:rsidRPr="00CD1518">
              <w:rPr>
                <w:b/>
                <w:bCs/>
                <w:color w:val="000000"/>
                <w:sz w:val="14"/>
                <w:lang w:eastAsia="en-AU"/>
              </w:rPr>
              <w:t>Total</w:t>
            </w:r>
          </w:p>
        </w:tc>
        <w:tc>
          <w:tcPr>
            <w:tcW w:w="577" w:type="pct"/>
            <w:tcBorders>
              <w:top w:val="nil"/>
              <w:left w:val="nil"/>
              <w:bottom w:val="single" w:sz="4" w:space="0" w:color="5B9BD5"/>
              <w:right w:val="single" w:sz="4" w:space="0" w:color="5B9BD5"/>
            </w:tcBorders>
            <w:shd w:val="clear" w:color="000000" w:fill="D0CECE"/>
            <w:noWrap/>
            <w:vAlign w:val="center"/>
            <w:hideMark/>
          </w:tcPr>
          <w:p w:rsidR="001E3CFA" w:rsidRPr="00CD1518" w:rsidRDefault="001E3CFA" w:rsidP="00CD1518">
            <w:pPr>
              <w:spacing w:line="240" w:lineRule="auto"/>
              <w:jc w:val="right"/>
              <w:rPr>
                <w:b/>
                <w:bCs/>
                <w:color w:val="000000"/>
                <w:sz w:val="14"/>
                <w:lang w:eastAsia="en-AU"/>
              </w:rPr>
            </w:pPr>
            <w:r w:rsidRPr="00CD1518">
              <w:rPr>
                <w:b/>
                <w:bCs/>
                <w:color w:val="000000"/>
                <w:sz w:val="14"/>
                <w:lang w:eastAsia="en-AU"/>
              </w:rPr>
              <w:t>546,301</w:t>
            </w:r>
          </w:p>
        </w:tc>
        <w:tc>
          <w:tcPr>
            <w:tcW w:w="578" w:type="pct"/>
            <w:tcBorders>
              <w:top w:val="nil"/>
              <w:left w:val="nil"/>
              <w:bottom w:val="single" w:sz="4" w:space="0" w:color="5B9BD5"/>
              <w:right w:val="single" w:sz="4" w:space="0" w:color="5B9BD5"/>
            </w:tcBorders>
            <w:shd w:val="clear" w:color="000000" w:fill="D0CECE"/>
            <w:noWrap/>
            <w:vAlign w:val="center"/>
            <w:hideMark/>
          </w:tcPr>
          <w:p w:rsidR="001E3CFA" w:rsidRPr="00CD1518" w:rsidRDefault="001E3CFA" w:rsidP="00CD1518">
            <w:pPr>
              <w:spacing w:line="240" w:lineRule="auto"/>
              <w:jc w:val="right"/>
              <w:rPr>
                <w:b/>
                <w:bCs/>
                <w:color w:val="000000"/>
                <w:sz w:val="14"/>
                <w:lang w:eastAsia="en-AU"/>
              </w:rPr>
            </w:pPr>
            <w:r w:rsidRPr="00CD1518">
              <w:rPr>
                <w:b/>
                <w:bCs/>
                <w:color w:val="000000"/>
                <w:sz w:val="14"/>
                <w:lang w:eastAsia="en-AU"/>
              </w:rPr>
              <w:t>-</w:t>
            </w:r>
          </w:p>
        </w:tc>
        <w:tc>
          <w:tcPr>
            <w:tcW w:w="578" w:type="pct"/>
            <w:tcBorders>
              <w:top w:val="nil"/>
              <w:left w:val="nil"/>
              <w:bottom w:val="single" w:sz="4" w:space="0" w:color="5B9BD5"/>
              <w:right w:val="single" w:sz="4" w:space="0" w:color="5B9BD5"/>
            </w:tcBorders>
            <w:shd w:val="clear" w:color="000000" w:fill="D0CECE"/>
            <w:noWrap/>
            <w:vAlign w:val="center"/>
            <w:hideMark/>
          </w:tcPr>
          <w:p w:rsidR="001E3CFA" w:rsidRPr="00CD1518" w:rsidRDefault="001E3CFA" w:rsidP="00CD1518">
            <w:pPr>
              <w:spacing w:line="240" w:lineRule="auto"/>
              <w:jc w:val="right"/>
              <w:rPr>
                <w:b/>
                <w:bCs/>
                <w:color w:val="000000"/>
                <w:sz w:val="14"/>
                <w:lang w:eastAsia="en-AU"/>
              </w:rPr>
            </w:pPr>
            <w:r w:rsidRPr="00CD1518">
              <w:rPr>
                <w:b/>
                <w:bCs/>
                <w:color w:val="000000"/>
                <w:sz w:val="14"/>
                <w:lang w:eastAsia="en-AU"/>
              </w:rPr>
              <w:t>546,301</w:t>
            </w:r>
          </w:p>
        </w:tc>
        <w:tc>
          <w:tcPr>
            <w:tcW w:w="577" w:type="pct"/>
            <w:tcBorders>
              <w:top w:val="nil"/>
              <w:left w:val="nil"/>
              <w:bottom w:val="single" w:sz="4" w:space="0" w:color="5B9BD5"/>
              <w:right w:val="single" w:sz="4" w:space="0" w:color="5B9BD5"/>
            </w:tcBorders>
            <w:shd w:val="clear" w:color="000000" w:fill="D0CECE"/>
            <w:noWrap/>
            <w:vAlign w:val="center"/>
            <w:hideMark/>
          </w:tcPr>
          <w:p w:rsidR="001E3CFA" w:rsidRPr="00CD1518" w:rsidRDefault="001E3CFA" w:rsidP="00CD1518">
            <w:pPr>
              <w:spacing w:line="240" w:lineRule="auto"/>
              <w:jc w:val="right"/>
              <w:rPr>
                <w:b/>
                <w:bCs/>
                <w:color w:val="000000"/>
                <w:sz w:val="14"/>
                <w:lang w:eastAsia="en-AU"/>
              </w:rPr>
            </w:pPr>
            <w:r w:rsidRPr="00CD1518">
              <w:rPr>
                <w:b/>
                <w:bCs/>
                <w:color w:val="000000"/>
                <w:sz w:val="14"/>
                <w:lang w:eastAsia="en-AU"/>
              </w:rPr>
              <w:t>(221,788)</w:t>
            </w:r>
          </w:p>
        </w:tc>
        <w:tc>
          <w:tcPr>
            <w:tcW w:w="578" w:type="pct"/>
            <w:tcBorders>
              <w:top w:val="nil"/>
              <w:left w:val="nil"/>
              <w:bottom w:val="single" w:sz="4" w:space="0" w:color="5B9BD5"/>
              <w:right w:val="single" w:sz="4" w:space="0" w:color="5B9BD5"/>
            </w:tcBorders>
            <w:shd w:val="clear" w:color="000000" w:fill="D0CECE"/>
            <w:noWrap/>
            <w:vAlign w:val="center"/>
            <w:hideMark/>
          </w:tcPr>
          <w:p w:rsidR="001E3CFA" w:rsidRPr="00CD1518" w:rsidRDefault="001E3CFA" w:rsidP="00CD1518">
            <w:pPr>
              <w:spacing w:line="240" w:lineRule="auto"/>
              <w:jc w:val="right"/>
              <w:rPr>
                <w:b/>
                <w:bCs/>
                <w:color w:val="000000"/>
                <w:sz w:val="14"/>
                <w:lang w:eastAsia="en-AU"/>
              </w:rPr>
            </w:pPr>
            <w:r w:rsidRPr="00CD1518">
              <w:rPr>
                <w:b/>
                <w:bCs/>
                <w:color w:val="000000"/>
                <w:sz w:val="14"/>
                <w:lang w:eastAsia="en-AU"/>
              </w:rPr>
              <w:t>324,513</w:t>
            </w:r>
          </w:p>
        </w:tc>
        <w:tc>
          <w:tcPr>
            <w:tcW w:w="578" w:type="pct"/>
            <w:tcBorders>
              <w:top w:val="nil"/>
              <w:left w:val="nil"/>
              <w:bottom w:val="single" w:sz="4" w:space="0" w:color="5B9BD5"/>
              <w:right w:val="single" w:sz="4" w:space="0" w:color="5B9BD5"/>
            </w:tcBorders>
            <w:shd w:val="clear" w:color="000000" w:fill="D0CECE"/>
            <w:noWrap/>
            <w:vAlign w:val="center"/>
            <w:hideMark/>
          </w:tcPr>
          <w:p w:rsidR="001E3CFA" w:rsidRPr="00CD1518" w:rsidRDefault="001E3CFA" w:rsidP="00CD1518">
            <w:pPr>
              <w:spacing w:line="240" w:lineRule="auto"/>
              <w:jc w:val="right"/>
              <w:rPr>
                <w:b/>
                <w:bCs/>
                <w:color w:val="000000"/>
                <w:sz w:val="14"/>
                <w:lang w:eastAsia="en-AU"/>
              </w:rPr>
            </w:pPr>
            <w:r w:rsidRPr="00CD1518">
              <w:rPr>
                <w:b/>
                <w:bCs/>
                <w:color w:val="000000"/>
                <w:sz w:val="14"/>
                <w:lang w:eastAsia="en-AU"/>
              </w:rPr>
              <w:t>(5)</w:t>
            </w:r>
          </w:p>
        </w:tc>
        <w:tc>
          <w:tcPr>
            <w:tcW w:w="578" w:type="pct"/>
            <w:tcBorders>
              <w:top w:val="nil"/>
              <w:left w:val="nil"/>
              <w:bottom w:val="single" w:sz="4" w:space="0" w:color="5B9BD5"/>
              <w:right w:val="single" w:sz="4" w:space="0" w:color="5B9BD5"/>
            </w:tcBorders>
            <w:shd w:val="clear" w:color="000000" w:fill="D0CECE"/>
            <w:noWrap/>
            <w:vAlign w:val="center"/>
            <w:hideMark/>
          </w:tcPr>
          <w:p w:rsidR="001E3CFA" w:rsidRPr="00CD1518" w:rsidRDefault="001E3CFA" w:rsidP="00CD1518">
            <w:pPr>
              <w:spacing w:line="240" w:lineRule="auto"/>
              <w:jc w:val="right"/>
              <w:rPr>
                <w:b/>
                <w:bCs/>
                <w:color w:val="000000"/>
                <w:sz w:val="14"/>
                <w:lang w:eastAsia="en-AU"/>
              </w:rPr>
            </w:pPr>
            <w:r w:rsidRPr="00CD1518">
              <w:rPr>
                <w:b/>
                <w:bCs/>
                <w:color w:val="000000"/>
                <w:sz w:val="14"/>
                <w:lang w:eastAsia="en-AU"/>
              </w:rPr>
              <w:t>324,508</w:t>
            </w:r>
          </w:p>
        </w:tc>
      </w:tr>
    </w:tbl>
    <w:p w:rsidR="00972129" w:rsidRPr="00975E6B" w:rsidRDefault="00972129" w:rsidP="00972129">
      <w:pPr>
        <w:rPr>
          <w:bCs/>
          <w:i/>
          <w:sz w:val="16"/>
          <w:szCs w:val="16"/>
        </w:rPr>
      </w:pPr>
      <w:r w:rsidRPr="00975E6B">
        <w:rPr>
          <w:bCs/>
          <w:i/>
          <w:sz w:val="16"/>
          <w:szCs w:val="16"/>
        </w:rPr>
        <w:t xml:space="preserve">Source: KPMG based on data supplied by Northern NSW LHD, NSW Health and IHPA </w:t>
      </w:r>
    </w:p>
    <w:p w:rsidR="00972129" w:rsidRPr="00975E6B" w:rsidRDefault="00972129" w:rsidP="00972129">
      <w:pPr>
        <w:spacing w:before="120" w:after="120" w:line="280" w:lineRule="atLeast"/>
        <w:jc w:val="both"/>
        <w:rPr>
          <w:szCs w:val="22"/>
        </w:rPr>
      </w:pPr>
      <w:r w:rsidRPr="00975E6B">
        <w:rPr>
          <w:szCs w:val="22"/>
        </w:rPr>
        <w:t>The following should be noted about the transfer of activity data for Northern NSW LHD:</w:t>
      </w:r>
    </w:p>
    <w:p w:rsidR="001E3CFA" w:rsidRPr="000B16CA" w:rsidRDefault="001E3CFA" w:rsidP="00F26328">
      <w:pPr>
        <w:numPr>
          <w:ilvl w:val="0"/>
          <w:numId w:val="39"/>
        </w:numPr>
        <w:spacing w:before="120" w:after="120" w:line="280" w:lineRule="atLeast"/>
        <w:jc w:val="both"/>
        <w:rPr>
          <w:szCs w:val="22"/>
        </w:rPr>
      </w:pPr>
      <w:r w:rsidRPr="000B16CA">
        <w:rPr>
          <w:szCs w:val="22"/>
        </w:rPr>
        <w:t xml:space="preserve">The variance between records from source detailed in </w:t>
      </w:r>
      <w:r w:rsidRPr="0081231C">
        <w:rPr>
          <w:szCs w:val="22"/>
        </w:rPr>
        <w:fldChar w:fldCharType="begin"/>
      </w:r>
      <w:r w:rsidRPr="000B16CA">
        <w:rPr>
          <w:szCs w:val="22"/>
        </w:rPr>
        <w:instrText xml:space="preserve"> REF _Ref433267073 \h </w:instrText>
      </w:r>
      <w:r w:rsidR="00803EFF" w:rsidRPr="00CD1518">
        <w:rPr>
          <w:szCs w:val="22"/>
        </w:rPr>
        <w:instrText xml:space="preserve"> \* MERGEFORMAT </w:instrText>
      </w:r>
      <w:r w:rsidRPr="0081231C">
        <w:rPr>
          <w:szCs w:val="22"/>
        </w:rPr>
      </w:r>
      <w:r w:rsidRPr="0081231C">
        <w:rPr>
          <w:szCs w:val="22"/>
        </w:rPr>
        <w:fldChar w:fldCharType="separate"/>
      </w:r>
      <w:r w:rsidR="00154CF7" w:rsidRPr="00154CF7">
        <w:rPr>
          <w:bCs/>
        </w:rPr>
        <w:t xml:space="preserve">Table </w:t>
      </w:r>
      <w:r w:rsidR="00154CF7" w:rsidRPr="00154CF7">
        <w:rPr>
          <w:bCs/>
          <w:noProof/>
        </w:rPr>
        <w:t>20</w:t>
      </w:r>
      <w:r w:rsidRPr="0081231C">
        <w:rPr>
          <w:szCs w:val="22"/>
        </w:rPr>
        <w:fldChar w:fldCharType="end"/>
      </w:r>
      <w:r w:rsidRPr="000B16CA">
        <w:rPr>
          <w:szCs w:val="22"/>
        </w:rPr>
        <w:t xml:space="preserve"> </w:t>
      </w:r>
      <w:r w:rsidR="006945BF" w:rsidRPr="00CD1518">
        <w:rPr>
          <w:szCs w:val="22"/>
        </w:rPr>
        <w:t xml:space="preserve">(651,444 records) </w:t>
      </w:r>
      <w:r w:rsidRPr="000B16CA">
        <w:rPr>
          <w:szCs w:val="22"/>
        </w:rPr>
        <w:t xml:space="preserve">and activity related to 2013-14 costs by NHCDC product in </w:t>
      </w:r>
      <w:r w:rsidRPr="0081231C">
        <w:rPr>
          <w:szCs w:val="22"/>
        </w:rPr>
        <w:fldChar w:fldCharType="begin"/>
      </w:r>
      <w:r w:rsidRPr="000B16CA">
        <w:rPr>
          <w:szCs w:val="22"/>
        </w:rPr>
        <w:instrText xml:space="preserve"> REF _Ref434488704 \h </w:instrText>
      </w:r>
      <w:r w:rsidR="003D6323" w:rsidRPr="000B16CA">
        <w:rPr>
          <w:szCs w:val="22"/>
        </w:rPr>
        <w:instrText xml:space="preserve"> \* MERGEFORMAT </w:instrText>
      </w:r>
      <w:r w:rsidRPr="0081231C">
        <w:rPr>
          <w:szCs w:val="22"/>
        </w:rPr>
      </w:r>
      <w:r w:rsidRPr="0081231C">
        <w:rPr>
          <w:szCs w:val="22"/>
        </w:rPr>
        <w:fldChar w:fldCharType="separate"/>
      </w:r>
      <w:r w:rsidR="00154CF7" w:rsidRPr="00154CF7">
        <w:rPr>
          <w:szCs w:val="22"/>
        </w:rPr>
        <w:t>Table 21</w:t>
      </w:r>
      <w:r w:rsidRPr="0081231C">
        <w:rPr>
          <w:szCs w:val="22"/>
        </w:rPr>
        <w:fldChar w:fldCharType="end"/>
      </w:r>
      <w:r w:rsidRPr="000B16CA">
        <w:rPr>
          <w:szCs w:val="22"/>
        </w:rPr>
        <w:t xml:space="preserve"> </w:t>
      </w:r>
      <w:r w:rsidR="006945BF" w:rsidRPr="00CD1518">
        <w:rPr>
          <w:szCs w:val="22"/>
        </w:rPr>
        <w:t>(546,301</w:t>
      </w:r>
      <w:r w:rsidR="000B16CA" w:rsidRPr="00CD1518">
        <w:rPr>
          <w:szCs w:val="22"/>
        </w:rPr>
        <w:t xml:space="preserve"> records</w:t>
      </w:r>
      <w:r w:rsidR="006945BF" w:rsidRPr="00CD1518">
        <w:rPr>
          <w:szCs w:val="22"/>
        </w:rPr>
        <w:t xml:space="preserve">) </w:t>
      </w:r>
      <w:r w:rsidRPr="000B16CA">
        <w:rPr>
          <w:szCs w:val="22"/>
        </w:rPr>
        <w:t>was attribut</w:t>
      </w:r>
      <w:r w:rsidR="006945BF" w:rsidRPr="00CD1518">
        <w:rPr>
          <w:szCs w:val="22"/>
        </w:rPr>
        <w:t>able</w:t>
      </w:r>
      <w:r w:rsidRPr="000B16CA">
        <w:rPr>
          <w:szCs w:val="22"/>
        </w:rPr>
        <w:t xml:space="preserve"> to:</w:t>
      </w:r>
    </w:p>
    <w:p w:rsidR="003D6323" w:rsidRPr="002F53AD" w:rsidRDefault="003D6323" w:rsidP="00F26328">
      <w:pPr>
        <w:numPr>
          <w:ilvl w:val="0"/>
          <w:numId w:val="39"/>
        </w:numPr>
        <w:tabs>
          <w:tab w:val="clear" w:pos="340"/>
          <w:tab w:val="num" w:pos="680"/>
        </w:tabs>
        <w:spacing w:before="120" w:after="120" w:line="280" w:lineRule="atLeast"/>
        <w:ind w:left="680"/>
        <w:jc w:val="both"/>
      </w:pPr>
      <w:r w:rsidRPr="003A1695">
        <w:rPr>
          <w:szCs w:val="22"/>
        </w:rPr>
        <w:t>Non-admitted activity data from source</w:t>
      </w:r>
      <w:r w:rsidRPr="0081231C">
        <w:rPr>
          <w:szCs w:val="22"/>
        </w:rPr>
        <w:t xml:space="preserve"> includes all facilities for Northern NSW LHD, whereas, only ABF </w:t>
      </w:r>
      <w:r w:rsidRPr="008E2235">
        <w:rPr>
          <w:szCs w:val="22"/>
        </w:rPr>
        <w:t>facilities</w:t>
      </w:r>
      <w:r w:rsidRPr="00681891">
        <w:rPr>
          <w:szCs w:val="22"/>
        </w:rPr>
        <w:t xml:space="preserve"> were in</w:t>
      </w:r>
      <w:r w:rsidR="006544B7">
        <w:rPr>
          <w:szCs w:val="22"/>
        </w:rPr>
        <w:t>cluded in the costing process.</w:t>
      </w:r>
    </w:p>
    <w:p w:rsidR="001E3CFA" w:rsidRPr="00CD1518" w:rsidRDefault="001E3CFA" w:rsidP="00F26328">
      <w:pPr>
        <w:numPr>
          <w:ilvl w:val="0"/>
          <w:numId w:val="39"/>
        </w:numPr>
        <w:tabs>
          <w:tab w:val="clear" w:pos="340"/>
          <w:tab w:val="num" w:pos="680"/>
        </w:tabs>
        <w:spacing w:before="120" w:after="120" w:line="280" w:lineRule="atLeast"/>
        <w:ind w:left="680"/>
        <w:jc w:val="both"/>
      </w:pPr>
      <w:r w:rsidRPr="0043135F">
        <w:rPr>
          <w:szCs w:val="22"/>
        </w:rPr>
        <w:t xml:space="preserve">Only patient level records were allocated to acute, sub-acute, emergency and non-admitted (patient level) NHCDC products. Non-patient level </w:t>
      </w:r>
      <w:r w:rsidRPr="00663214">
        <w:rPr>
          <w:szCs w:val="22"/>
        </w:rPr>
        <w:t>data was rem</w:t>
      </w:r>
      <w:r w:rsidRPr="00CD1518">
        <w:rPr>
          <w:szCs w:val="22"/>
        </w:rPr>
        <w:t>oved; and</w:t>
      </w:r>
    </w:p>
    <w:p w:rsidR="001E3CFA" w:rsidRPr="000B16CA" w:rsidRDefault="001E3CFA" w:rsidP="00F26328">
      <w:pPr>
        <w:numPr>
          <w:ilvl w:val="0"/>
          <w:numId w:val="39"/>
        </w:numPr>
        <w:tabs>
          <w:tab w:val="clear" w:pos="340"/>
          <w:tab w:val="num" w:pos="680"/>
        </w:tabs>
        <w:spacing w:before="120" w:after="120" w:line="280" w:lineRule="atLeast"/>
        <w:ind w:left="680"/>
        <w:jc w:val="both"/>
        <w:rPr>
          <w:szCs w:val="22"/>
        </w:rPr>
      </w:pPr>
      <w:r w:rsidRPr="000B16CA">
        <w:rPr>
          <w:szCs w:val="22"/>
        </w:rPr>
        <w:t>Records allocated to the other product category related to dummy and virtual encounters which included aggregate non-admitted patient records and TTR (for example).</w:t>
      </w:r>
    </w:p>
    <w:p w:rsidR="00972129" w:rsidRPr="00975E6B" w:rsidRDefault="00972129" w:rsidP="00F26328">
      <w:pPr>
        <w:numPr>
          <w:ilvl w:val="0"/>
          <w:numId w:val="39"/>
        </w:numPr>
        <w:spacing w:before="120" w:after="120" w:line="280" w:lineRule="atLeast"/>
        <w:jc w:val="both"/>
        <w:rPr>
          <w:szCs w:val="22"/>
        </w:rPr>
      </w:pPr>
      <w:r w:rsidRPr="00975E6B">
        <w:rPr>
          <w:szCs w:val="22"/>
        </w:rPr>
        <w:t xml:space="preserve">Adjustments made by NSW Health relate to </w:t>
      </w:r>
      <w:r w:rsidR="00D52AA9" w:rsidRPr="00975E6B">
        <w:rPr>
          <w:szCs w:val="22"/>
        </w:rPr>
        <w:t xml:space="preserve">the </w:t>
      </w:r>
      <w:r w:rsidR="00D52AA9">
        <w:rPr>
          <w:szCs w:val="22"/>
        </w:rPr>
        <w:t>activity associated with the</w:t>
      </w:r>
      <w:r w:rsidR="00D52AA9" w:rsidRPr="00975E6B" w:rsidDel="00D52AA9">
        <w:rPr>
          <w:szCs w:val="22"/>
        </w:rPr>
        <w:t xml:space="preserve"> </w:t>
      </w:r>
      <w:r w:rsidRPr="00975E6B">
        <w:rPr>
          <w:szCs w:val="22"/>
        </w:rPr>
        <w:t xml:space="preserve">exclusion of costs </w:t>
      </w:r>
      <w:r w:rsidR="004A564A" w:rsidRPr="00975E6B">
        <w:rPr>
          <w:szCs w:val="22"/>
        </w:rPr>
        <w:t>(</w:t>
      </w:r>
      <w:r w:rsidRPr="00975E6B">
        <w:rPr>
          <w:szCs w:val="22"/>
        </w:rPr>
        <w:t>at Item G in the reconciliation</w:t>
      </w:r>
      <w:r w:rsidR="004A564A" w:rsidRPr="00975E6B">
        <w:rPr>
          <w:szCs w:val="22"/>
        </w:rPr>
        <w:t>) such as Non-ABF facilities, ABF facility excluded encounters and ABF facility non-patient level products</w:t>
      </w:r>
      <w:r w:rsidRPr="00975E6B">
        <w:rPr>
          <w:szCs w:val="22"/>
        </w:rPr>
        <w:t>.</w:t>
      </w:r>
    </w:p>
    <w:p w:rsidR="00972129" w:rsidRPr="00975E6B" w:rsidRDefault="00972129" w:rsidP="00F26328">
      <w:pPr>
        <w:numPr>
          <w:ilvl w:val="0"/>
          <w:numId w:val="39"/>
        </w:numPr>
        <w:spacing w:before="120" w:after="120" w:line="280" w:lineRule="atLeast"/>
        <w:jc w:val="both"/>
        <w:rPr>
          <w:szCs w:val="22"/>
        </w:rPr>
      </w:pPr>
      <w:r w:rsidRPr="00975E6B">
        <w:rPr>
          <w:szCs w:val="22"/>
        </w:rPr>
        <w:t xml:space="preserve">The adjustment made by IHPA to the </w:t>
      </w:r>
      <w:r w:rsidR="008375B1" w:rsidRPr="00975E6B">
        <w:rPr>
          <w:szCs w:val="22"/>
        </w:rPr>
        <w:t xml:space="preserve">other </w:t>
      </w:r>
      <w:r w:rsidRPr="00975E6B">
        <w:rPr>
          <w:szCs w:val="22"/>
        </w:rPr>
        <w:t>product relates to the UQB adjustment discussed in Item J of the explanation of financial reconciliation items.</w:t>
      </w:r>
    </w:p>
    <w:p w:rsidR="00972129" w:rsidRPr="00975E6B" w:rsidRDefault="00972129" w:rsidP="00F26328">
      <w:pPr>
        <w:numPr>
          <w:ilvl w:val="0"/>
          <w:numId w:val="39"/>
        </w:numPr>
        <w:spacing w:before="120" w:after="120" w:line="280" w:lineRule="atLeast"/>
        <w:jc w:val="both"/>
        <w:rPr>
          <w:szCs w:val="22"/>
        </w:rPr>
      </w:pPr>
      <w:r w:rsidRPr="00975E6B">
        <w:rPr>
          <w:szCs w:val="22"/>
        </w:rPr>
        <w:lastRenderedPageBreak/>
        <w:t>Adjustments made by IHPA relating to admitted emergency reallocations</w:t>
      </w:r>
      <w:r w:rsidR="004A564A" w:rsidRPr="00975E6B">
        <w:rPr>
          <w:szCs w:val="22"/>
        </w:rPr>
        <w:t xml:space="preserve"> for reporting and analysis purposes</w:t>
      </w:r>
      <w:r w:rsidRPr="00975E6B">
        <w:rPr>
          <w:szCs w:val="22"/>
        </w:rPr>
        <w:t xml:space="preserve"> (as discussed in Item J of the explanation of reconciliation items) has no impact on the reported activity.</w:t>
      </w:r>
    </w:p>
    <w:p w:rsidR="00972129" w:rsidRPr="00975E6B" w:rsidRDefault="00972129" w:rsidP="003B387A">
      <w:pPr>
        <w:pStyle w:val="Heading3"/>
        <w:numPr>
          <w:ilvl w:val="2"/>
          <w:numId w:val="77"/>
        </w:numPr>
      </w:pPr>
      <w:r w:rsidRPr="007C525F">
        <w:t>Treatment</w:t>
      </w:r>
      <w:r w:rsidRPr="00975E6B">
        <w:t xml:space="preserve"> of WIP</w:t>
      </w:r>
    </w:p>
    <w:p w:rsidR="00972129" w:rsidRPr="00B464CA" w:rsidRDefault="00972129" w:rsidP="00972129">
      <w:pPr>
        <w:spacing w:before="120" w:after="120" w:line="280" w:lineRule="atLeast"/>
        <w:jc w:val="both"/>
        <w:rPr>
          <w:bCs/>
        </w:rPr>
      </w:pPr>
      <w:r w:rsidRPr="00B464CA">
        <w:rPr>
          <w:bCs/>
        </w:rPr>
        <w:fldChar w:fldCharType="begin"/>
      </w:r>
      <w:r w:rsidRPr="00B464CA">
        <w:rPr>
          <w:bCs/>
        </w:rPr>
        <w:instrText xml:space="preserve"> REF _Ref433207865 \h </w:instrText>
      </w:r>
      <w:r w:rsidR="008375B1" w:rsidRPr="00B464CA">
        <w:rPr>
          <w:bCs/>
        </w:rPr>
        <w:instrText xml:space="preserve"> \* MERGEFORMAT </w:instrText>
      </w:r>
      <w:r w:rsidRPr="00B464CA">
        <w:rPr>
          <w:bCs/>
        </w:rPr>
      </w:r>
      <w:r w:rsidRPr="00B464CA">
        <w:rPr>
          <w:bCs/>
        </w:rPr>
        <w:fldChar w:fldCharType="separate"/>
      </w:r>
      <w:r w:rsidR="00154CF7" w:rsidRPr="00154CF7">
        <w:rPr>
          <w:bCs/>
        </w:rPr>
        <w:t>Table 22</w:t>
      </w:r>
      <w:r w:rsidRPr="00B464CA">
        <w:rPr>
          <w:bCs/>
        </w:rPr>
        <w:fldChar w:fldCharType="end"/>
      </w:r>
      <w:r w:rsidRPr="00B464CA">
        <w:rPr>
          <w:bCs/>
        </w:rPr>
        <w:t xml:space="preserve"> demonstrates models for WIP and what was included in the Northern NSW LHD Round 18 NHCDC submission.</w:t>
      </w:r>
    </w:p>
    <w:p w:rsidR="00972129" w:rsidRPr="00975E6B" w:rsidRDefault="00972129" w:rsidP="00972129">
      <w:pPr>
        <w:keepNext/>
        <w:spacing w:before="120" w:after="120"/>
        <w:rPr>
          <w:bCs/>
          <w:i/>
        </w:rPr>
      </w:pPr>
      <w:bookmarkStart w:id="696" w:name="_Ref433207865"/>
      <w:r w:rsidRPr="00975E6B">
        <w:rPr>
          <w:bCs/>
          <w:i/>
        </w:rPr>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22</w:t>
      </w:r>
      <w:r w:rsidRPr="00975E6B">
        <w:rPr>
          <w:bCs/>
          <w:i/>
          <w:noProof/>
        </w:rPr>
        <w:fldChar w:fldCharType="end"/>
      </w:r>
      <w:bookmarkEnd w:id="696"/>
      <w:r w:rsidRPr="00975E6B">
        <w:rPr>
          <w:bCs/>
          <w:i/>
        </w:rPr>
        <w:t xml:space="preserve"> – WIP – Northern NSW LHD</w:t>
      </w:r>
    </w:p>
    <w:tbl>
      <w:tblPr>
        <w:tblStyle w:val="ListTable4-Accent11"/>
        <w:tblW w:w="5000" w:type="pct"/>
        <w:tblLayout w:type="fixed"/>
        <w:tblLook w:val="0620" w:firstRow="1" w:lastRow="0" w:firstColumn="0" w:lastColumn="0" w:noHBand="1" w:noVBand="1"/>
        <w:tblCaption w:val="Table 22 - Models for Work In Progress - Northern NSW LHD"/>
        <w:tblDescription w:val="This table describes the models for Work In Progress and how that applied to Northern NSW LHD.  The first column is the model number, the second column is the description and the third column is how that model was applied for the relevant hospital.&#10;"/>
      </w:tblPr>
      <w:tblGrid>
        <w:gridCol w:w="873"/>
        <w:gridCol w:w="4217"/>
        <w:gridCol w:w="3631"/>
      </w:tblGrid>
      <w:tr w:rsidR="00972129" w:rsidRPr="00975E6B" w:rsidTr="00E14378">
        <w:trPr>
          <w:cnfStyle w:val="100000000000" w:firstRow="1" w:lastRow="0" w:firstColumn="0" w:lastColumn="0" w:oddVBand="0" w:evenVBand="0" w:oddHBand="0" w:evenHBand="0" w:firstRowFirstColumn="0" w:firstRowLastColumn="0" w:lastRowFirstColumn="0" w:lastRowLastColumn="0"/>
          <w:tblHeader/>
        </w:trPr>
        <w:tc>
          <w:tcPr>
            <w:tcW w:w="500" w:type="pct"/>
            <w:tcBorders>
              <w:right w:val="single" w:sz="4" w:space="0" w:color="548DD4" w:themeColor="text2" w:themeTint="99"/>
            </w:tcBorders>
            <w:shd w:val="clear" w:color="auto" w:fill="002060"/>
            <w:noWrap/>
          </w:tcPr>
          <w:p w:rsidR="00972129" w:rsidRPr="00975E6B" w:rsidRDefault="00972129" w:rsidP="00972129">
            <w:r w:rsidRPr="00975E6B">
              <w:t>Model</w:t>
            </w:r>
          </w:p>
        </w:tc>
        <w:tc>
          <w:tcPr>
            <w:tcW w:w="2418" w:type="pct"/>
            <w:tcBorders>
              <w:left w:val="single" w:sz="4" w:space="0" w:color="548DD4" w:themeColor="text2" w:themeTint="99"/>
            </w:tcBorders>
            <w:shd w:val="clear" w:color="auto" w:fill="002060"/>
          </w:tcPr>
          <w:p w:rsidR="00972129" w:rsidRPr="00975E6B" w:rsidRDefault="00972129" w:rsidP="00972129">
            <w:r w:rsidRPr="00975E6B">
              <w:t>Description</w:t>
            </w:r>
          </w:p>
        </w:tc>
        <w:tc>
          <w:tcPr>
            <w:tcW w:w="2082" w:type="pct"/>
            <w:tcBorders>
              <w:left w:val="single" w:sz="4" w:space="0" w:color="548DD4" w:themeColor="text2" w:themeTint="99"/>
            </w:tcBorders>
            <w:shd w:val="clear" w:color="auto" w:fill="002060"/>
          </w:tcPr>
          <w:p w:rsidR="00972129" w:rsidRPr="00975E6B" w:rsidRDefault="00972129" w:rsidP="00972129">
            <w:pPr>
              <w:jc w:val="center"/>
            </w:pPr>
            <w:r w:rsidRPr="00975E6B">
              <w:t>Submitted to Round 18 NHCDC</w:t>
            </w:r>
          </w:p>
        </w:tc>
      </w:tr>
      <w:tr w:rsidR="00972129" w:rsidRPr="00975E6B" w:rsidTr="00972129">
        <w:tc>
          <w:tcPr>
            <w:tcW w:w="500" w:type="pct"/>
            <w:tcBorders>
              <w:right w:val="single" w:sz="4" w:space="0" w:color="548DD4" w:themeColor="text2" w:themeTint="99"/>
            </w:tcBorders>
            <w:noWrap/>
          </w:tcPr>
          <w:p w:rsidR="00972129" w:rsidRPr="00975E6B" w:rsidRDefault="00972129" w:rsidP="00972129">
            <w:pPr>
              <w:jc w:val="center"/>
            </w:pPr>
            <w:r w:rsidRPr="00975E6B">
              <w:t>1</w:t>
            </w:r>
          </w:p>
        </w:tc>
        <w:tc>
          <w:tcPr>
            <w:tcW w:w="2418" w:type="pct"/>
            <w:tcBorders>
              <w:left w:val="single" w:sz="4" w:space="0" w:color="548DD4" w:themeColor="text2" w:themeTint="99"/>
            </w:tcBorders>
          </w:tcPr>
          <w:p w:rsidR="00972129" w:rsidRPr="00975E6B" w:rsidRDefault="00972129" w:rsidP="00972129">
            <w:r w:rsidRPr="00975E6B">
              <w:t>Admitted and Discharged Patients in 2013/14 only</w:t>
            </w:r>
          </w:p>
        </w:tc>
        <w:tc>
          <w:tcPr>
            <w:tcW w:w="2082" w:type="pct"/>
            <w:tcBorders>
              <w:left w:val="single" w:sz="4" w:space="0" w:color="548DD4" w:themeColor="text2" w:themeTint="99"/>
            </w:tcBorders>
          </w:tcPr>
          <w:p w:rsidR="00972129" w:rsidRPr="00975E6B" w:rsidRDefault="00972129" w:rsidP="00972129">
            <w:pPr>
              <w:jc w:val="center"/>
            </w:pPr>
            <w:r w:rsidRPr="00975E6B">
              <w:t>Submitted to Round 18 of the NHCDC</w:t>
            </w:r>
          </w:p>
        </w:tc>
      </w:tr>
      <w:tr w:rsidR="00972129" w:rsidRPr="00975E6B" w:rsidTr="00972129">
        <w:tc>
          <w:tcPr>
            <w:tcW w:w="500" w:type="pct"/>
            <w:tcBorders>
              <w:right w:val="single" w:sz="4" w:space="0" w:color="548DD4" w:themeColor="text2" w:themeTint="99"/>
            </w:tcBorders>
            <w:noWrap/>
          </w:tcPr>
          <w:p w:rsidR="00972129" w:rsidRPr="00975E6B" w:rsidRDefault="00972129" w:rsidP="00972129">
            <w:pPr>
              <w:jc w:val="center"/>
            </w:pPr>
            <w:r w:rsidRPr="00975E6B">
              <w:t>2</w:t>
            </w:r>
          </w:p>
        </w:tc>
        <w:tc>
          <w:tcPr>
            <w:tcW w:w="2418" w:type="pct"/>
            <w:tcBorders>
              <w:left w:val="single" w:sz="4" w:space="0" w:color="548DD4" w:themeColor="text2" w:themeTint="99"/>
            </w:tcBorders>
          </w:tcPr>
          <w:p w:rsidR="00972129" w:rsidRPr="00975E6B" w:rsidRDefault="00972129" w:rsidP="00972129">
            <w:r w:rsidRPr="00975E6B">
              <w:t>Costs for patients discharged in 2013/14 but admitted prior to 2013/14</w:t>
            </w:r>
          </w:p>
        </w:tc>
        <w:tc>
          <w:tcPr>
            <w:tcW w:w="2082" w:type="pct"/>
            <w:tcBorders>
              <w:left w:val="single" w:sz="4" w:space="0" w:color="548DD4" w:themeColor="text2" w:themeTint="99"/>
            </w:tcBorders>
          </w:tcPr>
          <w:p w:rsidR="00972129" w:rsidRPr="00975E6B" w:rsidRDefault="00972129" w:rsidP="00972129">
            <w:pPr>
              <w:jc w:val="center"/>
            </w:pPr>
            <w:r w:rsidRPr="00975E6B">
              <w:t>Submitted to Round 18 of the NHCDC. Costs are submitted from 2011/12, 12/13 and 13/14 and where appropriate escalated.</w:t>
            </w:r>
          </w:p>
        </w:tc>
      </w:tr>
      <w:tr w:rsidR="00972129" w:rsidRPr="00975E6B" w:rsidTr="00972129">
        <w:tc>
          <w:tcPr>
            <w:tcW w:w="500" w:type="pct"/>
            <w:tcBorders>
              <w:right w:val="single" w:sz="4" w:space="0" w:color="548DD4" w:themeColor="text2" w:themeTint="99"/>
            </w:tcBorders>
            <w:noWrap/>
          </w:tcPr>
          <w:p w:rsidR="00972129" w:rsidRPr="00975E6B" w:rsidRDefault="00972129" w:rsidP="00972129">
            <w:pPr>
              <w:jc w:val="center"/>
            </w:pPr>
            <w:r w:rsidRPr="00975E6B">
              <w:t>3</w:t>
            </w:r>
          </w:p>
        </w:tc>
        <w:tc>
          <w:tcPr>
            <w:tcW w:w="2418" w:type="pct"/>
            <w:tcBorders>
              <w:left w:val="single" w:sz="4" w:space="0" w:color="548DD4" w:themeColor="text2" w:themeTint="99"/>
            </w:tcBorders>
          </w:tcPr>
          <w:p w:rsidR="00972129" w:rsidRPr="00975E6B" w:rsidRDefault="00972129" w:rsidP="00972129">
            <w:r w:rsidRPr="00975E6B">
              <w:t>Costs for patients admitted prior to or in 2013/14 and remain admitted at 30/06/2014</w:t>
            </w:r>
          </w:p>
        </w:tc>
        <w:tc>
          <w:tcPr>
            <w:tcW w:w="2082" w:type="pct"/>
            <w:tcBorders>
              <w:left w:val="single" w:sz="4" w:space="0" w:color="548DD4" w:themeColor="text2" w:themeTint="99"/>
            </w:tcBorders>
          </w:tcPr>
          <w:p w:rsidR="00972129" w:rsidRPr="00975E6B" w:rsidRDefault="00972129" w:rsidP="00972129">
            <w:pPr>
              <w:jc w:val="center"/>
            </w:pPr>
            <w:r w:rsidRPr="00975E6B">
              <w:t>Not submitted to Round 18 of the NHCDC</w:t>
            </w:r>
          </w:p>
        </w:tc>
      </w:tr>
      <w:tr w:rsidR="00972129" w:rsidRPr="00975E6B" w:rsidTr="00972129">
        <w:tc>
          <w:tcPr>
            <w:tcW w:w="500" w:type="pct"/>
            <w:tcBorders>
              <w:right w:val="single" w:sz="4" w:space="0" w:color="548DD4" w:themeColor="text2" w:themeTint="99"/>
            </w:tcBorders>
            <w:noWrap/>
          </w:tcPr>
          <w:p w:rsidR="00972129" w:rsidRPr="00975E6B" w:rsidRDefault="00972129" w:rsidP="00972129">
            <w:pPr>
              <w:jc w:val="center"/>
            </w:pPr>
            <w:r w:rsidRPr="00975E6B">
              <w:t>4</w:t>
            </w:r>
          </w:p>
        </w:tc>
        <w:tc>
          <w:tcPr>
            <w:tcW w:w="2418" w:type="pct"/>
            <w:tcBorders>
              <w:left w:val="single" w:sz="4" w:space="0" w:color="548DD4" w:themeColor="text2" w:themeTint="99"/>
            </w:tcBorders>
          </w:tcPr>
          <w:p w:rsidR="00972129" w:rsidRPr="00975E6B" w:rsidRDefault="00972129" w:rsidP="00972129">
            <w:r w:rsidRPr="00975E6B">
              <w:t>Costs for patients admitted prior to 2013/14 and still admitted at 30/06/2014</w:t>
            </w:r>
          </w:p>
        </w:tc>
        <w:tc>
          <w:tcPr>
            <w:tcW w:w="2082" w:type="pct"/>
            <w:tcBorders>
              <w:left w:val="single" w:sz="4" w:space="0" w:color="548DD4" w:themeColor="text2" w:themeTint="99"/>
            </w:tcBorders>
          </w:tcPr>
          <w:p w:rsidR="00972129" w:rsidRPr="00975E6B" w:rsidRDefault="00972129" w:rsidP="00972129">
            <w:pPr>
              <w:jc w:val="center"/>
            </w:pPr>
            <w:r w:rsidRPr="00975E6B">
              <w:t>Not submitted to Round 18 of the NHCDC</w:t>
            </w:r>
          </w:p>
        </w:tc>
      </w:tr>
    </w:tbl>
    <w:p w:rsidR="00972129" w:rsidRPr="00975E6B" w:rsidRDefault="00972129" w:rsidP="00972129">
      <w:pPr>
        <w:rPr>
          <w:bCs/>
          <w:i/>
          <w:sz w:val="16"/>
          <w:szCs w:val="16"/>
        </w:rPr>
      </w:pPr>
      <w:r w:rsidRPr="00975E6B">
        <w:rPr>
          <w:bCs/>
          <w:i/>
          <w:sz w:val="16"/>
          <w:szCs w:val="16"/>
        </w:rPr>
        <w:t>Source: KPMG, based on Northern NSW LHD templates and review discussions</w:t>
      </w:r>
      <w:r w:rsidR="00BA3F4B" w:rsidRPr="00975E6B">
        <w:rPr>
          <w:bCs/>
          <w:i/>
          <w:sz w:val="16"/>
          <w:szCs w:val="16"/>
        </w:rPr>
        <w:t xml:space="preserve"> </w:t>
      </w:r>
    </w:p>
    <w:p w:rsidR="00972129" w:rsidRPr="00975E6B" w:rsidRDefault="00972129" w:rsidP="00972129">
      <w:pPr>
        <w:spacing w:before="120" w:after="120" w:line="280" w:lineRule="atLeast"/>
        <w:jc w:val="both"/>
        <w:rPr>
          <w:szCs w:val="22"/>
        </w:rPr>
      </w:pPr>
      <w:r w:rsidRPr="00975E6B">
        <w:rPr>
          <w:szCs w:val="22"/>
        </w:rPr>
        <w:t xml:space="preserve">In summary, for Northern NSW LHD, NSW Health submitted </w:t>
      </w:r>
      <w:r w:rsidR="00B7080E" w:rsidRPr="00975E6B">
        <w:rPr>
          <w:szCs w:val="22"/>
        </w:rPr>
        <w:t xml:space="preserve">WIP </w:t>
      </w:r>
      <w:r w:rsidRPr="00975E6B">
        <w:rPr>
          <w:szCs w:val="22"/>
        </w:rPr>
        <w:t xml:space="preserve">costs for admitted and discharged patients in 2013/14 and </w:t>
      </w:r>
      <w:r w:rsidR="00B7080E" w:rsidRPr="00975E6B">
        <w:rPr>
          <w:szCs w:val="22"/>
        </w:rPr>
        <w:t xml:space="preserve">WIP </w:t>
      </w:r>
      <w:r w:rsidRPr="00975E6B">
        <w:rPr>
          <w:szCs w:val="22"/>
        </w:rPr>
        <w:t>costs for 2011/12 and 2012/13 for those patients admitted prior to, but discharged, in 2013/14.</w:t>
      </w:r>
    </w:p>
    <w:p w:rsidR="00972129" w:rsidRPr="00975E6B" w:rsidRDefault="00972129" w:rsidP="007C525F">
      <w:pPr>
        <w:pStyle w:val="Heading4"/>
        <w:numPr>
          <w:ilvl w:val="0"/>
          <w:numId w:val="0"/>
        </w:numPr>
        <w:ind w:left="720" w:hanging="720"/>
      </w:pPr>
      <w:r w:rsidRPr="00975E6B">
        <w:t>Escalation factor</w:t>
      </w:r>
    </w:p>
    <w:p w:rsidR="00972129" w:rsidRPr="00975E6B" w:rsidRDefault="00972129" w:rsidP="00972129">
      <w:pPr>
        <w:spacing w:before="120" w:after="120" w:line="280" w:lineRule="atLeast"/>
        <w:jc w:val="both"/>
        <w:rPr>
          <w:szCs w:val="22"/>
        </w:rPr>
      </w:pPr>
      <w:r w:rsidRPr="00975E6B">
        <w:rPr>
          <w:szCs w:val="22"/>
        </w:rPr>
        <w:t>NSW Health applied the escalation factors provided by IHPA for prior years to the costs associated with WIP as part of the Round 18 submission to the NHCDC for Northern NSW LHD.</w:t>
      </w:r>
    </w:p>
    <w:p w:rsidR="00972129" w:rsidRPr="00975E6B" w:rsidRDefault="00972129" w:rsidP="003B387A">
      <w:pPr>
        <w:pStyle w:val="Heading3"/>
        <w:numPr>
          <w:ilvl w:val="2"/>
          <w:numId w:val="77"/>
        </w:numPr>
      </w:pPr>
      <w:r w:rsidRPr="007C525F">
        <w:t>Treatment</w:t>
      </w:r>
      <w:r w:rsidRPr="00975E6B">
        <w:t xml:space="preserve"> of specific items</w:t>
      </w:r>
    </w:p>
    <w:p w:rsidR="00972129" w:rsidRPr="00975E6B" w:rsidRDefault="00972129" w:rsidP="00972129">
      <w:r w:rsidRPr="00975E6B">
        <w:t>The following items were discussed during the reviews to understand their treatment in the costing process as the cost data is used to inform the NEP and specific funding model adjustments for particular patient cohorts. It should be noted that costing staff acknowledged that they cost according to the NSW Health costing guidelines</w:t>
      </w:r>
      <w:r w:rsidR="00720A54" w:rsidRPr="00975E6B">
        <w:t>, and the jurisdiction stated that where possible the NSW guidelines comply with the AHPCS</w:t>
      </w:r>
      <w:r w:rsidRPr="00975E6B">
        <w:t>.</w:t>
      </w:r>
    </w:p>
    <w:p w:rsidR="00972129" w:rsidRPr="00975E6B" w:rsidRDefault="00972129" w:rsidP="00972129">
      <w:pPr>
        <w:keepNext/>
        <w:spacing w:before="120" w:after="120"/>
        <w:rPr>
          <w:bCs/>
          <w:i/>
        </w:rPr>
      </w:pPr>
      <w:r w:rsidRPr="00975E6B">
        <w:rPr>
          <w:bCs/>
          <w:i/>
        </w:rPr>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23</w:t>
      </w:r>
      <w:r w:rsidRPr="00975E6B">
        <w:rPr>
          <w:bCs/>
          <w:i/>
          <w:noProof/>
        </w:rPr>
        <w:fldChar w:fldCharType="end"/>
      </w:r>
      <w:r w:rsidRPr="00975E6B">
        <w:rPr>
          <w:bCs/>
          <w:i/>
        </w:rPr>
        <w:t xml:space="preserve"> – Treatment of specific items – Northern NSW LHD </w:t>
      </w:r>
    </w:p>
    <w:tbl>
      <w:tblPr>
        <w:tblStyle w:val="ListTable4-Accent11"/>
        <w:tblW w:w="5000" w:type="pct"/>
        <w:tblLayout w:type="fixed"/>
        <w:tblLook w:val="0620" w:firstRow="1" w:lastRow="0" w:firstColumn="0" w:lastColumn="0" w:noHBand="1" w:noVBand="1"/>
        <w:tblCaption w:val="Table 23 - Treatment of specific items - Northern NSW LHD"/>
        <w:tblDescription w:val="This table describes how Northern NSW LHD treated specific items in their Round 18 NHCDC Submission.  The first column is the item and the second column is the description of the treatment.&#10;"/>
      </w:tblPr>
      <w:tblGrid>
        <w:gridCol w:w="3342"/>
        <w:gridCol w:w="5379"/>
      </w:tblGrid>
      <w:tr w:rsidR="00972129" w:rsidRPr="00975E6B" w:rsidTr="00E14378">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tcPr>
          <w:p w:rsidR="00972129" w:rsidRPr="00CD1518" w:rsidRDefault="00972129" w:rsidP="00972129">
            <w:r w:rsidRPr="005B2A74">
              <w:t>Item</w:t>
            </w:r>
          </w:p>
        </w:tc>
        <w:tc>
          <w:tcPr>
            <w:tcW w:w="3084" w:type="pct"/>
            <w:tcBorders>
              <w:left w:val="single" w:sz="4" w:space="0" w:color="548DD4" w:themeColor="text2" w:themeTint="99"/>
            </w:tcBorders>
            <w:shd w:val="clear" w:color="auto" w:fill="002060"/>
          </w:tcPr>
          <w:p w:rsidR="00972129" w:rsidRPr="00CD1518" w:rsidRDefault="00972129" w:rsidP="00972129">
            <w:r w:rsidRPr="005B2A74">
              <w:t>Treatment</w:t>
            </w:r>
          </w:p>
        </w:tc>
      </w:tr>
      <w:tr w:rsidR="00972129" w:rsidRPr="00975E6B" w:rsidTr="00972129">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t>Research</w:t>
            </w:r>
          </w:p>
        </w:tc>
        <w:tc>
          <w:tcPr>
            <w:tcW w:w="3084"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Research costs are assigned to a product. However are excluded from NHCDC submission.</w:t>
            </w:r>
          </w:p>
        </w:tc>
      </w:tr>
      <w:tr w:rsidR="00972129" w:rsidRPr="00975E6B" w:rsidTr="00972129">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t>Teaching and Training</w:t>
            </w:r>
          </w:p>
        </w:tc>
        <w:tc>
          <w:tcPr>
            <w:tcW w:w="3084"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Teaching and Training costs are assigned to a product. However are excluded from NHCDC submission.</w:t>
            </w:r>
          </w:p>
        </w:tc>
      </w:tr>
      <w:tr w:rsidR="00972129" w:rsidRPr="00975E6B" w:rsidTr="00972129">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t>Shared/Other commercial entities</w:t>
            </w:r>
          </w:p>
        </w:tc>
        <w:tc>
          <w:tcPr>
            <w:tcW w:w="3084" w:type="pct"/>
            <w:tcBorders>
              <w:left w:val="single" w:sz="4" w:space="0" w:color="548DD4" w:themeColor="text2" w:themeTint="99"/>
            </w:tcBorders>
          </w:tcPr>
          <w:p w:rsidR="00972129" w:rsidRPr="00975E6B" w:rsidRDefault="00BE0978" w:rsidP="00972129">
            <w:pPr>
              <w:spacing w:before="120" w:after="120" w:line="280" w:lineRule="atLeast"/>
              <w:rPr>
                <w:szCs w:val="22"/>
              </w:rPr>
            </w:pPr>
            <w:r w:rsidRPr="00975E6B">
              <w:rPr>
                <w:szCs w:val="22"/>
              </w:rPr>
              <w:t>Expenditure is excluded by the LHD</w:t>
            </w:r>
            <w:r>
              <w:rPr>
                <w:szCs w:val="22"/>
              </w:rPr>
              <w:t xml:space="preserve"> </w:t>
            </w:r>
            <w:r w:rsidRPr="00DF5FC7">
              <w:rPr>
                <w:szCs w:val="22"/>
              </w:rPr>
              <w:t>by allocati</w:t>
            </w:r>
            <w:r>
              <w:rPr>
                <w:szCs w:val="22"/>
              </w:rPr>
              <w:t>ng it</w:t>
            </w:r>
            <w:r w:rsidRPr="00DF5FC7">
              <w:rPr>
                <w:szCs w:val="22"/>
              </w:rPr>
              <w:t xml:space="preserve"> to a non</w:t>
            </w:r>
            <w:r>
              <w:rPr>
                <w:szCs w:val="22"/>
              </w:rPr>
              <w:t>-</w:t>
            </w:r>
            <w:r w:rsidRPr="00DF5FC7">
              <w:rPr>
                <w:szCs w:val="22"/>
              </w:rPr>
              <w:t>patient product</w:t>
            </w:r>
            <w:r>
              <w:rPr>
                <w:szCs w:val="22"/>
              </w:rPr>
              <w:t>.</w:t>
            </w:r>
          </w:p>
        </w:tc>
      </w:tr>
      <w:tr w:rsidR="00972129" w:rsidRPr="00975E6B" w:rsidTr="00972129">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lastRenderedPageBreak/>
              <w:t xml:space="preserve">Intensive Care Unit </w:t>
            </w:r>
          </w:p>
        </w:tc>
        <w:tc>
          <w:tcPr>
            <w:tcW w:w="3084"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No change to the costing methodology. No ICU weights or adjustments made.</w:t>
            </w:r>
          </w:p>
        </w:tc>
      </w:tr>
      <w:tr w:rsidR="00972129" w:rsidRPr="00975E6B" w:rsidTr="00972129">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t>Aboriginal Torres Strait Islander patients</w:t>
            </w:r>
          </w:p>
        </w:tc>
        <w:tc>
          <w:tcPr>
            <w:tcW w:w="3084" w:type="pct"/>
            <w:tcBorders>
              <w:left w:val="single" w:sz="4" w:space="0" w:color="548DD4" w:themeColor="text2" w:themeTint="99"/>
            </w:tcBorders>
          </w:tcPr>
          <w:p w:rsidR="00972129" w:rsidRPr="00975E6B" w:rsidRDefault="00972129" w:rsidP="00972129">
            <w:pPr>
              <w:spacing w:before="120" w:after="120" w:line="280" w:lineRule="atLeast"/>
              <w:rPr>
                <w:szCs w:val="22"/>
              </w:rPr>
            </w:pPr>
            <w:r w:rsidRPr="00975E6B">
              <w:rPr>
                <w:szCs w:val="22"/>
              </w:rPr>
              <w:t>No change to the costing methodology. No ATSI weights or adjustments made. Costs based on resources linked.</w:t>
            </w:r>
          </w:p>
        </w:tc>
      </w:tr>
      <w:tr w:rsidR="00972129" w:rsidRPr="00975E6B" w:rsidTr="00972129">
        <w:trPr>
          <w:trHeight w:val="516"/>
        </w:trPr>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t xml:space="preserve">Private Patients </w:t>
            </w:r>
          </w:p>
        </w:tc>
        <w:tc>
          <w:tcPr>
            <w:tcW w:w="3084" w:type="pct"/>
            <w:tcBorders>
              <w:left w:val="single" w:sz="4" w:space="0" w:color="548DD4" w:themeColor="text2" w:themeTint="99"/>
            </w:tcBorders>
          </w:tcPr>
          <w:p w:rsidR="00972129" w:rsidRPr="00975E6B" w:rsidRDefault="00E97BCD" w:rsidP="00972129">
            <w:pPr>
              <w:spacing w:before="120" w:after="120" w:line="280" w:lineRule="atLeast"/>
              <w:rPr>
                <w:szCs w:val="22"/>
              </w:rPr>
            </w:pPr>
            <w:r w:rsidRPr="00975E6B">
              <w:rPr>
                <w:szCs w:val="22"/>
              </w:rPr>
              <w:t xml:space="preserve">No change to the costing methodology. </w:t>
            </w:r>
            <w:r w:rsidRPr="00DF5FC7">
              <w:rPr>
                <w:szCs w:val="22"/>
              </w:rPr>
              <w:t>VMO costs are not allocated to private patients</w:t>
            </w:r>
            <w:r w:rsidR="00873964">
              <w:rPr>
                <w:szCs w:val="22"/>
              </w:rPr>
              <w:t xml:space="preserve">. </w:t>
            </w:r>
            <w:r w:rsidRPr="00DF5FC7">
              <w:rPr>
                <w:szCs w:val="22"/>
              </w:rPr>
              <w:t>No private patient weights or adjustments</w:t>
            </w:r>
            <w:r>
              <w:rPr>
                <w:szCs w:val="22"/>
              </w:rPr>
              <w:t xml:space="preserve"> are made for staff specialists.</w:t>
            </w:r>
          </w:p>
        </w:tc>
      </w:tr>
      <w:tr w:rsidR="00972129" w:rsidRPr="00975E6B" w:rsidTr="00972129">
        <w:tc>
          <w:tcPr>
            <w:tcW w:w="1916" w:type="pct"/>
            <w:tcBorders>
              <w:right w:val="single" w:sz="4" w:space="0" w:color="548DD4" w:themeColor="text2" w:themeTint="99"/>
            </w:tcBorders>
            <w:noWrap/>
          </w:tcPr>
          <w:p w:rsidR="00972129" w:rsidRPr="00975E6B" w:rsidRDefault="00972129" w:rsidP="00972129">
            <w:pPr>
              <w:spacing w:before="120" w:after="120" w:line="280" w:lineRule="atLeast"/>
              <w:rPr>
                <w:szCs w:val="22"/>
              </w:rPr>
            </w:pPr>
            <w:r w:rsidRPr="00975E6B">
              <w:rPr>
                <w:szCs w:val="22"/>
              </w:rPr>
              <w:t>Pharmaceutical Benefits Scheme drugs</w:t>
            </w:r>
          </w:p>
        </w:tc>
        <w:tc>
          <w:tcPr>
            <w:tcW w:w="3084" w:type="pct"/>
            <w:tcBorders>
              <w:left w:val="single" w:sz="4" w:space="0" w:color="548DD4" w:themeColor="text2" w:themeTint="99"/>
            </w:tcBorders>
          </w:tcPr>
          <w:p w:rsidR="00E97BCD" w:rsidRPr="00887E43" w:rsidRDefault="00E97BCD" w:rsidP="00E97BCD">
            <w:pPr>
              <w:spacing w:before="120" w:after="120" w:line="280" w:lineRule="atLeast"/>
              <w:rPr>
                <w:szCs w:val="22"/>
              </w:rPr>
            </w:pPr>
            <w:r w:rsidRPr="00887E43">
              <w:rPr>
                <w:szCs w:val="22"/>
              </w:rPr>
              <w:t>NSW is not a signatory to the PBS Agreement so distinction between PBS and Non-PBS is not applicable.</w:t>
            </w:r>
          </w:p>
          <w:p w:rsidR="00972129" w:rsidRPr="00975E6B" w:rsidRDefault="00E97BCD" w:rsidP="00616472">
            <w:pPr>
              <w:spacing w:before="120" w:after="120" w:line="280" w:lineRule="atLeast"/>
              <w:rPr>
                <w:szCs w:val="22"/>
              </w:rPr>
            </w:pPr>
            <w:r w:rsidRPr="00887E43">
              <w:rPr>
                <w:szCs w:val="22"/>
              </w:rPr>
              <w:t xml:space="preserve">S100 drugs are not allocated to </w:t>
            </w:r>
            <w:r w:rsidR="00873964">
              <w:rPr>
                <w:szCs w:val="22"/>
              </w:rPr>
              <w:t>non-admitted</w:t>
            </w:r>
            <w:r w:rsidRPr="00887E43">
              <w:rPr>
                <w:szCs w:val="22"/>
              </w:rPr>
              <w:t xml:space="preserve"> service events.</w:t>
            </w:r>
          </w:p>
        </w:tc>
      </w:tr>
    </w:tbl>
    <w:p w:rsidR="00972129" w:rsidRPr="00975E6B" w:rsidRDefault="00972129" w:rsidP="00972129">
      <w:pPr>
        <w:rPr>
          <w:bCs/>
          <w:i/>
          <w:sz w:val="16"/>
          <w:szCs w:val="16"/>
        </w:rPr>
      </w:pPr>
      <w:r w:rsidRPr="00975E6B">
        <w:rPr>
          <w:bCs/>
          <w:i/>
          <w:sz w:val="16"/>
          <w:szCs w:val="16"/>
        </w:rPr>
        <w:t>Source: KPMG</w:t>
      </w:r>
    </w:p>
    <w:p w:rsidR="00972129" w:rsidRPr="00975E6B" w:rsidRDefault="00972129" w:rsidP="003B387A">
      <w:pPr>
        <w:pStyle w:val="Heading3"/>
        <w:numPr>
          <w:ilvl w:val="2"/>
          <w:numId w:val="77"/>
        </w:numPr>
      </w:pPr>
      <w:r w:rsidRPr="007C525F">
        <w:t>Sample</w:t>
      </w:r>
      <w:r w:rsidRPr="00975E6B">
        <w:t xml:space="preserve"> patient data</w:t>
      </w:r>
    </w:p>
    <w:p w:rsidR="00972129" w:rsidRPr="00975E6B" w:rsidRDefault="00972129" w:rsidP="00972129">
      <w:pPr>
        <w:spacing w:before="120" w:after="120" w:line="280" w:lineRule="atLeast"/>
        <w:jc w:val="both"/>
        <w:rPr>
          <w:szCs w:val="22"/>
        </w:rPr>
      </w:pPr>
      <w:r w:rsidRPr="00975E6B">
        <w:rPr>
          <w:szCs w:val="22"/>
        </w:rPr>
        <w:t xml:space="preserve">IHPA selected a sample of five patients from Northern NSW LHD for the purposes of testing the data flow from jurisdictions to IHPA at the patient level. NSW Health provided the patient level costs for all five patients and these reconciled to IHPA records. The results are summarised in </w:t>
      </w:r>
      <w:r w:rsidRPr="00975E6B">
        <w:rPr>
          <w:szCs w:val="22"/>
        </w:rPr>
        <w:fldChar w:fldCharType="begin"/>
      </w:r>
      <w:r w:rsidRPr="00975E6B">
        <w:rPr>
          <w:szCs w:val="22"/>
        </w:rPr>
        <w:instrText xml:space="preserve"> REF _Ref434491732 \h </w:instrText>
      </w:r>
      <w:r w:rsidR="008375B1" w:rsidRPr="00975E6B">
        <w:rPr>
          <w:szCs w:val="22"/>
        </w:rPr>
        <w:instrText xml:space="preserve"> \* MERGEFORMAT </w:instrText>
      </w:r>
      <w:r w:rsidRPr="00975E6B">
        <w:rPr>
          <w:szCs w:val="22"/>
        </w:rPr>
      </w:r>
      <w:r w:rsidRPr="00975E6B">
        <w:rPr>
          <w:szCs w:val="22"/>
        </w:rPr>
        <w:fldChar w:fldCharType="separate"/>
      </w:r>
      <w:r w:rsidR="00154CF7" w:rsidRPr="00154CF7">
        <w:rPr>
          <w:bCs/>
        </w:rPr>
        <w:t xml:space="preserve">Table </w:t>
      </w:r>
      <w:r w:rsidR="00154CF7" w:rsidRPr="00154CF7">
        <w:rPr>
          <w:bCs/>
          <w:noProof/>
        </w:rPr>
        <w:t>24</w:t>
      </w:r>
      <w:r w:rsidRPr="00975E6B">
        <w:rPr>
          <w:szCs w:val="22"/>
        </w:rPr>
        <w:fldChar w:fldCharType="end"/>
      </w:r>
      <w:r w:rsidRPr="00975E6B">
        <w:rPr>
          <w:szCs w:val="22"/>
        </w:rPr>
        <w:t>.</w:t>
      </w:r>
    </w:p>
    <w:p w:rsidR="005B2A74" w:rsidRPr="00975E6B" w:rsidRDefault="00972129" w:rsidP="00CD1518">
      <w:pPr>
        <w:keepNext/>
        <w:spacing w:before="120" w:after="120"/>
        <w:rPr>
          <w:i/>
          <w:color w:val="1F497D" w:themeColor="text2"/>
          <w:sz w:val="22"/>
        </w:rPr>
      </w:pPr>
      <w:bookmarkStart w:id="697" w:name="_Ref434491732"/>
      <w:r w:rsidRPr="00975E6B">
        <w:rPr>
          <w:bCs/>
          <w:i/>
        </w:rPr>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24</w:t>
      </w:r>
      <w:r w:rsidRPr="00975E6B">
        <w:rPr>
          <w:bCs/>
          <w:i/>
          <w:noProof/>
        </w:rPr>
        <w:fldChar w:fldCharType="end"/>
      </w:r>
      <w:bookmarkEnd w:id="697"/>
      <w:r w:rsidRPr="00975E6B">
        <w:rPr>
          <w:bCs/>
          <w:i/>
        </w:rPr>
        <w:t xml:space="preserve"> – Sample patients – Northern NSW LHD</w:t>
      </w:r>
    </w:p>
    <w:tbl>
      <w:tblPr>
        <w:tblW w:w="5000" w:type="pct"/>
        <w:tblLook w:val="04A0" w:firstRow="1" w:lastRow="0" w:firstColumn="1" w:lastColumn="0" w:noHBand="0" w:noVBand="1"/>
        <w:tblCaption w:val="Table 24 - Sample patients - Northern NSW LHD"/>
        <w:tblDescription w:val="This table presents the results of the 5 sample patients tested for the data flow from jurisdictions to IHPA at the patient level for Northern NSW LHD. There are 5 columns.  Column 1 is the sample number, Column 2 is the product type, column 3 is the amount in  jurisdiction records, Column 4 is the amount received by IHPA and Column 5 is the variance between jurisdiction and IHPA.&#10;"/>
      </w:tblPr>
      <w:tblGrid>
        <w:gridCol w:w="509"/>
        <w:gridCol w:w="2274"/>
        <w:gridCol w:w="2274"/>
        <w:gridCol w:w="2274"/>
        <w:gridCol w:w="1390"/>
      </w:tblGrid>
      <w:tr w:rsidR="005B2A74" w:rsidRPr="005B2A74" w:rsidTr="00E14378">
        <w:trPr>
          <w:trHeight w:val="260"/>
        </w:trPr>
        <w:tc>
          <w:tcPr>
            <w:tcW w:w="291"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5B2A74" w:rsidRPr="005B2A74" w:rsidRDefault="005B2A74" w:rsidP="005B2A74">
            <w:pPr>
              <w:spacing w:line="240" w:lineRule="auto"/>
              <w:jc w:val="center"/>
              <w:rPr>
                <w:b/>
                <w:bCs/>
                <w:color w:val="FFFFFF"/>
                <w:lang w:eastAsia="en-AU"/>
              </w:rPr>
            </w:pPr>
            <w:r w:rsidRPr="005B2A74">
              <w:rPr>
                <w:b/>
                <w:bCs/>
                <w:color w:val="FFFFFF"/>
                <w:lang w:eastAsia="en-AU"/>
              </w:rPr>
              <w: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5B2A74" w:rsidRPr="005B2A74" w:rsidRDefault="005B2A74" w:rsidP="00CD1518">
            <w:pPr>
              <w:spacing w:line="240" w:lineRule="auto"/>
              <w:rPr>
                <w:b/>
                <w:bCs/>
                <w:color w:val="FFFFFF"/>
                <w:lang w:eastAsia="en-AU"/>
              </w:rPr>
            </w:pPr>
            <w:r w:rsidRPr="005B2A74">
              <w:rPr>
                <w:b/>
                <w:bCs/>
                <w:color w:val="FFFFFF"/>
                <w:lang w:eastAsia="en-AU"/>
              </w:rPr>
              <w:t>Product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5B2A74" w:rsidRPr="005B2A74" w:rsidRDefault="005B2A74" w:rsidP="005B2A74">
            <w:pPr>
              <w:spacing w:line="240" w:lineRule="auto"/>
              <w:jc w:val="center"/>
              <w:rPr>
                <w:b/>
                <w:bCs/>
                <w:color w:val="FFFFFF"/>
                <w:lang w:eastAsia="en-AU"/>
              </w:rPr>
            </w:pPr>
            <w:r w:rsidRPr="005B2A74">
              <w:rPr>
                <w:b/>
                <w:bCs/>
                <w:color w:val="FFFFFF"/>
                <w:lang w:eastAsia="en-AU"/>
              </w:rPr>
              <w:t>Jurisdiction records</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5B2A74" w:rsidRPr="005B2A74" w:rsidRDefault="005B2A74" w:rsidP="005B2A74">
            <w:pPr>
              <w:spacing w:line="240" w:lineRule="auto"/>
              <w:jc w:val="center"/>
              <w:rPr>
                <w:b/>
                <w:bCs/>
                <w:color w:val="FFFFFF"/>
                <w:lang w:eastAsia="en-AU"/>
              </w:rPr>
            </w:pPr>
            <w:r w:rsidRPr="005B2A74">
              <w:rPr>
                <w:b/>
                <w:bCs/>
                <w:color w:val="FFFFFF"/>
                <w:lang w:eastAsia="en-AU"/>
              </w:rPr>
              <w:t>Received by IHPA</w:t>
            </w:r>
          </w:p>
        </w:tc>
        <w:tc>
          <w:tcPr>
            <w:tcW w:w="797" w:type="pct"/>
            <w:tcBorders>
              <w:top w:val="nil"/>
              <w:left w:val="nil"/>
              <w:bottom w:val="nil"/>
              <w:right w:val="single" w:sz="4" w:space="0" w:color="5B9BD5"/>
            </w:tcBorders>
            <w:shd w:val="clear" w:color="auto" w:fill="002060"/>
            <w:vAlign w:val="bottom"/>
            <w:hideMark/>
          </w:tcPr>
          <w:p w:rsidR="005B2A74" w:rsidRPr="005B2A74" w:rsidRDefault="005B2A74" w:rsidP="005B2A74">
            <w:pPr>
              <w:spacing w:line="240" w:lineRule="auto"/>
              <w:jc w:val="center"/>
              <w:rPr>
                <w:b/>
                <w:bCs/>
                <w:color w:val="FFFFFF"/>
                <w:lang w:eastAsia="en-AU"/>
              </w:rPr>
            </w:pPr>
            <w:r w:rsidRPr="005B2A74">
              <w:rPr>
                <w:b/>
                <w:bCs/>
                <w:color w:val="FFFFFF"/>
                <w:lang w:eastAsia="en-AU"/>
              </w:rPr>
              <w:t>Variance</w:t>
            </w:r>
          </w:p>
        </w:tc>
      </w:tr>
      <w:tr w:rsidR="00CA7B4E" w:rsidRPr="005B2A74"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5B2A74" w:rsidRDefault="00CA7B4E" w:rsidP="00CA7B4E">
            <w:pPr>
              <w:spacing w:line="240" w:lineRule="auto"/>
              <w:jc w:val="center"/>
              <w:rPr>
                <w:color w:val="000000"/>
                <w:lang w:eastAsia="en-AU"/>
              </w:rPr>
            </w:pPr>
            <w:r w:rsidRPr="005B2A74">
              <w:rPr>
                <w:color w:val="000000"/>
                <w:lang w:eastAsia="en-AU"/>
              </w:rPr>
              <w:t>1</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5B2A74" w:rsidRDefault="00CA7B4E" w:rsidP="00CA7B4E">
            <w:pPr>
              <w:spacing w:line="240" w:lineRule="auto"/>
              <w:rPr>
                <w:color w:val="000000"/>
                <w:lang w:eastAsia="en-AU"/>
              </w:rPr>
            </w:pPr>
            <w:r w:rsidRPr="005B2A74">
              <w:rPr>
                <w:color w:val="000000"/>
                <w:lang w:eastAsia="en-AU"/>
              </w:rPr>
              <w:t xml:space="preserve"> Non-admitted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5B2A74" w:rsidRDefault="00CA7B4E" w:rsidP="00CD1518">
            <w:pPr>
              <w:spacing w:line="240" w:lineRule="auto"/>
              <w:jc w:val="right"/>
              <w:rPr>
                <w:color w:val="000000"/>
                <w:lang w:eastAsia="en-AU"/>
              </w:rPr>
            </w:pPr>
            <w:r w:rsidRPr="005B2A74">
              <w:rPr>
                <w:color w:val="000000"/>
                <w:lang w:eastAsia="en-AU"/>
              </w:rPr>
              <w:t xml:space="preserve"> $27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5B2A74" w:rsidRDefault="00CA7B4E" w:rsidP="00CD1518">
            <w:pPr>
              <w:spacing w:line="240" w:lineRule="auto"/>
              <w:jc w:val="right"/>
              <w:rPr>
                <w:color w:val="000000"/>
                <w:lang w:eastAsia="en-AU"/>
              </w:rPr>
            </w:pPr>
            <w:r w:rsidRPr="005B2A74">
              <w:rPr>
                <w:color w:val="000000"/>
                <w:lang w:eastAsia="en-AU"/>
              </w:rPr>
              <w:t xml:space="preserve"> $27 </w:t>
            </w:r>
          </w:p>
        </w:tc>
        <w:tc>
          <w:tcPr>
            <w:tcW w:w="797" w:type="pct"/>
            <w:tcBorders>
              <w:top w:val="single" w:sz="4" w:space="0" w:color="5B9BD5"/>
              <w:left w:val="nil"/>
              <w:bottom w:val="single" w:sz="4" w:space="0" w:color="5B9BD5"/>
              <w:right w:val="single" w:sz="4" w:space="0" w:color="5B9BD5"/>
            </w:tcBorders>
            <w:shd w:val="clear" w:color="000000" w:fill="FFFFFF"/>
            <w:noWrap/>
            <w:vAlign w:val="bottom"/>
            <w:hideMark/>
          </w:tcPr>
          <w:p w:rsidR="00CA7B4E" w:rsidRPr="005B2A74" w:rsidRDefault="00CA7B4E" w:rsidP="00CD1518">
            <w:pPr>
              <w:spacing w:line="240" w:lineRule="auto"/>
              <w:jc w:val="right"/>
              <w:rPr>
                <w:color w:val="000000"/>
                <w:lang w:eastAsia="en-AU"/>
              </w:rPr>
            </w:pPr>
            <w:r w:rsidRPr="003940A4">
              <w:rPr>
                <w:color w:val="000000"/>
                <w:lang w:eastAsia="en-AU"/>
              </w:rPr>
              <w:t xml:space="preserve"> $- </w:t>
            </w:r>
          </w:p>
        </w:tc>
      </w:tr>
      <w:tr w:rsidR="00CA7B4E" w:rsidRPr="005B2A74" w:rsidTr="00CD1518">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5B2A74" w:rsidRDefault="00CA7B4E" w:rsidP="00CA7B4E">
            <w:pPr>
              <w:spacing w:line="240" w:lineRule="auto"/>
              <w:jc w:val="center"/>
              <w:rPr>
                <w:color w:val="000000"/>
                <w:lang w:eastAsia="en-AU"/>
              </w:rPr>
            </w:pPr>
            <w:r w:rsidRPr="005B2A74">
              <w:rPr>
                <w:color w:val="000000"/>
                <w:lang w:eastAsia="en-AU"/>
              </w:rPr>
              <w:t>2</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5B2A74" w:rsidRDefault="00CA7B4E" w:rsidP="00CA7B4E">
            <w:pPr>
              <w:spacing w:line="240" w:lineRule="auto"/>
              <w:rPr>
                <w:color w:val="000000"/>
                <w:lang w:eastAsia="en-AU"/>
              </w:rPr>
            </w:pPr>
            <w:r w:rsidRPr="005B2A74">
              <w:rPr>
                <w:color w:val="000000"/>
                <w:lang w:eastAsia="en-AU"/>
              </w:rPr>
              <w:t xml:space="preserve"> Non-Admitted ED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5B2A74" w:rsidRDefault="00CA7B4E" w:rsidP="00CD1518">
            <w:pPr>
              <w:spacing w:line="240" w:lineRule="auto"/>
              <w:jc w:val="right"/>
              <w:rPr>
                <w:color w:val="000000"/>
                <w:lang w:eastAsia="en-AU"/>
              </w:rPr>
            </w:pPr>
            <w:r w:rsidRPr="005B2A74">
              <w:rPr>
                <w:color w:val="000000"/>
                <w:lang w:eastAsia="en-AU"/>
              </w:rPr>
              <w:t xml:space="preserve"> $173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5B2A74" w:rsidRDefault="00CA7B4E" w:rsidP="00CD1518">
            <w:pPr>
              <w:spacing w:line="240" w:lineRule="auto"/>
              <w:jc w:val="right"/>
              <w:rPr>
                <w:color w:val="000000"/>
                <w:lang w:eastAsia="en-AU"/>
              </w:rPr>
            </w:pPr>
            <w:r w:rsidRPr="005B2A74">
              <w:rPr>
                <w:color w:val="000000"/>
                <w:lang w:eastAsia="en-AU"/>
              </w:rPr>
              <w:t xml:space="preserve"> $173 </w:t>
            </w:r>
          </w:p>
        </w:tc>
        <w:tc>
          <w:tcPr>
            <w:tcW w:w="797" w:type="pct"/>
            <w:tcBorders>
              <w:top w:val="nil"/>
              <w:left w:val="nil"/>
              <w:bottom w:val="single" w:sz="4" w:space="0" w:color="5B9BD5"/>
              <w:right w:val="single" w:sz="4" w:space="0" w:color="5B9BD5"/>
            </w:tcBorders>
            <w:shd w:val="clear" w:color="000000" w:fill="DDEBF7"/>
            <w:noWrap/>
            <w:vAlign w:val="bottom"/>
            <w:hideMark/>
          </w:tcPr>
          <w:p w:rsidR="00CA7B4E" w:rsidRPr="005B2A74" w:rsidRDefault="00CA7B4E" w:rsidP="00CD1518">
            <w:pPr>
              <w:spacing w:line="240" w:lineRule="auto"/>
              <w:jc w:val="right"/>
              <w:rPr>
                <w:color w:val="000000"/>
                <w:lang w:eastAsia="en-AU"/>
              </w:rPr>
            </w:pPr>
            <w:r w:rsidRPr="003940A4">
              <w:rPr>
                <w:color w:val="000000"/>
                <w:lang w:eastAsia="en-AU"/>
              </w:rPr>
              <w:t xml:space="preserve"> $- </w:t>
            </w:r>
          </w:p>
        </w:tc>
      </w:tr>
      <w:tr w:rsidR="00CA7B4E" w:rsidRPr="005B2A74"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5B2A74" w:rsidRDefault="00CA7B4E" w:rsidP="00CA7B4E">
            <w:pPr>
              <w:spacing w:line="240" w:lineRule="auto"/>
              <w:jc w:val="center"/>
              <w:rPr>
                <w:color w:val="000000"/>
                <w:lang w:eastAsia="en-AU"/>
              </w:rPr>
            </w:pPr>
            <w:r w:rsidRPr="005B2A74">
              <w:rPr>
                <w:color w:val="000000"/>
                <w:lang w:eastAsia="en-AU"/>
              </w:rPr>
              <w:t>3</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5B2A74" w:rsidRDefault="00CA7B4E" w:rsidP="00CA7B4E">
            <w:pPr>
              <w:spacing w:line="240" w:lineRule="auto"/>
              <w:rPr>
                <w:color w:val="000000"/>
                <w:lang w:eastAsia="en-AU"/>
              </w:rPr>
            </w:pPr>
            <w:r w:rsidRPr="005B2A74">
              <w:rPr>
                <w:color w:val="000000"/>
                <w:lang w:eastAsia="en-AU"/>
              </w:rPr>
              <w:t xml:space="preserve"> Admitted ED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5B2A74" w:rsidRDefault="00CA7B4E" w:rsidP="00CD1518">
            <w:pPr>
              <w:spacing w:line="240" w:lineRule="auto"/>
              <w:jc w:val="right"/>
              <w:rPr>
                <w:color w:val="000000"/>
                <w:lang w:eastAsia="en-AU"/>
              </w:rPr>
            </w:pPr>
            <w:r w:rsidRPr="005B2A74">
              <w:rPr>
                <w:color w:val="000000"/>
                <w:lang w:eastAsia="en-AU"/>
              </w:rPr>
              <w:t xml:space="preserve"> $950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5B2A74" w:rsidRDefault="00CA7B4E" w:rsidP="00CD1518">
            <w:pPr>
              <w:spacing w:line="240" w:lineRule="auto"/>
              <w:jc w:val="right"/>
              <w:rPr>
                <w:color w:val="000000"/>
                <w:lang w:eastAsia="en-AU"/>
              </w:rPr>
            </w:pPr>
            <w:r>
              <w:rPr>
                <w:color w:val="000000"/>
                <w:lang w:eastAsia="en-AU"/>
              </w:rPr>
              <w:t xml:space="preserve"> $</w:t>
            </w:r>
            <w:r w:rsidRPr="005B2A74">
              <w:rPr>
                <w:color w:val="000000"/>
                <w:lang w:eastAsia="en-AU"/>
              </w:rPr>
              <w:t xml:space="preserve">950 </w:t>
            </w:r>
          </w:p>
        </w:tc>
        <w:tc>
          <w:tcPr>
            <w:tcW w:w="797" w:type="pct"/>
            <w:tcBorders>
              <w:top w:val="nil"/>
              <w:left w:val="nil"/>
              <w:bottom w:val="single" w:sz="4" w:space="0" w:color="5B9BD5"/>
              <w:right w:val="single" w:sz="4" w:space="0" w:color="5B9BD5"/>
            </w:tcBorders>
            <w:shd w:val="clear" w:color="000000" w:fill="FFFFFF"/>
            <w:noWrap/>
            <w:vAlign w:val="bottom"/>
            <w:hideMark/>
          </w:tcPr>
          <w:p w:rsidR="00CA7B4E" w:rsidRPr="005B2A74" w:rsidRDefault="00CA7B4E" w:rsidP="00CD1518">
            <w:pPr>
              <w:spacing w:line="240" w:lineRule="auto"/>
              <w:jc w:val="right"/>
              <w:rPr>
                <w:color w:val="000000"/>
                <w:lang w:eastAsia="en-AU"/>
              </w:rPr>
            </w:pPr>
            <w:r w:rsidRPr="003940A4">
              <w:rPr>
                <w:color w:val="000000"/>
                <w:lang w:eastAsia="en-AU"/>
              </w:rPr>
              <w:t xml:space="preserve"> $- </w:t>
            </w:r>
          </w:p>
        </w:tc>
      </w:tr>
      <w:tr w:rsidR="00CA7B4E" w:rsidRPr="005B2A74" w:rsidTr="00CD1518">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5B2A74" w:rsidRDefault="00CA7B4E" w:rsidP="00CA7B4E">
            <w:pPr>
              <w:spacing w:line="240" w:lineRule="auto"/>
              <w:jc w:val="center"/>
              <w:rPr>
                <w:color w:val="000000"/>
                <w:lang w:eastAsia="en-AU"/>
              </w:rPr>
            </w:pPr>
            <w:r w:rsidRPr="005B2A74">
              <w:rPr>
                <w:color w:val="000000"/>
                <w:lang w:eastAsia="en-AU"/>
              </w:rPr>
              <w:t>4</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5B2A74" w:rsidRDefault="00CA7B4E" w:rsidP="00CA7B4E">
            <w:pPr>
              <w:spacing w:line="240" w:lineRule="auto"/>
              <w:rPr>
                <w:color w:val="000000"/>
                <w:lang w:eastAsia="en-AU"/>
              </w:rPr>
            </w:pPr>
            <w:r w:rsidRPr="005B2A74">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5B2A74" w:rsidRDefault="00CA7B4E" w:rsidP="00CD1518">
            <w:pPr>
              <w:spacing w:line="240" w:lineRule="auto"/>
              <w:jc w:val="right"/>
              <w:rPr>
                <w:color w:val="000000"/>
                <w:lang w:eastAsia="en-AU"/>
              </w:rPr>
            </w:pPr>
            <w:r w:rsidRPr="005B2A74">
              <w:rPr>
                <w:color w:val="000000"/>
                <w:lang w:eastAsia="en-AU"/>
              </w:rPr>
              <w:t xml:space="preserve"> $72,696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5B2A74" w:rsidRDefault="00CA7B4E" w:rsidP="00CD1518">
            <w:pPr>
              <w:spacing w:line="240" w:lineRule="auto"/>
              <w:jc w:val="right"/>
              <w:rPr>
                <w:color w:val="000000"/>
                <w:lang w:eastAsia="en-AU"/>
              </w:rPr>
            </w:pPr>
            <w:r w:rsidRPr="005B2A74">
              <w:rPr>
                <w:color w:val="000000"/>
                <w:lang w:eastAsia="en-AU"/>
              </w:rPr>
              <w:t xml:space="preserve"> $72,696 </w:t>
            </w:r>
          </w:p>
        </w:tc>
        <w:tc>
          <w:tcPr>
            <w:tcW w:w="797" w:type="pct"/>
            <w:tcBorders>
              <w:top w:val="nil"/>
              <w:left w:val="nil"/>
              <w:bottom w:val="single" w:sz="4" w:space="0" w:color="5B9BD5"/>
              <w:right w:val="single" w:sz="4" w:space="0" w:color="5B9BD5"/>
            </w:tcBorders>
            <w:shd w:val="clear" w:color="000000" w:fill="DDEBF7"/>
            <w:noWrap/>
            <w:vAlign w:val="bottom"/>
            <w:hideMark/>
          </w:tcPr>
          <w:p w:rsidR="00CA7B4E" w:rsidRPr="005B2A74" w:rsidRDefault="00CA7B4E" w:rsidP="00CD1518">
            <w:pPr>
              <w:spacing w:line="240" w:lineRule="auto"/>
              <w:jc w:val="right"/>
              <w:rPr>
                <w:color w:val="000000"/>
                <w:lang w:eastAsia="en-AU"/>
              </w:rPr>
            </w:pPr>
            <w:r w:rsidRPr="003940A4">
              <w:rPr>
                <w:color w:val="000000"/>
                <w:lang w:eastAsia="en-AU"/>
              </w:rPr>
              <w:t xml:space="preserve"> $- </w:t>
            </w:r>
          </w:p>
        </w:tc>
      </w:tr>
      <w:tr w:rsidR="00CA7B4E" w:rsidRPr="005B2A74"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5B2A74" w:rsidRDefault="00CA7B4E" w:rsidP="00CA7B4E">
            <w:pPr>
              <w:spacing w:line="240" w:lineRule="auto"/>
              <w:jc w:val="center"/>
              <w:rPr>
                <w:color w:val="000000"/>
                <w:lang w:eastAsia="en-AU"/>
              </w:rPr>
            </w:pPr>
            <w:r w:rsidRPr="005B2A74">
              <w:rPr>
                <w:color w:val="000000"/>
                <w:lang w:eastAsia="en-AU"/>
              </w:rPr>
              <w:t>5</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5B2A74" w:rsidRDefault="00CA7B4E" w:rsidP="00CA7B4E">
            <w:pPr>
              <w:spacing w:line="240" w:lineRule="auto"/>
              <w:rPr>
                <w:color w:val="000000"/>
                <w:lang w:eastAsia="en-AU"/>
              </w:rPr>
            </w:pPr>
            <w:r w:rsidRPr="005B2A74">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5B2A74" w:rsidRDefault="00CA7B4E" w:rsidP="00CD1518">
            <w:pPr>
              <w:spacing w:line="240" w:lineRule="auto"/>
              <w:jc w:val="right"/>
              <w:rPr>
                <w:color w:val="000000"/>
                <w:lang w:eastAsia="en-AU"/>
              </w:rPr>
            </w:pPr>
            <w:r w:rsidRPr="005B2A74">
              <w:rPr>
                <w:color w:val="000000"/>
                <w:lang w:eastAsia="en-AU"/>
              </w:rPr>
              <w:t xml:space="preserve"> $6,363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5B2A74" w:rsidRDefault="00CA7B4E" w:rsidP="00CD1518">
            <w:pPr>
              <w:spacing w:line="240" w:lineRule="auto"/>
              <w:jc w:val="right"/>
              <w:rPr>
                <w:color w:val="000000"/>
                <w:lang w:eastAsia="en-AU"/>
              </w:rPr>
            </w:pPr>
            <w:r w:rsidRPr="005B2A74">
              <w:rPr>
                <w:color w:val="000000"/>
                <w:lang w:eastAsia="en-AU"/>
              </w:rPr>
              <w:t xml:space="preserve"> $6,363 </w:t>
            </w:r>
          </w:p>
        </w:tc>
        <w:tc>
          <w:tcPr>
            <w:tcW w:w="797" w:type="pct"/>
            <w:tcBorders>
              <w:top w:val="nil"/>
              <w:left w:val="nil"/>
              <w:bottom w:val="single" w:sz="4" w:space="0" w:color="5B9BD5"/>
              <w:right w:val="single" w:sz="4" w:space="0" w:color="5B9BD5"/>
            </w:tcBorders>
            <w:shd w:val="clear" w:color="000000" w:fill="FFFFFF"/>
            <w:noWrap/>
            <w:vAlign w:val="bottom"/>
            <w:hideMark/>
          </w:tcPr>
          <w:p w:rsidR="00CA7B4E" w:rsidRPr="005B2A74" w:rsidRDefault="00CA7B4E" w:rsidP="00CD1518">
            <w:pPr>
              <w:spacing w:line="240" w:lineRule="auto"/>
              <w:jc w:val="right"/>
              <w:rPr>
                <w:color w:val="000000"/>
                <w:lang w:eastAsia="en-AU"/>
              </w:rPr>
            </w:pPr>
            <w:r w:rsidRPr="003940A4">
              <w:rPr>
                <w:color w:val="000000"/>
                <w:lang w:eastAsia="en-AU"/>
              </w:rPr>
              <w:t xml:space="preserve"> $- </w:t>
            </w:r>
          </w:p>
        </w:tc>
      </w:tr>
    </w:tbl>
    <w:p w:rsidR="00972129" w:rsidRPr="00975E6B" w:rsidRDefault="00972129" w:rsidP="00972129">
      <w:pPr>
        <w:rPr>
          <w:bCs/>
          <w:i/>
          <w:sz w:val="16"/>
          <w:szCs w:val="16"/>
        </w:rPr>
      </w:pPr>
      <w:r w:rsidRPr="00975E6B">
        <w:rPr>
          <w:bCs/>
          <w:i/>
          <w:sz w:val="16"/>
          <w:szCs w:val="16"/>
        </w:rPr>
        <w:t>Source: KPMG, based on Northern NSW LHD and IHPA data</w:t>
      </w:r>
    </w:p>
    <w:p w:rsidR="00972129" w:rsidRPr="00975E6B" w:rsidRDefault="00972129" w:rsidP="003B387A">
      <w:pPr>
        <w:pStyle w:val="Heading2"/>
        <w:numPr>
          <w:ilvl w:val="1"/>
          <w:numId w:val="77"/>
        </w:numPr>
      </w:pPr>
      <w:bookmarkStart w:id="698" w:name="_Toc434325514"/>
      <w:bookmarkStart w:id="699" w:name="_Toc444523654"/>
      <w:r w:rsidRPr="007C525F">
        <w:t>Application</w:t>
      </w:r>
      <w:r w:rsidRPr="00975E6B">
        <w:t xml:space="preserve"> of AHPCS Version 3.1</w:t>
      </w:r>
      <w:bookmarkEnd w:id="698"/>
      <w:bookmarkEnd w:id="699"/>
    </w:p>
    <w:p w:rsidR="00972129" w:rsidRPr="00975E6B" w:rsidRDefault="00972129" w:rsidP="00972129">
      <w:pPr>
        <w:spacing w:before="120" w:after="120" w:line="280" w:lineRule="atLeast"/>
        <w:jc w:val="both"/>
        <w:rPr>
          <w:szCs w:val="22"/>
        </w:rPr>
      </w:pPr>
      <w:r w:rsidRPr="00975E6B">
        <w:rPr>
          <w:szCs w:val="22"/>
        </w:rPr>
        <w:fldChar w:fldCharType="begin"/>
      </w:r>
      <w:r w:rsidRPr="00975E6B">
        <w:rPr>
          <w:szCs w:val="22"/>
        </w:rPr>
        <w:instrText xml:space="preserve"> REF _Ref434491765 \h </w:instrText>
      </w:r>
      <w:r w:rsidR="008375B1" w:rsidRPr="00975E6B">
        <w:rPr>
          <w:szCs w:val="22"/>
        </w:rPr>
        <w:instrText xml:space="preserve"> \* MERGEFORMAT </w:instrText>
      </w:r>
      <w:r w:rsidRPr="00975E6B">
        <w:rPr>
          <w:szCs w:val="22"/>
        </w:rPr>
      </w:r>
      <w:r w:rsidRPr="00975E6B">
        <w:rPr>
          <w:szCs w:val="22"/>
        </w:rPr>
        <w:fldChar w:fldCharType="separate"/>
      </w:r>
      <w:r w:rsidR="00154CF7" w:rsidRPr="00154CF7">
        <w:rPr>
          <w:bCs/>
        </w:rPr>
        <w:t xml:space="preserve">Table </w:t>
      </w:r>
      <w:r w:rsidR="00154CF7" w:rsidRPr="00154CF7">
        <w:rPr>
          <w:bCs/>
          <w:noProof/>
        </w:rPr>
        <w:t>25</w:t>
      </w:r>
      <w:r w:rsidRPr="00975E6B">
        <w:rPr>
          <w:szCs w:val="22"/>
        </w:rPr>
        <w:fldChar w:fldCharType="end"/>
      </w:r>
      <w:r w:rsidRPr="00975E6B">
        <w:rPr>
          <w:szCs w:val="22"/>
        </w:rPr>
        <w:t xml:space="preserve"> summarises NSW Health’s application of selected standards from version 3.1 of the AHPCS (outlined in Section 1.3.4) to the Western Sydney LHD, Illawarra Shoalhaven LHD and Northern NSW LHD Round 18 NHCDC submission. The application of the selected standards was consistent across each of the three LHD’s reviewed during the Round 18 IFR.</w:t>
      </w:r>
      <w:r w:rsidR="00BA3F4B" w:rsidRPr="00975E6B">
        <w:rPr>
          <w:szCs w:val="22"/>
        </w:rPr>
        <w:t xml:space="preserve"> </w:t>
      </w:r>
      <w:r w:rsidRPr="00975E6B">
        <w:rPr>
          <w:szCs w:val="22"/>
        </w:rPr>
        <w:t>It should be noted that NSW Health identified during the review process that the selected LHDs consistently apply the NSW Health costing standards</w:t>
      </w:r>
      <w:r w:rsidR="007F2958">
        <w:rPr>
          <w:szCs w:val="22"/>
        </w:rPr>
        <w:t xml:space="preserve"> which incorporate the AHPCS</w:t>
      </w:r>
      <w:r w:rsidRPr="00975E6B">
        <w:rPr>
          <w:szCs w:val="22"/>
        </w:rPr>
        <w:t>.</w:t>
      </w:r>
    </w:p>
    <w:p w:rsidR="00972129" w:rsidRPr="00975E6B" w:rsidRDefault="00972129" w:rsidP="00972129">
      <w:pPr>
        <w:keepNext/>
        <w:spacing w:before="120" w:after="120"/>
        <w:rPr>
          <w:bCs/>
          <w:i/>
        </w:rPr>
      </w:pPr>
      <w:bookmarkStart w:id="700" w:name="_Ref434491765"/>
      <w:r w:rsidRPr="00975E6B">
        <w:rPr>
          <w:bCs/>
          <w:i/>
        </w:rPr>
        <w:t xml:space="preserve">Table </w:t>
      </w:r>
      <w:r w:rsidRPr="00975E6B">
        <w:rPr>
          <w:bCs/>
          <w:i/>
        </w:rPr>
        <w:fldChar w:fldCharType="begin"/>
      </w:r>
      <w:r w:rsidRPr="00975E6B">
        <w:rPr>
          <w:bCs/>
          <w:i/>
        </w:rPr>
        <w:instrText xml:space="preserve"> SEQ Table \* ARABIC </w:instrText>
      </w:r>
      <w:r w:rsidRPr="00975E6B">
        <w:rPr>
          <w:bCs/>
          <w:i/>
        </w:rPr>
        <w:fldChar w:fldCharType="separate"/>
      </w:r>
      <w:r w:rsidR="00154CF7">
        <w:rPr>
          <w:bCs/>
          <w:i/>
          <w:noProof/>
        </w:rPr>
        <w:t>25</w:t>
      </w:r>
      <w:r w:rsidRPr="00975E6B">
        <w:rPr>
          <w:bCs/>
          <w:i/>
          <w:noProof/>
        </w:rPr>
        <w:fldChar w:fldCharType="end"/>
      </w:r>
      <w:bookmarkEnd w:id="700"/>
      <w:r w:rsidRPr="00975E6B">
        <w:rPr>
          <w:bCs/>
          <w:i/>
        </w:rPr>
        <w:t xml:space="preserve"> – Application of Costing Standards – </w:t>
      </w:r>
      <w:r w:rsidR="004D1C76">
        <w:rPr>
          <w:i/>
          <w:szCs w:val="22"/>
        </w:rPr>
        <w:t>NSW samples LHDs</w:t>
      </w:r>
    </w:p>
    <w:tbl>
      <w:tblPr>
        <w:tblStyle w:val="ListTable4-Accent11"/>
        <w:tblW w:w="5000" w:type="pct"/>
        <w:tblLayout w:type="fixed"/>
        <w:tblLook w:val="0620" w:firstRow="1" w:lastRow="0" w:firstColumn="0" w:lastColumn="0" w:noHBand="1" w:noVBand="1"/>
        <w:tblCaption w:val="Table 25 - Application of Costing Standards - NSW"/>
        <w:tblDescription w:val="This table describes the application of the in-scope costing standards for NSW based on the LHDs sampled.  The first column is the Costing Standard number, the second column is the costing standard title and the third column is the discussion of the application of the costing standard for the sampled LHDs.&#10;"/>
      </w:tblPr>
      <w:tblGrid>
        <w:gridCol w:w="1427"/>
        <w:gridCol w:w="2642"/>
        <w:gridCol w:w="4652"/>
      </w:tblGrid>
      <w:tr w:rsidR="00972129" w:rsidRPr="00975E6B" w:rsidTr="00E14378">
        <w:trPr>
          <w:cnfStyle w:val="100000000000" w:firstRow="1" w:lastRow="0" w:firstColumn="0" w:lastColumn="0" w:oddVBand="0" w:evenVBand="0" w:oddHBand="0" w:evenHBand="0" w:firstRowFirstColumn="0" w:firstRowLastColumn="0" w:lastRowFirstColumn="0" w:lastRowLastColumn="0"/>
          <w:tblHeader/>
        </w:trPr>
        <w:tc>
          <w:tcPr>
            <w:tcW w:w="818" w:type="pct"/>
            <w:tcBorders>
              <w:right w:val="single" w:sz="4" w:space="0" w:color="548DD4" w:themeColor="text2" w:themeTint="99"/>
            </w:tcBorders>
            <w:shd w:val="clear" w:color="auto" w:fill="002060"/>
            <w:noWrap/>
          </w:tcPr>
          <w:p w:rsidR="00972129" w:rsidRPr="00975E6B" w:rsidRDefault="00972129" w:rsidP="00972129">
            <w:r w:rsidRPr="00975E6B">
              <w:t>No.</w:t>
            </w:r>
          </w:p>
        </w:tc>
        <w:tc>
          <w:tcPr>
            <w:tcW w:w="1515" w:type="pct"/>
            <w:tcBorders>
              <w:left w:val="single" w:sz="4" w:space="0" w:color="548DD4" w:themeColor="text2" w:themeTint="99"/>
            </w:tcBorders>
            <w:shd w:val="clear" w:color="auto" w:fill="002060"/>
          </w:tcPr>
          <w:p w:rsidR="00972129" w:rsidRPr="00975E6B" w:rsidRDefault="00972129" w:rsidP="00972129">
            <w:r w:rsidRPr="00975E6B">
              <w:t>Title</w:t>
            </w:r>
          </w:p>
        </w:tc>
        <w:tc>
          <w:tcPr>
            <w:tcW w:w="2667" w:type="pct"/>
            <w:tcBorders>
              <w:left w:val="single" w:sz="4" w:space="0" w:color="548DD4" w:themeColor="text2" w:themeTint="99"/>
            </w:tcBorders>
            <w:shd w:val="clear" w:color="auto" w:fill="002060"/>
          </w:tcPr>
          <w:p w:rsidR="00972129" w:rsidRPr="00975E6B" w:rsidRDefault="00972129" w:rsidP="00972129">
            <w:r w:rsidRPr="00975E6B">
              <w:t>Discussion</w:t>
            </w:r>
          </w:p>
        </w:tc>
      </w:tr>
      <w:tr w:rsidR="00972129" w:rsidRPr="00975E6B" w:rsidTr="00972129">
        <w:tc>
          <w:tcPr>
            <w:tcW w:w="818"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SCP 1.004</w:t>
            </w:r>
          </w:p>
        </w:tc>
        <w:tc>
          <w:tcPr>
            <w:tcW w:w="1515"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Hospital Products in Scope</w:t>
            </w:r>
          </w:p>
        </w:tc>
        <w:tc>
          <w:tcPr>
            <w:tcW w:w="2667"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 xml:space="preserve">NSW Health representatives and site costing coordinators demonstrated through the templates and interview process that costs are reported </w:t>
            </w:r>
            <w:r w:rsidRPr="00975E6B">
              <w:rPr>
                <w:szCs w:val="22"/>
              </w:rPr>
              <w:lastRenderedPageBreak/>
              <w:t xml:space="preserve">against all products. </w:t>
            </w:r>
          </w:p>
          <w:p w:rsidR="00972129" w:rsidRDefault="00972129" w:rsidP="00972129">
            <w:pPr>
              <w:spacing w:before="120" w:after="120" w:line="280" w:lineRule="atLeast"/>
              <w:jc w:val="both"/>
              <w:rPr>
                <w:szCs w:val="22"/>
              </w:rPr>
            </w:pPr>
            <w:r w:rsidRPr="00975E6B">
              <w:rPr>
                <w:szCs w:val="22"/>
              </w:rPr>
              <w:t xml:space="preserve">It was noted that costs are also created for non-patient products (such as </w:t>
            </w:r>
            <w:r w:rsidR="007F2958">
              <w:rPr>
                <w:szCs w:val="22"/>
              </w:rPr>
              <w:t>commercial entities</w:t>
            </w:r>
            <w:r w:rsidRPr="00975E6B">
              <w:rPr>
                <w:szCs w:val="22"/>
              </w:rPr>
              <w:t>) which are not submitted to the NHCDC.</w:t>
            </w:r>
          </w:p>
          <w:p w:rsidR="007F2958" w:rsidRPr="00975E6B" w:rsidRDefault="007F2958" w:rsidP="00972129">
            <w:pPr>
              <w:spacing w:before="120" w:after="120" w:line="280" w:lineRule="atLeast"/>
              <w:jc w:val="both"/>
              <w:rPr>
                <w:szCs w:val="22"/>
              </w:rPr>
            </w:pPr>
            <w:r w:rsidRPr="007F2958">
              <w:rPr>
                <w:szCs w:val="22"/>
              </w:rPr>
              <w:t>Unlinked feeder data may or may not generate virtual or dummy records to which costs are allocated</w:t>
            </w:r>
            <w:r w:rsidR="00873964">
              <w:rPr>
                <w:szCs w:val="22"/>
              </w:rPr>
              <w:t xml:space="preserve">. </w:t>
            </w:r>
            <w:r w:rsidRPr="007F2958">
              <w:rPr>
                <w:szCs w:val="22"/>
              </w:rPr>
              <w:t>The generation of dummy records is specific to the feeder</w:t>
            </w:r>
            <w:r w:rsidR="00873964">
              <w:rPr>
                <w:szCs w:val="22"/>
              </w:rPr>
              <w:t xml:space="preserve">. </w:t>
            </w:r>
            <w:r w:rsidRPr="007F2958">
              <w:rPr>
                <w:szCs w:val="22"/>
              </w:rPr>
              <w:t>These dummy records with costs are not submitted to the NHCDC</w:t>
            </w:r>
            <w:r>
              <w:rPr>
                <w:szCs w:val="22"/>
              </w:rPr>
              <w:t>.</w:t>
            </w:r>
          </w:p>
          <w:p w:rsidR="00972129" w:rsidRPr="00975E6B" w:rsidRDefault="00972129" w:rsidP="00972129">
            <w:pPr>
              <w:spacing w:before="120" w:after="120" w:line="280" w:lineRule="atLeast"/>
              <w:jc w:val="both"/>
              <w:rPr>
                <w:szCs w:val="22"/>
              </w:rPr>
            </w:pPr>
            <w:r w:rsidRPr="00975E6B">
              <w:rPr>
                <w:szCs w:val="22"/>
              </w:rPr>
              <w:t>Teaching, Training and Research products are assigned costs but attached to the dummy patient and are not submitted to the NHCDC.</w:t>
            </w:r>
          </w:p>
        </w:tc>
      </w:tr>
      <w:tr w:rsidR="00972129" w:rsidRPr="00975E6B" w:rsidTr="00972129">
        <w:trPr>
          <w:trHeight w:val="1908"/>
        </w:trPr>
        <w:tc>
          <w:tcPr>
            <w:tcW w:w="818"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lastRenderedPageBreak/>
              <w:t>SCP 2.003</w:t>
            </w:r>
          </w:p>
        </w:tc>
        <w:tc>
          <w:tcPr>
            <w:tcW w:w="1515"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Product Costs in Scope</w:t>
            </w:r>
          </w:p>
        </w:tc>
        <w:tc>
          <w:tcPr>
            <w:tcW w:w="2667"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 xml:space="preserve">Through the interview process, NSW Health representatives demonstrated the NSW reconciliation process for financial data used for costing purposes. </w:t>
            </w:r>
          </w:p>
          <w:p w:rsidR="00972129" w:rsidRPr="00975E6B" w:rsidRDefault="00972129" w:rsidP="00972129">
            <w:pPr>
              <w:spacing w:before="120" w:after="120" w:line="280" w:lineRule="atLeast"/>
              <w:jc w:val="both"/>
              <w:rPr>
                <w:szCs w:val="22"/>
              </w:rPr>
            </w:pPr>
            <w:r w:rsidRPr="00975E6B">
              <w:rPr>
                <w:szCs w:val="22"/>
              </w:rPr>
              <w:t>It was also stated that all products are costed, which includes costs assigned to products in scope for the NHCDC, unlinked activity, and costs assigned to dummy patients where there is no activity.</w:t>
            </w:r>
          </w:p>
          <w:p w:rsidR="00972129" w:rsidRPr="00975E6B" w:rsidRDefault="00972129" w:rsidP="00972129">
            <w:pPr>
              <w:spacing w:before="120" w:after="120" w:line="280" w:lineRule="atLeast"/>
              <w:jc w:val="both"/>
              <w:rPr>
                <w:szCs w:val="22"/>
              </w:rPr>
            </w:pPr>
            <w:r w:rsidRPr="00975E6B">
              <w:rPr>
                <w:szCs w:val="22"/>
              </w:rPr>
              <w:t xml:space="preserve">For private patient costs the NSW representative indicated that all hospitals in NSW cost according to the NSW costing guidelines. There </w:t>
            </w:r>
            <w:r w:rsidR="000C19A6" w:rsidRPr="00975E6B">
              <w:rPr>
                <w:szCs w:val="22"/>
              </w:rPr>
              <w:t>are no private patient weights</w:t>
            </w:r>
            <w:r w:rsidRPr="00975E6B">
              <w:rPr>
                <w:szCs w:val="22"/>
              </w:rPr>
              <w:t xml:space="preserve"> or adjustments made to this cohort.</w:t>
            </w:r>
          </w:p>
          <w:p w:rsidR="007F2958" w:rsidRPr="008B40BB" w:rsidRDefault="007F2958" w:rsidP="007F2958">
            <w:pPr>
              <w:autoSpaceDE w:val="0"/>
              <w:autoSpaceDN w:val="0"/>
              <w:adjustRightInd w:val="0"/>
              <w:spacing w:line="240" w:lineRule="auto"/>
              <w:rPr>
                <w:szCs w:val="22"/>
              </w:rPr>
            </w:pPr>
            <w:r w:rsidRPr="008B40BB">
              <w:rPr>
                <w:szCs w:val="22"/>
              </w:rPr>
              <w:t>NSW is not a signatory to the PBS Agreement so distinction between PBS and Non-PBS is not applicable.</w:t>
            </w:r>
          </w:p>
          <w:p w:rsidR="00972129" w:rsidRPr="00975E6B" w:rsidRDefault="007F2958" w:rsidP="007F2958">
            <w:pPr>
              <w:spacing w:before="120" w:after="120" w:line="280" w:lineRule="atLeast"/>
              <w:jc w:val="both"/>
              <w:rPr>
                <w:szCs w:val="22"/>
              </w:rPr>
            </w:pPr>
            <w:r w:rsidRPr="008B40BB">
              <w:rPr>
                <w:szCs w:val="22"/>
              </w:rPr>
              <w:t xml:space="preserve">S100 drugs are not allocated to </w:t>
            </w:r>
            <w:r w:rsidR="00873964">
              <w:rPr>
                <w:szCs w:val="22"/>
              </w:rPr>
              <w:t>Non-admitted</w:t>
            </w:r>
            <w:r w:rsidRPr="008B40BB">
              <w:rPr>
                <w:szCs w:val="22"/>
              </w:rPr>
              <w:t xml:space="preserve"> service events.</w:t>
            </w:r>
          </w:p>
        </w:tc>
      </w:tr>
      <w:tr w:rsidR="00972129" w:rsidRPr="00975E6B" w:rsidTr="00972129">
        <w:tc>
          <w:tcPr>
            <w:tcW w:w="818"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SCP 2A.003</w:t>
            </w:r>
          </w:p>
        </w:tc>
        <w:tc>
          <w:tcPr>
            <w:tcW w:w="1515"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Teaching and Training Costs</w:t>
            </w:r>
          </w:p>
        </w:tc>
        <w:tc>
          <w:tcPr>
            <w:tcW w:w="2667" w:type="pct"/>
            <w:tcBorders>
              <w:left w:val="single" w:sz="4" w:space="0" w:color="548DD4" w:themeColor="text2" w:themeTint="99"/>
            </w:tcBorders>
          </w:tcPr>
          <w:p w:rsidR="00972129" w:rsidRPr="00975E6B" w:rsidRDefault="007F2958" w:rsidP="00972129">
            <w:pPr>
              <w:spacing w:before="120" w:after="120" w:line="280" w:lineRule="atLeast"/>
              <w:jc w:val="both"/>
              <w:rPr>
                <w:szCs w:val="22"/>
              </w:rPr>
            </w:pPr>
            <w:r w:rsidRPr="00975E6B">
              <w:rPr>
                <w:szCs w:val="22"/>
              </w:rPr>
              <w:t>Teaching and Training costs are assigned to a product. However are excluded from NHCDC submission.</w:t>
            </w:r>
          </w:p>
        </w:tc>
      </w:tr>
      <w:tr w:rsidR="00972129" w:rsidRPr="00975E6B" w:rsidTr="00972129">
        <w:tc>
          <w:tcPr>
            <w:tcW w:w="818"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SCP 2B.002</w:t>
            </w:r>
          </w:p>
        </w:tc>
        <w:tc>
          <w:tcPr>
            <w:tcW w:w="1515"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Research Costs</w:t>
            </w:r>
          </w:p>
        </w:tc>
        <w:tc>
          <w:tcPr>
            <w:tcW w:w="2667" w:type="pct"/>
            <w:tcBorders>
              <w:left w:val="single" w:sz="4" w:space="0" w:color="548DD4" w:themeColor="text2" w:themeTint="99"/>
            </w:tcBorders>
          </w:tcPr>
          <w:p w:rsidR="00972129" w:rsidRPr="00975E6B" w:rsidRDefault="007F2958" w:rsidP="00972129">
            <w:pPr>
              <w:spacing w:before="120" w:after="120" w:line="280" w:lineRule="atLeast"/>
              <w:jc w:val="both"/>
              <w:rPr>
                <w:szCs w:val="22"/>
              </w:rPr>
            </w:pPr>
            <w:r w:rsidRPr="00975E6B">
              <w:rPr>
                <w:szCs w:val="22"/>
              </w:rPr>
              <w:t>Research costs are assigned to a product. However are excluded from NHCDC submission.</w:t>
            </w:r>
          </w:p>
        </w:tc>
      </w:tr>
      <w:tr w:rsidR="00972129" w:rsidRPr="00975E6B" w:rsidTr="00972129">
        <w:trPr>
          <w:trHeight w:val="516"/>
        </w:trPr>
        <w:tc>
          <w:tcPr>
            <w:tcW w:w="818"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SCP 3.001</w:t>
            </w:r>
          </w:p>
        </w:tc>
        <w:tc>
          <w:tcPr>
            <w:tcW w:w="1515"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Matching Production and Cost</w:t>
            </w:r>
          </w:p>
        </w:tc>
        <w:tc>
          <w:tcPr>
            <w:tcW w:w="2667"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 xml:space="preserve">This was demonstrated during the site visit and an excel file was produced from the costing system which outlined all transfers and offsets </w:t>
            </w:r>
            <w:r w:rsidRPr="00975E6B">
              <w:rPr>
                <w:szCs w:val="22"/>
              </w:rPr>
              <w:lastRenderedPageBreak/>
              <w:t>utilised.</w:t>
            </w:r>
          </w:p>
        </w:tc>
      </w:tr>
      <w:tr w:rsidR="00972129" w:rsidRPr="00975E6B" w:rsidTr="00972129">
        <w:tc>
          <w:tcPr>
            <w:tcW w:w="818"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lastRenderedPageBreak/>
              <w:t>SCP 3A.001</w:t>
            </w:r>
          </w:p>
        </w:tc>
        <w:tc>
          <w:tcPr>
            <w:tcW w:w="1515"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Matching Production and Cost – Overhead Cost Allocation</w:t>
            </w:r>
          </w:p>
        </w:tc>
        <w:tc>
          <w:tcPr>
            <w:tcW w:w="2667" w:type="pct"/>
            <w:tcBorders>
              <w:left w:val="single" w:sz="4" w:space="0" w:color="548DD4" w:themeColor="text2" w:themeTint="99"/>
            </w:tcBorders>
          </w:tcPr>
          <w:p w:rsidR="00972129" w:rsidRPr="00975E6B" w:rsidRDefault="00AD71DB" w:rsidP="00972129">
            <w:pPr>
              <w:spacing w:before="120" w:after="120" w:line="280" w:lineRule="atLeast"/>
              <w:jc w:val="both"/>
              <w:rPr>
                <w:szCs w:val="22"/>
              </w:rPr>
            </w:pPr>
            <w:r w:rsidRPr="00975E6B">
              <w:t>The jurisdiction was able to demonstrate that overhead costs were fully allocated to direct patient care areas via the pre allocation and post allocation data included in the templates.</w:t>
            </w:r>
          </w:p>
        </w:tc>
      </w:tr>
      <w:tr w:rsidR="00972129" w:rsidRPr="00975E6B" w:rsidTr="00972129">
        <w:tc>
          <w:tcPr>
            <w:tcW w:w="818"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SCP 3B.001</w:t>
            </w:r>
          </w:p>
        </w:tc>
        <w:tc>
          <w:tcPr>
            <w:tcW w:w="1515"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Matching Production and Cost – Costing all Products</w:t>
            </w:r>
          </w:p>
        </w:tc>
        <w:tc>
          <w:tcPr>
            <w:tcW w:w="2667"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Demonstrated in the template and NSW provided an overview of their internal reconciliation process which demonstrated the allocation of costs to products.</w:t>
            </w:r>
          </w:p>
        </w:tc>
      </w:tr>
      <w:tr w:rsidR="00972129" w:rsidRPr="00975E6B" w:rsidTr="00972129">
        <w:tc>
          <w:tcPr>
            <w:tcW w:w="818"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SCP 3C.001</w:t>
            </w:r>
          </w:p>
        </w:tc>
        <w:tc>
          <w:tcPr>
            <w:tcW w:w="1515"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Matching Production and Cost – Commercial Business Entities</w:t>
            </w:r>
          </w:p>
        </w:tc>
        <w:tc>
          <w:tcPr>
            <w:tcW w:w="2667" w:type="pct"/>
            <w:tcBorders>
              <w:left w:val="single" w:sz="4" w:space="0" w:color="548DD4" w:themeColor="text2" w:themeTint="99"/>
            </w:tcBorders>
          </w:tcPr>
          <w:p w:rsidR="00972129" w:rsidRPr="00975E6B" w:rsidRDefault="007F2958" w:rsidP="00616472">
            <w:pPr>
              <w:spacing w:before="120" w:after="120" w:line="280" w:lineRule="atLeast"/>
              <w:jc w:val="both"/>
              <w:rPr>
                <w:szCs w:val="22"/>
              </w:rPr>
            </w:pPr>
            <w:r w:rsidRPr="007F2958">
              <w:rPr>
                <w:szCs w:val="22"/>
              </w:rPr>
              <w:t>Based on discussions during the review, LHD costing officers state that where these entities exist, the costs were allocated to a non</w:t>
            </w:r>
            <w:r>
              <w:rPr>
                <w:szCs w:val="22"/>
              </w:rPr>
              <w:t>-</w:t>
            </w:r>
            <w:r w:rsidRPr="007F2958">
              <w:rPr>
                <w:szCs w:val="22"/>
              </w:rPr>
              <w:t>patient product.</w:t>
            </w:r>
          </w:p>
        </w:tc>
      </w:tr>
      <w:tr w:rsidR="00972129" w:rsidRPr="00975E6B" w:rsidTr="00972129">
        <w:tc>
          <w:tcPr>
            <w:tcW w:w="818"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SCP 3E.001</w:t>
            </w:r>
          </w:p>
        </w:tc>
        <w:tc>
          <w:tcPr>
            <w:tcW w:w="1515"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Matching Production and Cost – Offsets and Recoveries</w:t>
            </w:r>
          </w:p>
        </w:tc>
        <w:tc>
          <w:tcPr>
            <w:tcW w:w="2667"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No offsets were presented in the final templates. During the interviews Illawarra Shoalhaven LHD noted that medical imaging was treated as a separate business unit. For private patients, the expense had already been charged to the hospital so the revenue offsets expenditure for these patients.</w:t>
            </w:r>
          </w:p>
        </w:tc>
      </w:tr>
      <w:tr w:rsidR="00972129" w:rsidRPr="00975E6B" w:rsidTr="00972129">
        <w:tc>
          <w:tcPr>
            <w:tcW w:w="818"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SCP 3G.001</w:t>
            </w:r>
          </w:p>
        </w:tc>
        <w:tc>
          <w:tcPr>
            <w:tcW w:w="1515"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Matching Production and Cost – Reconciliation to Source Data</w:t>
            </w:r>
          </w:p>
        </w:tc>
        <w:tc>
          <w:tcPr>
            <w:tcW w:w="2667"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NSW Health representatives demonstrated through the interview process the NSW reconciliation process for financial and activity data used for costing purposes. The process appears robust.</w:t>
            </w:r>
          </w:p>
        </w:tc>
      </w:tr>
      <w:tr w:rsidR="00972129" w:rsidRPr="00975E6B" w:rsidTr="00972129">
        <w:tc>
          <w:tcPr>
            <w:tcW w:w="818"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GL2.004</w:t>
            </w:r>
          </w:p>
        </w:tc>
        <w:tc>
          <w:tcPr>
            <w:tcW w:w="1515"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Account Code Mapping to Line Items</w:t>
            </w:r>
          </w:p>
        </w:tc>
        <w:tc>
          <w:tcPr>
            <w:tcW w:w="2667" w:type="pct"/>
            <w:tcBorders>
              <w:left w:val="single" w:sz="4" w:space="0" w:color="548DD4" w:themeColor="text2" w:themeTint="99"/>
            </w:tcBorders>
          </w:tcPr>
          <w:p w:rsidR="00972129" w:rsidRPr="00975E6B" w:rsidRDefault="00972129" w:rsidP="00616472">
            <w:pPr>
              <w:spacing w:before="120" w:after="120" w:line="280" w:lineRule="atLeast"/>
              <w:jc w:val="both"/>
              <w:rPr>
                <w:szCs w:val="22"/>
              </w:rPr>
            </w:pPr>
            <w:r w:rsidRPr="00975E6B">
              <w:rPr>
                <w:szCs w:val="22"/>
              </w:rPr>
              <w:t xml:space="preserve">NSW Health indicated that it mapped total costs to the standard specified line items following submission of the cost file by the </w:t>
            </w:r>
            <w:r w:rsidR="007F2958">
              <w:rPr>
                <w:szCs w:val="22"/>
              </w:rPr>
              <w:t>LHD</w:t>
            </w:r>
            <w:r w:rsidR="007F2958" w:rsidRPr="00975E6B">
              <w:rPr>
                <w:szCs w:val="22"/>
              </w:rPr>
              <w:t xml:space="preserve"> </w:t>
            </w:r>
            <w:r w:rsidRPr="00975E6B">
              <w:rPr>
                <w:szCs w:val="22"/>
              </w:rPr>
              <w:t>through the DNR.</w:t>
            </w:r>
          </w:p>
        </w:tc>
      </w:tr>
      <w:tr w:rsidR="00972129" w:rsidRPr="00975E6B" w:rsidTr="00972129">
        <w:tc>
          <w:tcPr>
            <w:tcW w:w="818" w:type="pct"/>
            <w:tcBorders>
              <w:right w:val="single" w:sz="4" w:space="0" w:color="548DD4" w:themeColor="text2" w:themeTint="99"/>
            </w:tcBorders>
            <w:noWrap/>
          </w:tcPr>
          <w:p w:rsidR="00972129" w:rsidRPr="00975E6B" w:rsidRDefault="00972129" w:rsidP="00972129">
            <w:pPr>
              <w:spacing w:before="120" w:after="120" w:line="280" w:lineRule="atLeast"/>
              <w:jc w:val="both"/>
              <w:rPr>
                <w:szCs w:val="22"/>
              </w:rPr>
            </w:pPr>
            <w:r w:rsidRPr="00975E6B">
              <w:rPr>
                <w:szCs w:val="22"/>
              </w:rPr>
              <w:t>COST 5.002</w:t>
            </w:r>
          </w:p>
        </w:tc>
        <w:tc>
          <w:tcPr>
            <w:tcW w:w="1515"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Treatment of Work-In-Progress Costs</w:t>
            </w:r>
          </w:p>
        </w:tc>
        <w:tc>
          <w:tcPr>
            <w:tcW w:w="2667" w:type="pct"/>
            <w:tcBorders>
              <w:left w:val="single" w:sz="4" w:space="0" w:color="548DD4" w:themeColor="text2" w:themeTint="99"/>
            </w:tcBorders>
          </w:tcPr>
          <w:p w:rsidR="00972129" w:rsidRPr="00975E6B" w:rsidRDefault="00972129" w:rsidP="00972129">
            <w:pPr>
              <w:spacing w:before="120" w:after="120" w:line="280" w:lineRule="atLeast"/>
              <w:jc w:val="both"/>
              <w:rPr>
                <w:szCs w:val="22"/>
              </w:rPr>
            </w:pPr>
            <w:r w:rsidRPr="00975E6B">
              <w:rPr>
                <w:szCs w:val="22"/>
              </w:rPr>
              <w:t xml:space="preserve">Based on discussions during the review, patients are allocated costs based on their consumption of resources for that reporting period. Where costs are incurred in prior years, these are included in the final costed data and NHCDC submission. These costs are also escalated according to the NHCDC circular and the escalation costs and factors used were demonstrated in the review. </w:t>
            </w:r>
          </w:p>
        </w:tc>
      </w:tr>
    </w:tbl>
    <w:p w:rsidR="00972129" w:rsidRPr="00CD1518" w:rsidRDefault="00972129" w:rsidP="00972129">
      <w:pPr>
        <w:rPr>
          <w:bCs/>
          <w:i/>
          <w:sz w:val="16"/>
          <w:szCs w:val="16"/>
        </w:rPr>
      </w:pPr>
      <w:r w:rsidRPr="00975E6B">
        <w:rPr>
          <w:bCs/>
          <w:i/>
          <w:sz w:val="16"/>
          <w:szCs w:val="16"/>
        </w:rPr>
        <w:t>Source: KPMG</w:t>
      </w:r>
    </w:p>
    <w:p w:rsidR="00972129" w:rsidRPr="00975E6B" w:rsidRDefault="00972129" w:rsidP="003B387A">
      <w:pPr>
        <w:pStyle w:val="Heading2"/>
        <w:numPr>
          <w:ilvl w:val="1"/>
          <w:numId w:val="77"/>
        </w:numPr>
      </w:pPr>
      <w:bookmarkStart w:id="701" w:name="_Toc444523655"/>
      <w:r w:rsidRPr="007C525F">
        <w:lastRenderedPageBreak/>
        <w:t>Conclusion</w:t>
      </w:r>
      <w:bookmarkEnd w:id="701"/>
    </w:p>
    <w:p w:rsidR="00972129" w:rsidRDefault="00972129" w:rsidP="00972129">
      <w:pPr>
        <w:spacing w:before="120" w:after="120" w:line="280" w:lineRule="atLeast"/>
        <w:jc w:val="both"/>
        <w:rPr>
          <w:szCs w:val="22"/>
        </w:rPr>
      </w:pPr>
      <w:r w:rsidRPr="00975E6B">
        <w:rPr>
          <w:szCs w:val="22"/>
        </w:rPr>
        <w:t>The findings of the NSW Round 18 IFR are summarised below:</w:t>
      </w:r>
    </w:p>
    <w:p w:rsidR="007F2958" w:rsidRPr="00975E6B" w:rsidRDefault="007F2958" w:rsidP="00F26328">
      <w:pPr>
        <w:numPr>
          <w:ilvl w:val="0"/>
          <w:numId w:val="48"/>
        </w:numPr>
        <w:spacing w:before="120" w:after="120" w:line="280" w:lineRule="atLeast"/>
        <w:jc w:val="both"/>
        <w:rPr>
          <w:szCs w:val="22"/>
        </w:rPr>
      </w:pPr>
      <w:r>
        <w:rPr>
          <w:szCs w:val="22"/>
        </w:rPr>
        <w:t xml:space="preserve">A number of key initiatives were implemented in Round 18 including 14 new hospitals submitted to the NHCDC (ABF hospitals from 2015/16, significantly increased non-admitted patient services events and the development of a web-based tool to review and correct DNR submissions. </w:t>
      </w:r>
    </w:p>
    <w:p w:rsidR="00972129" w:rsidRPr="00975E6B" w:rsidRDefault="00972129" w:rsidP="00F26328">
      <w:pPr>
        <w:numPr>
          <w:ilvl w:val="0"/>
          <w:numId w:val="48"/>
        </w:numPr>
        <w:spacing w:before="120" w:after="120" w:line="280" w:lineRule="atLeast"/>
        <w:jc w:val="both"/>
        <w:rPr>
          <w:szCs w:val="22"/>
        </w:rPr>
      </w:pPr>
      <w:r w:rsidRPr="00616472">
        <w:rPr>
          <w:szCs w:val="22"/>
        </w:rPr>
        <w:t xml:space="preserve">The </w:t>
      </w:r>
      <w:r w:rsidRPr="00975E6B">
        <w:rPr>
          <w:szCs w:val="22"/>
        </w:rPr>
        <w:t xml:space="preserve">financial reconciliations demonstrated the transformation of cost data for the each LHD. Major exclusions from this LHD data included </w:t>
      </w:r>
      <w:r w:rsidR="00850523" w:rsidRPr="00975E6B">
        <w:rPr>
          <w:szCs w:val="22"/>
        </w:rPr>
        <w:t>non-</w:t>
      </w:r>
      <w:r w:rsidRPr="00975E6B">
        <w:rPr>
          <w:szCs w:val="22"/>
        </w:rPr>
        <w:t xml:space="preserve">ABF facilities costs, non-patient level products and excluded encounters that </w:t>
      </w:r>
      <w:r w:rsidR="007F2958" w:rsidRPr="008B40BB">
        <w:rPr>
          <w:szCs w:val="22"/>
        </w:rPr>
        <w:t>are still inpatients at year end or did not link with activity records.</w:t>
      </w:r>
      <w:r w:rsidR="007F2958">
        <w:rPr>
          <w:szCs w:val="22"/>
        </w:rPr>
        <w:t xml:space="preserve"> </w:t>
      </w:r>
      <w:r w:rsidRPr="00975E6B">
        <w:rPr>
          <w:szCs w:val="22"/>
        </w:rPr>
        <w:t>There w</w:t>
      </w:r>
      <w:r w:rsidR="00850523" w:rsidRPr="00975E6B">
        <w:rPr>
          <w:szCs w:val="22"/>
        </w:rPr>
        <w:t>ere</w:t>
      </w:r>
      <w:r w:rsidRPr="00975E6B">
        <w:rPr>
          <w:szCs w:val="22"/>
        </w:rPr>
        <w:t xml:space="preserve"> no unexplained variances in the financial reconciliation of the LHD’s NHCDC submissions. </w:t>
      </w:r>
    </w:p>
    <w:p w:rsidR="00972129" w:rsidRPr="007F2958" w:rsidRDefault="00972129" w:rsidP="00F26328">
      <w:pPr>
        <w:numPr>
          <w:ilvl w:val="0"/>
          <w:numId w:val="48"/>
        </w:numPr>
        <w:spacing w:before="120" w:after="120" w:line="280" w:lineRule="atLeast"/>
        <w:jc w:val="both"/>
        <w:rPr>
          <w:szCs w:val="22"/>
        </w:rPr>
      </w:pPr>
      <w:r w:rsidRPr="00616472">
        <w:rPr>
          <w:szCs w:val="22"/>
        </w:rPr>
        <w:t xml:space="preserve">TTR is product </w:t>
      </w:r>
      <w:r w:rsidR="007F2958" w:rsidRPr="00616472">
        <w:rPr>
          <w:szCs w:val="22"/>
        </w:rPr>
        <w:t>costed in the DNR as a non-patient product</w:t>
      </w:r>
      <w:r w:rsidR="00873964">
        <w:rPr>
          <w:szCs w:val="22"/>
        </w:rPr>
        <w:t xml:space="preserve">. </w:t>
      </w:r>
      <w:r w:rsidR="000278A6">
        <w:rPr>
          <w:szCs w:val="22"/>
        </w:rPr>
        <w:t xml:space="preserve">TTR costs are submitted by LHDs to NSW Health in the </w:t>
      </w:r>
      <w:proofErr w:type="gramStart"/>
      <w:r w:rsidR="000278A6">
        <w:rPr>
          <w:szCs w:val="22"/>
        </w:rPr>
        <w:t>DNR,</w:t>
      </w:r>
      <w:proofErr w:type="gramEnd"/>
      <w:r w:rsidR="000278A6">
        <w:rPr>
          <w:szCs w:val="22"/>
        </w:rPr>
        <w:t xml:space="preserve"> however NSW Health does not submit the TTR costs to IHPA as part of the NHCDC submission</w:t>
      </w:r>
      <w:r w:rsidR="007F2958" w:rsidRPr="00616472">
        <w:rPr>
          <w:szCs w:val="22"/>
        </w:rPr>
        <w:t>.</w:t>
      </w:r>
    </w:p>
    <w:p w:rsidR="00972129" w:rsidRPr="007F2958" w:rsidRDefault="007F2958" w:rsidP="00F26328">
      <w:pPr>
        <w:numPr>
          <w:ilvl w:val="0"/>
          <w:numId w:val="48"/>
        </w:numPr>
        <w:spacing w:before="120" w:after="120" w:line="280" w:lineRule="atLeast"/>
        <w:jc w:val="both"/>
        <w:rPr>
          <w:szCs w:val="22"/>
        </w:rPr>
      </w:pPr>
      <w:r w:rsidRPr="007F2958">
        <w:rPr>
          <w:szCs w:val="22"/>
        </w:rPr>
        <w:t xml:space="preserve">NSW is not a signatory to the PBS Agreement so distinction between PBS and Non-PBS is not applicable. S100 drugs are not allocated to </w:t>
      </w:r>
      <w:r>
        <w:rPr>
          <w:szCs w:val="22"/>
        </w:rPr>
        <w:t>n</w:t>
      </w:r>
      <w:r w:rsidRPr="00616472">
        <w:rPr>
          <w:szCs w:val="22"/>
        </w:rPr>
        <w:t>on</w:t>
      </w:r>
      <w:r>
        <w:rPr>
          <w:szCs w:val="22"/>
        </w:rPr>
        <w:t>-a</w:t>
      </w:r>
      <w:r w:rsidRPr="00616472">
        <w:rPr>
          <w:szCs w:val="22"/>
        </w:rPr>
        <w:t>dmitted service events.</w:t>
      </w:r>
    </w:p>
    <w:p w:rsidR="00972129" w:rsidRPr="00616472" w:rsidRDefault="00972129" w:rsidP="00F26328">
      <w:pPr>
        <w:numPr>
          <w:ilvl w:val="0"/>
          <w:numId w:val="48"/>
        </w:numPr>
        <w:spacing w:before="120" w:after="120" w:line="280" w:lineRule="atLeast"/>
        <w:jc w:val="both"/>
        <w:rPr>
          <w:szCs w:val="22"/>
        </w:rPr>
      </w:pPr>
      <w:r w:rsidRPr="00616472">
        <w:rPr>
          <w:szCs w:val="22"/>
        </w:rPr>
        <w:t xml:space="preserve">Total activity data for each LHD was adjusted for the activity associated with excluded costs, and the IHPA UQB adjustment (Northern NSW LHD only). </w:t>
      </w:r>
    </w:p>
    <w:p w:rsidR="00972129" w:rsidRPr="00C24181" w:rsidRDefault="00972129" w:rsidP="00F26328">
      <w:pPr>
        <w:numPr>
          <w:ilvl w:val="0"/>
          <w:numId w:val="48"/>
        </w:numPr>
        <w:spacing w:before="120" w:after="120" w:line="280" w:lineRule="atLeast"/>
        <w:jc w:val="both"/>
        <w:rPr>
          <w:szCs w:val="22"/>
        </w:rPr>
      </w:pPr>
      <w:r w:rsidRPr="00975E6B">
        <w:rPr>
          <w:szCs w:val="22"/>
        </w:rPr>
        <w:t xml:space="preserve">The number of records linked from source to product </w:t>
      </w:r>
      <w:r w:rsidR="0074117C" w:rsidRPr="00975E6B">
        <w:rPr>
          <w:szCs w:val="22"/>
        </w:rPr>
        <w:t>was</w:t>
      </w:r>
      <w:r w:rsidRPr="00975E6B">
        <w:rPr>
          <w:szCs w:val="22"/>
        </w:rPr>
        <w:t xml:space="preserve"> significant with all feeders having a greater than </w:t>
      </w:r>
      <w:r w:rsidR="00F2289F" w:rsidRPr="00975E6B">
        <w:rPr>
          <w:szCs w:val="22"/>
        </w:rPr>
        <w:t>8</w:t>
      </w:r>
      <w:r w:rsidR="00F2289F">
        <w:rPr>
          <w:szCs w:val="22"/>
        </w:rPr>
        <w:t>5</w:t>
      </w:r>
      <w:r w:rsidR="00F2289F" w:rsidRPr="00975E6B">
        <w:rPr>
          <w:szCs w:val="22"/>
        </w:rPr>
        <w:t xml:space="preserve"> </w:t>
      </w:r>
      <w:r w:rsidRPr="00975E6B">
        <w:rPr>
          <w:szCs w:val="22"/>
        </w:rPr>
        <w:t xml:space="preserve">percent link or match, with the exception of Nuclear medicine (63 percent linked) and Blood Products (76 percent linked) at Illawarra Shoalhaven LHD. </w:t>
      </w:r>
      <w:r w:rsidR="00F17F49" w:rsidRPr="00975E6B">
        <w:rPr>
          <w:szCs w:val="22"/>
        </w:rPr>
        <w:t>This suggest</w:t>
      </w:r>
      <w:r w:rsidR="00F17F49" w:rsidRPr="00975E6B">
        <w:t>s</w:t>
      </w:r>
      <w:r w:rsidR="00F17F49" w:rsidRPr="00975E6B">
        <w:rPr>
          <w:szCs w:val="22"/>
        </w:rPr>
        <w:t xml:space="preserve"> that there is robustness in the level of feeder activity reported back to episodes</w:t>
      </w:r>
      <w:r w:rsidR="00F17F49" w:rsidRPr="00975E6B">
        <w:t>.</w:t>
      </w:r>
    </w:p>
    <w:p w:rsidR="00972129" w:rsidRPr="00975E6B" w:rsidRDefault="00972129" w:rsidP="00F26328">
      <w:pPr>
        <w:numPr>
          <w:ilvl w:val="0"/>
          <w:numId w:val="48"/>
        </w:numPr>
        <w:spacing w:before="120" w:after="120" w:line="280" w:lineRule="atLeast"/>
        <w:jc w:val="both"/>
        <w:rPr>
          <w:szCs w:val="22"/>
        </w:rPr>
      </w:pPr>
      <w:r w:rsidRPr="00975E6B">
        <w:rPr>
          <w:szCs w:val="22"/>
        </w:rPr>
        <w:t xml:space="preserve">WIP </w:t>
      </w:r>
      <w:r w:rsidR="0074117C" w:rsidRPr="00975E6B">
        <w:rPr>
          <w:szCs w:val="22"/>
        </w:rPr>
        <w:t xml:space="preserve">was </w:t>
      </w:r>
      <w:r w:rsidRPr="00975E6B">
        <w:rPr>
          <w:szCs w:val="22"/>
        </w:rPr>
        <w:t>treated in accordance with the COST 5.002 of the AHPCS Version 3.1. NSW Health applied the escalation factors provided by IHPA for prior years to the costs associated with WIP as part of the Round 18 submission to the NHCDC for all LHDs.</w:t>
      </w:r>
    </w:p>
    <w:p w:rsidR="008375B1" w:rsidRPr="00975E6B" w:rsidRDefault="008375B1" w:rsidP="00F26328">
      <w:pPr>
        <w:numPr>
          <w:ilvl w:val="0"/>
          <w:numId w:val="48"/>
        </w:numPr>
        <w:spacing w:before="120" w:after="120" w:line="280" w:lineRule="atLeast"/>
        <w:jc w:val="both"/>
        <w:rPr>
          <w:szCs w:val="22"/>
        </w:rPr>
      </w:pPr>
      <w:r w:rsidRPr="00975E6B">
        <w:rPr>
          <w:szCs w:val="22"/>
        </w:rPr>
        <w:t xml:space="preserve">On review of the five sample patients selected for each LHD, all 15 patients reconciled to IHPA records. </w:t>
      </w:r>
    </w:p>
    <w:p w:rsidR="00972129" w:rsidRPr="00975E6B" w:rsidRDefault="00972129" w:rsidP="00972129">
      <w:pPr>
        <w:spacing w:before="120" w:after="120" w:line="280" w:lineRule="atLeast"/>
        <w:jc w:val="both"/>
        <w:rPr>
          <w:szCs w:val="22"/>
        </w:rPr>
      </w:pPr>
      <w:r w:rsidRPr="00975E6B">
        <w:rPr>
          <w:szCs w:val="22"/>
        </w:rPr>
        <w:t xml:space="preserve">Based on discussions held during the site visits, and a review of the financial reconciliations provided, NSW Health has robust reconciliation processes in place. As such, nothing </w:t>
      </w:r>
      <w:r w:rsidR="00AE5BD0" w:rsidRPr="00975E6B">
        <w:rPr>
          <w:szCs w:val="22"/>
        </w:rPr>
        <w:t>was identified</w:t>
      </w:r>
      <w:r w:rsidRPr="00975E6B">
        <w:rPr>
          <w:szCs w:val="22"/>
        </w:rPr>
        <w:t xml:space="preserve"> to suggest that the financial data is not fit for NHCDC submission. Furthermore, the data flow from the jurisdiction to IHPA demonstrated no unexplained variances. </w:t>
      </w:r>
    </w:p>
    <w:p w:rsidR="00972129" w:rsidRPr="00975E6B" w:rsidRDefault="00972129">
      <w:pPr>
        <w:spacing w:line="240" w:lineRule="auto"/>
        <w:rPr>
          <w:b/>
          <w:color w:val="1F497D" w:themeColor="text2"/>
          <w:sz w:val="32"/>
          <w:szCs w:val="22"/>
        </w:rPr>
      </w:pPr>
      <w:r w:rsidRPr="00975E6B">
        <w:br w:type="page"/>
      </w:r>
    </w:p>
    <w:p w:rsidR="00BA70A6" w:rsidRPr="00975E6B" w:rsidRDefault="00BA70A6" w:rsidP="003B387A">
      <w:pPr>
        <w:pStyle w:val="Heading1"/>
        <w:numPr>
          <w:ilvl w:val="0"/>
          <w:numId w:val="77"/>
        </w:numPr>
      </w:pPr>
      <w:bookmarkStart w:id="702" w:name="_Toc444523656"/>
      <w:r w:rsidRPr="007C525F">
        <w:lastRenderedPageBreak/>
        <w:t>Northern</w:t>
      </w:r>
      <w:r w:rsidRPr="00975E6B">
        <w:t xml:space="preserve"> Territory</w:t>
      </w:r>
      <w:bookmarkEnd w:id="702"/>
    </w:p>
    <w:p w:rsidR="002E59FA" w:rsidRPr="00975E6B" w:rsidRDefault="002E59FA" w:rsidP="003B387A">
      <w:pPr>
        <w:pStyle w:val="Heading2"/>
        <w:numPr>
          <w:ilvl w:val="1"/>
          <w:numId w:val="77"/>
        </w:numPr>
      </w:pPr>
      <w:bookmarkStart w:id="703" w:name="_Toc444523657"/>
      <w:r w:rsidRPr="00975E6B">
        <w:t>Jurisdictional overview</w:t>
      </w:r>
      <w:bookmarkEnd w:id="703"/>
    </w:p>
    <w:p w:rsidR="002E59FA" w:rsidRPr="00975E6B" w:rsidRDefault="002E59FA" w:rsidP="003B387A">
      <w:pPr>
        <w:pStyle w:val="Heading3"/>
        <w:numPr>
          <w:ilvl w:val="2"/>
          <w:numId w:val="77"/>
        </w:numPr>
      </w:pPr>
      <w:r w:rsidRPr="00975E6B">
        <w:t xml:space="preserve">Management of NHCDC process </w:t>
      </w:r>
    </w:p>
    <w:p w:rsidR="002E59FA" w:rsidRPr="00975E6B" w:rsidRDefault="002E59FA" w:rsidP="002E59FA">
      <w:pPr>
        <w:pStyle w:val="BodyText"/>
      </w:pPr>
      <w:r w:rsidRPr="00975E6B">
        <w:t>The Northern Territory Department of Health (</w:t>
      </w:r>
      <w:r w:rsidR="00772B0F" w:rsidRPr="00975E6B">
        <w:t>NT Health</w:t>
      </w:r>
      <w:r w:rsidRPr="00975E6B">
        <w:t xml:space="preserve">), through the Activity Based Funding (ABF) team, is responsible for the processing, reconciliation and submission of </w:t>
      </w:r>
      <w:r w:rsidR="00D66DDA" w:rsidRPr="00975E6B">
        <w:t>National Hospital Cost Data Collection (</w:t>
      </w:r>
      <w:r w:rsidRPr="00975E6B">
        <w:t>NHCDC</w:t>
      </w:r>
      <w:r w:rsidR="00D66DDA" w:rsidRPr="00975E6B">
        <w:t>)</w:t>
      </w:r>
      <w:r w:rsidRPr="00975E6B">
        <w:t xml:space="preserve"> data to</w:t>
      </w:r>
      <w:r w:rsidR="00D66DDA" w:rsidRPr="00975E6B">
        <w:t xml:space="preserve"> the Independent Hospital Pricing Authority</w:t>
      </w:r>
      <w:r w:rsidRPr="00975E6B">
        <w:t xml:space="preserve"> </w:t>
      </w:r>
      <w:r w:rsidR="00D66DDA" w:rsidRPr="00975E6B">
        <w:t>(</w:t>
      </w:r>
      <w:r w:rsidRPr="00975E6B">
        <w:t>IHPA</w:t>
      </w:r>
      <w:r w:rsidR="00D66DDA" w:rsidRPr="00975E6B">
        <w:t>)</w:t>
      </w:r>
      <w:r w:rsidRPr="00975E6B">
        <w:t xml:space="preserve"> for all hospitals in the NT. This is consistent with the approach used in prior rounds of the NHCDC submission and ensures that there is a consistent approach applied to costing for all NT hospitals. The Round 18 submission for the Royal Darwin Hospital was reviewed as part of the Round 18 </w:t>
      </w:r>
      <w:r w:rsidR="00AB1D21" w:rsidRPr="00975E6B">
        <w:t>Independent Financial Review (</w:t>
      </w:r>
      <w:r w:rsidRPr="00975E6B">
        <w:t>IFR</w:t>
      </w:r>
      <w:r w:rsidR="00AB1D21" w:rsidRPr="00975E6B">
        <w:t>)</w:t>
      </w:r>
      <w:r w:rsidRPr="00975E6B">
        <w:t>.</w:t>
      </w:r>
    </w:p>
    <w:p w:rsidR="002E59FA" w:rsidRPr="00975E6B" w:rsidRDefault="002E59FA" w:rsidP="002E59FA">
      <w:pPr>
        <w:pStyle w:val="BodyText"/>
      </w:pPr>
      <w:r w:rsidRPr="00975E6B">
        <w:t>Local Health Networks (LHN</w:t>
      </w:r>
      <w:r w:rsidR="00D66DDA" w:rsidRPr="00975E6B">
        <w:t>s</w:t>
      </w:r>
      <w:r w:rsidRPr="00975E6B">
        <w:t xml:space="preserve">) are responsible for the capture and maintenance of financial data in the health service </w:t>
      </w:r>
      <w:r w:rsidR="00D66DDA" w:rsidRPr="00975E6B">
        <w:t>general ledger (</w:t>
      </w:r>
      <w:r w:rsidR="00AD50E4" w:rsidRPr="00975E6B">
        <w:t>GL</w:t>
      </w:r>
      <w:r w:rsidR="00D66DDA" w:rsidRPr="00975E6B">
        <w:t>)</w:t>
      </w:r>
      <w:r w:rsidRPr="00975E6B">
        <w:t xml:space="preserve">. The hospital financial data is signed-off and submitted to </w:t>
      </w:r>
      <w:r w:rsidR="00772B0F" w:rsidRPr="00975E6B">
        <w:t>NT Health</w:t>
      </w:r>
      <w:r w:rsidRPr="00975E6B">
        <w:t xml:space="preserve"> via the LHN. </w:t>
      </w:r>
      <w:r w:rsidR="00772B0F" w:rsidRPr="00975E6B">
        <w:t>NT Health</w:t>
      </w:r>
      <w:r w:rsidRPr="00975E6B">
        <w:t xml:space="preserve"> applies cost information related to leave liabilities (annual leave and long service leave) as these costs are held centrally by the NT Department of Treasury.</w:t>
      </w:r>
    </w:p>
    <w:p w:rsidR="002E59FA" w:rsidRPr="00975E6B" w:rsidRDefault="002E59FA" w:rsidP="002E59FA">
      <w:pPr>
        <w:pStyle w:val="BodyText"/>
      </w:pPr>
      <w:r w:rsidRPr="00975E6B">
        <w:t xml:space="preserve">Hospitals are responsible for recording activity data in the relevant system, e.g. the Patient Administration System (PAS). Activity data is extracted to a central NT Health data warehouse. There is a </w:t>
      </w:r>
      <w:r w:rsidR="00D66DDA" w:rsidRPr="00975E6B">
        <w:t>q</w:t>
      </w:r>
      <w:r w:rsidRPr="00975E6B">
        <w:t xml:space="preserve">uality </w:t>
      </w:r>
      <w:r w:rsidR="00D66DDA" w:rsidRPr="00975E6B">
        <w:t>a</w:t>
      </w:r>
      <w:r w:rsidRPr="00975E6B">
        <w:t xml:space="preserve">ssurance process undertaken by the LHN and </w:t>
      </w:r>
      <w:r w:rsidR="00772B0F" w:rsidRPr="00975E6B">
        <w:t>NT Health</w:t>
      </w:r>
      <w:r w:rsidRPr="00975E6B">
        <w:t xml:space="preserve">. Product fractioned (PFRAC) data is reviewed by cost centre at the hospital and LHN level, prior to submission to </w:t>
      </w:r>
      <w:r w:rsidR="00772B0F" w:rsidRPr="00975E6B">
        <w:t>NT Health</w:t>
      </w:r>
      <w:r w:rsidRPr="00975E6B">
        <w:t>.</w:t>
      </w:r>
    </w:p>
    <w:p w:rsidR="002E59FA" w:rsidRPr="00975E6B" w:rsidRDefault="002E59FA" w:rsidP="002E59FA">
      <w:pPr>
        <w:pStyle w:val="BodyText"/>
      </w:pPr>
      <w:r w:rsidRPr="00975E6B">
        <w:t xml:space="preserve">Prior to submitting NHCDC data to IHPA, </w:t>
      </w:r>
      <w:r w:rsidR="00772B0F" w:rsidRPr="00975E6B">
        <w:t>NT Health</w:t>
      </w:r>
      <w:r w:rsidRPr="00975E6B">
        <w:t xml:space="preserve"> undertakes a number of quality assurance procedures prior to sign-off of the final file by the Executive Director of Corporate Funding and Performance.</w:t>
      </w:r>
    </w:p>
    <w:p w:rsidR="002E59FA" w:rsidRPr="00975E6B" w:rsidRDefault="00934925" w:rsidP="0026742C">
      <w:pPr>
        <w:pStyle w:val="Heading4"/>
        <w:numPr>
          <w:ilvl w:val="0"/>
          <w:numId w:val="0"/>
        </w:numPr>
        <w:ind w:left="720" w:hanging="720"/>
      </w:pPr>
      <w:r w:rsidRPr="00975E6B">
        <w:t>Key initiatives since Round 17 NHCDC</w:t>
      </w:r>
      <w:r w:rsidRPr="00975E6B" w:rsidDel="007A24FF">
        <w:t xml:space="preserve"> </w:t>
      </w:r>
    </w:p>
    <w:p w:rsidR="002E59FA" w:rsidRPr="00975E6B" w:rsidRDefault="002E59FA" w:rsidP="002E59FA">
      <w:pPr>
        <w:pStyle w:val="BodyText"/>
      </w:pPr>
      <w:r w:rsidRPr="00975E6B">
        <w:t xml:space="preserve">After Round 17 and prior to the submission of Round 18 NHCDC data, </w:t>
      </w:r>
      <w:r w:rsidR="00772B0F" w:rsidRPr="00975E6B">
        <w:t>NT Health</w:t>
      </w:r>
      <w:r w:rsidRPr="00975E6B">
        <w:t xml:space="preserve"> implemented a new clinical costing software solution, Power Performance Management 2 (PPM2) from </w:t>
      </w:r>
      <w:proofErr w:type="spellStart"/>
      <w:r w:rsidRPr="00975E6B">
        <w:t>PowerHealth</w:t>
      </w:r>
      <w:proofErr w:type="spellEnd"/>
      <w:r w:rsidRPr="00975E6B">
        <w:t xml:space="preserve"> Solutions. PPM2 was used across all NHCDC sites </w:t>
      </w:r>
      <w:r w:rsidR="00AB1D21" w:rsidRPr="00975E6B">
        <w:t xml:space="preserve">in the NT </w:t>
      </w:r>
      <w:r w:rsidRPr="00975E6B">
        <w:t xml:space="preserve">for Round 18. As a result of the change in </w:t>
      </w:r>
      <w:r w:rsidR="006761F6" w:rsidRPr="00975E6B">
        <w:t xml:space="preserve">costing </w:t>
      </w:r>
      <w:r w:rsidRPr="00975E6B">
        <w:t>software and issues associated with accessing necessary data from the Round 17 submission</w:t>
      </w:r>
      <w:r w:rsidR="00AB1D21" w:rsidRPr="00975E6B">
        <w:t>,</w:t>
      </w:r>
      <w:r w:rsidRPr="00975E6B">
        <w:t xml:space="preserve"> there </w:t>
      </w:r>
      <w:r w:rsidR="00AB1D21" w:rsidRPr="00975E6B">
        <w:t xml:space="preserve">was </w:t>
      </w:r>
      <w:r w:rsidRPr="00975E6B">
        <w:t xml:space="preserve">no </w:t>
      </w:r>
      <w:r w:rsidR="00AB1D21" w:rsidRPr="00975E6B">
        <w:t>work in progress (</w:t>
      </w:r>
      <w:r w:rsidRPr="00975E6B">
        <w:t>WIP</w:t>
      </w:r>
      <w:r w:rsidR="00AB1D21" w:rsidRPr="00975E6B">
        <w:t>)</w:t>
      </w:r>
      <w:r w:rsidRPr="00975E6B">
        <w:t xml:space="preserve"> </w:t>
      </w:r>
      <w:r w:rsidR="00AB1D21" w:rsidRPr="00975E6B">
        <w:t xml:space="preserve">patient </w:t>
      </w:r>
      <w:r w:rsidRPr="00975E6B">
        <w:t>costs included in the NHCDC process. There were other differences linked to the transition to PPM2, including:</w:t>
      </w:r>
    </w:p>
    <w:p w:rsidR="00053562" w:rsidRPr="00975E6B" w:rsidRDefault="002E59FA" w:rsidP="00F26328">
      <w:pPr>
        <w:pStyle w:val="BodyText"/>
        <w:numPr>
          <w:ilvl w:val="0"/>
          <w:numId w:val="40"/>
        </w:numPr>
      </w:pPr>
      <w:r w:rsidRPr="00975E6B">
        <w:t>A more robust approach to costing with previously excluded costs</w:t>
      </w:r>
      <w:r w:rsidR="00AD50E4" w:rsidRPr="00975E6B">
        <w:t xml:space="preserve"> now included</w:t>
      </w:r>
      <w:r w:rsidR="00D36B89" w:rsidRPr="00975E6B">
        <w:t>, i</w:t>
      </w:r>
      <w:r w:rsidRPr="00975E6B">
        <w:t>n particular, costs such as patient related travel</w:t>
      </w:r>
      <w:r w:rsidR="004F4D5D" w:rsidRPr="00975E6B">
        <w:t xml:space="preserve"> can now be allocated at the patient level</w:t>
      </w:r>
      <w:r w:rsidRPr="00975E6B">
        <w:t xml:space="preserve">. </w:t>
      </w:r>
    </w:p>
    <w:p w:rsidR="002E59FA" w:rsidRPr="00975E6B" w:rsidRDefault="002E59FA" w:rsidP="00F26328">
      <w:pPr>
        <w:pStyle w:val="BodyText"/>
        <w:numPr>
          <w:ilvl w:val="0"/>
          <w:numId w:val="40"/>
        </w:numPr>
      </w:pPr>
      <w:r w:rsidRPr="00975E6B">
        <w:t>The allocation method for other costs such as salaries and wages expenses has also been improved</w:t>
      </w:r>
      <w:r w:rsidR="00053562" w:rsidRPr="00975E6B">
        <w:t>.</w:t>
      </w:r>
    </w:p>
    <w:p w:rsidR="002E59FA" w:rsidRPr="00975E6B" w:rsidRDefault="002E59FA" w:rsidP="00F26328">
      <w:pPr>
        <w:pStyle w:val="ListParagraph"/>
        <w:numPr>
          <w:ilvl w:val="0"/>
          <w:numId w:val="42"/>
        </w:numPr>
        <w:rPr>
          <w:b/>
          <w:bCs/>
          <w:color w:val="1F497D" w:themeColor="text2"/>
          <w:sz w:val="20"/>
          <w:szCs w:val="20"/>
        </w:rPr>
      </w:pPr>
      <w:r w:rsidRPr="00975E6B">
        <w:rPr>
          <w:sz w:val="20"/>
          <w:szCs w:val="20"/>
        </w:rPr>
        <w:t xml:space="preserve">Improved costing of pharmacy expenditure, i.e. the ability to separate </w:t>
      </w:r>
      <w:r w:rsidR="004F4D5D" w:rsidRPr="00975E6B">
        <w:rPr>
          <w:sz w:val="20"/>
          <w:szCs w:val="20"/>
        </w:rPr>
        <w:t>Pharmaceutical Benefits Scheme (</w:t>
      </w:r>
      <w:r w:rsidRPr="00975E6B">
        <w:rPr>
          <w:sz w:val="20"/>
          <w:szCs w:val="20"/>
        </w:rPr>
        <w:t>PBS</w:t>
      </w:r>
      <w:r w:rsidR="004F4D5D" w:rsidRPr="00975E6B">
        <w:rPr>
          <w:sz w:val="20"/>
          <w:szCs w:val="20"/>
        </w:rPr>
        <w:t>)</w:t>
      </w:r>
      <w:r w:rsidRPr="00975E6B">
        <w:rPr>
          <w:sz w:val="20"/>
          <w:szCs w:val="20"/>
        </w:rPr>
        <w:t xml:space="preserve"> and non-PBS costs for the first time.</w:t>
      </w:r>
      <w:r w:rsidRPr="00975E6B">
        <w:rPr>
          <w:sz w:val="20"/>
          <w:szCs w:val="20"/>
        </w:rPr>
        <w:br w:type="page"/>
      </w:r>
    </w:p>
    <w:p w:rsidR="002E59FA" w:rsidRPr="00975E6B" w:rsidRDefault="00C15673" w:rsidP="003B387A">
      <w:pPr>
        <w:pStyle w:val="Heading2"/>
        <w:numPr>
          <w:ilvl w:val="1"/>
          <w:numId w:val="77"/>
        </w:numPr>
      </w:pPr>
      <w:bookmarkStart w:id="704" w:name="_Toc444523658"/>
      <w:r w:rsidRPr="00975E6B">
        <w:lastRenderedPageBreak/>
        <w:t>Royal Darwin</w:t>
      </w:r>
      <w:r w:rsidR="003F167A" w:rsidRPr="00975E6B">
        <w:t xml:space="preserve"> Hospital</w:t>
      </w:r>
      <w:bookmarkEnd w:id="704"/>
    </w:p>
    <w:p w:rsidR="002E59FA" w:rsidRPr="00975E6B" w:rsidRDefault="002E59FA" w:rsidP="003B387A">
      <w:pPr>
        <w:pStyle w:val="Heading3"/>
        <w:numPr>
          <w:ilvl w:val="2"/>
          <w:numId w:val="77"/>
        </w:numPr>
      </w:pPr>
      <w:r w:rsidRPr="0026742C">
        <w:t>Overview</w:t>
      </w:r>
    </w:p>
    <w:p w:rsidR="002E59FA" w:rsidRPr="00975E6B" w:rsidRDefault="002E59FA" w:rsidP="002E59FA">
      <w:pPr>
        <w:pStyle w:val="BodyText"/>
      </w:pPr>
      <w:r w:rsidRPr="00975E6B">
        <w:t>The Royal Darwin Hospital</w:t>
      </w:r>
      <w:r w:rsidR="00C15673" w:rsidRPr="00975E6B">
        <w:t xml:space="preserve"> (Royal Darwin), </w:t>
      </w:r>
      <w:r w:rsidRPr="00975E6B">
        <w:t>along with Darwin Private Hospital</w:t>
      </w:r>
      <w:r w:rsidR="00C15673" w:rsidRPr="00975E6B">
        <w:t>,</w:t>
      </w:r>
      <w:r w:rsidR="00BA3F4B" w:rsidRPr="00975E6B">
        <w:t xml:space="preserve"> </w:t>
      </w:r>
      <w:r w:rsidRPr="00975E6B">
        <w:t xml:space="preserve">is located on the northern side of Darwin. It has approximately 363 beds and more than 1,700 staff and provides a broad range of services in all speciality areas to the Darwin urban population as well as serving as a referral centre to the Top End of the </w:t>
      </w:r>
      <w:r w:rsidR="00046F27" w:rsidRPr="00975E6B">
        <w:t>NT</w:t>
      </w:r>
      <w:r w:rsidRPr="00975E6B">
        <w:t>, Western Australia and South-East Asia. The Top End population serviced by the hospital is approximately 150,000</w:t>
      </w:r>
      <w:r w:rsidR="00046F27" w:rsidRPr="00975E6B">
        <w:t xml:space="preserve"> people</w:t>
      </w:r>
      <w:r w:rsidRPr="00975E6B">
        <w:t>.</w:t>
      </w:r>
    </w:p>
    <w:p w:rsidR="002E59FA" w:rsidRPr="00975E6B" w:rsidRDefault="00C15673" w:rsidP="002E59FA">
      <w:pPr>
        <w:pStyle w:val="BodyText"/>
      </w:pPr>
      <w:r w:rsidRPr="00975E6B">
        <w:t>Royal Darwin</w:t>
      </w:r>
      <w:r w:rsidR="002E59FA" w:rsidRPr="00975E6B">
        <w:t xml:space="preserve"> is the largest teaching hospital in the </w:t>
      </w:r>
      <w:r w:rsidR="00C00407" w:rsidRPr="00975E6B">
        <w:t>NT</w:t>
      </w:r>
      <w:r w:rsidR="002E59FA" w:rsidRPr="00975E6B">
        <w:t xml:space="preserve"> and is Australia's National Critical Care and Trauma Response Centre. It is affiliated with the Flinders University </w:t>
      </w:r>
      <w:r w:rsidR="00D36B89" w:rsidRPr="00975E6B">
        <w:t>in</w:t>
      </w:r>
      <w:r w:rsidR="002E59FA" w:rsidRPr="00975E6B">
        <w:t xml:space="preserve"> </w:t>
      </w:r>
      <w:r w:rsidR="00D36B89" w:rsidRPr="00975E6B">
        <w:t>S</w:t>
      </w:r>
      <w:r w:rsidR="00046F27" w:rsidRPr="00975E6B">
        <w:t xml:space="preserve">outh </w:t>
      </w:r>
      <w:r w:rsidR="00D36B89" w:rsidRPr="00975E6B">
        <w:t>A</w:t>
      </w:r>
      <w:r w:rsidR="00046F27" w:rsidRPr="00975E6B">
        <w:t>ustralia</w:t>
      </w:r>
      <w:r w:rsidR="002E59FA" w:rsidRPr="00975E6B">
        <w:t xml:space="preserve"> and the University of Sydney in N</w:t>
      </w:r>
      <w:r w:rsidR="00046F27" w:rsidRPr="00975E6B">
        <w:t xml:space="preserve">ew </w:t>
      </w:r>
      <w:r w:rsidR="002E59FA" w:rsidRPr="00975E6B">
        <w:t>S</w:t>
      </w:r>
      <w:r w:rsidR="00046F27" w:rsidRPr="00975E6B">
        <w:t xml:space="preserve">outh </w:t>
      </w:r>
      <w:r w:rsidR="002E59FA" w:rsidRPr="00975E6B">
        <w:t>W</w:t>
      </w:r>
      <w:r w:rsidR="00046F27" w:rsidRPr="00975E6B">
        <w:t>ales</w:t>
      </w:r>
      <w:r w:rsidR="002E59FA" w:rsidRPr="00975E6B">
        <w:t>. The association with Flinders University allows the hospital to engage teaching staff and thereby enhance its available expertise in wide-ranging fields. It also has links with Charles Darwin University to provide teaching and clinical experience for nursing students.</w:t>
      </w:r>
    </w:p>
    <w:p w:rsidR="002E59FA" w:rsidRPr="00975E6B" w:rsidRDefault="00C15673" w:rsidP="002E59FA">
      <w:pPr>
        <w:pStyle w:val="BodyText"/>
      </w:pPr>
      <w:r w:rsidRPr="00975E6B">
        <w:t>Royal Darwin</w:t>
      </w:r>
      <w:r w:rsidR="002E59FA" w:rsidRPr="00975E6B">
        <w:t xml:space="preserve"> participates in research projects in a variety of fields with the Menzies School of Health Research, which is located in the Combined Health Building on the hospital campus.</w:t>
      </w:r>
      <w:r w:rsidR="002E59FA" w:rsidRPr="00975E6B">
        <w:rPr>
          <w:rStyle w:val="FootnoteReference"/>
        </w:rPr>
        <w:footnoteReference w:id="4"/>
      </w:r>
    </w:p>
    <w:p w:rsidR="002E59FA" w:rsidRPr="00975E6B" w:rsidRDefault="002E59FA" w:rsidP="003B387A">
      <w:pPr>
        <w:pStyle w:val="Heading3"/>
        <w:numPr>
          <w:ilvl w:val="2"/>
          <w:numId w:val="77"/>
        </w:numPr>
      </w:pPr>
      <w:r w:rsidRPr="0026742C">
        <w:t>Financial</w:t>
      </w:r>
      <w:r w:rsidRPr="00975E6B">
        <w:t xml:space="preserve"> data</w:t>
      </w:r>
    </w:p>
    <w:p w:rsidR="002E59FA" w:rsidRPr="00975E6B" w:rsidRDefault="002E59FA" w:rsidP="002E59FA">
      <w:pPr>
        <w:pStyle w:val="BodyText"/>
      </w:pPr>
      <w:r w:rsidRPr="00975E6B">
        <w:t xml:space="preserve">For the Round 18 IFR, representatives of </w:t>
      </w:r>
      <w:r w:rsidR="00772B0F" w:rsidRPr="00975E6B">
        <w:t>NT Health</w:t>
      </w:r>
      <w:r w:rsidRPr="00975E6B">
        <w:t xml:space="preserve"> completed the relevant IFR templates in conjunction with the software vendor </w:t>
      </w:r>
      <w:proofErr w:type="spellStart"/>
      <w:r w:rsidR="005E2B65" w:rsidRPr="00975E6B">
        <w:t>PowerHealth</w:t>
      </w:r>
      <w:proofErr w:type="spellEnd"/>
      <w:r w:rsidR="005E2B65" w:rsidRPr="00975E6B">
        <w:t xml:space="preserve"> Solutions, </w:t>
      </w:r>
      <w:r w:rsidRPr="00975E6B">
        <w:t>and participated in consultations during the review.</w:t>
      </w:r>
    </w:p>
    <w:p w:rsidR="002E59FA" w:rsidRPr="00975E6B" w:rsidRDefault="002E59FA" w:rsidP="002E59FA">
      <w:pPr>
        <w:pStyle w:val="BodyText"/>
      </w:pPr>
      <w:r w:rsidRPr="00975E6B">
        <w:rPr>
          <w:bCs/>
          <w:i/>
        </w:rPr>
        <w:fldChar w:fldCharType="begin"/>
      </w:r>
      <w:r w:rsidRPr="00975E6B">
        <w:instrText xml:space="preserve"> REF _Ref433915133 \h </w:instrText>
      </w:r>
      <w:r w:rsidR="00975E6B">
        <w:rPr>
          <w:bCs/>
          <w:i/>
        </w:rPr>
        <w:instrText xml:space="preserve"> \* MERGEFORMAT </w:instrText>
      </w:r>
      <w:r w:rsidRPr="00975E6B">
        <w:rPr>
          <w:bCs/>
          <w:i/>
        </w:rPr>
      </w:r>
      <w:r w:rsidRPr="00975E6B">
        <w:rPr>
          <w:bCs/>
          <w:i/>
        </w:rPr>
        <w:fldChar w:fldCharType="separate"/>
      </w:r>
      <w:r w:rsidR="00154CF7" w:rsidRPr="00975E6B">
        <w:t xml:space="preserve">Table </w:t>
      </w:r>
      <w:r w:rsidR="00154CF7">
        <w:rPr>
          <w:noProof/>
        </w:rPr>
        <w:t>26</w:t>
      </w:r>
      <w:r w:rsidRPr="00975E6B">
        <w:rPr>
          <w:bCs/>
          <w:i/>
        </w:rPr>
        <w:fldChar w:fldCharType="end"/>
      </w:r>
      <w:r w:rsidRPr="00975E6B">
        <w:t xml:space="preserve"> presents an overview of the template results for expenditures used for costing (at the hospital level), the jurisdictional process for cost data received and the IHPA process for cost data received.</w:t>
      </w:r>
    </w:p>
    <w:p w:rsidR="002E59FA" w:rsidRPr="00975E6B" w:rsidRDefault="002E59FA" w:rsidP="002E59FA">
      <w:pPr>
        <w:pStyle w:val="BodyText"/>
      </w:pPr>
    </w:p>
    <w:p w:rsidR="002E59FA" w:rsidRPr="00975E6B" w:rsidRDefault="002E59FA" w:rsidP="002E59FA">
      <w:pPr>
        <w:pStyle w:val="BodyText"/>
      </w:pPr>
    </w:p>
    <w:p w:rsidR="002E59FA" w:rsidRPr="00975E6B" w:rsidRDefault="002E59FA" w:rsidP="002E59FA">
      <w:pPr>
        <w:pStyle w:val="Caption"/>
        <w:sectPr w:rsidR="002E59FA" w:rsidRPr="00975E6B" w:rsidSect="00CD1518">
          <w:headerReference w:type="default" r:id="rId22"/>
          <w:endnotePr>
            <w:numFmt w:val="decimal"/>
          </w:endnotePr>
          <w:pgSz w:w="11907" w:h="16840" w:code="9"/>
          <w:pgMar w:top="1964" w:right="1474" w:bottom="1418" w:left="1474" w:header="958" w:footer="737" w:gutter="454"/>
          <w:cols w:space="720"/>
          <w:docGrid w:linePitch="272"/>
        </w:sectPr>
      </w:pPr>
    </w:p>
    <w:p w:rsidR="002E59FA" w:rsidRPr="00975E6B" w:rsidRDefault="002E59FA" w:rsidP="002E59FA">
      <w:pPr>
        <w:pStyle w:val="Caption"/>
      </w:pPr>
      <w:bookmarkStart w:id="705" w:name="_Ref433915133"/>
      <w:r w:rsidRPr="00975E6B">
        <w:lastRenderedPageBreak/>
        <w:t xml:space="preserve">Table </w:t>
      </w:r>
      <w:fldSimple w:instr=" SEQ Table \* ARABIC ">
        <w:r w:rsidR="00154CF7">
          <w:rPr>
            <w:noProof/>
          </w:rPr>
          <w:t>26</w:t>
        </w:r>
      </w:fldSimple>
      <w:bookmarkEnd w:id="705"/>
      <w:r w:rsidRPr="00975E6B">
        <w:t xml:space="preserve"> – </w:t>
      </w:r>
      <w:proofErr w:type="gramStart"/>
      <w:r w:rsidRPr="00975E6B">
        <w:t xml:space="preserve">Round 18 NHCDC Reconciliation – </w:t>
      </w:r>
      <w:r w:rsidR="00C15673" w:rsidRPr="00975E6B">
        <w:t>Royal Darwin</w:t>
      </w:r>
      <w:r w:rsidR="008B560B" w:rsidRPr="00975E6B">
        <w:t xml:space="preserve"> Hospital</w:t>
      </w:r>
      <w:proofErr w:type="gramEnd"/>
    </w:p>
    <w:p w:rsidR="002E59FA" w:rsidRPr="00975E6B" w:rsidRDefault="007939A0" w:rsidP="002E59FA">
      <w:r>
        <w:rPr>
          <w:noProof/>
          <w:lang w:eastAsia="en-AU"/>
        </w:rPr>
        <w:drawing>
          <wp:inline distT="0" distB="0" distL="0" distR="0" wp14:anchorId="60F4D94E" wp14:editId="2C415E81">
            <wp:extent cx="8448675" cy="3743325"/>
            <wp:effectExtent l="0" t="0" r="9525" b="9525"/>
            <wp:docPr id="57" name="Picture 12" descr="This table presents the financial reconciliation of hospital expenditure for Round 18 for Royal Darwin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 title="Table 26 - Round 18 NHCDC Reconciliation - Royal Darwin Hospi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This table presents the financial reconciliation of hospital expenditure for Round 18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8448675" cy="3743325"/>
                    </a:xfrm>
                    <a:prstGeom prst="rect">
                      <a:avLst/>
                    </a:prstGeom>
                    <a:noFill/>
                    <a:ln>
                      <a:noFill/>
                    </a:ln>
                  </pic:spPr>
                </pic:pic>
              </a:graphicData>
            </a:graphic>
          </wp:inline>
        </w:drawing>
      </w:r>
    </w:p>
    <w:p w:rsidR="002E59FA" w:rsidRPr="00975E6B" w:rsidRDefault="002E59FA" w:rsidP="002E59FA">
      <w:pPr>
        <w:rPr>
          <w:bCs/>
          <w:i/>
          <w:sz w:val="16"/>
          <w:szCs w:val="16"/>
        </w:rPr>
      </w:pPr>
      <w:r w:rsidRPr="00975E6B">
        <w:rPr>
          <w:bCs/>
          <w:i/>
          <w:sz w:val="16"/>
          <w:szCs w:val="16"/>
        </w:rPr>
        <w:t xml:space="preserve">Source: KPMG based on </w:t>
      </w:r>
      <w:r w:rsidR="00C15673" w:rsidRPr="00975E6B">
        <w:rPr>
          <w:bCs/>
          <w:i/>
          <w:sz w:val="16"/>
          <w:szCs w:val="16"/>
        </w:rPr>
        <w:t>Royal Darwin</w:t>
      </w:r>
      <w:r w:rsidRPr="00975E6B">
        <w:rPr>
          <w:bCs/>
          <w:i/>
          <w:sz w:val="16"/>
          <w:szCs w:val="16"/>
        </w:rPr>
        <w:t xml:space="preserve"> IFR templates</w:t>
      </w:r>
    </w:p>
    <w:p w:rsidR="002E59FA" w:rsidRPr="00975E6B" w:rsidRDefault="002E59FA" w:rsidP="002E59FA">
      <w:pPr>
        <w:rPr>
          <w:bCs/>
          <w:i/>
          <w:sz w:val="16"/>
          <w:szCs w:val="16"/>
        </w:rPr>
      </w:pPr>
      <w:r w:rsidRPr="00975E6B">
        <w:rPr>
          <w:bCs/>
          <w:i/>
          <w:sz w:val="16"/>
          <w:szCs w:val="16"/>
        </w:rPr>
        <w:t>* These figures include admitted emergency costs.</w:t>
      </w:r>
    </w:p>
    <w:p w:rsidR="002E59FA" w:rsidRPr="00975E6B" w:rsidRDefault="002E59FA" w:rsidP="002E59FA">
      <w:pPr>
        <w:pStyle w:val="Heading4"/>
        <w:sectPr w:rsidR="002E59FA" w:rsidRPr="00975E6B" w:rsidSect="00835E8A">
          <w:endnotePr>
            <w:numFmt w:val="decimal"/>
          </w:endnotePr>
          <w:pgSz w:w="16840" w:h="11907" w:orient="landscape" w:code="9"/>
          <w:pgMar w:top="1474" w:right="1964" w:bottom="1474" w:left="1588" w:header="958" w:footer="737" w:gutter="454"/>
          <w:cols w:space="720"/>
          <w:docGrid w:linePitch="272"/>
        </w:sectPr>
      </w:pPr>
    </w:p>
    <w:p w:rsidR="002E59FA" w:rsidRPr="00975E6B" w:rsidRDefault="002E59FA" w:rsidP="0026742C">
      <w:pPr>
        <w:pStyle w:val="Heading4"/>
        <w:numPr>
          <w:ilvl w:val="0"/>
          <w:numId w:val="0"/>
        </w:numPr>
      </w:pPr>
      <w:r w:rsidRPr="00975E6B">
        <w:lastRenderedPageBreak/>
        <w:t xml:space="preserve">Explanation of </w:t>
      </w:r>
      <w:r w:rsidRPr="0026742C">
        <w:t>reconciliation</w:t>
      </w:r>
      <w:r w:rsidRPr="00975E6B">
        <w:t xml:space="preserve"> items</w:t>
      </w:r>
    </w:p>
    <w:p w:rsidR="002E59FA" w:rsidRPr="00975E6B" w:rsidRDefault="00B33CC1" w:rsidP="002E59FA">
      <w:pPr>
        <w:pStyle w:val="BodyText"/>
      </w:pPr>
      <w:r w:rsidRPr="00975E6B">
        <w:fldChar w:fldCharType="begin"/>
      </w:r>
      <w:r w:rsidRPr="00975E6B">
        <w:instrText xml:space="preserve"> REF _Ref434264904 \h </w:instrText>
      </w:r>
      <w:r w:rsidR="00975E6B">
        <w:instrText xml:space="preserve"> \* MERGEFORMAT </w:instrText>
      </w:r>
      <w:r w:rsidRPr="00975E6B">
        <w:fldChar w:fldCharType="separate"/>
      </w:r>
      <w:r w:rsidR="00154CF7" w:rsidRPr="00975E6B">
        <w:t xml:space="preserve">Table </w:t>
      </w:r>
      <w:r w:rsidR="00154CF7">
        <w:rPr>
          <w:noProof/>
        </w:rPr>
        <w:t>27</w:t>
      </w:r>
      <w:r w:rsidRPr="00975E6B">
        <w:fldChar w:fldCharType="end"/>
      </w:r>
      <w:r w:rsidRPr="00975E6B">
        <w:t xml:space="preserve"> </w:t>
      </w:r>
      <w:r w:rsidR="002E59FA" w:rsidRPr="00975E6B">
        <w:t xml:space="preserve">discusses each of the reconciliation items including adjustments, inclusions and exclusions to the </w:t>
      </w:r>
      <w:r w:rsidR="000B4D00" w:rsidRPr="00975E6B">
        <w:t>GL</w:t>
      </w:r>
      <w:r w:rsidR="002E59FA" w:rsidRPr="00975E6B">
        <w:t>.</w:t>
      </w:r>
    </w:p>
    <w:p w:rsidR="002E59FA" w:rsidRPr="00975E6B" w:rsidRDefault="002E59FA" w:rsidP="002E59FA">
      <w:pPr>
        <w:pStyle w:val="Caption"/>
      </w:pPr>
      <w:bookmarkStart w:id="706" w:name="_Ref434264904"/>
      <w:r w:rsidRPr="00975E6B">
        <w:t xml:space="preserve">Table </w:t>
      </w:r>
      <w:fldSimple w:instr=" SEQ Table \* ARABIC ">
        <w:r w:rsidR="00154CF7">
          <w:rPr>
            <w:noProof/>
          </w:rPr>
          <w:t>27</w:t>
        </w:r>
      </w:fldSimple>
      <w:bookmarkEnd w:id="706"/>
      <w:r w:rsidRPr="00975E6B">
        <w:t xml:space="preserve"> – Financial Reconciliation, explanation of items – </w:t>
      </w:r>
      <w:r w:rsidR="00C15673" w:rsidRPr="00975E6B">
        <w:t>Royal Darwin</w:t>
      </w:r>
      <w:r w:rsidR="008B560B" w:rsidRPr="00975E6B">
        <w:t xml:space="preserve"> Hospital</w:t>
      </w:r>
    </w:p>
    <w:tbl>
      <w:tblPr>
        <w:tblStyle w:val="ListTable4-Accent11"/>
        <w:tblW w:w="5000" w:type="pct"/>
        <w:tblLayout w:type="fixed"/>
        <w:tblLook w:val="0620" w:firstRow="1" w:lastRow="0" w:firstColumn="0" w:lastColumn="0" w:noHBand="1" w:noVBand="1"/>
        <w:tblCaption w:val="Table 27 - Financial reconciliation, explanation of items - Royal Darwin Hospital"/>
        <w:tblDescription w:val="This table describes the information presented in Table 26.  The first column is the item number (A to K), the second column is the title of the item number and the third column is a description of the financial information included at that item.&#10;"/>
      </w:tblPr>
      <w:tblGrid>
        <w:gridCol w:w="722"/>
        <w:gridCol w:w="2622"/>
        <w:gridCol w:w="5377"/>
      </w:tblGrid>
      <w:tr w:rsidR="002E59FA"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14" w:type="pct"/>
            <w:tcBorders>
              <w:right w:val="single" w:sz="4" w:space="0" w:color="548DD4" w:themeColor="text2" w:themeTint="99"/>
            </w:tcBorders>
            <w:shd w:val="clear" w:color="auto" w:fill="002060"/>
            <w:noWrap/>
          </w:tcPr>
          <w:p w:rsidR="002E59FA" w:rsidRPr="00975E6B" w:rsidRDefault="002E59FA" w:rsidP="0029344A">
            <w:r w:rsidRPr="00975E6B">
              <w:t>Item</w:t>
            </w:r>
          </w:p>
        </w:tc>
        <w:tc>
          <w:tcPr>
            <w:tcW w:w="1503" w:type="pct"/>
            <w:tcBorders>
              <w:left w:val="single" w:sz="4" w:space="0" w:color="548DD4" w:themeColor="text2" w:themeTint="99"/>
            </w:tcBorders>
            <w:shd w:val="clear" w:color="auto" w:fill="002060"/>
          </w:tcPr>
          <w:p w:rsidR="002E59FA" w:rsidRPr="00975E6B" w:rsidRDefault="002E59FA" w:rsidP="0029344A">
            <w:r w:rsidRPr="00975E6B">
              <w:t>Heading</w:t>
            </w:r>
          </w:p>
        </w:tc>
        <w:tc>
          <w:tcPr>
            <w:tcW w:w="3083" w:type="pct"/>
            <w:tcBorders>
              <w:left w:val="single" w:sz="4" w:space="0" w:color="548DD4" w:themeColor="text2" w:themeTint="99"/>
            </w:tcBorders>
            <w:shd w:val="clear" w:color="auto" w:fill="002060"/>
          </w:tcPr>
          <w:p w:rsidR="002E59FA" w:rsidRPr="00975E6B" w:rsidRDefault="002E59FA" w:rsidP="0029344A">
            <w:r w:rsidRPr="00975E6B">
              <w:t>Discussion</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t>A</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General Ledger</w:t>
            </w:r>
          </w:p>
        </w:tc>
        <w:tc>
          <w:tcPr>
            <w:tcW w:w="3083" w:type="pct"/>
            <w:tcBorders>
              <w:left w:val="single" w:sz="4" w:space="0" w:color="548DD4" w:themeColor="text2" w:themeTint="99"/>
            </w:tcBorders>
          </w:tcPr>
          <w:p w:rsidR="002E59FA" w:rsidRPr="00975E6B" w:rsidRDefault="002E59FA">
            <w:pPr>
              <w:pStyle w:val="BodyText"/>
            </w:pPr>
            <w:r w:rsidRPr="00975E6B">
              <w:t xml:space="preserve">The </w:t>
            </w:r>
            <w:r w:rsidR="000B4D00" w:rsidRPr="00975E6B">
              <w:t xml:space="preserve">GL </w:t>
            </w:r>
            <w:r w:rsidRPr="00975E6B">
              <w:t>amount extracted reflect</w:t>
            </w:r>
            <w:r w:rsidR="00D36B89" w:rsidRPr="00975E6B">
              <w:t>ed</w:t>
            </w:r>
            <w:r w:rsidRPr="00975E6B">
              <w:t xml:space="preserve"> expenditure of $1.03 billion. It should be noted that this </w:t>
            </w:r>
            <w:r w:rsidR="0074117C" w:rsidRPr="00975E6B">
              <w:t>was</w:t>
            </w:r>
            <w:r w:rsidRPr="00975E6B">
              <w:t xml:space="preserve"> the total for all LHNs</w:t>
            </w:r>
            <w:r w:rsidR="000B4D00" w:rsidRPr="00975E6B">
              <w:t xml:space="preserve"> in the NT</w:t>
            </w:r>
            <w:r w:rsidRPr="00975E6B">
              <w:t>, i.e. Top End and Central.</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t>B</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Adjustments to the GL</w:t>
            </w:r>
          </w:p>
        </w:tc>
        <w:tc>
          <w:tcPr>
            <w:tcW w:w="3083" w:type="pct"/>
            <w:tcBorders>
              <w:left w:val="single" w:sz="4" w:space="0" w:color="548DD4" w:themeColor="text2" w:themeTint="99"/>
            </w:tcBorders>
          </w:tcPr>
          <w:p w:rsidR="002E59FA" w:rsidRPr="00975E6B" w:rsidRDefault="002E59FA" w:rsidP="00EC75FC">
            <w:pPr>
              <w:pStyle w:val="BodyText"/>
            </w:pPr>
            <w:r w:rsidRPr="00975E6B">
              <w:t xml:space="preserve">No adjustments to the GL </w:t>
            </w:r>
            <w:r w:rsidR="00D36B89" w:rsidRPr="00975E6B">
              <w:t>were</w:t>
            </w:r>
            <w:r w:rsidRPr="00975E6B">
              <w:t xml:space="preserve"> made. All </w:t>
            </w:r>
            <w:r w:rsidR="00D36B89" w:rsidRPr="00975E6B">
              <w:t>GL</w:t>
            </w:r>
            <w:r w:rsidRPr="00975E6B">
              <w:t xml:space="preserve"> amounts are loaded into PPM2 and costed.</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t>C</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Allocation of Costs</w:t>
            </w:r>
          </w:p>
        </w:tc>
        <w:tc>
          <w:tcPr>
            <w:tcW w:w="3083" w:type="pct"/>
            <w:tcBorders>
              <w:left w:val="single" w:sz="4" w:space="0" w:color="548DD4" w:themeColor="text2" w:themeTint="99"/>
            </w:tcBorders>
          </w:tcPr>
          <w:p w:rsidR="002E59FA" w:rsidRPr="00975E6B" w:rsidRDefault="002E59FA" w:rsidP="0029344A">
            <w:pPr>
              <w:pStyle w:val="BodyText"/>
            </w:pPr>
            <w:r w:rsidRPr="00975E6B">
              <w:t xml:space="preserve">The ABF team undertake a process of reclass/transfers etc. between direct cost centres. The net effect of these reclass/transfers </w:t>
            </w:r>
            <w:r w:rsidR="00D36B89" w:rsidRPr="00975E6B">
              <w:t>wa</w:t>
            </w:r>
            <w:r w:rsidRPr="00975E6B">
              <w:t>s zero. Reclass/transfers are determined based on discussions with LHN representatives.</w:t>
            </w:r>
          </w:p>
          <w:p w:rsidR="002E59FA" w:rsidRPr="00975E6B" w:rsidRDefault="002E59FA" w:rsidP="00F26328">
            <w:pPr>
              <w:pStyle w:val="BodyText"/>
              <w:numPr>
                <w:ilvl w:val="0"/>
                <w:numId w:val="38"/>
              </w:numPr>
            </w:pPr>
            <w:r w:rsidRPr="00975E6B">
              <w:t>It was observed that the total for all direct cost centres, i.e. $76</w:t>
            </w:r>
            <w:r w:rsidR="003E67CF" w:rsidRPr="00975E6B">
              <w:t>2</w:t>
            </w:r>
            <w:r w:rsidRPr="00975E6B">
              <w:t xml:space="preserve"> million was allocated.</w:t>
            </w:r>
          </w:p>
          <w:p w:rsidR="002E59FA" w:rsidRPr="00975E6B" w:rsidRDefault="002E59FA" w:rsidP="00F26328">
            <w:pPr>
              <w:pStyle w:val="BodyText"/>
              <w:numPr>
                <w:ilvl w:val="0"/>
                <w:numId w:val="38"/>
              </w:numPr>
            </w:pPr>
            <w:r w:rsidRPr="00975E6B">
              <w:t>It was observed that overheads of $271.3 million were allocated.</w:t>
            </w:r>
          </w:p>
          <w:p w:rsidR="002E59FA" w:rsidRPr="00975E6B" w:rsidRDefault="002E59FA" w:rsidP="0029344A">
            <w:pPr>
              <w:pStyle w:val="BodyText"/>
            </w:pPr>
            <w:r w:rsidRPr="00975E6B">
              <w:t>These amounts reconcile</w:t>
            </w:r>
            <w:r w:rsidR="00D36B89" w:rsidRPr="00975E6B">
              <w:t>d</w:t>
            </w:r>
            <w:r w:rsidRPr="00975E6B">
              <w:t xml:space="preserve"> to $1.03 billion and reflect the total for NT, including out of scope hospitals.</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t>D</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Post Allocation Adjustments</w:t>
            </w:r>
          </w:p>
        </w:tc>
        <w:tc>
          <w:tcPr>
            <w:tcW w:w="3083" w:type="pct"/>
            <w:tcBorders>
              <w:left w:val="single" w:sz="4" w:space="0" w:color="548DD4" w:themeColor="text2" w:themeTint="99"/>
            </w:tcBorders>
          </w:tcPr>
          <w:p w:rsidR="002E59FA" w:rsidRPr="00975E6B" w:rsidRDefault="002E59FA" w:rsidP="000B4D00">
            <w:pPr>
              <w:pStyle w:val="BodyText"/>
            </w:pPr>
            <w:r w:rsidRPr="00975E6B">
              <w:t>Post allocation adjustments were made for out of scope hospitals and services</w:t>
            </w:r>
            <w:r w:rsidR="000B4D00" w:rsidRPr="00975E6B">
              <w:t>,</w:t>
            </w:r>
            <w:r w:rsidRPr="00975E6B">
              <w:t xml:space="preserve"> totall</w:t>
            </w:r>
            <w:r w:rsidR="000B4D00" w:rsidRPr="00975E6B">
              <w:t>ing</w:t>
            </w:r>
            <w:r w:rsidRPr="00975E6B">
              <w:t xml:space="preserve"> $570.3 million.</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t>E</w:t>
            </w:r>
          </w:p>
        </w:tc>
        <w:tc>
          <w:tcPr>
            <w:tcW w:w="1503" w:type="pct"/>
            <w:tcBorders>
              <w:left w:val="single" w:sz="4" w:space="0" w:color="548DD4" w:themeColor="text2" w:themeTint="99"/>
            </w:tcBorders>
          </w:tcPr>
          <w:p w:rsidR="002E59FA" w:rsidRPr="00975E6B" w:rsidRDefault="002E59FA" w:rsidP="00EC75FC">
            <w:pPr>
              <w:pStyle w:val="BodyText"/>
              <w:jc w:val="left"/>
            </w:pPr>
            <w:r w:rsidRPr="00975E6B">
              <w:t xml:space="preserve">Costed Products </w:t>
            </w:r>
            <w:r w:rsidR="00D36B89" w:rsidRPr="00975E6B">
              <w:t>s</w:t>
            </w:r>
            <w:r w:rsidRPr="00975E6B">
              <w:t>ubmitted to jurisdiction</w:t>
            </w:r>
          </w:p>
        </w:tc>
        <w:tc>
          <w:tcPr>
            <w:tcW w:w="3083" w:type="pct"/>
            <w:tcBorders>
              <w:left w:val="single" w:sz="4" w:space="0" w:color="548DD4" w:themeColor="text2" w:themeTint="99"/>
            </w:tcBorders>
          </w:tcPr>
          <w:p w:rsidR="002E59FA" w:rsidRPr="00975E6B" w:rsidRDefault="002E59FA" w:rsidP="000B4D00">
            <w:pPr>
              <w:pStyle w:val="BodyText"/>
            </w:pPr>
            <w:r w:rsidRPr="00975E6B">
              <w:t xml:space="preserve">Costs derived by the jurisdiction and reported at product level </w:t>
            </w:r>
            <w:r w:rsidR="000B4D00" w:rsidRPr="00975E6B">
              <w:t xml:space="preserve">were </w:t>
            </w:r>
            <w:r w:rsidRPr="00975E6B">
              <w:t>equal to $462.9 million. This represent</w:t>
            </w:r>
            <w:r w:rsidR="00963F72" w:rsidRPr="00975E6B">
              <w:t>ed</w:t>
            </w:r>
            <w:r w:rsidRPr="00975E6B">
              <w:t xml:space="preserve"> approximately 44</w:t>
            </w:r>
            <w:r w:rsidR="003E67CF" w:rsidRPr="00975E6B">
              <w:t xml:space="preserve"> percent</w:t>
            </w:r>
            <w:r w:rsidRPr="00975E6B">
              <w:t xml:space="preserve"> of the </w:t>
            </w:r>
            <w:r w:rsidR="000B4D00" w:rsidRPr="00975E6B">
              <w:t>GL for the</w:t>
            </w:r>
            <w:r w:rsidR="00BA3F4B" w:rsidRPr="00975E6B">
              <w:t xml:space="preserve"> </w:t>
            </w:r>
            <w:r w:rsidRPr="00975E6B">
              <w:t xml:space="preserve">LHN. </w:t>
            </w:r>
            <w:r w:rsidR="00C15673" w:rsidRPr="00975E6B">
              <w:t>Royal Darwin</w:t>
            </w:r>
            <w:r w:rsidRPr="00975E6B">
              <w:t xml:space="preserve"> submitted </w:t>
            </w:r>
            <w:r w:rsidR="000B4D00" w:rsidRPr="00975E6B">
              <w:t>acute</w:t>
            </w:r>
            <w:r w:rsidRPr="00975E6B">
              <w:t xml:space="preserve">, </w:t>
            </w:r>
            <w:r w:rsidR="000B4D00" w:rsidRPr="00975E6B">
              <w:t>non-admitted</w:t>
            </w:r>
            <w:r w:rsidRPr="00975E6B">
              <w:t xml:space="preserve">, </w:t>
            </w:r>
            <w:r w:rsidR="000B4D00" w:rsidRPr="00975E6B">
              <w:t>e</w:t>
            </w:r>
            <w:r w:rsidRPr="00975E6B">
              <w:t>mergency</w:t>
            </w:r>
            <w:r w:rsidR="000B4D00" w:rsidRPr="00975E6B">
              <w:t xml:space="preserve"> care</w:t>
            </w:r>
            <w:r w:rsidRPr="00975E6B">
              <w:t xml:space="preserve">, </w:t>
            </w:r>
            <w:r w:rsidR="000B4D00" w:rsidRPr="00975E6B">
              <w:t>sub</w:t>
            </w:r>
            <w:r w:rsidRPr="00975E6B">
              <w:t xml:space="preserve">acute, </w:t>
            </w:r>
            <w:r w:rsidR="000B4D00" w:rsidRPr="00975E6B">
              <w:t>o</w:t>
            </w:r>
            <w:r w:rsidRPr="00975E6B">
              <w:t xml:space="preserve">ther and </w:t>
            </w:r>
            <w:r w:rsidR="000B4D00" w:rsidRPr="00975E6B">
              <w:t>t</w:t>
            </w:r>
            <w:r w:rsidRPr="00975E6B">
              <w:t xml:space="preserve">eaching and </w:t>
            </w:r>
            <w:r w:rsidR="000B4D00" w:rsidRPr="00975E6B">
              <w:t>t</w:t>
            </w:r>
            <w:r w:rsidRPr="00975E6B">
              <w:t>raining costed products.</w:t>
            </w:r>
          </w:p>
        </w:tc>
      </w:tr>
      <w:tr w:rsidR="002E59FA" w:rsidRPr="00975E6B" w:rsidTr="0029344A">
        <w:trPr>
          <w:trHeight w:val="285"/>
        </w:trPr>
        <w:tc>
          <w:tcPr>
            <w:tcW w:w="414" w:type="pct"/>
            <w:tcBorders>
              <w:right w:val="single" w:sz="4" w:space="0" w:color="548DD4" w:themeColor="text2" w:themeTint="99"/>
            </w:tcBorders>
            <w:noWrap/>
          </w:tcPr>
          <w:p w:rsidR="002E59FA" w:rsidRPr="00975E6B" w:rsidRDefault="002E59FA" w:rsidP="0029344A">
            <w:pPr>
              <w:pStyle w:val="BodyText"/>
            </w:pPr>
            <w:r w:rsidRPr="00975E6B">
              <w:t>F</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Costed Products received by jurisdiction</w:t>
            </w:r>
          </w:p>
        </w:tc>
        <w:tc>
          <w:tcPr>
            <w:tcW w:w="3083" w:type="pct"/>
            <w:tcBorders>
              <w:left w:val="single" w:sz="4" w:space="0" w:color="548DD4" w:themeColor="text2" w:themeTint="99"/>
            </w:tcBorders>
          </w:tcPr>
          <w:p w:rsidR="002E59FA" w:rsidRPr="00975E6B" w:rsidRDefault="002E59FA" w:rsidP="0029344A">
            <w:pPr>
              <w:pStyle w:val="BodyText"/>
            </w:pPr>
            <w:r w:rsidRPr="00975E6B">
              <w:t>No variance was noted between Items E and F.</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t>G</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Final Adjustments</w:t>
            </w:r>
          </w:p>
        </w:tc>
        <w:tc>
          <w:tcPr>
            <w:tcW w:w="3083" w:type="pct"/>
            <w:tcBorders>
              <w:left w:val="single" w:sz="4" w:space="0" w:color="548DD4" w:themeColor="text2" w:themeTint="99"/>
            </w:tcBorders>
          </w:tcPr>
          <w:p w:rsidR="002E59FA" w:rsidRPr="00975E6B" w:rsidRDefault="002E59FA" w:rsidP="00EC75FC">
            <w:pPr>
              <w:pStyle w:val="BodyText"/>
            </w:pPr>
            <w:r w:rsidRPr="00975E6B">
              <w:t>The jurisdiction ma</w:t>
            </w:r>
            <w:r w:rsidR="00D36B89" w:rsidRPr="00975E6B">
              <w:t>de</w:t>
            </w:r>
            <w:r w:rsidRPr="00975E6B">
              <w:t xml:space="preserve"> adjustments to the cost data prior to submission to IHPA. These adjustments related to the removal of dummy records from the activity. This adjustment totalled $6.5 million.</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t>H</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Costed Products submitted to IHPA</w:t>
            </w:r>
          </w:p>
        </w:tc>
        <w:tc>
          <w:tcPr>
            <w:tcW w:w="3083" w:type="pct"/>
            <w:tcBorders>
              <w:left w:val="single" w:sz="4" w:space="0" w:color="548DD4" w:themeColor="text2" w:themeTint="99"/>
            </w:tcBorders>
          </w:tcPr>
          <w:p w:rsidR="002E59FA" w:rsidRPr="00975E6B" w:rsidRDefault="002E59FA" w:rsidP="000B4D00">
            <w:pPr>
              <w:pStyle w:val="BodyText"/>
            </w:pPr>
            <w:r w:rsidRPr="00975E6B">
              <w:t>Costs derived by the jurisdiction and reported at product level reconcile</w:t>
            </w:r>
            <w:r w:rsidR="00D36B89" w:rsidRPr="00975E6B">
              <w:t>d</w:t>
            </w:r>
            <w:r w:rsidRPr="00975E6B">
              <w:t xml:space="preserve"> to $456.5 million. </w:t>
            </w:r>
            <w:r w:rsidR="00772B0F" w:rsidRPr="00975E6B">
              <w:t>NT Health</w:t>
            </w:r>
            <w:r w:rsidRPr="00975E6B">
              <w:t xml:space="preserve"> submit</w:t>
            </w:r>
            <w:r w:rsidR="00D36B89" w:rsidRPr="00975E6B">
              <w:t>ted</w:t>
            </w:r>
            <w:r w:rsidRPr="00975E6B">
              <w:t xml:space="preserve"> </w:t>
            </w:r>
            <w:r w:rsidR="000B4D00" w:rsidRPr="00975E6B">
              <w:lastRenderedPageBreak/>
              <w:t>acute</w:t>
            </w:r>
            <w:r w:rsidRPr="00975E6B">
              <w:t xml:space="preserve">, </w:t>
            </w:r>
            <w:r w:rsidR="000B4D00" w:rsidRPr="00975E6B">
              <w:t>non-admitted</w:t>
            </w:r>
            <w:r w:rsidRPr="00975E6B">
              <w:t xml:space="preserve">, </w:t>
            </w:r>
            <w:r w:rsidR="000B4D00" w:rsidRPr="00975E6B">
              <w:t>e</w:t>
            </w:r>
            <w:r w:rsidRPr="00975E6B">
              <w:t>mergency</w:t>
            </w:r>
            <w:r w:rsidR="000B4D00" w:rsidRPr="00975E6B">
              <w:t xml:space="preserve"> care</w:t>
            </w:r>
            <w:r w:rsidRPr="00975E6B">
              <w:t xml:space="preserve">, </w:t>
            </w:r>
            <w:r w:rsidR="000B4D00" w:rsidRPr="00975E6B">
              <w:t>s</w:t>
            </w:r>
            <w:r w:rsidRPr="00975E6B">
              <w:t xml:space="preserve">ubacute, </w:t>
            </w:r>
            <w:r w:rsidR="000B4D00" w:rsidRPr="00975E6B">
              <w:t>o</w:t>
            </w:r>
            <w:r w:rsidRPr="00975E6B">
              <w:t xml:space="preserve">ther and </w:t>
            </w:r>
            <w:r w:rsidR="000B4D00" w:rsidRPr="00975E6B">
              <w:t>t</w:t>
            </w:r>
            <w:r w:rsidRPr="00975E6B">
              <w:t xml:space="preserve">eaching and </w:t>
            </w:r>
            <w:r w:rsidR="000B4D00" w:rsidRPr="00975E6B">
              <w:t>t</w:t>
            </w:r>
            <w:r w:rsidRPr="00975E6B">
              <w:t>raining costed products.</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lastRenderedPageBreak/>
              <w:t>I</w:t>
            </w:r>
          </w:p>
          <w:p w:rsidR="002E59FA" w:rsidRPr="00975E6B" w:rsidRDefault="002E59FA" w:rsidP="0029344A">
            <w:pPr>
              <w:pStyle w:val="BodyText"/>
            </w:pPr>
          </w:p>
        </w:tc>
        <w:tc>
          <w:tcPr>
            <w:tcW w:w="1503" w:type="pct"/>
            <w:tcBorders>
              <w:left w:val="single" w:sz="4" w:space="0" w:color="548DD4" w:themeColor="text2" w:themeTint="99"/>
            </w:tcBorders>
          </w:tcPr>
          <w:p w:rsidR="002E59FA" w:rsidRPr="00975E6B" w:rsidRDefault="002E59FA" w:rsidP="0029344A">
            <w:pPr>
              <w:pStyle w:val="BodyText"/>
              <w:jc w:val="left"/>
            </w:pPr>
            <w:r w:rsidRPr="00975E6B">
              <w:t>Total Products received by IHPA</w:t>
            </w:r>
          </w:p>
        </w:tc>
        <w:tc>
          <w:tcPr>
            <w:tcW w:w="3083" w:type="pct"/>
            <w:tcBorders>
              <w:left w:val="single" w:sz="4" w:space="0" w:color="548DD4" w:themeColor="text2" w:themeTint="99"/>
            </w:tcBorders>
          </w:tcPr>
          <w:p w:rsidR="002E59FA" w:rsidRPr="00975E6B" w:rsidRDefault="002E59FA" w:rsidP="0029344A">
            <w:pPr>
              <w:pStyle w:val="BodyText"/>
            </w:pPr>
            <w:r w:rsidRPr="00975E6B">
              <w:t>Total costed products received by IHPA totalled $456.5 million. There was no variance between costs submitted by the jurisdiction and costs received by IHPA.</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t>J</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IHPA Adjustments</w:t>
            </w:r>
          </w:p>
        </w:tc>
        <w:tc>
          <w:tcPr>
            <w:tcW w:w="3083" w:type="pct"/>
            <w:tcBorders>
              <w:left w:val="single" w:sz="4" w:space="0" w:color="548DD4" w:themeColor="text2" w:themeTint="99"/>
            </w:tcBorders>
          </w:tcPr>
          <w:p w:rsidR="002E59FA" w:rsidRPr="00975E6B" w:rsidRDefault="002E59FA" w:rsidP="0029344A">
            <w:pPr>
              <w:pStyle w:val="BodyText"/>
              <w:rPr>
                <w:i/>
              </w:rPr>
            </w:pPr>
            <w:r w:rsidRPr="00975E6B">
              <w:rPr>
                <w:i/>
              </w:rPr>
              <w:t>Admitted Emergency</w:t>
            </w:r>
          </w:p>
          <w:p w:rsidR="002E59FA" w:rsidRPr="00975E6B" w:rsidRDefault="002E59FA" w:rsidP="0029344A">
            <w:pPr>
              <w:pStyle w:val="BodyText"/>
            </w:pPr>
            <w:r w:rsidRPr="00975E6B">
              <w:t>Upon receipt of cost data, IHPA allocate</w:t>
            </w:r>
            <w:r w:rsidR="00D36B89" w:rsidRPr="00975E6B">
              <w:t>d</w:t>
            </w:r>
            <w:r w:rsidRPr="00975E6B">
              <w:t xml:space="preserve"> the admitted emergency costs back to admitted patients for the purposes of reporting and analysis. Within IHPA’s reconciliation</w:t>
            </w:r>
            <w:r w:rsidR="00D36B89" w:rsidRPr="00975E6B">
              <w:t>,</w:t>
            </w:r>
            <w:r w:rsidRPr="00975E6B">
              <w:t xml:space="preserve"> this amount </w:t>
            </w:r>
            <w:r w:rsidR="0074117C" w:rsidRPr="00975E6B">
              <w:t xml:space="preserve">was </w:t>
            </w:r>
            <w:r w:rsidRPr="00975E6B">
              <w:t xml:space="preserve">a duplication of admitted emergency costs and not an additional cost. For </w:t>
            </w:r>
            <w:r w:rsidR="00C15673" w:rsidRPr="00975E6B">
              <w:t>Royal Darwin</w:t>
            </w:r>
            <w:r w:rsidRPr="00975E6B">
              <w:t xml:space="preserve"> this amounted to $10.7 million.</w:t>
            </w:r>
          </w:p>
          <w:p w:rsidR="002E59FA" w:rsidRPr="00975E6B" w:rsidRDefault="002E59FA" w:rsidP="0029344A">
            <w:pPr>
              <w:pStyle w:val="BodyText"/>
              <w:rPr>
                <w:i/>
              </w:rPr>
            </w:pPr>
            <w:r w:rsidRPr="00975E6B">
              <w:rPr>
                <w:i/>
              </w:rPr>
              <w:t xml:space="preserve">Unqualified Baby Adjustment </w:t>
            </w:r>
          </w:p>
          <w:p w:rsidR="002E59FA" w:rsidRPr="00975E6B" w:rsidRDefault="002E59FA">
            <w:pPr>
              <w:pStyle w:val="BodyText"/>
            </w:pPr>
            <w:r w:rsidRPr="00975E6B">
              <w:t xml:space="preserve">Upon receipt of cost data, IHPA redistributes the unqualified baby cost to the mother </w:t>
            </w:r>
            <w:r w:rsidR="00DB37C1" w:rsidRPr="00975E6B">
              <w:t>Diagnosis Related Group (</w:t>
            </w:r>
            <w:r w:rsidRPr="00975E6B">
              <w:t>DRG</w:t>
            </w:r>
            <w:r w:rsidR="00DB37C1" w:rsidRPr="00975E6B">
              <w:t>)</w:t>
            </w:r>
            <w:r w:rsidRPr="00975E6B">
              <w:t xml:space="preserve"> to provide a complete delivery DRG cost. Within IHPA</w:t>
            </w:r>
            <w:r w:rsidR="00DB37C1" w:rsidRPr="00975E6B">
              <w:t>’</w:t>
            </w:r>
            <w:r w:rsidRPr="00975E6B">
              <w:t xml:space="preserve">s reconciliation this </w:t>
            </w:r>
            <w:r w:rsidR="0074117C" w:rsidRPr="00975E6B">
              <w:t xml:space="preserve">was </w:t>
            </w:r>
            <w:r w:rsidRPr="00975E6B">
              <w:t xml:space="preserve">not an additional cost but a movement between patients. </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t>K</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Final NHCDC Costed Outputs</w:t>
            </w:r>
          </w:p>
        </w:tc>
        <w:tc>
          <w:tcPr>
            <w:tcW w:w="3083" w:type="pct"/>
            <w:tcBorders>
              <w:left w:val="single" w:sz="4" w:space="0" w:color="548DD4" w:themeColor="text2" w:themeTint="99"/>
            </w:tcBorders>
          </w:tcPr>
          <w:p w:rsidR="002E59FA" w:rsidRPr="00975E6B" w:rsidRDefault="002E59FA">
            <w:pPr>
              <w:pStyle w:val="BodyText"/>
            </w:pPr>
            <w:r w:rsidRPr="00975E6B">
              <w:t xml:space="preserve">The final NHCDC costed data for </w:t>
            </w:r>
            <w:r w:rsidR="00C15673" w:rsidRPr="00975E6B">
              <w:t>Royal Darwin</w:t>
            </w:r>
            <w:r w:rsidRPr="00975E6B">
              <w:t xml:space="preserve"> loaded into the National Round 18 cost data set </w:t>
            </w:r>
            <w:r w:rsidR="00D36B89" w:rsidRPr="00975E6B">
              <w:t>wa</w:t>
            </w:r>
            <w:r w:rsidRPr="00975E6B">
              <w:t>s $467.2</w:t>
            </w:r>
            <w:r w:rsidR="002067EB" w:rsidRPr="00975E6B">
              <w:t> </w:t>
            </w:r>
            <w:r w:rsidRPr="00975E6B">
              <w:t>million which include</w:t>
            </w:r>
            <w:r w:rsidR="00D36B89" w:rsidRPr="00975E6B">
              <w:t>d</w:t>
            </w:r>
            <w:r w:rsidRPr="00975E6B">
              <w:t xml:space="preserve"> the admitted emergency cost of $10.7 million.</w:t>
            </w:r>
          </w:p>
        </w:tc>
      </w:tr>
    </w:tbl>
    <w:p w:rsidR="00664CB0" w:rsidRPr="00975E6B" w:rsidRDefault="00664CB0" w:rsidP="003D1169">
      <w:pPr>
        <w:rPr>
          <w:bCs/>
          <w:i/>
          <w:sz w:val="16"/>
          <w:szCs w:val="16"/>
        </w:rPr>
      </w:pPr>
      <w:r w:rsidRPr="00975E6B">
        <w:rPr>
          <w:bCs/>
          <w:i/>
          <w:sz w:val="16"/>
          <w:szCs w:val="16"/>
        </w:rPr>
        <w:t>Source: KPMG, based on Royal Darwin templates and review discussions</w:t>
      </w:r>
    </w:p>
    <w:p w:rsidR="002E59FA" w:rsidRPr="00975E6B" w:rsidRDefault="002E59FA" w:rsidP="003B387A">
      <w:pPr>
        <w:pStyle w:val="Heading3"/>
        <w:numPr>
          <w:ilvl w:val="2"/>
          <w:numId w:val="77"/>
        </w:numPr>
      </w:pPr>
      <w:r w:rsidRPr="0026742C">
        <w:t>Activity</w:t>
      </w:r>
      <w:r w:rsidRPr="00975E6B">
        <w:t xml:space="preserve"> data</w:t>
      </w:r>
    </w:p>
    <w:p w:rsidR="002E59FA" w:rsidRPr="00B464CA" w:rsidRDefault="00F55636" w:rsidP="00B464CA">
      <w:pPr>
        <w:spacing w:before="120" w:after="120" w:line="280" w:lineRule="atLeast"/>
        <w:jc w:val="both"/>
        <w:rPr>
          <w:bCs/>
        </w:rPr>
      </w:pPr>
      <w:r>
        <w:rPr>
          <w:bCs/>
        </w:rPr>
        <w:fldChar w:fldCharType="begin"/>
      </w:r>
      <w:r>
        <w:rPr>
          <w:bCs/>
        </w:rPr>
        <w:instrText xml:space="preserve"> REF _Ref444516049 \h </w:instrText>
      </w:r>
      <w:r>
        <w:rPr>
          <w:bCs/>
        </w:rPr>
      </w:r>
      <w:r>
        <w:rPr>
          <w:bCs/>
        </w:rPr>
        <w:fldChar w:fldCharType="separate"/>
      </w:r>
      <w:r w:rsidR="00154CF7" w:rsidRPr="00D06D4E">
        <w:t xml:space="preserve">Table </w:t>
      </w:r>
      <w:r w:rsidR="00154CF7">
        <w:rPr>
          <w:noProof/>
        </w:rPr>
        <w:t>28</w:t>
      </w:r>
      <w:r>
        <w:rPr>
          <w:bCs/>
        </w:rPr>
        <w:fldChar w:fldCharType="end"/>
      </w:r>
      <w:r>
        <w:rPr>
          <w:bCs/>
        </w:rPr>
        <w:t xml:space="preserve"> </w:t>
      </w:r>
      <w:r w:rsidR="002E59FA" w:rsidRPr="00B464CA">
        <w:rPr>
          <w:bCs/>
        </w:rPr>
        <w:t xml:space="preserve">presents activity and feeder data for </w:t>
      </w:r>
      <w:r w:rsidR="00C15673" w:rsidRPr="00B464CA">
        <w:rPr>
          <w:bCs/>
        </w:rPr>
        <w:t>Royal Darwin</w:t>
      </w:r>
      <w:r w:rsidR="002E59FA" w:rsidRPr="00B464CA">
        <w:rPr>
          <w:bCs/>
        </w:rPr>
        <w:t>.</w:t>
      </w:r>
    </w:p>
    <w:p w:rsidR="002E59FA" w:rsidRDefault="002E59FA" w:rsidP="00F55636">
      <w:pPr>
        <w:pStyle w:val="Caption"/>
        <w:pageBreakBefore/>
      </w:pPr>
      <w:bookmarkStart w:id="707" w:name="_Ref433285589"/>
      <w:bookmarkStart w:id="708" w:name="_Ref444516049"/>
      <w:r w:rsidRPr="00D06D4E">
        <w:lastRenderedPageBreak/>
        <w:t xml:space="preserve">Table </w:t>
      </w:r>
      <w:r w:rsidR="00285B41" w:rsidRPr="0081231C">
        <w:fldChar w:fldCharType="begin"/>
      </w:r>
      <w:r w:rsidR="00285B41" w:rsidRPr="00DF43A9">
        <w:instrText xml:space="preserve"> SEQ Table \* ARABIC </w:instrText>
      </w:r>
      <w:r w:rsidR="00285B41" w:rsidRPr="0081231C">
        <w:fldChar w:fldCharType="separate"/>
      </w:r>
      <w:r w:rsidR="00154CF7">
        <w:rPr>
          <w:noProof/>
        </w:rPr>
        <w:t>28</w:t>
      </w:r>
      <w:r w:rsidR="00285B41" w:rsidRPr="0081231C">
        <w:rPr>
          <w:noProof/>
        </w:rPr>
        <w:fldChar w:fldCharType="end"/>
      </w:r>
      <w:bookmarkEnd w:id="707"/>
      <w:bookmarkEnd w:id="708"/>
      <w:r w:rsidR="00BA3F4B" w:rsidRPr="00DF43A9">
        <w:t xml:space="preserve"> </w:t>
      </w:r>
      <w:r w:rsidRPr="00DF43A9">
        <w:t xml:space="preserve">– Activity data – </w:t>
      </w:r>
      <w:r w:rsidR="00C15673" w:rsidRPr="00DF43A9">
        <w:t>Royal Darwin</w:t>
      </w:r>
      <w:r w:rsidR="008B560B" w:rsidRPr="00DF43A9">
        <w:t xml:space="preserve"> Hospital</w:t>
      </w:r>
    </w:p>
    <w:tbl>
      <w:tblPr>
        <w:tblW w:w="5000" w:type="pct"/>
        <w:tblLayout w:type="fixed"/>
        <w:tblLook w:val="04A0" w:firstRow="1" w:lastRow="0" w:firstColumn="1" w:lastColumn="0" w:noHBand="0" w:noVBand="1"/>
        <w:tblCaption w:val="Table 28 - Activity data - Royal Darwin Hospital"/>
        <w:tblDescription w:val="This table presents activity and feeder data for Royal Darwin Hospital.  There are 11 columns.  Column 1 is the Data source, Column 2 is the number of records from source, Column 3 is the number of records in costing system, Column 4 is the variance between Column 2 and 3, Column 5 is the number of records linked to acute, column 6 is the number of records linked to emergency, Column 7 is the number of records linked to non-admitted, column 8 is the total linked records, column 9 is the number linked to other, column 10 is the number of unlinked records and column 11 is the % of linked to source.&#10;&#10;"/>
      </w:tblPr>
      <w:tblGrid>
        <w:gridCol w:w="1163"/>
        <w:gridCol w:w="755"/>
        <w:gridCol w:w="755"/>
        <w:gridCol w:w="757"/>
        <w:gridCol w:w="755"/>
        <w:gridCol w:w="757"/>
        <w:gridCol w:w="755"/>
        <w:gridCol w:w="755"/>
        <w:gridCol w:w="757"/>
        <w:gridCol w:w="755"/>
        <w:gridCol w:w="757"/>
      </w:tblGrid>
      <w:tr w:rsidR="00CA7B4E" w:rsidRPr="006623C7" w:rsidTr="00E14378">
        <w:trPr>
          <w:trHeight w:val="725"/>
        </w:trPr>
        <w:tc>
          <w:tcPr>
            <w:tcW w:w="666" w:type="pct"/>
            <w:tcBorders>
              <w:top w:val="single" w:sz="4" w:space="0" w:color="4F81BD"/>
              <w:left w:val="single" w:sz="4" w:space="0" w:color="4F81BD"/>
              <w:bottom w:val="nil"/>
              <w:right w:val="nil"/>
            </w:tcBorders>
            <w:shd w:val="clear" w:color="auto" w:fill="002060"/>
            <w:vAlign w:val="bottom"/>
            <w:hideMark/>
          </w:tcPr>
          <w:p w:rsidR="006623C7" w:rsidRPr="00CD1518" w:rsidRDefault="006623C7" w:rsidP="006623C7">
            <w:pPr>
              <w:spacing w:line="240" w:lineRule="auto"/>
              <w:rPr>
                <w:b/>
                <w:bCs/>
                <w:color w:val="FFFFFF"/>
                <w:sz w:val="12"/>
                <w:szCs w:val="12"/>
                <w:lang w:eastAsia="en-AU"/>
              </w:rPr>
            </w:pPr>
            <w:r w:rsidRPr="00CD1518">
              <w:rPr>
                <w:b/>
                <w:bCs/>
                <w:color w:val="FFFFFF"/>
                <w:sz w:val="12"/>
                <w:szCs w:val="12"/>
                <w:lang w:eastAsia="en-AU"/>
              </w:rPr>
              <w:t>Data</w:t>
            </w:r>
          </w:p>
        </w:tc>
        <w:tc>
          <w:tcPr>
            <w:tcW w:w="433" w:type="pct"/>
            <w:tcBorders>
              <w:top w:val="single" w:sz="4" w:space="0" w:color="4F81BD"/>
              <w:left w:val="single" w:sz="4" w:space="0" w:color="4F81BD"/>
              <w:bottom w:val="nil"/>
              <w:right w:val="single" w:sz="4" w:space="0" w:color="4F81BD"/>
            </w:tcBorders>
            <w:shd w:val="clear" w:color="auto" w:fill="002060"/>
            <w:vAlign w:val="bottom"/>
            <w:hideMark/>
          </w:tcPr>
          <w:p w:rsidR="006623C7" w:rsidRPr="00CD1518" w:rsidRDefault="006623C7" w:rsidP="006623C7">
            <w:pPr>
              <w:spacing w:line="240" w:lineRule="auto"/>
              <w:jc w:val="center"/>
              <w:rPr>
                <w:b/>
                <w:bCs/>
                <w:color w:val="FFFFFF"/>
                <w:sz w:val="12"/>
                <w:szCs w:val="12"/>
                <w:lang w:eastAsia="en-AU"/>
              </w:rPr>
            </w:pPr>
            <w:r w:rsidRPr="00CD1518">
              <w:rPr>
                <w:b/>
                <w:bCs/>
                <w:color w:val="FFFFFF"/>
                <w:sz w:val="12"/>
                <w:szCs w:val="12"/>
                <w:lang w:eastAsia="en-AU"/>
              </w:rPr>
              <w:t># Records from Source</w:t>
            </w:r>
          </w:p>
        </w:tc>
        <w:tc>
          <w:tcPr>
            <w:tcW w:w="433" w:type="pct"/>
            <w:tcBorders>
              <w:top w:val="single" w:sz="4" w:space="0" w:color="4F81BD"/>
              <w:left w:val="nil"/>
              <w:bottom w:val="nil"/>
              <w:right w:val="nil"/>
            </w:tcBorders>
            <w:shd w:val="clear" w:color="auto" w:fill="002060"/>
            <w:vAlign w:val="bottom"/>
            <w:hideMark/>
          </w:tcPr>
          <w:p w:rsidR="006623C7" w:rsidRPr="00CD1518" w:rsidRDefault="006623C7" w:rsidP="006623C7">
            <w:pPr>
              <w:spacing w:line="240" w:lineRule="auto"/>
              <w:jc w:val="center"/>
              <w:rPr>
                <w:b/>
                <w:bCs/>
                <w:color w:val="FFFFFF"/>
                <w:sz w:val="12"/>
                <w:szCs w:val="12"/>
                <w:lang w:eastAsia="en-AU"/>
              </w:rPr>
            </w:pPr>
            <w:r w:rsidRPr="00CD1518">
              <w:rPr>
                <w:b/>
                <w:bCs/>
                <w:color w:val="FFFFFF"/>
                <w:sz w:val="12"/>
                <w:szCs w:val="12"/>
                <w:lang w:eastAsia="en-AU"/>
              </w:rPr>
              <w:t># Records in costing system</w:t>
            </w:r>
          </w:p>
        </w:tc>
        <w:tc>
          <w:tcPr>
            <w:tcW w:w="434" w:type="pct"/>
            <w:tcBorders>
              <w:top w:val="single" w:sz="4" w:space="0" w:color="4F81BD"/>
              <w:left w:val="single" w:sz="4" w:space="0" w:color="4F81BD"/>
              <w:bottom w:val="nil"/>
              <w:right w:val="single" w:sz="4" w:space="0" w:color="4F81BD"/>
            </w:tcBorders>
            <w:shd w:val="clear" w:color="auto" w:fill="002060"/>
            <w:vAlign w:val="bottom"/>
            <w:hideMark/>
          </w:tcPr>
          <w:p w:rsidR="006623C7" w:rsidRPr="00CD1518" w:rsidRDefault="006623C7" w:rsidP="006623C7">
            <w:pPr>
              <w:spacing w:line="240" w:lineRule="auto"/>
              <w:jc w:val="center"/>
              <w:rPr>
                <w:b/>
                <w:bCs/>
                <w:color w:val="FFFFFF"/>
                <w:sz w:val="12"/>
                <w:szCs w:val="12"/>
                <w:lang w:eastAsia="en-AU"/>
              </w:rPr>
            </w:pPr>
            <w:r w:rsidRPr="00CD1518">
              <w:rPr>
                <w:b/>
                <w:bCs/>
                <w:color w:val="FFFFFF"/>
                <w:sz w:val="12"/>
                <w:szCs w:val="12"/>
                <w:lang w:eastAsia="en-AU"/>
              </w:rPr>
              <w:t>Variance</w:t>
            </w:r>
          </w:p>
        </w:tc>
        <w:tc>
          <w:tcPr>
            <w:tcW w:w="433" w:type="pct"/>
            <w:tcBorders>
              <w:top w:val="single" w:sz="4" w:space="0" w:color="4F81BD"/>
              <w:left w:val="nil"/>
              <w:bottom w:val="nil"/>
              <w:right w:val="nil"/>
            </w:tcBorders>
            <w:shd w:val="clear" w:color="auto" w:fill="002060"/>
            <w:vAlign w:val="bottom"/>
            <w:hideMark/>
          </w:tcPr>
          <w:p w:rsidR="006623C7" w:rsidRPr="00CD1518" w:rsidRDefault="006623C7" w:rsidP="006623C7">
            <w:pPr>
              <w:spacing w:line="240" w:lineRule="auto"/>
              <w:jc w:val="center"/>
              <w:rPr>
                <w:b/>
                <w:bCs/>
                <w:color w:val="FFFFFF"/>
                <w:sz w:val="12"/>
                <w:szCs w:val="12"/>
                <w:lang w:eastAsia="en-AU"/>
              </w:rPr>
            </w:pPr>
            <w:r w:rsidRPr="00CD1518">
              <w:rPr>
                <w:b/>
                <w:bCs/>
                <w:color w:val="FFFFFF"/>
                <w:sz w:val="12"/>
                <w:szCs w:val="12"/>
                <w:lang w:eastAsia="en-AU"/>
              </w:rPr>
              <w:t># Records linked to Acute</w:t>
            </w:r>
          </w:p>
        </w:tc>
        <w:tc>
          <w:tcPr>
            <w:tcW w:w="434" w:type="pct"/>
            <w:tcBorders>
              <w:top w:val="single" w:sz="4" w:space="0" w:color="4F81BD"/>
              <w:left w:val="single" w:sz="4" w:space="0" w:color="4F81BD"/>
              <w:bottom w:val="nil"/>
              <w:right w:val="single" w:sz="4" w:space="0" w:color="4F81BD"/>
            </w:tcBorders>
            <w:shd w:val="clear" w:color="auto" w:fill="002060"/>
            <w:vAlign w:val="bottom"/>
            <w:hideMark/>
          </w:tcPr>
          <w:p w:rsidR="006623C7" w:rsidRPr="00CD1518" w:rsidRDefault="006623C7" w:rsidP="00D06D4E">
            <w:pPr>
              <w:spacing w:line="240" w:lineRule="auto"/>
              <w:jc w:val="center"/>
              <w:rPr>
                <w:b/>
                <w:bCs/>
                <w:color w:val="FFFFFF"/>
                <w:sz w:val="12"/>
                <w:szCs w:val="12"/>
                <w:lang w:eastAsia="en-AU"/>
              </w:rPr>
            </w:pPr>
            <w:r w:rsidRPr="00CD1518">
              <w:rPr>
                <w:b/>
                <w:bCs/>
                <w:color w:val="FFFFFF"/>
                <w:sz w:val="12"/>
                <w:szCs w:val="12"/>
                <w:lang w:eastAsia="en-AU"/>
              </w:rPr>
              <w:t xml:space="preserve"># Records linked to </w:t>
            </w:r>
            <w:proofErr w:type="spellStart"/>
            <w:r w:rsidRPr="00CD1518">
              <w:rPr>
                <w:b/>
                <w:bCs/>
                <w:color w:val="FFFFFF"/>
                <w:sz w:val="12"/>
                <w:szCs w:val="12"/>
                <w:lang w:eastAsia="en-AU"/>
              </w:rPr>
              <w:t>Emerg</w:t>
            </w:r>
            <w:proofErr w:type="spellEnd"/>
            <w:r>
              <w:rPr>
                <w:b/>
                <w:bCs/>
                <w:color w:val="FFFFFF"/>
                <w:sz w:val="12"/>
                <w:szCs w:val="12"/>
                <w:lang w:eastAsia="en-AU"/>
              </w:rPr>
              <w:t>.</w:t>
            </w:r>
          </w:p>
        </w:tc>
        <w:tc>
          <w:tcPr>
            <w:tcW w:w="433" w:type="pct"/>
            <w:tcBorders>
              <w:top w:val="single" w:sz="4" w:space="0" w:color="4F81BD"/>
              <w:left w:val="nil"/>
              <w:bottom w:val="nil"/>
              <w:right w:val="single" w:sz="4" w:space="0" w:color="4F81BD"/>
            </w:tcBorders>
            <w:shd w:val="clear" w:color="auto" w:fill="002060"/>
            <w:vAlign w:val="bottom"/>
            <w:hideMark/>
          </w:tcPr>
          <w:p w:rsidR="006623C7" w:rsidRPr="00CD1518" w:rsidRDefault="006623C7" w:rsidP="006623C7">
            <w:pPr>
              <w:spacing w:line="240" w:lineRule="auto"/>
              <w:jc w:val="center"/>
              <w:rPr>
                <w:b/>
                <w:bCs/>
                <w:color w:val="FFFFFF"/>
                <w:sz w:val="12"/>
                <w:szCs w:val="12"/>
                <w:lang w:eastAsia="en-AU"/>
              </w:rPr>
            </w:pPr>
            <w:r w:rsidRPr="00CD1518">
              <w:rPr>
                <w:b/>
                <w:bCs/>
                <w:color w:val="FFFFFF"/>
                <w:sz w:val="12"/>
                <w:szCs w:val="12"/>
                <w:lang w:eastAsia="en-AU"/>
              </w:rPr>
              <w:t xml:space="preserve"># Records linked to </w:t>
            </w:r>
            <w:r w:rsidRPr="00CD1518">
              <w:rPr>
                <w:b/>
                <w:bCs/>
                <w:color w:val="FFFFFF"/>
                <w:sz w:val="11"/>
                <w:szCs w:val="11"/>
                <w:lang w:eastAsia="en-AU"/>
              </w:rPr>
              <w:t>Non-admitted</w:t>
            </w:r>
          </w:p>
        </w:tc>
        <w:tc>
          <w:tcPr>
            <w:tcW w:w="433" w:type="pct"/>
            <w:tcBorders>
              <w:top w:val="single" w:sz="4" w:space="0" w:color="4F81BD"/>
              <w:left w:val="nil"/>
              <w:bottom w:val="nil"/>
              <w:right w:val="single" w:sz="4" w:space="0" w:color="4F81BD"/>
            </w:tcBorders>
            <w:shd w:val="clear" w:color="auto" w:fill="002060"/>
            <w:vAlign w:val="bottom"/>
            <w:hideMark/>
          </w:tcPr>
          <w:p w:rsidR="006623C7" w:rsidRPr="00CD1518" w:rsidRDefault="006623C7" w:rsidP="006623C7">
            <w:pPr>
              <w:spacing w:line="240" w:lineRule="auto"/>
              <w:jc w:val="center"/>
              <w:rPr>
                <w:b/>
                <w:bCs/>
                <w:color w:val="FFFFFF"/>
                <w:sz w:val="12"/>
                <w:szCs w:val="12"/>
                <w:lang w:eastAsia="en-AU"/>
              </w:rPr>
            </w:pPr>
            <w:r w:rsidRPr="00CD1518">
              <w:rPr>
                <w:b/>
                <w:bCs/>
                <w:color w:val="FFFFFF"/>
                <w:sz w:val="12"/>
                <w:szCs w:val="12"/>
                <w:lang w:eastAsia="en-AU"/>
              </w:rPr>
              <w:t>Total Linking Process to Products</w:t>
            </w:r>
          </w:p>
        </w:tc>
        <w:tc>
          <w:tcPr>
            <w:tcW w:w="434" w:type="pct"/>
            <w:tcBorders>
              <w:top w:val="single" w:sz="4" w:space="0" w:color="4F81BD"/>
              <w:left w:val="nil"/>
              <w:bottom w:val="nil"/>
              <w:right w:val="nil"/>
            </w:tcBorders>
            <w:shd w:val="clear" w:color="auto" w:fill="002060"/>
            <w:vAlign w:val="bottom"/>
            <w:hideMark/>
          </w:tcPr>
          <w:p w:rsidR="006623C7" w:rsidRPr="00CD1518" w:rsidRDefault="006623C7" w:rsidP="006623C7">
            <w:pPr>
              <w:spacing w:line="240" w:lineRule="auto"/>
              <w:jc w:val="center"/>
              <w:rPr>
                <w:b/>
                <w:bCs/>
                <w:color w:val="FFFFFF"/>
                <w:sz w:val="12"/>
                <w:szCs w:val="12"/>
                <w:lang w:eastAsia="en-AU"/>
              </w:rPr>
            </w:pPr>
            <w:r w:rsidRPr="00CD1518">
              <w:rPr>
                <w:b/>
                <w:bCs/>
                <w:color w:val="FFFFFF"/>
                <w:sz w:val="12"/>
                <w:szCs w:val="12"/>
                <w:lang w:eastAsia="en-AU"/>
              </w:rPr>
              <w:t># Records linked to Other</w:t>
            </w:r>
          </w:p>
        </w:tc>
        <w:tc>
          <w:tcPr>
            <w:tcW w:w="433" w:type="pct"/>
            <w:tcBorders>
              <w:top w:val="single" w:sz="4" w:space="0" w:color="4F81BD"/>
              <w:left w:val="single" w:sz="4" w:space="0" w:color="4F81BD"/>
              <w:bottom w:val="nil"/>
              <w:right w:val="single" w:sz="4" w:space="0" w:color="4F81BD"/>
            </w:tcBorders>
            <w:shd w:val="clear" w:color="auto" w:fill="002060"/>
            <w:vAlign w:val="bottom"/>
            <w:hideMark/>
          </w:tcPr>
          <w:p w:rsidR="006623C7" w:rsidRPr="00CD1518" w:rsidRDefault="006623C7" w:rsidP="006623C7">
            <w:pPr>
              <w:spacing w:line="240" w:lineRule="auto"/>
              <w:jc w:val="center"/>
              <w:rPr>
                <w:b/>
                <w:bCs/>
                <w:color w:val="FFFFFF"/>
                <w:sz w:val="12"/>
                <w:szCs w:val="12"/>
                <w:lang w:eastAsia="en-AU"/>
              </w:rPr>
            </w:pPr>
            <w:r w:rsidRPr="00CD1518">
              <w:rPr>
                <w:b/>
                <w:bCs/>
                <w:color w:val="FFFFFF"/>
                <w:sz w:val="12"/>
                <w:szCs w:val="12"/>
                <w:lang w:eastAsia="en-AU"/>
              </w:rPr>
              <w:t># Unlinked records</w:t>
            </w:r>
          </w:p>
        </w:tc>
        <w:tc>
          <w:tcPr>
            <w:tcW w:w="434" w:type="pct"/>
            <w:tcBorders>
              <w:top w:val="single" w:sz="4" w:space="0" w:color="4F81BD"/>
              <w:left w:val="nil"/>
              <w:bottom w:val="nil"/>
              <w:right w:val="single" w:sz="4" w:space="0" w:color="4F81BD"/>
            </w:tcBorders>
            <w:shd w:val="clear" w:color="auto" w:fill="002060"/>
            <w:vAlign w:val="bottom"/>
            <w:hideMark/>
          </w:tcPr>
          <w:p w:rsidR="006623C7" w:rsidRPr="00CD1518" w:rsidRDefault="006623C7" w:rsidP="006623C7">
            <w:pPr>
              <w:spacing w:line="240" w:lineRule="auto"/>
              <w:jc w:val="center"/>
              <w:rPr>
                <w:b/>
                <w:bCs/>
                <w:color w:val="FFFFFF"/>
                <w:sz w:val="12"/>
                <w:szCs w:val="12"/>
                <w:lang w:eastAsia="en-AU"/>
              </w:rPr>
            </w:pPr>
            <w:r w:rsidRPr="00CD1518">
              <w:rPr>
                <w:b/>
                <w:bCs/>
                <w:color w:val="FFFFFF"/>
                <w:sz w:val="12"/>
                <w:szCs w:val="12"/>
                <w:lang w:eastAsia="en-AU"/>
              </w:rPr>
              <w:t>% Linked</w:t>
            </w:r>
          </w:p>
        </w:tc>
      </w:tr>
      <w:tr w:rsidR="00CA7B4E" w:rsidRPr="006623C7" w:rsidTr="006623C7">
        <w:trPr>
          <w:trHeight w:val="290"/>
        </w:trPr>
        <w:tc>
          <w:tcPr>
            <w:tcW w:w="666" w:type="pct"/>
            <w:tcBorders>
              <w:top w:val="nil"/>
              <w:left w:val="single" w:sz="4" w:space="0" w:color="4F81BD"/>
              <w:bottom w:val="nil"/>
              <w:right w:val="nil"/>
            </w:tcBorders>
            <w:shd w:val="clear" w:color="000000" w:fill="DDD9C4"/>
            <w:noWrap/>
            <w:vAlign w:val="center"/>
            <w:hideMark/>
          </w:tcPr>
          <w:p w:rsidR="006623C7" w:rsidRPr="00CD1518" w:rsidRDefault="006623C7" w:rsidP="00D06D4E">
            <w:pPr>
              <w:spacing w:line="240" w:lineRule="auto"/>
              <w:rPr>
                <w:b/>
                <w:bCs/>
                <w:color w:val="000000"/>
                <w:sz w:val="12"/>
                <w:szCs w:val="12"/>
                <w:lang w:eastAsia="en-AU"/>
              </w:rPr>
            </w:pPr>
            <w:r w:rsidRPr="00CD1518">
              <w:rPr>
                <w:b/>
                <w:bCs/>
                <w:color w:val="000000"/>
                <w:sz w:val="12"/>
                <w:szCs w:val="12"/>
                <w:lang w:eastAsia="en-AU"/>
              </w:rPr>
              <w:t>Activity Data</w:t>
            </w:r>
          </w:p>
        </w:tc>
        <w:tc>
          <w:tcPr>
            <w:tcW w:w="433" w:type="pct"/>
            <w:tcBorders>
              <w:top w:val="nil"/>
              <w:left w:val="single" w:sz="4" w:space="0" w:color="4F81BD"/>
              <w:bottom w:val="nil"/>
              <w:right w:val="single" w:sz="4" w:space="0" w:color="4F81BD"/>
            </w:tcBorders>
            <w:shd w:val="clear" w:color="000000" w:fill="DDD9C4"/>
            <w:noWrap/>
            <w:vAlign w:val="center"/>
            <w:hideMark/>
          </w:tcPr>
          <w:p w:rsidR="006623C7" w:rsidRPr="00CD1518" w:rsidRDefault="006623C7">
            <w:pPr>
              <w:spacing w:line="240" w:lineRule="auto"/>
              <w:rPr>
                <w:b/>
                <w:bCs/>
                <w:color w:val="000000"/>
                <w:sz w:val="12"/>
                <w:szCs w:val="12"/>
                <w:lang w:eastAsia="en-AU"/>
              </w:rPr>
            </w:pPr>
          </w:p>
        </w:tc>
        <w:tc>
          <w:tcPr>
            <w:tcW w:w="433" w:type="pct"/>
            <w:tcBorders>
              <w:top w:val="nil"/>
              <w:left w:val="nil"/>
              <w:bottom w:val="nil"/>
              <w:right w:val="nil"/>
            </w:tcBorders>
            <w:shd w:val="clear" w:color="000000" w:fill="DDD9C4"/>
            <w:noWrap/>
            <w:vAlign w:val="center"/>
            <w:hideMark/>
          </w:tcPr>
          <w:p w:rsidR="006623C7" w:rsidRPr="00CD1518" w:rsidRDefault="006623C7">
            <w:pPr>
              <w:spacing w:line="240" w:lineRule="auto"/>
              <w:rPr>
                <w:b/>
                <w:bCs/>
                <w:color w:val="000000"/>
                <w:sz w:val="12"/>
                <w:szCs w:val="12"/>
                <w:lang w:eastAsia="en-AU"/>
              </w:rPr>
            </w:pPr>
          </w:p>
        </w:tc>
        <w:tc>
          <w:tcPr>
            <w:tcW w:w="434" w:type="pct"/>
            <w:tcBorders>
              <w:top w:val="nil"/>
              <w:left w:val="single" w:sz="4" w:space="0" w:color="4F81BD"/>
              <w:bottom w:val="nil"/>
              <w:right w:val="single" w:sz="4" w:space="0" w:color="4F81BD"/>
            </w:tcBorders>
            <w:shd w:val="clear" w:color="000000" w:fill="DDD9C4"/>
            <w:noWrap/>
            <w:vAlign w:val="center"/>
            <w:hideMark/>
          </w:tcPr>
          <w:p w:rsidR="006623C7" w:rsidRPr="00CD1518" w:rsidRDefault="006623C7">
            <w:pPr>
              <w:spacing w:line="240" w:lineRule="auto"/>
              <w:rPr>
                <w:b/>
                <w:bCs/>
                <w:color w:val="000000"/>
                <w:sz w:val="12"/>
                <w:szCs w:val="12"/>
                <w:lang w:eastAsia="en-AU"/>
              </w:rPr>
            </w:pPr>
          </w:p>
        </w:tc>
        <w:tc>
          <w:tcPr>
            <w:tcW w:w="433" w:type="pct"/>
            <w:tcBorders>
              <w:top w:val="nil"/>
              <w:left w:val="nil"/>
              <w:bottom w:val="nil"/>
              <w:right w:val="nil"/>
            </w:tcBorders>
            <w:shd w:val="clear" w:color="000000" w:fill="DDD9C4"/>
            <w:noWrap/>
            <w:vAlign w:val="center"/>
            <w:hideMark/>
          </w:tcPr>
          <w:p w:rsidR="006623C7" w:rsidRPr="00CD1518" w:rsidRDefault="006623C7">
            <w:pPr>
              <w:spacing w:line="240" w:lineRule="auto"/>
              <w:rPr>
                <w:b/>
                <w:bCs/>
                <w:color w:val="000000"/>
                <w:sz w:val="12"/>
                <w:szCs w:val="12"/>
                <w:lang w:eastAsia="en-AU"/>
              </w:rPr>
            </w:pPr>
          </w:p>
        </w:tc>
        <w:tc>
          <w:tcPr>
            <w:tcW w:w="434" w:type="pct"/>
            <w:tcBorders>
              <w:top w:val="nil"/>
              <w:left w:val="single" w:sz="4" w:space="0" w:color="4F81BD"/>
              <w:bottom w:val="nil"/>
              <w:right w:val="single" w:sz="4" w:space="0" w:color="4F81BD"/>
            </w:tcBorders>
            <w:shd w:val="clear" w:color="000000" w:fill="DDD9C4"/>
            <w:noWrap/>
            <w:vAlign w:val="center"/>
            <w:hideMark/>
          </w:tcPr>
          <w:p w:rsidR="006623C7" w:rsidRPr="00CD1518" w:rsidRDefault="006623C7">
            <w:pPr>
              <w:spacing w:line="240" w:lineRule="auto"/>
              <w:rPr>
                <w:b/>
                <w:bCs/>
                <w:color w:val="000000"/>
                <w:sz w:val="12"/>
                <w:szCs w:val="12"/>
                <w:lang w:eastAsia="en-AU"/>
              </w:rPr>
            </w:pPr>
          </w:p>
        </w:tc>
        <w:tc>
          <w:tcPr>
            <w:tcW w:w="433" w:type="pct"/>
            <w:tcBorders>
              <w:top w:val="nil"/>
              <w:left w:val="nil"/>
              <w:bottom w:val="nil"/>
              <w:right w:val="single" w:sz="4" w:space="0" w:color="4F81BD"/>
            </w:tcBorders>
            <w:shd w:val="clear" w:color="000000" w:fill="DDD9C4"/>
            <w:noWrap/>
            <w:vAlign w:val="center"/>
            <w:hideMark/>
          </w:tcPr>
          <w:p w:rsidR="006623C7" w:rsidRPr="00CD1518" w:rsidRDefault="006623C7">
            <w:pPr>
              <w:spacing w:line="240" w:lineRule="auto"/>
              <w:rPr>
                <w:b/>
                <w:bCs/>
                <w:color w:val="000000"/>
                <w:sz w:val="12"/>
                <w:szCs w:val="12"/>
                <w:lang w:eastAsia="en-AU"/>
              </w:rPr>
            </w:pPr>
          </w:p>
        </w:tc>
        <w:tc>
          <w:tcPr>
            <w:tcW w:w="433" w:type="pct"/>
            <w:tcBorders>
              <w:top w:val="nil"/>
              <w:left w:val="nil"/>
              <w:bottom w:val="nil"/>
              <w:right w:val="single" w:sz="4" w:space="0" w:color="4F81BD"/>
            </w:tcBorders>
            <w:shd w:val="clear" w:color="000000" w:fill="DDD9C4"/>
            <w:noWrap/>
            <w:vAlign w:val="center"/>
            <w:hideMark/>
          </w:tcPr>
          <w:p w:rsidR="006623C7" w:rsidRPr="00CD1518" w:rsidRDefault="006623C7">
            <w:pPr>
              <w:spacing w:line="240" w:lineRule="auto"/>
              <w:rPr>
                <w:b/>
                <w:bCs/>
                <w:color w:val="000000"/>
                <w:sz w:val="12"/>
                <w:szCs w:val="12"/>
                <w:lang w:eastAsia="en-AU"/>
              </w:rPr>
            </w:pPr>
          </w:p>
        </w:tc>
        <w:tc>
          <w:tcPr>
            <w:tcW w:w="434" w:type="pct"/>
            <w:tcBorders>
              <w:top w:val="nil"/>
              <w:left w:val="nil"/>
              <w:bottom w:val="nil"/>
              <w:right w:val="nil"/>
            </w:tcBorders>
            <w:shd w:val="clear" w:color="000000" w:fill="DDD9C4"/>
            <w:noWrap/>
            <w:vAlign w:val="center"/>
            <w:hideMark/>
          </w:tcPr>
          <w:p w:rsidR="006623C7" w:rsidRPr="00CD1518" w:rsidRDefault="006623C7">
            <w:pPr>
              <w:spacing w:line="240" w:lineRule="auto"/>
              <w:rPr>
                <w:b/>
                <w:bCs/>
                <w:color w:val="000000"/>
                <w:sz w:val="12"/>
                <w:szCs w:val="12"/>
                <w:lang w:eastAsia="en-AU"/>
              </w:rPr>
            </w:pPr>
          </w:p>
        </w:tc>
        <w:tc>
          <w:tcPr>
            <w:tcW w:w="433" w:type="pct"/>
            <w:tcBorders>
              <w:top w:val="nil"/>
              <w:left w:val="single" w:sz="4" w:space="0" w:color="4F81BD"/>
              <w:bottom w:val="nil"/>
              <w:right w:val="single" w:sz="4" w:space="0" w:color="4F81BD"/>
            </w:tcBorders>
            <w:shd w:val="clear" w:color="000000" w:fill="DDD9C4"/>
            <w:noWrap/>
            <w:vAlign w:val="center"/>
            <w:hideMark/>
          </w:tcPr>
          <w:p w:rsidR="006623C7" w:rsidRPr="00CD1518" w:rsidRDefault="006623C7">
            <w:pPr>
              <w:spacing w:line="240" w:lineRule="auto"/>
              <w:rPr>
                <w:b/>
                <w:bCs/>
                <w:color w:val="000000"/>
                <w:sz w:val="12"/>
                <w:szCs w:val="12"/>
                <w:lang w:eastAsia="en-AU"/>
              </w:rPr>
            </w:pPr>
          </w:p>
        </w:tc>
        <w:tc>
          <w:tcPr>
            <w:tcW w:w="434" w:type="pct"/>
            <w:tcBorders>
              <w:top w:val="nil"/>
              <w:left w:val="nil"/>
              <w:bottom w:val="nil"/>
              <w:right w:val="single" w:sz="4" w:space="0" w:color="4F81BD"/>
            </w:tcBorders>
            <w:shd w:val="clear" w:color="000000" w:fill="DDD9C4"/>
            <w:noWrap/>
            <w:vAlign w:val="center"/>
            <w:hideMark/>
          </w:tcPr>
          <w:p w:rsidR="006623C7" w:rsidRPr="00CD1518" w:rsidRDefault="006623C7">
            <w:pPr>
              <w:spacing w:line="240" w:lineRule="auto"/>
              <w:rPr>
                <w:b/>
                <w:bCs/>
                <w:color w:val="000000"/>
                <w:sz w:val="12"/>
                <w:szCs w:val="12"/>
                <w:lang w:eastAsia="en-AU"/>
              </w:rPr>
            </w:pPr>
          </w:p>
        </w:tc>
      </w:tr>
      <w:tr w:rsidR="003A1695" w:rsidRPr="006623C7" w:rsidTr="006623C7">
        <w:trPr>
          <w:trHeight w:val="290"/>
        </w:trPr>
        <w:tc>
          <w:tcPr>
            <w:tcW w:w="666" w:type="pct"/>
            <w:tcBorders>
              <w:top w:val="nil"/>
              <w:left w:val="single" w:sz="4" w:space="0" w:color="4F81BD"/>
              <w:bottom w:val="nil"/>
              <w:right w:val="nil"/>
            </w:tcBorders>
            <w:shd w:val="clear" w:color="000000" w:fill="FFFFFF"/>
            <w:noWrap/>
            <w:vAlign w:val="center"/>
            <w:hideMark/>
          </w:tcPr>
          <w:p w:rsidR="006623C7" w:rsidRPr="00CD1518" w:rsidRDefault="006623C7" w:rsidP="00D06D4E">
            <w:pPr>
              <w:spacing w:line="240" w:lineRule="auto"/>
              <w:rPr>
                <w:color w:val="000000"/>
                <w:sz w:val="12"/>
                <w:szCs w:val="12"/>
                <w:lang w:eastAsia="en-AU"/>
              </w:rPr>
            </w:pPr>
            <w:r w:rsidRPr="00CD1518">
              <w:rPr>
                <w:color w:val="000000"/>
                <w:sz w:val="12"/>
                <w:szCs w:val="12"/>
                <w:lang w:eastAsia="en-AU"/>
              </w:rPr>
              <w:t>PAS</w:t>
            </w:r>
          </w:p>
        </w:tc>
        <w:tc>
          <w:tcPr>
            <w:tcW w:w="433" w:type="pct"/>
            <w:tcBorders>
              <w:top w:val="nil"/>
              <w:left w:val="single" w:sz="4" w:space="0" w:color="4F81BD"/>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58,479</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126,782</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68,303</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126,737</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126,737</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45</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D06D4E">
            <w:pPr>
              <w:spacing w:line="240" w:lineRule="auto"/>
              <w:jc w:val="right"/>
              <w:rPr>
                <w:color w:val="000000"/>
                <w:sz w:val="12"/>
                <w:szCs w:val="12"/>
                <w:lang w:eastAsia="en-AU"/>
              </w:rPr>
            </w:pPr>
            <w:r w:rsidRPr="00CD1518">
              <w:rPr>
                <w:color w:val="000000"/>
                <w:sz w:val="12"/>
                <w:szCs w:val="12"/>
                <w:lang w:eastAsia="en-AU"/>
              </w:rPr>
              <w:t>99.96%</w:t>
            </w:r>
          </w:p>
        </w:tc>
      </w:tr>
      <w:tr w:rsidR="003A1695" w:rsidRPr="006623C7" w:rsidTr="00DF43A9">
        <w:trPr>
          <w:trHeight w:val="290"/>
        </w:trPr>
        <w:tc>
          <w:tcPr>
            <w:tcW w:w="666" w:type="pct"/>
            <w:tcBorders>
              <w:top w:val="nil"/>
              <w:left w:val="single" w:sz="4" w:space="0" w:color="4F81BD"/>
              <w:right w:val="nil"/>
            </w:tcBorders>
            <w:shd w:val="clear" w:color="000000" w:fill="DCE6F1"/>
            <w:noWrap/>
            <w:vAlign w:val="center"/>
            <w:hideMark/>
          </w:tcPr>
          <w:p w:rsidR="006623C7" w:rsidRPr="00CD1518" w:rsidRDefault="006623C7" w:rsidP="00D06D4E">
            <w:pPr>
              <w:spacing w:line="240" w:lineRule="auto"/>
              <w:rPr>
                <w:sz w:val="12"/>
                <w:szCs w:val="12"/>
                <w:lang w:eastAsia="en-AU"/>
              </w:rPr>
            </w:pPr>
            <w:r w:rsidRPr="00CD1518">
              <w:rPr>
                <w:sz w:val="12"/>
                <w:szCs w:val="12"/>
                <w:lang w:eastAsia="en-AU"/>
              </w:rPr>
              <w:t>Emergency</w:t>
            </w:r>
          </w:p>
        </w:tc>
        <w:tc>
          <w:tcPr>
            <w:tcW w:w="433" w:type="pct"/>
            <w:tcBorders>
              <w:top w:val="nil"/>
              <w:left w:val="single" w:sz="4" w:space="0" w:color="4F81BD"/>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65,500</w:t>
            </w:r>
          </w:p>
        </w:tc>
        <w:tc>
          <w:tcPr>
            <w:tcW w:w="433" w:type="pct"/>
            <w:tcBorders>
              <w:top w:val="nil"/>
              <w:left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145,134</w:t>
            </w:r>
          </w:p>
        </w:tc>
        <w:tc>
          <w:tcPr>
            <w:tcW w:w="434" w:type="pct"/>
            <w:tcBorders>
              <w:top w:val="nil"/>
              <w:left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79,634</w:t>
            </w:r>
          </w:p>
        </w:tc>
        <w:tc>
          <w:tcPr>
            <w:tcW w:w="433" w:type="pct"/>
            <w:tcBorders>
              <w:top w:val="nil"/>
              <w:left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w:t>
            </w:r>
          </w:p>
        </w:tc>
        <w:tc>
          <w:tcPr>
            <w:tcW w:w="434" w:type="pct"/>
            <w:tcBorders>
              <w:top w:val="nil"/>
              <w:left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145,134</w:t>
            </w:r>
          </w:p>
        </w:tc>
        <w:tc>
          <w:tcPr>
            <w:tcW w:w="433" w:type="pct"/>
            <w:tcBorders>
              <w:top w:val="nil"/>
              <w:left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w:t>
            </w:r>
          </w:p>
        </w:tc>
        <w:tc>
          <w:tcPr>
            <w:tcW w:w="433" w:type="pct"/>
            <w:tcBorders>
              <w:top w:val="nil"/>
              <w:left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145,134</w:t>
            </w:r>
          </w:p>
        </w:tc>
        <w:tc>
          <w:tcPr>
            <w:tcW w:w="434" w:type="pct"/>
            <w:tcBorders>
              <w:top w:val="nil"/>
              <w:left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w:t>
            </w:r>
          </w:p>
        </w:tc>
        <w:tc>
          <w:tcPr>
            <w:tcW w:w="433" w:type="pct"/>
            <w:tcBorders>
              <w:top w:val="nil"/>
              <w:left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w:t>
            </w:r>
          </w:p>
        </w:tc>
        <w:tc>
          <w:tcPr>
            <w:tcW w:w="434" w:type="pct"/>
            <w:tcBorders>
              <w:top w:val="nil"/>
              <w:left w:val="nil"/>
              <w:right w:val="single" w:sz="4" w:space="0" w:color="4F81BD"/>
            </w:tcBorders>
            <w:shd w:val="clear" w:color="000000" w:fill="DCE6F1"/>
            <w:noWrap/>
            <w:vAlign w:val="center"/>
            <w:hideMark/>
          </w:tcPr>
          <w:p w:rsidR="006623C7" w:rsidRPr="00CD1518" w:rsidRDefault="006623C7" w:rsidP="00D06D4E">
            <w:pPr>
              <w:spacing w:line="240" w:lineRule="auto"/>
              <w:jc w:val="right"/>
              <w:rPr>
                <w:sz w:val="12"/>
                <w:szCs w:val="12"/>
                <w:lang w:eastAsia="en-AU"/>
              </w:rPr>
            </w:pPr>
            <w:r w:rsidRPr="00CD1518">
              <w:rPr>
                <w:sz w:val="12"/>
                <w:szCs w:val="12"/>
                <w:lang w:eastAsia="en-AU"/>
              </w:rPr>
              <w:t>100%</w:t>
            </w:r>
          </w:p>
        </w:tc>
      </w:tr>
      <w:tr w:rsidR="003A1695" w:rsidRPr="006623C7" w:rsidTr="00DF43A9">
        <w:trPr>
          <w:trHeight w:val="290"/>
        </w:trPr>
        <w:tc>
          <w:tcPr>
            <w:tcW w:w="666" w:type="pct"/>
            <w:tcBorders>
              <w:top w:val="nil"/>
              <w:left w:val="single" w:sz="4" w:space="0" w:color="4F81BD"/>
              <w:bottom w:val="single" w:sz="4" w:space="0" w:color="4F81BD"/>
              <w:right w:val="nil"/>
            </w:tcBorders>
            <w:shd w:val="clear" w:color="000000" w:fill="FFFFFF"/>
            <w:noWrap/>
            <w:vAlign w:val="center"/>
            <w:hideMark/>
          </w:tcPr>
          <w:p w:rsidR="006623C7" w:rsidRPr="00CD1518" w:rsidRDefault="006623C7" w:rsidP="00D06D4E">
            <w:pPr>
              <w:spacing w:line="240" w:lineRule="auto"/>
              <w:rPr>
                <w:color w:val="000000"/>
                <w:sz w:val="12"/>
                <w:szCs w:val="12"/>
                <w:lang w:eastAsia="en-AU"/>
              </w:rPr>
            </w:pPr>
            <w:r w:rsidRPr="00CD1518">
              <w:rPr>
                <w:color w:val="000000"/>
                <w:sz w:val="12"/>
                <w:szCs w:val="12"/>
                <w:lang w:eastAsia="en-AU"/>
              </w:rPr>
              <w:t>Non-admitted</w:t>
            </w:r>
          </w:p>
        </w:tc>
        <w:tc>
          <w:tcPr>
            <w:tcW w:w="433" w:type="pct"/>
            <w:tcBorders>
              <w:top w:val="nil"/>
              <w:left w:val="single" w:sz="4" w:space="0" w:color="4F81BD"/>
              <w:bottom w:val="single" w:sz="4" w:space="0" w:color="4F81BD"/>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176,283</w:t>
            </w:r>
          </w:p>
        </w:tc>
        <w:tc>
          <w:tcPr>
            <w:tcW w:w="433" w:type="pct"/>
            <w:tcBorders>
              <w:top w:val="nil"/>
              <w:left w:val="nil"/>
              <w:bottom w:val="single" w:sz="4" w:space="0" w:color="4F81BD"/>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215,080</w:t>
            </w:r>
          </w:p>
        </w:tc>
        <w:tc>
          <w:tcPr>
            <w:tcW w:w="434" w:type="pct"/>
            <w:tcBorders>
              <w:top w:val="nil"/>
              <w:left w:val="nil"/>
              <w:bottom w:val="single" w:sz="4" w:space="0" w:color="4F81BD"/>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38,797</w:t>
            </w:r>
          </w:p>
        </w:tc>
        <w:tc>
          <w:tcPr>
            <w:tcW w:w="433" w:type="pct"/>
            <w:tcBorders>
              <w:top w:val="nil"/>
              <w:left w:val="nil"/>
              <w:bottom w:val="single" w:sz="4" w:space="0" w:color="4F81BD"/>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4" w:type="pct"/>
            <w:tcBorders>
              <w:top w:val="nil"/>
              <w:left w:val="nil"/>
              <w:bottom w:val="single" w:sz="4" w:space="0" w:color="4F81BD"/>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single" w:sz="4" w:space="0" w:color="4F81BD"/>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215,080</w:t>
            </w:r>
          </w:p>
        </w:tc>
        <w:tc>
          <w:tcPr>
            <w:tcW w:w="433" w:type="pct"/>
            <w:tcBorders>
              <w:top w:val="nil"/>
              <w:left w:val="nil"/>
              <w:bottom w:val="single" w:sz="4" w:space="0" w:color="4F81BD"/>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215,080</w:t>
            </w:r>
          </w:p>
        </w:tc>
        <w:tc>
          <w:tcPr>
            <w:tcW w:w="434" w:type="pct"/>
            <w:tcBorders>
              <w:top w:val="nil"/>
              <w:left w:val="nil"/>
              <w:bottom w:val="single" w:sz="4" w:space="0" w:color="4F81BD"/>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single" w:sz="4" w:space="0" w:color="4F81BD"/>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4" w:type="pct"/>
            <w:tcBorders>
              <w:top w:val="nil"/>
              <w:left w:val="nil"/>
              <w:bottom w:val="single" w:sz="4" w:space="0" w:color="4F81BD"/>
              <w:right w:val="single" w:sz="4" w:space="0" w:color="4F81BD"/>
            </w:tcBorders>
            <w:shd w:val="clear" w:color="000000" w:fill="FFFFFF"/>
            <w:noWrap/>
            <w:vAlign w:val="center"/>
            <w:hideMark/>
          </w:tcPr>
          <w:p w:rsidR="006623C7" w:rsidRPr="00CD1518" w:rsidRDefault="006623C7" w:rsidP="00D06D4E">
            <w:pPr>
              <w:spacing w:line="240" w:lineRule="auto"/>
              <w:jc w:val="right"/>
              <w:rPr>
                <w:color w:val="000000"/>
                <w:sz w:val="12"/>
                <w:szCs w:val="12"/>
                <w:lang w:eastAsia="en-AU"/>
              </w:rPr>
            </w:pPr>
            <w:r w:rsidRPr="00CD1518">
              <w:rPr>
                <w:color w:val="000000"/>
                <w:sz w:val="12"/>
                <w:szCs w:val="12"/>
                <w:lang w:eastAsia="en-AU"/>
              </w:rPr>
              <w:t>100%</w:t>
            </w:r>
          </w:p>
        </w:tc>
      </w:tr>
      <w:tr w:rsidR="003A1695" w:rsidRPr="006623C7" w:rsidTr="00DF43A9">
        <w:trPr>
          <w:trHeight w:val="290"/>
        </w:trPr>
        <w:tc>
          <w:tcPr>
            <w:tcW w:w="666" w:type="pct"/>
            <w:tcBorders>
              <w:top w:val="single" w:sz="4" w:space="0" w:color="4F81BD"/>
              <w:left w:val="single" w:sz="4" w:space="0" w:color="4F81BD"/>
              <w:bottom w:val="nil"/>
              <w:right w:val="single" w:sz="4" w:space="0" w:color="4F81BD"/>
            </w:tcBorders>
            <w:shd w:val="clear" w:color="000000" w:fill="DCE6F1"/>
            <w:noWrap/>
            <w:vAlign w:val="center"/>
            <w:hideMark/>
          </w:tcPr>
          <w:p w:rsidR="006623C7" w:rsidRPr="00CD1518" w:rsidRDefault="006623C7" w:rsidP="00D06D4E">
            <w:pPr>
              <w:spacing w:line="240" w:lineRule="auto"/>
              <w:rPr>
                <w:b/>
                <w:bCs/>
                <w:color w:val="000000"/>
                <w:sz w:val="12"/>
                <w:szCs w:val="12"/>
                <w:lang w:eastAsia="en-AU"/>
              </w:rPr>
            </w:pPr>
            <w:r w:rsidRPr="00CD1518">
              <w:rPr>
                <w:b/>
                <w:bCs/>
                <w:color w:val="000000"/>
                <w:sz w:val="12"/>
                <w:szCs w:val="12"/>
                <w:lang w:eastAsia="en-AU"/>
              </w:rPr>
              <w:t>TOTAL</w:t>
            </w:r>
          </w:p>
        </w:tc>
        <w:tc>
          <w:tcPr>
            <w:tcW w:w="433" w:type="pct"/>
            <w:tcBorders>
              <w:top w:val="single" w:sz="4" w:space="0" w:color="4F81BD"/>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b/>
                <w:bCs/>
                <w:color w:val="000000"/>
                <w:sz w:val="12"/>
                <w:szCs w:val="12"/>
                <w:lang w:eastAsia="en-AU"/>
              </w:rPr>
            </w:pPr>
            <w:r w:rsidRPr="00CD1518">
              <w:rPr>
                <w:b/>
                <w:bCs/>
                <w:color w:val="000000"/>
                <w:sz w:val="12"/>
                <w:szCs w:val="12"/>
                <w:lang w:eastAsia="en-AU"/>
              </w:rPr>
              <w:t>300,262</w:t>
            </w:r>
          </w:p>
        </w:tc>
        <w:tc>
          <w:tcPr>
            <w:tcW w:w="433" w:type="pct"/>
            <w:tcBorders>
              <w:top w:val="single" w:sz="4" w:space="0" w:color="4F81BD"/>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b/>
                <w:bCs/>
                <w:color w:val="000000"/>
                <w:sz w:val="12"/>
                <w:szCs w:val="12"/>
                <w:lang w:eastAsia="en-AU"/>
              </w:rPr>
            </w:pPr>
            <w:r w:rsidRPr="00CD1518">
              <w:rPr>
                <w:b/>
                <w:bCs/>
                <w:color w:val="000000"/>
                <w:sz w:val="12"/>
                <w:szCs w:val="12"/>
                <w:lang w:eastAsia="en-AU"/>
              </w:rPr>
              <w:t>486,996</w:t>
            </w:r>
          </w:p>
        </w:tc>
        <w:tc>
          <w:tcPr>
            <w:tcW w:w="434" w:type="pct"/>
            <w:tcBorders>
              <w:top w:val="single" w:sz="4" w:space="0" w:color="4F81BD"/>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b/>
                <w:bCs/>
                <w:color w:val="000000"/>
                <w:sz w:val="12"/>
                <w:szCs w:val="12"/>
                <w:lang w:eastAsia="en-AU"/>
              </w:rPr>
            </w:pPr>
            <w:r w:rsidRPr="00CD1518">
              <w:rPr>
                <w:b/>
                <w:bCs/>
                <w:color w:val="000000"/>
                <w:sz w:val="12"/>
                <w:szCs w:val="12"/>
                <w:lang w:eastAsia="en-AU"/>
              </w:rPr>
              <w:t>186,734</w:t>
            </w:r>
          </w:p>
        </w:tc>
        <w:tc>
          <w:tcPr>
            <w:tcW w:w="433" w:type="pct"/>
            <w:tcBorders>
              <w:top w:val="single" w:sz="4" w:space="0" w:color="4F81BD"/>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b/>
                <w:bCs/>
                <w:color w:val="000000"/>
                <w:sz w:val="12"/>
                <w:szCs w:val="12"/>
                <w:lang w:eastAsia="en-AU"/>
              </w:rPr>
            </w:pPr>
            <w:r w:rsidRPr="00CD1518">
              <w:rPr>
                <w:b/>
                <w:bCs/>
                <w:color w:val="000000"/>
                <w:sz w:val="12"/>
                <w:szCs w:val="12"/>
                <w:lang w:eastAsia="en-AU"/>
              </w:rPr>
              <w:t>126,737</w:t>
            </w:r>
          </w:p>
        </w:tc>
        <w:tc>
          <w:tcPr>
            <w:tcW w:w="434" w:type="pct"/>
            <w:tcBorders>
              <w:top w:val="single" w:sz="4" w:space="0" w:color="4F81BD"/>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b/>
                <w:bCs/>
                <w:color w:val="000000"/>
                <w:sz w:val="12"/>
                <w:szCs w:val="12"/>
                <w:lang w:eastAsia="en-AU"/>
              </w:rPr>
            </w:pPr>
            <w:r w:rsidRPr="00CD1518">
              <w:rPr>
                <w:b/>
                <w:bCs/>
                <w:color w:val="000000"/>
                <w:sz w:val="12"/>
                <w:szCs w:val="12"/>
                <w:lang w:eastAsia="en-AU"/>
              </w:rPr>
              <w:t>145,134</w:t>
            </w:r>
          </w:p>
        </w:tc>
        <w:tc>
          <w:tcPr>
            <w:tcW w:w="433" w:type="pct"/>
            <w:tcBorders>
              <w:top w:val="single" w:sz="4" w:space="0" w:color="4F81BD"/>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b/>
                <w:bCs/>
                <w:color w:val="000000"/>
                <w:sz w:val="12"/>
                <w:szCs w:val="12"/>
                <w:lang w:eastAsia="en-AU"/>
              </w:rPr>
            </w:pPr>
            <w:r w:rsidRPr="00CD1518">
              <w:rPr>
                <w:b/>
                <w:bCs/>
                <w:color w:val="000000"/>
                <w:sz w:val="12"/>
                <w:szCs w:val="12"/>
                <w:lang w:eastAsia="en-AU"/>
              </w:rPr>
              <w:t>215,080</w:t>
            </w:r>
          </w:p>
        </w:tc>
        <w:tc>
          <w:tcPr>
            <w:tcW w:w="433" w:type="pct"/>
            <w:tcBorders>
              <w:top w:val="single" w:sz="4" w:space="0" w:color="4F81BD"/>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b/>
                <w:bCs/>
                <w:color w:val="000000"/>
                <w:sz w:val="12"/>
                <w:szCs w:val="12"/>
                <w:lang w:eastAsia="en-AU"/>
              </w:rPr>
            </w:pPr>
            <w:r w:rsidRPr="00CD1518">
              <w:rPr>
                <w:b/>
                <w:bCs/>
                <w:color w:val="000000"/>
                <w:sz w:val="12"/>
                <w:szCs w:val="12"/>
                <w:lang w:eastAsia="en-AU"/>
              </w:rPr>
              <w:t>486,951</w:t>
            </w:r>
          </w:p>
        </w:tc>
        <w:tc>
          <w:tcPr>
            <w:tcW w:w="434" w:type="pct"/>
            <w:tcBorders>
              <w:top w:val="single" w:sz="4" w:space="0" w:color="4F81BD"/>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b/>
                <w:bCs/>
                <w:color w:val="000000"/>
                <w:sz w:val="12"/>
                <w:szCs w:val="12"/>
                <w:lang w:eastAsia="en-AU"/>
              </w:rPr>
            </w:pPr>
            <w:r w:rsidRPr="00CD1518">
              <w:rPr>
                <w:b/>
                <w:bCs/>
                <w:color w:val="000000"/>
                <w:sz w:val="12"/>
                <w:szCs w:val="12"/>
                <w:lang w:eastAsia="en-AU"/>
              </w:rPr>
              <w:t>45</w:t>
            </w:r>
          </w:p>
        </w:tc>
        <w:tc>
          <w:tcPr>
            <w:tcW w:w="433" w:type="pct"/>
            <w:tcBorders>
              <w:top w:val="single" w:sz="4" w:space="0" w:color="4F81BD"/>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434" w:type="pct"/>
            <w:tcBorders>
              <w:top w:val="single" w:sz="4" w:space="0" w:color="4F81BD"/>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b/>
                <w:bCs/>
                <w:color w:val="000000"/>
                <w:sz w:val="12"/>
                <w:szCs w:val="12"/>
                <w:lang w:eastAsia="en-AU"/>
              </w:rPr>
            </w:pPr>
          </w:p>
        </w:tc>
      </w:tr>
      <w:tr w:rsidR="00CA7B4E" w:rsidRPr="006623C7" w:rsidTr="006623C7">
        <w:trPr>
          <w:trHeight w:val="290"/>
        </w:trPr>
        <w:tc>
          <w:tcPr>
            <w:tcW w:w="666" w:type="pct"/>
            <w:tcBorders>
              <w:top w:val="nil"/>
              <w:left w:val="single" w:sz="4" w:space="0" w:color="4F81BD"/>
              <w:bottom w:val="nil"/>
              <w:right w:val="nil"/>
            </w:tcBorders>
            <w:shd w:val="clear" w:color="000000" w:fill="DDD9C4"/>
            <w:noWrap/>
            <w:vAlign w:val="center"/>
            <w:hideMark/>
          </w:tcPr>
          <w:p w:rsidR="006623C7" w:rsidRPr="00CD1518" w:rsidRDefault="006623C7" w:rsidP="00D06D4E">
            <w:pPr>
              <w:spacing w:line="240" w:lineRule="auto"/>
              <w:rPr>
                <w:b/>
                <w:bCs/>
                <w:color w:val="000000"/>
                <w:sz w:val="12"/>
                <w:szCs w:val="12"/>
                <w:lang w:eastAsia="en-AU"/>
              </w:rPr>
            </w:pPr>
            <w:r w:rsidRPr="00CD1518">
              <w:rPr>
                <w:b/>
                <w:bCs/>
                <w:color w:val="000000"/>
                <w:sz w:val="12"/>
                <w:szCs w:val="12"/>
                <w:lang w:eastAsia="en-AU"/>
              </w:rPr>
              <w:t>Feeder Data</w:t>
            </w:r>
          </w:p>
        </w:tc>
        <w:tc>
          <w:tcPr>
            <w:tcW w:w="433" w:type="pct"/>
            <w:tcBorders>
              <w:top w:val="nil"/>
              <w:left w:val="single" w:sz="4" w:space="0" w:color="4F81BD"/>
              <w:bottom w:val="nil"/>
              <w:right w:val="single" w:sz="4" w:space="0" w:color="4F81BD"/>
            </w:tcBorders>
            <w:shd w:val="clear" w:color="000000" w:fill="DDD9C4"/>
            <w:noWrap/>
            <w:vAlign w:val="center"/>
            <w:hideMark/>
          </w:tcPr>
          <w:p w:rsidR="006623C7" w:rsidRPr="00CD1518" w:rsidRDefault="006623C7" w:rsidP="00CD1518">
            <w:pPr>
              <w:spacing w:line="240" w:lineRule="auto"/>
              <w:jc w:val="right"/>
              <w:rPr>
                <w:b/>
                <w:bCs/>
                <w:color w:val="000000"/>
                <w:sz w:val="12"/>
                <w:szCs w:val="12"/>
                <w:lang w:eastAsia="en-AU"/>
              </w:rPr>
            </w:pPr>
          </w:p>
        </w:tc>
        <w:tc>
          <w:tcPr>
            <w:tcW w:w="433" w:type="pct"/>
            <w:tcBorders>
              <w:top w:val="nil"/>
              <w:left w:val="nil"/>
              <w:bottom w:val="nil"/>
              <w:right w:val="nil"/>
            </w:tcBorders>
            <w:shd w:val="clear" w:color="000000" w:fill="DDD9C4"/>
            <w:noWrap/>
            <w:vAlign w:val="center"/>
            <w:hideMark/>
          </w:tcPr>
          <w:p w:rsidR="006623C7" w:rsidRPr="00CD1518" w:rsidRDefault="006623C7" w:rsidP="00CD1518">
            <w:pPr>
              <w:spacing w:line="240" w:lineRule="auto"/>
              <w:jc w:val="right"/>
              <w:rPr>
                <w:b/>
                <w:bCs/>
                <w:color w:val="000000"/>
                <w:sz w:val="12"/>
                <w:szCs w:val="12"/>
                <w:lang w:eastAsia="en-AU"/>
              </w:rPr>
            </w:pPr>
          </w:p>
        </w:tc>
        <w:tc>
          <w:tcPr>
            <w:tcW w:w="434" w:type="pct"/>
            <w:tcBorders>
              <w:top w:val="nil"/>
              <w:left w:val="single" w:sz="4" w:space="0" w:color="4F81BD"/>
              <w:bottom w:val="nil"/>
              <w:right w:val="single" w:sz="4" w:space="0" w:color="4F81BD"/>
            </w:tcBorders>
            <w:shd w:val="clear" w:color="000000" w:fill="DDD9C4"/>
            <w:noWrap/>
            <w:vAlign w:val="center"/>
            <w:hideMark/>
          </w:tcPr>
          <w:p w:rsidR="006623C7" w:rsidRPr="00CD1518" w:rsidRDefault="006623C7" w:rsidP="00CD1518">
            <w:pPr>
              <w:spacing w:line="240" w:lineRule="auto"/>
              <w:jc w:val="right"/>
              <w:rPr>
                <w:b/>
                <w:bCs/>
                <w:color w:val="000000"/>
                <w:sz w:val="12"/>
                <w:szCs w:val="12"/>
                <w:lang w:eastAsia="en-AU"/>
              </w:rPr>
            </w:pPr>
          </w:p>
        </w:tc>
        <w:tc>
          <w:tcPr>
            <w:tcW w:w="433" w:type="pct"/>
            <w:tcBorders>
              <w:top w:val="nil"/>
              <w:left w:val="nil"/>
              <w:bottom w:val="nil"/>
              <w:right w:val="nil"/>
            </w:tcBorders>
            <w:shd w:val="clear" w:color="000000" w:fill="DDD9C4"/>
            <w:noWrap/>
            <w:vAlign w:val="center"/>
            <w:hideMark/>
          </w:tcPr>
          <w:p w:rsidR="006623C7" w:rsidRPr="00CD1518" w:rsidRDefault="006623C7" w:rsidP="00CD1518">
            <w:pPr>
              <w:spacing w:line="240" w:lineRule="auto"/>
              <w:jc w:val="right"/>
              <w:rPr>
                <w:b/>
                <w:bCs/>
                <w:color w:val="000000"/>
                <w:sz w:val="12"/>
                <w:szCs w:val="12"/>
                <w:lang w:eastAsia="en-AU"/>
              </w:rPr>
            </w:pPr>
          </w:p>
        </w:tc>
        <w:tc>
          <w:tcPr>
            <w:tcW w:w="434" w:type="pct"/>
            <w:tcBorders>
              <w:top w:val="nil"/>
              <w:left w:val="single" w:sz="4" w:space="0" w:color="4F81BD"/>
              <w:bottom w:val="nil"/>
              <w:right w:val="single" w:sz="4" w:space="0" w:color="4F81BD"/>
            </w:tcBorders>
            <w:shd w:val="clear" w:color="000000" w:fill="DDD9C4"/>
            <w:noWrap/>
            <w:vAlign w:val="center"/>
            <w:hideMark/>
          </w:tcPr>
          <w:p w:rsidR="006623C7" w:rsidRPr="00CD1518" w:rsidRDefault="006623C7" w:rsidP="00CD1518">
            <w:pPr>
              <w:spacing w:line="240" w:lineRule="auto"/>
              <w:jc w:val="right"/>
              <w:rPr>
                <w:b/>
                <w:bCs/>
                <w:color w:val="000000"/>
                <w:sz w:val="12"/>
                <w:szCs w:val="12"/>
                <w:lang w:eastAsia="en-AU"/>
              </w:rPr>
            </w:pPr>
          </w:p>
        </w:tc>
        <w:tc>
          <w:tcPr>
            <w:tcW w:w="433" w:type="pct"/>
            <w:tcBorders>
              <w:top w:val="nil"/>
              <w:left w:val="nil"/>
              <w:bottom w:val="nil"/>
              <w:right w:val="single" w:sz="4" w:space="0" w:color="4F81BD"/>
            </w:tcBorders>
            <w:shd w:val="clear" w:color="000000" w:fill="DDD9C4"/>
            <w:noWrap/>
            <w:vAlign w:val="center"/>
            <w:hideMark/>
          </w:tcPr>
          <w:p w:rsidR="006623C7" w:rsidRPr="00CD1518" w:rsidRDefault="006623C7" w:rsidP="00CD1518">
            <w:pPr>
              <w:spacing w:line="240" w:lineRule="auto"/>
              <w:jc w:val="right"/>
              <w:rPr>
                <w:b/>
                <w:bCs/>
                <w:color w:val="000000"/>
                <w:sz w:val="12"/>
                <w:szCs w:val="12"/>
                <w:lang w:eastAsia="en-AU"/>
              </w:rPr>
            </w:pPr>
          </w:p>
        </w:tc>
        <w:tc>
          <w:tcPr>
            <w:tcW w:w="433" w:type="pct"/>
            <w:tcBorders>
              <w:top w:val="nil"/>
              <w:left w:val="nil"/>
              <w:bottom w:val="nil"/>
              <w:right w:val="single" w:sz="4" w:space="0" w:color="4F81BD"/>
            </w:tcBorders>
            <w:shd w:val="clear" w:color="000000" w:fill="DDD9C4"/>
            <w:noWrap/>
            <w:vAlign w:val="center"/>
            <w:hideMark/>
          </w:tcPr>
          <w:p w:rsidR="006623C7" w:rsidRPr="00CD1518" w:rsidRDefault="006623C7" w:rsidP="00CD1518">
            <w:pPr>
              <w:spacing w:line="240" w:lineRule="auto"/>
              <w:jc w:val="right"/>
              <w:rPr>
                <w:b/>
                <w:bCs/>
                <w:color w:val="000000"/>
                <w:sz w:val="12"/>
                <w:szCs w:val="12"/>
                <w:lang w:eastAsia="en-AU"/>
              </w:rPr>
            </w:pPr>
          </w:p>
        </w:tc>
        <w:tc>
          <w:tcPr>
            <w:tcW w:w="434" w:type="pct"/>
            <w:tcBorders>
              <w:top w:val="nil"/>
              <w:left w:val="nil"/>
              <w:bottom w:val="nil"/>
              <w:right w:val="nil"/>
            </w:tcBorders>
            <w:shd w:val="clear" w:color="000000" w:fill="DDD9C4"/>
            <w:noWrap/>
            <w:vAlign w:val="center"/>
            <w:hideMark/>
          </w:tcPr>
          <w:p w:rsidR="006623C7" w:rsidRPr="00CD1518" w:rsidRDefault="006623C7" w:rsidP="00CD1518">
            <w:pPr>
              <w:spacing w:line="240" w:lineRule="auto"/>
              <w:jc w:val="right"/>
              <w:rPr>
                <w:b/>
                <w:bCs/>
                <w:color w:val="000000"/>
                <w:sz w:val="12"/>
                <w:szCs w:val="12"/>
                <w:lang w:eastAsia="en-AU"/>
              </w:rPr>
            </w:pPr>
          </w:p>
        </w:tc>
        <w:tc>
          <w:tcPr>
            <w:tcW w:w="433" w:type="pct"/>
            <w:tcBorders>
              <w:top w:val="nil"/>
              <w:left w:val="single" w:sz="4" w:space="0" w:color="4F81BD"/>
              <w:bottom w:val="nil"/>
              <w:right w:val="single" w:sz="4" w:space="0" w:color="4F81BD"/>
            </w:tcBorders>
            <w:shd w:val="clear" w:color="000000" w:fill="DDD9C4"/>
            <w:noWrap/>
            <w:vAlign w:val="center"/>
            <w:hideMark/>
          </w:tcPr>
          <w:p w:rsidR="006623C7" w:rsidRPr="00CD1518" w:rsidRDefault="006623C7" w:rsidP="00CD1518">
            <w:pPr>
              <w:spacing w:line="240" w:lineRule="auto"/>
              <w:jc w:val="right"/>
              <w:rPr>
                <w:b/>
                <w:bCs/>
                <w:color w:val="000000"/>
                <w:sz w:val="12"/>
                <w:szCs w:val="12"/>
                <w:lang w:eastAsia="en-AU"/>
              </w:rPr>
            </w:pPr>
          </w:p>
        </w:tc>
        <w:tc>
          <w:tcPr>
            <w:tcW w:w="434" w:type="pct"/>
            <w:tcBorders>
              <w:top w:val="nil"/>
              <w:left w:val="nil"/>
              <w:bottom w:val="nil"/>
              <w:right w:val="single" w:sz="4" w:space="0" w:color="4F81BD"/>
            </w:tcBorders>
            <w:shd w:val="clear" w:color="000000" w:fill="DDD9C4"/>
            <w:noWrap/>
            <w:vAlign w:val="center"/>
            <w:hideMark/>
          </w:tcPr>
          <w:p w:rsidR="006623C7" w:rsidRPr="00CD1518" w:rsidRDefault="006623C7" w:rsidP="00CD1518">
            <w:pPr>
              <w:spacing w:line="240" w:lineRule="auto"/>
              <w:jc w:val="right"/>
              <w:rPr>
                <w:b/>
                <w:bCs/>
                <w:color w:val="000000"/>
                <w:sz w:val="12"/>
                <w:szCs w:val="12"/>
                <w:lang w:eastAsia="en-AU"/>
              </w:rPr>
            </w:pPr>
          </w:p>
        </w:tc>
      </w:tr>
      <w:tr w:rsidR="003A1695" w:rsidRPr="006623C7" w:rsidTr="006623C7">
        <w:trPr>
          <w:trHeight w:val="290"/>
        </w:trPr>
        <w:tc>
          <w:tcPr>
            <w:tcW w:w="666" w:type="pct"/>
            <w:tcBorders>
              <w:top w:val="nil"/>
              <w:left w:val="single" w:sz="4" w:space="0" w:color="4F81BD"/>
              <w:bottom w:val="nil"/>
              <w:right w:val="nil"/>
            </w:tcBorders>
            <w:shd w:val="clear" w:color="000000" w:fill="FFFFFF"/>
            <w:noWrap/>
            <w:vAlign w:val="center"/>
            <w:hideMark/>
          </w:tcPr>
          <w:p w:rsidR="006623C7" w:rsidRPr="00CD1518" w:rsidRDefault="006623C7" w:rsidP="00D06D4E">
            <w:pPr>
              <w:spacing w:line="240" w:lineRule="auto"/>
              <w:rPr>
                <w:color w:val="000000"/>
                <w:sz w:val="12"/>
                <w:szCs w:val="12"/>
                <w:lang w:eastAsia="en-AU"/>
              </w:rPr>
            </w:pPr>
            <w:r w:rsidRPr="00CD1518">
              <w:rPr>
                <w:color w:val="000000"/>
                <w:sz w:val="12"/>
                <w:szCs w:val="12"/>
                <w:lang w:eastAsia="en-AU"/>
              </w:rPr>
              <w:t>Allied Health</w:t>
            </w:r>
          </w:p>
        </w:tc>
        <w:tc>
          <w:tcPr>
            <w:tcW w:w="433" w:type="pct"/>
            <w:tcBorders>
              <w:top w:val="nil"/>
              <w:left w:val="single" w:sz="4" w:space="0" w:color="4F81BD"/>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55,682</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39,534</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(16,148)</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39,534</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39,534</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16,148</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D06D4E">
            <w:pPr>
              <w:spacing w:line="240" w:lineRule="auto"/>
              <w:jc w:val="right"/>
              <w:rPr>
                <w:color w:val="000000"/>
                <w:sz w:val="12"/>
                <w:szCs w:val="12"/>
                <w:lang w:eastAsia="en-AU"/>
              </w:rPr>
            </w:pPr>
            <w:r w:rsidRPr="00CD1518">
              <w:rPr>
                <w:color w:val="000000"/>
                <w:sz w:val="12"/>
                <w:szCs w:val="12"/>
                <w:lang w:eastAsia="en-AU"/>
              </w:rPr>
              <w:t>71%</w:t>
            </w:r>
          </w:p>
        </w:tc>
      </w:tr>
      <w:tr w:rsidR="003A1695" w:rsidRPr="006623C7" w:rsidTr="006623C7">
        <w:trPr>
          <w:trHeight w:val="290"/>
        </w:trPr>
        <w:tc>
          <w:tcPr>
            <w:tcW w:w="666" w:type="pct"/>
            <w:tcBorders>
              <w:top w:val="nil"/>
              <w:left w:val="single" w:sz="4" w:space="0" w:color="4F81BD"/>
              <w:bottom w:val="nil"/>
              <w:right w:val="nil"/>
            </w:tcBorders>
            <w:shd w:val="clear" w:color="000000" w:fill="DCE6F1"/>
            <w:noWrap/>
            <w:vAlign w:val="center"/>
            <w:hideMark/>
          </w:tcPr>
          <w:p w:rsidR="006623C7" w:rsidRPr="00CD1518" w:rsidRDefault="006623C7" w:rsidP="00D06D4E">
            <w:pPr>
              <w:spacing w:line="240" w:lineRule="auto"/>
              <w:rPr>
                <w:sz w:val="12"/>
                <w:szCs w:val="12"/>
                <w:lang w:eastAsia="en-AU"/>
              </w:rPr>
            </w:pPr>
            <w:r w:rsidRPr="00CD1518">
              <w:rPr>
                <w:sz w:val="12"/>
                <w:szCs w:val="12"/>
                <w:lang w:eastAsia="en-AU"/>
              </w:rPr>
              <w:t>Angiogram</w:t>
            </w:r>
          </w:p>
        </w:tc>
        <w:tc>
          <w:tcPr>
            <w:tcW w:w="433" w:type="pct"/>
            <w:tcBorders>
              <w:top w:val="nil"/>
              <w:left w:val="single" w:sz="4" w:space="0" w:color="4F81BD"/>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581</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567</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(14)</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563</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2</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2</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567</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14</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D06D4E">
            <w:pPr>
              <w:spacing w:line="240" w:lineRule="auto"/>
              <w:jc w:val="right"/>
              <w:rPr>
                <w:sz w:val="12"/>
                <w:szCs w:val="12"/>
                <w:lang w:eastAsia="en-AU"/>
              </w:rPr>
            </w:pPr>
            <w:r w:rsidRPr="00CD1518">
              <w:rPr>
                <w:sz w:val="12"/>
                <w:szCs w:val="12"/>
                <w:lang w:eastAsia="en-AU"/>
              </w:rPr>
              <w:t>98%</w:t>
            </w:r>
          </w:p>
        </w:tc>
      </w:tr>
      <w:tr w:rsidR="003A1695" w:rsidRPr="006623C7" w:rsidTr="006623C7">
        <w:trPr>
          <w:trHeight w:val="290"/>
        </w:trPr>
        <w:tc>
          <w:tcPr>
            <w:tcW w:w="666" w:type="pct"/>
            <w:tcBorders>
              <w:top w:val="nil"/>
              <w:left w:val="single" w:sz="4" w:space="0" w:color="4F81BD"/>
              <w:bottom w:val="nil"/>
              <w:right w:val="nil"/>
            </w:tcBorders>
            <w:shd w:val="clear" w:color="000000" w:fill="FFFFFF"/>
            <w:noWrap/>
            <w:vAlign w:val="center"/>
            <w:hideMark/>
          </w:tcPr>
          <w:p w:rsidR="006623C7" w:rsidRPr="00CD1518" w:rsidRDefault="006623C7" w:rsidP="00D06D4E">
            <w:pPr>
              <w:spacing w:line="240" w:lineRule="auto"/>
              <w:rPr>
                <w:color w:val="000000"/>
                <w:sz w:val="12"/>
                <w:szCs w:val="12"/>
                <w:lang w:eastAsia="en-AU"/>
              </w:rPr>
            </w:pPr>
            <w:r w:rsidRPr="00CD1518">
              <w:rPr>
                <w:color w:val="000000"/>
                <w:sz w:val="12"/>
                <w:szCs w:val="12"/>
                <w:lang w:eastAsia="en-AU"/>
              </w:rPr>
              <w:t>Angioplasty</w:t>
            </w:r>
          </w:p>
        </w:tc>
        <w:tc>
          <w:tcPr>
            <w:tcW w:w="433" w:type="pct"/>
            <w:tcBorders>
              <w:top w:val="nil"/>
              <w:left w:val="single" w:sz="4" w:space="0" w:color="4F81BD"/>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52</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30</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(22)</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30</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30</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22</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D06D4E">
            <w:pPr>
              <w:spacing w:line="240" w:lineRule="auto"/>
              <w:jc w:val="right"/>
              <w:rPr>
                <w:color w:val="000000"/>
                <w:sz w:val="12"/>
                <w:szCs w:val="12"/>
                <w:lang w:eastAsia="en-AU"/>
              </w:rPr>
            </w:pPr>
            <w:r w:rsidRPr="00CD1518">
              <w:rPr>
                <w:color w:val="000000"/>
                <w:sz w:val="12"/>
                <w:szCs w:val="12"/>
                <w:lang w:eastAsia="en-AU"/>
              </w:rPr>
              <w:t>58%</w:t>
            </w:r>
          </w:p>
        </w:tc>
      </w:tr>
      <w:tr w:rsidR="003A1695" w:rsidRPr="006623C7" w:rsidTr="006623C7">
        <w:trPr>
          <w:trHeight w:val="290"/>
        </w:trPr>
        <w:tc>
          <w:tcPr>
            <w:tcW w:w="666" w:type="pct"/>
            <w:tcBorders>
              <w:top w:val="nil"/>
              <w:left w:val="single" w:sz="4" w:space="0" w:color="4F81BD"/>
              <w:bottom w:val="nil"/>
              <w:right w:val="nil"/>
            </w:tcBorders>
            <w:shd w:val="clear" w:color="000000" w:fill="DCE6F1"/>
            <w:noWrap/>
            <w:vAlign w:val="center"/>
            <w:hideMark/>
          </w:tcPr>
          <w:p w:rsidR="006623C7" w:rsidRPr="00CD1518" w:rsidRDefault="006623C7" w:rsidP="00D06D4E">
            <w:pPr>
              <w:spacing w:line="240" w:lineRule="auto"/>
              <w:rPr>
                <w:sz w:val="12"/>
                <w:szCs w:val="12"/>
                <w:lang w:eastAsia="en-AU"/>
              </w:rPr>
            </w:pPr>
            <w:r w:rsidRPr="00CD1518">
              <w:rPr>
                <w:sz w:val="12"/>
                <w:szCs w:val="12"/>
                <w:lang w:eastAsia="en-AU"/>
              </w:rPr>
              <w:t>Cath Lab Cardiac</w:t>
            </w:r>
          </w:p>
        </w:tc>
        <w:tc>
          <w:tcPr>
            <w:tcW w:w="433" w:type="pct"/>
            <w:tcBorders>
              <w:top w:val="nil"/>
              <w:left w:val="single" w:sz="4" w:space="0" w:color="4F81BD"/>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2,300</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2,377</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77</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2,212</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20</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145</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2,377</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77</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D06D4E">
            <w:pPr>
              <w:spacing w:line="240" w:lineRule="auto"/>
              <w:jc w:val="right"/>
              <w:rPr>
                <w:sz w:val="12"/>
                <w:szCs w:val="12"/>
                <w:lang w:eastAsia="en-AU"/>
              </w:rPr>
            </w:pPr>
            <w:r w:rsidRPr="00CD1518">
              <w:rPr>
                <w:sz w:val="12"/>
                <w:szCs w:val="12"/>
                <w:lang w:eastAsia="en-AU"/>
              </w:rPr>
              <w:t>103%</w:t>
            </w:r>
          </w:p>
        </w:tc>
      </w:tr>
      <w:tr w:rsidR="003A1695" w:rsidRPr="006623C7" w:rsidTr="006623C7">
        <w:trPr>
          <w:trHeight w:val="290"/>
        </w:trPr>
        <w:tc>
          <w:tcPr>
            <w:tcW w:w="666" w:type="pct"/>
            <w:tcBorders>
              <w:top w:val="nil"/>
              <w:left w:val="single" w:sz="4" w:space="0" w:color="4F81BD"/>
              <w:bottom w:val="nil"/>
              <w:right w:val="nil"/>
            </w:tcBorders>
            <w:shd w:val="clear" w:color="000000" w:fill="FFFFFF"/>
            <w:noWrap/>
            <w:vAlign w:val="center"/>
            <w:hideMark/>
          </w:tcPr>
          <w:p w:rsidR="006623C7" w:rsidRPr="00CD1518" w:rsidRDefault="006623C7" w:rsidP="00D06D4E">
            <w:pPr>
              <w:spacing w:line="240" w:lineRule="auto"/>
              <w:rPr>
                <w:color w:val="000000"/>
                <w:sz w:val="12"/>
                <w:szCs w:val="12"/>
                <w:lang w:eastAsia="en-AU"/>
              </w:rPr>
            </w:pPr>
            <w:r w:rsidRPr="00CD1518">
              <w:rPr>
                <w:color w:val="000000"/>
                <w:sz w:val="12"/>
                <w:szCs w:val="12"/>
                <w:lang w:eastAsia="en-AU"/>
              </w:rPr>
              <w:t>Emergency</w:t>
            </w:r>
          </w:p>
        </w:tc>
        <w:tc>
          <w:tcPr>
            <w:tcW w:w="433" w:type="pct"/>
            <w:tcBorders>
              <w:top w:val="nil"/>
              <w:left w:val="single" w:sz="4" w:space="0" w:color="4F81BD"/>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65,500</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118,934</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53,434</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118,934</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118,934</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53,434</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D06D4E">
            <w:pPr>
              <w:spacing w:line="240" w:lineRule="auto"/>
              <w:jc w:val="right"/>
              <w:rPr>
                <w:color w:val="000000"/>
                <w:sz w:val="12"/>
                <w:szCs w:val="12"/>
                <w:lang w:eastAsia="en-AU"/>
              </w:rPr>
            </w:pPr>
            <w:r w:rsidRPr="00CD1518">
              <w:rPr>
                <w:color w:val="000000"/>
                <w:sz w:val="12"/>
                <w:szCs w:val="12"/>
                <w:lang w:eastAsia="en-AU"/>
              </w:rPr>
              <w:t>182%</w:t>
            </w:r>
          </w:p>
        </w:tc>
      </w:tr>
      <w:tr w:rsidR="003A1695" w:rsidRPr="006623C7" w:rsidTr="006623C7">
        <w:trPr>
          <w:trHeight w:val="290"/>
        </w:trPr>
        <w:tc>
          <w:tcPr>
            <w:tcW w:w="666" w:type="pct"/>
            <w:tcBorders>
              <w:top w:val="nil"/>
              <w:left w:val="single" w:sz="4" w:space="0" w:color="4F81BD"/>
              <w:bottom w:val="nil"/>
              <w:right w:val="nil"/>
            </w:tcBorders>
            <w:shd w:val="clear" w:color="000000" w:fill="DCE6F1"/>
            <w:noWrap/>
            <w:vAlign w:val="center"/>
            <w:hideMark/>
          </w:tcPr>
          <w:p w:rsidR="006623C7" w:rsidRPr="00CD1518" w:rsidRDefault="006623C7" w:rsidP="00D06D4E">
            <w:pPr>
              <w:spacing w:line="240" w:lineRule="auto"/>
              <w:rPr>
                <w:sz w:val="12"/>
                <w:szCs w:val="12"/>
                <w:lang w:eastAsia="en-AU"/>
              </w:rPr>
            </w:pPr>
            <w:r w:rsidRPr="00CD1518">
              <w:rPr>
                <w:sz w:val="12"/>
                <w:szCs w:val="12"/>
                <w:lang w:eastAsia="en-AU"/>
              </w:rPr>
              <w:t>Imaging</w:t>
            </w:r>
          </w:p>
        </w:tc>
        <w:tc>
          <w:tcPr>
            <w:tcW w:w="433" w:type="pct"/>
            <w:tcBorders>
              <w:top w:val="nil"/>
              <w:left w:val="single" w:sz="4" w:space="0" w:color="4F81BD"/>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93,134</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85,036</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(8,098)</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31,518</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32,287</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21,231</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85,036</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8,098</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D06D4E">
            <w:pPr>
              <w:spacing w:line="240" w:lineRule="auto"/>
              <w:jc w:val="right"/>
              <w:rPr>
                <w:sz w:val="12"/>
                <w:szCs w:val="12"/>
                <w:lang w:eastAsia="en-AU"/>
              </w:rPr>
            </w:pPr>
            <w:r w:rsidRPr="00CD1518">
              <w:rPr>
                <w:sz w:val="12"/>
                <w:szCs w:val="12"/>
                <w:lang w:eastAsia="en-AU"/>
              </w:rPr>
              <w:t>91%</w:t>
            </w:r>
          </w:p>
        </w:tc>
      </w:tr>
      <w:tr w:rsidR="003A1695" w:rsidRPr="006623C7" w:rsidTr="006623C7">
        <w:trPr>
          <w:trHeight w:val="290"/>
        </w:trPr>
        <w:tc>
          <w:tcPr>
            <w:tcW w:w="666" w:type="pct"/>
            <w:tcBorders>
              <w:top w:val="nil"/>
              <w:left w:val="single" w:sz="4" w:space="0" w:color="4F81BD"/>
              <w:bottom w:val="nil"/>
              <w:right w:val="nil"/>
            </w:tcBorders>
            <w:shd w:val="clear" w:color="000000" w:fill="FFFFFF"/>
            <w:noWrap/>
            <w:vAlign w:val="center"/>
            <w:hideMark/>
          </w:tcPr>
          <w:p w:rsidR="006623C7" w:rsidRPr="00CD1518" w:rsidRDefault="006623C7" w:rsidP="00D06D4E">
            <w:pPr>
              <w:spacing w:line="240" w:lineRule="auto"/>
              <w:rPr>
                <w:color w:val="000000"/>
                <w:sz w:val="12"/>
                <w:szCs w:val="12"/>
                <w:lang w:eastAsia="en-AU"/>
              </w:rPr>
            </w:pPr>
            <w:r w:rsidRPr="00CD1518">
              <w:rPr>
                <w:color w:val="000000"/>
                <w:sz w:val="12"/>
                <w:szCs w:val="12"/>
                <w:lang w:eastAsia="en-AU"/>
              </w:rPr>
              <w:t>Pathology</w:t>
            </w:r>
          </w:p>
        </w:tc>
        <w:tc>
          <w:tcPr>
            <w:tcW w:w="433" w:type="pct"/>
            <w:tcBorders>
              <w:top w:val="nil"/>
              <w:left w:val="single" w:sz="4" w:space="0" w:color="4F81BD"/>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549,819</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509,732</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(40,087)</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304,415</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124,499</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80,818</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509,732</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40,087</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D06D4E">
            <w:pPr>
              <w:spacing w:line="240" w:lineRule="auto"/>
              <w:jc w:val="right"/>
              <w:rPr>
                <w:color w:val="000000"/>
                <w:sz w:val="12"/>
                <w:szCs w:val="12"/>
                <w:lang w:eastAsia="en-AU"/>
              </w:rPr>
            </w:pPr>
            <w:r w:rsidRPr="00CD1518">
              <w:rPr>
                <w:color w:val="000000"/>
                <w:sz w:val="12"/>
                <w:szCs w:val="12"/>
                <w:lang w:eastAsia="en-AU"/>
              </w:rPr>
              <w:t>93%</w:t>
            </w:r>
          </w:p>
        </w:tc>
      </w:tr>
      <w:tr w:rsidR="003A1695" w:rsidRPr="006623C7" w:rsidTr="006623C7">
        <w:trPr>
          <w:trHeight w:val="290"/>
        </w:trPr>
        <w:tc>
          <w:tcPr>
            <w:tcW w:w="666" w:type="pct"/>
            <w:tcBorders>
              <w:top w:val="nil"/>
              <w:left w:val="single" w:sz="4" w:space="0" w:color="4F81BD"/>
              <w:bottom w:val="nil"/>
              <w:right w:val="nil"/>
            </w:tcBorders>
            <w:shd w:val="clear" w:color="000000" w:fill="DCE6F1"/>
            <w:noWrap/>
            <w:vAlign w:val="center"/>
            <w:hideMark/>
          </w:tcPr>
          <w:p w:rsidR="006623C7" w:rsidRPr="00CD1518" w:rsidRDefault="006623C7" w:rsidP="00D06D4E">
            <w:pPr>
              <w:spacing w:line="240" w:lineRule="auto"/>
              <w:rPr>
                <w:sz w:val="12"/>
                <w:szCs w:val="12"/>
                <w:lang w:eastAsia="en-AU"/>
              </w:rPr>
            </w:pPr>
            <w:r w:rsidRPr="00CD1518">
              <w:rPr>
                <w:sz w:val="12"/>
                <w:szCs w:val="12"/>
                <w:lang w:eastAsia="en-AU"/>
              </w:rPr>
              <w:t>Pharmacy</w:t>
            </w:r>
          </w:p>
        </w:tc>
        <w:tc>
          <w:tcPr>
            <w:tcW w:w="433" w:type="pct"/>
            <w:tcBorders>
              <w:top w:val="nil"/>
              <w:left w:val="single" w:sz="4" w:space="0" w:color="4F81BD"/>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85,715</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84,172</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(1,543)</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82,355</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1,026</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791</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84,172</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1,543</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D06D4E">
            <w:pPr>
              <w:spacing w:line="240" w:lineRule="auto"/>
              <w:jc w:val="right"/>
              <w:rPr>
                <w:sz w:val="12"/>
                <w:szCs w:val="12"/>
                <w:lang w:eastAsia="en-AU"/>
              </w:rPr>
            </w:pPr>
            <w:r w:rsidRPr="00CD1518">
              <w:rPr>
                <w:sz w:val="12"/>
                <w:szCs w:val="12"/>
                <w:lang w:eastAsia="en-AU"/>
              </w:rPr>
              <w:t>98%</w:t>
            </w:r>
          </w:p>
        </w:tc>
      </w:tr>
      <w:tr w:rsidR="003A1695" w:rsidRPr="006623C7" w:rsidTr="006623C7">
        <w:trPr>
          <w:trHeight w:val="290"/>
        </w:trPr>
        <w:tc>
          <w:tcPr>
            <w:tcW w:w="666" w:type="pct"/>
            <w:tcBorders>
              <w:top w:val="nil"/>
              <w:left w:val="single" w:sz="4" w:space="0" w:color="4F81BD"/>
              <w:bottom w:val="nil"/>
              <w:right w:val="nil"/>
            </w:tcBorders>
            <w:shd w:val="clear" w:color="000000" w:fill="FFFFFF"/>
            <w:noWrap/>
            <w:vAlign w:val="center"/>
            <w:hideMark/>
          </w:tcPr>
          <w:p w:rsidR="006623C7" w:rsidRPr="00CD1518" w:rsidRDefault="006623C7" w:rsidP="00D06D4E">
            <w:pPr>
              <w:spacing w:line="240" w:lineRule="auto"/>
              <w:rPr>
                <w:color w:val="000000"/>
                <w:sz w:val="12"/>
                <w:szCs w:val="12"/>
                <w:lang w:eastAsia="en-AU"/>
              </w:rPr>
            </w:pPr>
            <w:proofErr w:type="spellStart"/>
            <w:r w:rsidRPr="00CD1518">
              <w:rPr>
                <w:color w:val="000000"/>
                <w:sz w:val="12"/>
                <w:szCs w:val="12"/>
                <w:lang w:eastAsia="en-AU"/>
              </w:rPr>
              <w:t>Pharmacy_HSD</w:t>
            </w:r>
            <w:proofErr w:type="spellEnd"/>
          </w:p>
        </w:tc>
        <w:tc>
          <w:tcPr>
            <w:tcW w:w="433" w:type="pct"/>
            <w:tcBorders>
              <w:top w:val="nil"/>
              <w:left w:val="single" w:sz="4" w:space="0" w:color="4F81BD"/>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15,477</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10,399</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(5,078)</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10,399</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10,399</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5,078</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D06D4E">
            <w:pPr>
              <w:spacing w:line="240" w:lineRule="auto"/>
              <w:jc w:val="right"/>
              <w:rPr>
                <w:color w:val="000000"/>
                <w:sz w:val="12"/>
                <w:szCs w:val="12"/>
                <w:lang w:eastAsia="en-AU"/>
              </w:rPr>
            </w:pPr>
            <w:r w:rsidRPr="00CD1518">
              <w:rPr>
                <w:color w:val="000000"/>
                <w:sz w:val="12"/>
                <w:szCs w:val="12"/>
                <w:lang w:eastAsia="en-AU"/>
              </w:rPr>
              <w:t>67%</w:t>
            </w:r>
          </w:p>
        </w:tc>
      </w:tr>
      <w:tr w:rsidR="003A1695" w:rsidRPr="006623C7" w:rsidTr="006623C7">
        <w:trPr>
          <w:trHeight w:val="290"/>
        </w:trPr>
        <w:tc>
          <w:tcPr>
            <w:tcW w:w="666" w:type="pct"/>
            <w:tcBorders>
              <w:top w:val="nil"/>
              <w:left w:val="single" w:sz="4" w:space="0" w:color="4F81BD"/>
              <w:bottom w:val="nil"/>
              <w:right w:val="nil"/>
            </w:tcBorders>
            <w:shd w:val="clear" w:color="000000" w:fill="DCE6F1"/>
            <w:noWrap/>
            <w:vAlign w:val="center"/>
            <w:hideMark/>
          </w:tcPr>
          <w:p w:rsidR="006623C7" w:rsidRPr="00CD1518" w:rsidRDefault="006623C7" w:rsidP="00D06D4E">
            <w:pPr>
              <w:spacing w:line="240" w:lineRule="auto"/>
              <w:rPr>
                <w:sz w:val="12"/>
                <w:szCs w:val="12"/>
                <w:lang w:eastAsia="en-AU"/>
              </w:rPr>
            </w:pPr>
            <w:r w:rsidRPr="00CD1518">
              <w:rPr>
                <w:sz w:val="12"/>
                <w:szCs w:val="12"/>
                <w:lang w:eastAsia="en-AU"/>
              </w:rPr>
              <w:t>Theatre Anaesthesia</w:t>
            </w:r>
          </w:p>
        </w:tc>
        <w:tc>
          <w:tcPr>
            <w:tcW w:w="433" w:type="pct"/>
            <w:tcBorders>
              <w:top w:val="nil"/>
              <w:left w:val="single" w:sz="4" w:space="0" w:color="4F81BD"/>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12,847</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12,499</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(348)</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12,499</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12,499</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348</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D06D4E">
            <w:pPr>
              <w:spacing w:line="240" w:lineRule="auto"/>
              <w:jc w:val="right"/>
              <w:rPr>
                <w:sz w:val="12"/>
                <w:szCs w:val="12"/>
                <w:lang w:eastAsia="en-AU"/>
              </w:rPr>
            </w:pPr>
            <w:r w:rsidRPr="00CD1518">
              <w:rPr>
                <w:sz w:val="12"/>
                <w:szCs w:val="12"/>
                <w:lang w:eastAsia="en-AU"/>
              </w:rPr>
              <w:t>97%</w:t>
            </w:r>
          </w:p>
        </w:tc>
      </w:tr>
      <w:tr w:rsidR="003A1695" w:rsidRPr="006623C7" w:rsidTr="006623C7">
        <w:trPr>
          <w:trHeight w:val="290"/>
        </w:trPr>
        <w:tc>
          <w:tcPr>
            <w:tcW w:w="666" w:type="pct"/>
            <w:tcBorders>
              <w:top w:val="nil"/>
              <w:left w:val="single" w:sz="4" w:space="0" w:color="4F81BD"/>
              <w:bottom w:val="nil"/>
              <w:right w:val="nil"/>
            </w:tcBorders>
            <w:shd w:val="clear" w:color="000000" w:fill="FFFFFF"/>
            <w:noWrap/>
            <w:vAlign w:val="center"/>
            <w:hideMark/>
          </w:tcPr>
          <w:p w:rsidR="006623C7" w:rsidRPr="00CD1518" w:rsidRDefault="006623C7" w:rsidP="00D06D4E">
            <w:pPr>
              <w:spacing w:line="240" w:lineRule="auto"/>
              <w:rPr>
                <w:color w:val="000000"/>
                <w:sz w:val="12"/>
                <w:szCs w:val="12"/>
                <w:lang w:eastAsia="en-AU"/>
              </w:rPr>
            </w:pPr>
            <w:r w:rsidRPr="00CD1518">
              <w:rPr>
                <w:color w:val="000000"/>
                <w:sz w:val="12"/>
                <w:szCs w:val="12"/>
                <w:lang w:eastAsia="en-AU"/>
              </w:rPr>
              <w:t>Theatre Nursing</w:t>
            </w:r>
          </w:p>
        </w:tc>
        <w:tc>
          <w:tcPr>
            <w:tcW w:w="433" w:type="pct"/>
            <w:tcBorders>
              <w:top w:val="nil"/>
              <w:left w:val="single" w:sz="4" w:space="0" w:color="4F81BD"/>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18,400</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12,633</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(5,767)</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12,633</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12,633</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5,767</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D06D4E">
            <w:pPr>
              <w:spacing w:line="240" w:lineRule="auto"/>
              <w:jc w:val="right"/>
              <w:rPr>
                <w:color w:val="000000"/>
                <w:sz w:val="12"/>
                <w:szCs w:val="12"/>
                <w:lang w:eastAsia="en-AU"/>
              </w:rPr>
            </w:pPr>
            <w:r w:rsidRPr="00CD1518">
              <w:rPr>
                <w:color w:val="000000"/>
                <w:sz w:val="12"/>
                <w:szCs w:val="12"/>
                <w:lang w:eastAsia="en-AU"/>
              </w:rPr>
              <w:t>69%</w:t>
            </w:r>
          </w:p>
        </w:tc>
      </w:tr>
      <w:tr w:rsidR="003A1695" w:rsidRPr="006623C7" w:rsidTr="006623C7">
        <w:trPr>
          <w:trHeight w:val="290"/>
        </w:trPr>
        <w:tc>
          <w:tcPr>
            <w:tcW w:w="666" w:type="pct"/>
            <w:tcBorders>
              <w:top w:val="nil"/>
              <w:left w:val="single" w:sz="4" w:space="0" w:color="4F81BD"/>
              <w:bottom w:val="nil"/>
              <w:right w:val="nil"/>
            </w:tcBorders>
            <w:shd w:val="clear" w:color="000000" w:fill="DCE6F1"/>
            <w:noWrap/>
            <w:vAlign w:val="center"/>
            <w:hideMark/>
          </w:tcPr>
          <w:p w:rsidR="006623C7" w:rsidRPr="00CD1518" w:rsidRDefault="006623C7" w:rsidP="00D06D4E">
            <w:pPr>
              <w:spacing w:line="240" w:lineRule="auto"/>
              <w:rPr>
                <w:sz w:val="12"/>
                <w:szCs w:val="12"/>
                <w:lang w:eastAsia="en-AU"/>
              </w:rPr>
            </w:pPr>
            <w:r w:rsidRPr="00CD1518">
              <w:rPr>
                <w:sz w:val="12"/>
                <w:szCs w:val="12"/>
                <w:lang w:eastAsia="en-AU"/>
              </w:rPr>
              <w:t>Theatre Recovery</w:t>
            </w:r>
          </w:p>
        </w:tc>
        <w:tc>
          <w:tcPr>
            <w:tcW w:w="433" w:type="pct"/>
            <w:tcBorders>
              <w:top w:val="nil"/>
              <w:left w:val="single" w:sz="4" w:space="0" w:color="4F81BD"/>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13,031</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12,666</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(365)</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12,666</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12,666</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365</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D06D4E">
            <w:pPr>
              <w:spacing w:line="240" w:lineRule="auto"/>
              <w:jc w:val="right"/>
              <w:rPr>
                <w:sz w:val="12"/>
                <w:szCs w:val="12"/>
                <w:lang w:eastAsia="en-AU"/>
              </w:rPr>
            </w:pPr>
            <w:r w:rsidRPr="00CD1518">
              <w:rPr>
                <w:sz w:val="12"/>
                <w:szCs w:val="12"/>
                <w:lang w:eastAsia="en-AU"/>
              </w:rPr>
              <w:t>97%</w:t>
            </w:r>
          </w:p>
        </w:tc>
      </w:tr>
      <w:tr w:rsidR="003A1695" w:rsidRPr="006623C7" w:rsidTr="006623C7">
        <w:trPr>
          <w:trHeight w:val="290"/>
        </w:trPr>
        <w:tc>
          <w:tcPr>
            <w:tcW w:w="666" w:type="pct"/>
            <w:tcBorders>
              <w:top w:val="nil"/>
              <w:left w:val="single" w:sz="4" w:space="0" w:color="4F81BD"/>
              <w:bottom w:val="nil"/>
              <w:right w:val="nil"/>
            </w:tcBorders>
            <w:shd w:val="clear" w:color="000000" w:fill="FFFFFF"/>
            <w:noWrap/>
            <w:vAlign w:val="center"/>
            <w:hideMark/>
          </w:tcPr>
          <w:p w:rsidR="006623C7" w:rsidRPr="00CD1518" w:rsidRDefault="006623C7" w:rsidP="00D06D4E">
            <w:pPr>
              <w:spacing w:line="240" w:lineRule="auto"/>
              <w:rPr>
                <w:color w:val="000000"/>
                <w:sz w:val="12"/>
                <w:szCs w:val="12"/>
                <w:lang w:eastAsia="en-AU"/>
              </w:rPr>
            </w:pPr>
            <w:r w:rsidRPr="00CD1518">
              <w:rPr>
                <w:color w:val="000000"/>
                <w:sz w:val="12"/>
                <w:szCs w:val="12"/>
                <w:lang w:eastAsia="en-AU"/>
              </w:rPr>
              <w:t>Theatre Surgeon</w:t>
            </w:r>
          </w:p>
        </w:tc>
        <w:tc>
          <w:tcPr>
            <w:tcW w:w="433" w:type="pct"/>
            <w:tcBorders>
              <w:top w:val="nil"/>
              <w:left w:val="single" w:sz="4" w:space="0" w:color="4F81BD"/>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18,450</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17,930</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(520)</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17,930</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17,930</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520</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D06D4E">
            <w:pPr>
              <w:spacing w:line="240" w:lineRule="auto"/>
              <w:jc w:val="right"/>
              <w:rPr>
                <w:color w:val="000000"/>
                <w:sz w:val="12"/>
                <w:szCs w:val="12"/>
                <w:lang w:eastAsia="en-AU"/>
              </w:rPr>
            </w:pPr>
            <w:r w:rsidRPr="00CD1518">
              <w:rPr>
                <w:color w:val="000000"/>
                <w:sz w:val="12"/>
                <w:szCs w:val="12"/>
                <w:lang w:eastAsia="en-AU"/>
              </w:rPr>
              <w:t>97%</w:t>
            </w:r>
          </w:p>
        </w:tc>
      </w:tr>
      <w:tr w:rsidR="003A1695" w:rsidRPr="006623C7" w:rsidTr="006623C7">
        <w:trPr>
          <w:trHeight w:val="290"/>
        </w:trPr>
        <w:tc>
          <w:tcPr>
            <w:tcW w:w="666" w:type="pct"/>
            <w:tcBorders>
              <w:top w:val="nil"/>
              <w:left w:val="single" w:sz="4" w:space="0" w:color="4F81BD"/>
              <w:bottom w:val="nil"/>
              <w:right w:val="nil"/>
            </w:tcBorders>
            <w:shd w:val="clear" w:color="000000" w:fill="DCE6F1"/>
            <w:noWrap/>
            <w:vAlign w:val="center"/>
            <w:hideMark/>
          </w:tcPr>
          <w:p w:rsidR="006623C7" w:rsidRPr="00CD1518" w:rsidRDefault="006623C7" w:rsidP="00D06D4E">
            <w:pPr>
              <w:spacing w:line="240" w:lineRule="auto"/>
              <w:rPr>
                <w:sz w:val="12"/>
                <w:szCs w:val="12"/>
                <w:lang w:eastAsia="en-AU"/>
              </w:rPr>
            </w:pPr>
            <w:r w:rsidRPr="00CD1518">
              <w:rPr>
                <w:sz w:val="12"/>
                <w:szCs w:val="12"/>
                <w:lang w:eastAsia="en-AU"/>
              </w:rPr>
              <w:t>Travel Care Flight Darwin</w:t>
            </w:r>
          </w:p>
        </w:tc>
        <w:tc>
          <w:tcPr>
            <w:tcW w:w="433" w:type="pct"/>
            <w:tcBorders>
              <w:top w:val="nil"/>
              <w:left w:val="single" w:sz="4" w:space="0" w:color="4F81BD"/>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2,030</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5</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(2,025)</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2</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1</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2</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5</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2,025</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D06D4E">
            <w:pPr>
              <w:spacing w:line="240" w:lineRule="auto"/>
              <w:jc w:val="right"/>
              <w:rPr>
                <w:sz w:val="12"/>
                <w:szCs w:val="12"/>
                <w:lang w:eastAsia="en-AU"/>
              </w:rPr>
            </w:pPr>
            <w:r w:rsidRPr="00CD1518">
              <w:rPr>
                <w:sz w:val="12"/>
                <w:szCs w:val="12"/>
                <w:lang w:eastAsia="en-AU"/>
              </w:rPr>
              <w:t>0%</w:t>
            </w:r>
          </w:p>
        </w:tc>
      </w:tr>
      <w:tr w:rsidR="003A1695" w:rsidRPr="006623C7" w:rsidTr="006623C7">
        <w:trPr>
          <w:trHeight w:val="290"/>
        </w:trPr>
        <w:tc>
          <w:tcPr>
            <w:tcW w:w="666" w:type="pct"/>
            <w:tcBorders>
              <w:top w:val="nil"/>
              <w:left w:val="single" w:sz="4" w:space="0" w:color="4F81BD"/>
              <w:bottom w:val="nil"/>
              <w:right w:val="nil"/>
            </w:tcBorders>
            <w:shd w:val="clear" w:color="000000" w:fill="FFFFFF"/>
            <w:noWrap/>
            <w:vAlign w:val="center"/>
            <w:hideMark/>
          </w:tcPr>
          <w:p w:rsidR="006623C7" w:rsidRPr="00CD1518" w:rsidRDefault="006623C7" w:rsidP="00D06D4E">
            <w:pPr>
              <w:spacing w:line="240" w:lineRule="auto"/>
              <w:rPr>
                <w:color w:val="000000"/>
                <w:sz w:val="12"/>
                <w:szCs w:val="12"/>
                <w:lang w:eastAsia="en-AU"/>
              </w:rPr>
            </w:pPr>
            <w:r w:rsidRPr="00CD1518">
              <w:rPr>
                <w:color w:val="000000"/>
                <w:sz w:val="12"/>
                <w:szCs w:val="12"/>
                <w:lang w:eastAsia="en-AU"/>
              </w:rPr>
              <w:t>Travel Care Flight NT</w:t>
            </w:r>
          </w:p>
        </w:tc>
        <w:tc>
          <w:tcPr>
            <w:tcW w:w="433" w:type="pct"/>
            <w:tcBorders>
              <w:top w:val="nil"/>
              <w:left w:val="single" w:sz="4" w:space="0" w:color="4F81BD"/>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169</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157</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(12)</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153</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3</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157</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12</w:t>
            </w:r>
          </w:p>
        </w:tc>
        <w:tc>
          <w:tcPr>
            <w:tcW w:w="434" w:type="pct"/>
            <w:tcBorders>
              <w:top w:val="nil"/>
              <w:left w:val="nil"/>
              <w:bottom w:val="nil"/>
              <w:right w:val="single" w:sz="4" w:space="0" w:color="4F81BD"/>
            </w:tcBorders>
            <w:shd w:val="clear" w:color="000000" w:fill="FFFFFF"/>
            <w:noWrap/>
            <w:vAlign w:val="center"/>
            <w:hideMark/>
          </w:tcPr>
          <w:p w:rsidR="006623C7" w:rsidRPr="00CD1518" w:rsidRDefault="006623C7" w:rsidP="00D06D4E">
            <w:pPr>
              <w:spacing w:line="240" w:lineRule="auto"/>
              <w:jc w:val="right"/>
              <w:rPr>
                <w:color w:val="000000"/>
                <w:sz w:val="12"/>
                <w:szCs w:val="12"/>
                <w:lang w:eastAsia="en-AU"/>
              </w:rPr>
            </w:pPr>
            <w:r w:rsidRPr="00CD1518">
              <w:rPr>
                <w:color w:val="000000"/>
                <w:sz w:val="12"/>
                <w:szCs w:val="12"/>
                <w:lang w:eastAsia="en-AU"/>
              </w:rPr>
              <w:t>93%</w:t>
            </w:r>
          </w:p>
        </w:tc>
      </w:tr>
      <w:tr w:rsidR="003A1695" w:rsidRPr="006623C7" w:rsidTr="006623C7">
        <w:trPr>
          <w:trHeight w:val="290"/>
        </w:trPr>
        <w:tc>
          <w:tcPr>
            <w:tcW w:w="666" w:type="pct"/>
            <w:tcBorders>
              <w:top w:val="nil"/>
              <w:left w:val="single" w:sz="4" w:space="0" w:color="4F81BD"/>
              <w:bottom w:val="nil"/>
              <w:right w:val="nil"/>
            </w:tcBorders>
            <w:shd w:val="clear" w:color="000000" w:fill="DCE6F1"/>
            <w:noWrap/>
            <w:vAlign w:val="center"/>
            <w:hideMark/>
          </w:tcPr>
          <w:p w:rsidR="006623C7" w:rsidRPr="00CD1518" w:rsidRDefault="006623C7" w:rsidP="00D06D4E">
            <w:pPr>
              <w:spacing w:line="240" w:lineRule="auto"/>
              <w:rPr>
                <w:sz w:val="12"/>
                <w:szCs w:val="12"/>
                <w:lang w:eastAsia="en-AU"/>
              </w:rPr>
            </w:pPr>
            <w:r w:rsidRPr="00CD1518">
              <w:rPr>
                <w:sz w:val="12"/>
                <w:szCs w:val="12"/>
                <w:lang w:eastAsia="en-AU"/>
              </w:rPr>
              <w:t>Travel RFDS</w:t>
            </w:r>
          </w:p>
        </w:tc>
        <w:tc>
          <w:tcPr>
            <w:tcW w:w="433" w:type="pct"/>
            <w:tcBorders>
              <w:top w:val="nil"/>
              <w:left w:val="single" w:sz="4" w:space="0" w:color="4F81BD"/>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11</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11</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5</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4</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2</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11</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w:t>
            </w:r>
          </w:p>
        </w:tc>
        <w:tc>
          <w:tcPr>
            <w:tcW w:w="433" w:type="pct"/>
            <w:tcBorders>
              <w:top w:val="nil"/>
              <w:left w:val="nil"/>
              <w:bottom w:val="nil"/>
              <w:right w:val="single" w:sz="4" w:space="0" w:color="4F81BD"/>
            </w:tcBorders>
            <w:shd w:val="clear" w:color="000000" w:fill="DCE6F1"/>
            <w:noWrap/>
            <w:vAlign w:val="center"/>
            <w:hideMark/>
          </w:tcPr>
          <w:p w:rsidR="006623C7" w:rsidRPr="00CD1518" w:rsidRDefault="006623C7" w:rsidP="00CD1518">
            <w:pPr>
              <w:spacing w:line="240" w:lineRule="auto"/>
              <w:jc w:val="right"/>
              <w:rPr>
                <w:sz w:val="12"/>
                <w:szCs w:val="12"/>
                <w:lang w:eastAsia="en-AU"/>
              </w:rPr>
            </w:pPr>
            <w:r w:rsidRPr="00CD1518">
              <w:rPr>
                <w:sz w:val="12"/>
                <w:szCs w:val="12"/>
                <w:lang w:eastAsia="en-AU"/>
              </w:rPr>
              <w:t>(11)</w:t>
            </w:r>
          </w:p>
        </w:tc>
        <w:tc>
          <w:tcPr>
            <w:tcW w:w="434" w:type="pct"/>
            <w:tcBorders>
              <w:top w:val="nil"/>
              <w:left w:val="nil"/>
              <w:bottom w:val="nil"/>
              <w:right w:val="single" w:sz="4" w:space="0" w:color="4F81BD"/>
            </w:tcBorders>
            <w:shd w:val="clear" w:color="000000" w:fill="DCE6F1"/>
            <w:noWrap/>
            <w:vAlign w:val="center"/>
            <w:hideMark/>
          </w:tcPr>
          <w:p w:rsidR="006623C7" w:rsidRPr="00CD1518" w:rsidRDefault="006623C7" w:rsidP="00D06D4E">
            <w:pPr>
              <w:spacing w:line="240" w:lineRule="auto"/>
              <w:jc w:val="right"/>
              <w:rPr>
                <w:sz w:val="12"/>
                <w:szCs w:val="12"/>
                <w:lang w:eastAsia="en-AU"/>
              </w:rPr>
            </w:pPr>
            <w:r w:rsidRPr="00CD1518">
              <w:rPr>
                <w:sz w:val="12"/>
                <w:szCs w:val="12"/>
                <w:lang w:eastAsia="en-AU"/>
              </w:rPr>
              <w:t>100%</w:t>
            </w:r>
          </w:p>
        </w:tc>
      </w:tr>
      <w:tr w:rsidR="003A1695" w:rsidRPr="006623C7" w:rsidTr="006623C7">
        <w:trPr>
          <w:trHeight w:val="290"/>
        </w:trPr>
        <w:tc>
          <w:tcPr>
            <w:tcW w:w="666" w:type="pct"/>
            <w:tcBorders>
              <w:top w:val="nil"/>
              <w:left w:val="single" w:sz="4" w:space="0" w:color="4F81BD"/>
              <w:bottom w:val="single" w:sz="4" w:space="0" w:color="4F81BD"/>
              <w:right w:val="nil"/>
            </w:tcBorders>
            <w:shd w:val="clear" w:color="000000" w:fill="FFFFFF"/>
            <w:noWrap/>
            <w:vAlign w:val="center"/>
            <w:hideMark/>
          </w:tcPr>
          <w:p w:rsidR="006623C7" w:rsidRPr="00CD1518" w:rsidRDefault="006623C7" w:rsidP="00D06D4E">
            <w:pPr>
              <w:spacing w:line="240" w:lineRule="auto"/>
              <w:rPr>
                <w:color w:val="000000"/>
                <w:sz w:val="12"/>
                <w:szCs w:val="12"/>
                <w:lang w:eastAsia="en-AU"/>
              </w:rPr>
            </w:pPr>
            <w:r w:rsidRPr="00CD1518">
              <w:rPr>
                <w:color w:val="000000"/>
                <w:sz w:val="12"/>
                <w:szCs w:val="12"/>
                <w:lang w:eastAsia="en-AU"/>
              </w:rPr>
              <w:t>Travel TMS</w:t>
            </w:r>
          </w:p>
        </w:tc>
        <w:tc>
          <w:tcPr>
            <w:tcW w:w="433" w:type="pct"/>
            <w:tcBorders>
              <w:top w:val="nil"/>
              <w:left w:val="single" w:sz="4" w:space="0" w:color="4F81BD"/>
              <w:bottom w:val="single" w:sz="4" w:space="0" w:color="4F81BD"/>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122</w:t>
            </w:r>
          </w:p>
        </w:tc>
        <w:tc>
          <w:tcPr>
            <w:tcW w:w="433" w:type="pct"/>
            <w:tcBorders>
              <w:top w:val="nil"/>
              <w:left w:val="nil"/>
              <w:bottom w:val="single" w:sz="4" w:space="0" w:color="4F81BD"/>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172</w:t>
            </w:r>
          </w:p>
        </w:tc>
        <w:tc>
          <w:tcPr>
            <w:tcW w:w="434" w:type="pct"/>
            <w:tcBorders>
              <w:top w:val="nil"/>
              <w:left w:val="nil"/>
              <w:bottom w:val="single" w:sz="4" w:space="0" w:color="4F81BD"/>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50</w:t>
            </w:r>
          </w:p>
        </w:tc>
        <w:tc>
          <w:tcPr>
            <w:tcW w:w="433" w:type="pct"/>
            <w:tcBorders>
              <w:top w:val="nil"/>
              <w:left w:val="nil"/>
              <w:bottom w:val="single" w:sz="4" w:space="0" w:color="4F81BD"/>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165</w:t>
            </w:r>
          </w:p>
        </w:tc>
        <w:tc>
          <w:tcPr>
            <w:tcW w:w="434" w:type="pct"/>
            <w:tcBorders>
              <w:top w:val="nil"/>
              <w:left w:val="nil"/>
              <w:bottom w:val="single" w:sz="4" w:space="0" w:color="4F81BD"/>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2</w:t>
            </w:r>
          </w:p>
        </w:tc>
        <w:tc>
          <w:tcPr>
            <w:tcW w:w="433" w:type="pct"/>
            <w:tcBorders>
              <w:top w:val="nil"/>
              <w:left w:val="nil"/>
              <w:bottom w:val="single" w:sz="4" w:space="0" w:color="4F81BD"/>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5</w:t>
            </w:r>
          </w:p>
        </w:tc>
        <w:tc>
          <w:tcPr>
            <w:tcW w:w="433" w:type="pct"/>
            <w:tcBorders>
              <w:top w:val="nil"/>
              <w:left w:val="nil"/>
              <w:bottom w:val="single" w:sz="4" w:space="0" w:color="4F81BD"/>
              <w:right w:val="single" w:sz="4" w:space="0" w:color="4F81BD"/>
            </w:tcBorders>
            <w:shd w:val="clear" w:color="000000" w:fill="DCE6F1"/>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172</w:t>
            </w:r>
          </w:p>
        </w:tc>
        <w:tc>
          <w:tcPr>
            <w:tcW w:w="434" w:type="pct"/>
            <w:tcBorders>
              <w:top w:val="nil"/>
              <w:left w:val="nil"/>
              <w:bottom w:val="single" w:sz="4" w:space="0" w:color="4F81BD"/>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50</w:t>
            </w:r>
          </w:p>
        </w:tc>
        <w:tc>
          <w:tcPr>
            <w:tcW w:w="433" w:type="pct"/>
            <w:tcBorders>
              <w:top w:val="nil"/>
              <w:left w:val="nil"/>
              <w:bottom w:val="single" w:sz="4" w:space="0" w:color="4F81BD"/>
              <w:right w:val="single" w:sz="4" w:space="0" w:color="4F81BD"/>
            </w:tcBorders>
            <w:shd w:val="clear" w:color="000000" w:fill="FFFFFF"/>
            <w:noWrap/>
            <w:vAlign w:val="center"/>
            <w:hideMark/>
          </w:tcPr>
          <w:p w:rsidR="006623C7" w:rsidRPr="00CD1518" w:rsidRDefault="006623C7" w:rsidP="00CD1518">
            <w:pPr>
              <w:spacing w:line="240" w:lineRule="auto"/>
              <w:jc w:val="right"/>
              <w:rPr>
                <w:color w:val="000000"/>
                <w:sz w:val="12"/>
                <w:szCs w:val="12"/>
                <w:lang w:eastAsia="en-AU"/>
              </w:rPr>
            </w:pPr>
            <w:r w:rsidRPr="00CD1518">
              <w:rPr>
                <w:color w:val="000000"/>
                <w:sz w:val="12"/>
                <w:szCs w:val="12"/>
                <w:lang w:eastAsia="en-AU"/>
              </w:rPr>
              <w:t>-</w:t>
            </w:r>
          </w:p>
        </w:tc>
        <w:tc>
          <w:tcPr>
            <w:tcW w:w="434" w:type="pct"/>
            <w:tcBorders>
              <w:top w:val="nil"/>
              <w:left w:val="nil"/>
              <w:bottom w:val="single" w:sz="4" w:space="0" w:color="4F81BD"/>
              <w:right w:val="single" w:sz="4" w:space="0" w:color="4F81BD"/>
            </w:tcBorders>
            <w:shd w:val="clear" w:color="000000" w:fill="FFFFFF"/>
            <w:noWrap/>
            <w:vAlign w:val="center"/>
            <w:hideMark/>
          </w:tcPr>
          <w:p w:rsidR="006623C7" w:rsidRPr="00CD1518" w:rsidRDefault="006623C7" w:rsidP="00D06D4E">
            <w:pPr>
              <w:spacing w:line="240" w:lineRule="auto"/>
              <w:jc w:val="right"/>
              <w:rPr>
                <w:color w:val="000000"/>
                <w:sz w:val="12"/>
                <w:szCs w:val="12"/>
                <w:lang w:eastAsia="en-AU"/>
              </w:rPr>
            </w:pPr>
            <w:r w:rsidRPr="00CD1518">
              <w:rPr>
                <w:color w:val="000000"/>
                <w:sz w:val="12"/>
                <w:szCs w:val="12"/>
                <w:lang w:eastAsia="en-AU"/>
              </w:rPr>
              <w:t>141%</w:t>
            </w:r>
          </w:p>
        </w:tc>
      </w:tr>
    </w:tbl>
    <w:p w:rsidR="002E59FA" w:rsidRPr="00975E6B" w:rsidRDefault="002E59FA" w:rsidP="002E59FA">
      <w:pPr>
        <w:rPr>
          <w:bCs/>
          <w:i/>
          <w:sz w:val="16"/>
          <w:szCs w:val="16"/>
        </w:rPr>
      </w:pPr>
      <w:r w:rsidRPr="00975E6B">
        <w:rPr>
          <w:bCs/>
          <w:i/>
          <w:sz w:val="16"/>
          <w:szCs w:val="16"/>
        </w:rPr>
        <w:t xml:space="preserve">Source: KPMG based on </w:t>
      </w:r>
      <w:r w:rsidR="00C15673" w:rsidRPr="00975E6B">
        <w:rPr>
          <w:bCs/>
          <w:i/>
          <w:sz w:val="16"/>
          <w:szCs w:val="16"/>
        </w:rPr>
        <w:t>Royal Darwin</w:t>
      </w:r>
      <w:r w:rsidRPr="00975E6B">
        <w:rPr>
          <w:bCs/>
          <w:i/>
          <w:sz w:val="16"/>
          <w:szCs w:val="16"/>
        </w:rPr>
        <w:t xml:space="preserve"> IFR templates</w:t>
      </w:r>
    </w:p>
    <w:p w:rsidR="002E59FA" w:rsidRPr="00975E6B" w:rsidRDefault="002E59FA" w:rsidP="002E59FA">
      <w:pPr>
        <w:pStyle w:val="BodyText"/>
      </w:pPr>
      <w:r w:rsidRPr="00975E6B">
        <w:t xml:space="preserve">There is a Patient Admission System (PAS) across all hospitals and a client information system across primary and regional NT. Non-admitted activity numbers have increased in Round 18 and relate to required </w:t>
      </w:r>
      <w:r w:rsidR="00E2298F" w:rsidRPr="00975E6B">
        <w:t>Visiting</w:t>
      </w:r>
      <w:r w:rsidRPr="00975E6B">
        <w:t xml:space="preserve"> Medical Officer (VMO) work in remote areas</w:t>
      </w:r>
      <w:r w:rsidR="00E2298F" w:rsidRPr="00975E6B">
        <w:t>. C</w:t>
      </w:r>
      <w:r w:rsidRPr="00975E6B">
        <w:t>osts</w:t>
      </w:r>
      <w:r w:rsidR="00E2298F" w:rsidRPr="00975E6B">
        <w:t xml:space="preserve"> for this work</w:t>
      </w:r>
      <w:r w:rsidRPr="00975E6B">
        <w:t xml:space="preserve"> are recorded in the home hospital but activity data is in the primary care system. The activity is transferred by matching with the unique client </w:t>
      </w:r>
      <w:r w:rsidR="00996E4E" w:rsidRPr="00975E6B">
        <w:t>identifier (</w:t>
      </w:r>
      <w:r w:rsidRPr="00975E6B">
        <w:t>ID</w:t>
      </w:r>
      <w:r w:rsidR="00996E4E" w:rsidRPr="00975E6B">
        <w:t>)</w:t>
      </w:r>
      <w:r w:rsidRPr="00975E6B">
        <w:t xml:space="preserve"> and is reflected as non-admitted activity numbers.</w:t>
      </w:r>
    </w:p>
    <w:p w:rsidR="002E59FA" w:rsidRPr="00975E6B" w:rsidRDefault="002E59FA" w:rsidP="002E59FA">
      <w:pPr>
        <w:pStyle w:val="BodyText"/>
      </w:pPr>
      <w:r w:rsidRPr="00975E6B">
        <w:t xml:space="preserve">The following should be noted about the activity and feeder data for </w:t>
      </w:r>
      <w:r w:rsidR="00C15673" w:rsidRPr="00975E6B">
        <w:t>Royal Darwin</w:t>
      </w:r>
      <w:r w:rsidRPr="00975E6B">
        <w:t>:</w:t>
      </w:r>
    </w:p>
    <w:p w:rsidR="00FA743C" w:rsidRDefault="00FA743C" w:rsidP="00F26328">
      <w:pPr>
        <w:pStyle w:val="BodyText"/>
        <w:numPr>
          <w:ilvl w:val="0"/>
          <w:numId w:val="35"/>
        </w:numPr>
      </w:pPr>
      <w:r>
        <w:t>Source activity data relates to activity at Royal Darwin only, whereas costing system activity dat</w:t>
      </w:r>
      <w:r w:rsidR="006544B7">
        <w:t>a relates to all NT hospitals.</w:t>
      </w:r>
    </w:p>
    <w:p w:rsidR="002E59FA" w:rsidRDefault="002E59FA" w:rsidP="00F26328">
      <w:pPr>
        <w:pStyle w:val="BodyText"/>
        <w:numPr>
          <w:ilvl w:val="0"/>
          <w:numId w:val="35"/>
        </w:numPr>
      </w:pPr>
      <w:r w:rsidRPr="00975E6B">
        <w:t xml:space="preserve">There are 17 feeder systems utilised at </w:t>
      </w:r>
      <w:r w:rsidR="00C15673" w:rsidRPr="00975E6B">
        <w:t>Royal Darwin</w:t>
      </w:r>
      <w:r w:rsidR="008375B1" w:rsidRPr="00975E6B">
        <w:t xml:space="preserve"> </w:t>
      </w:r>
      <w:r w:rsidR="007155A1" w:rsidRPr="00975E6B">
        <w:t>and they appear to represent major hospital departments providing resource activity</w:t>
      </w:r>
      <w:r w:rsidR="008375B1" w:rsidRPr="00975E6B">
        <w:t>.</w:t>
      </w:r>
    </w:p>
    <w:p w:rsidR="006623C7" w:rsidRDefault="006623C7" w:rsidP="00F26328">
      <w:pPr>
        <w:numPr>
          <w:ilvl w:val="0"/>
          <w:numId w:val="35"/>
        </w:numPr>
        <w:shd w:val="clear" w:color="auto" w:fill="FFFFFF" w:themeFill="background1"/>
        <w:spacing w:before="120" w:after="120" w:line="280" w:lineRule="atLeast"/>
        <w:jc w:val="both"/>
        <w:rPr>
          <w:szCs w:val="22"/>
        </w:rPr>
      </w:pPr>
      <w:r w:rsidRPr="00975E6B">
        <w:rPr>
          <w:szCs w:val="22"/>
        </w:rPr>
        <w:t xml:space="preserve">With the exception of </w:t>
      </w:r>
      <w:r>
        <w:rPr>
          <w:szCs w:val="22"/>
        </w:rPr>
        <w:t>four</w:t>
      </w:r>
      <w:r w:rsidRPr="00975E6B">
        <w:rPr>
          <w:szCs w:val="22"/>
        </w:rPr>
        <w:t xml:space="preserve"> feeder data systems, the number of records linked to </w:t>
      </w:r>
      <w:proofErr w:type="gramStart"/>
      <w:r w:rsidRPr="00975E6B">
        <w:rPr>
          <w:szCs w:val="22"/>
        </w:rPr>
        <w:t>admitted</w:t>
      </w:r>
      <w:proofErr w:type="gramEnd"/>
      <w:r w:rsidRPr="00975E6B">
        <w:rPr>
          <w:szCs w:val="22"/>
        </w:rPr>
        <w:t xml:space="preserve"> acute patients, emergency or non-admitted patients had a greater than 90 percent link or match. </w:t>
      </w:r>
    </w:p>
    <w:p w:rsidR="006623C7" w:rsidRDefault="006623C7" w:rsidP="00F26328">
      <w:pPr>
        <w:numPr>
          <w:ilvl w:val="0"/>
          <w:numId w:val="35"/>
        </w:numPr>
        <w:shd w:val="clear" w:color="auto" w:fill="FFFFFF" w:themeFill="background1"/>
        <w:spacing w:before="120" w:after="120" w:line="280" w:lineRule="atLeast"/>
        <w:jc w:val="both"/>
        <w:rPr>
          <w:szCs w:val="22"/>
        </w:rPr>
      </w:pPr>
      <w:r>
        <w:rPr>
          <w:szCs w:val="22"/>
        </w:rPr>
        <w:lastRenderedPageBreak/>
        <w:t>Linking ratios greater than 100% existed where the costing system included feeder data related to all NT hospitals, not just Royal Darwin.</w:t>
      </w:r>
    </w:p>
    <w:p w:rsidR="006623C7" w:rsidRDefault="006623C7" w:rsidP="00F26328">
      <w:pPr>
        <w:numPr>
          <w:ilvl w:val="0"/>
          <w:numId w:val="35"/>
        </w:numPr>
        <w:shd w:val="clear" w:color="auto" w:fill="FFFFFF" w:themeFill="background1"/>
        <w:spacing w:before="120" w:after="120" w:line="280" w:lineRule="atLeast"/>
        <w:jc w:val="both"/>
        <w:rPr>
          <w:szCs w:val="22"/>
        </w:rPr>
      </w:pPr>
      <w:r>
        <w:rPr>
          <w:szCs w:val="22"/>
        </w:rPr>
        <w:t xml:space="preserve">The variances in the allied health, angioplasty and </w:t>
      </w:r>
      <w:proofErr w:type="spellStart"/>
      <w:r>
        <w:rPr>
          <w:szCs w:val="22"/>
        </w:rPr>
        <w:t>pharmacy_HSD</w:t>
      </w:r>
      <w:proofErr w:type="spellEnd"/>
      <w:r>
        <w:rPr>
          <w:szCs w:val="22"/>
        </w:rPr>
        <w:t xml:space="preserve"> feeders occurred due to data quality issues with</w:t>
      </w:r>
      <w:r w:rsidR="006544B7">
        <w:rPr>
          <w:szCs w:val="22"/>
        </w:rPr>
        <w:t xml:space="preserve"> linking episodes to patients.</w:t>
      </w:r>
    </w:p>
    <w:p w:rsidR="006623C7" w:rsidRDefault="006623C7" w:rsidP="00F26328">
      <w:pPr>
        <w:numPr>
          <w:ilvl w:val="0"/>
          <w:numId w:val="35"/>
        </w:numPr>
        <w:shd w:val="clear" w:color="auto" w:fill="FFFFFF" w:themeFill="background1"/>
        <w:spacing w:before="120" w:after="120" w:line="280" w:lineRule="atLeast"/>
        <w:jc w:val="both"/>
        <w:rPr>
          <w:szCs w:val="22"/>
        </w:rPr>
      </w:pPr>
      <w:r>
        <w:rPr>
          <w:szCs w:val="22"/>
        </w:rPr>
        <w:t xml:space="preserve">The variance in the theatre nursing feeder occurred due to data quality issues as there are less nursing records loaded into </w:t>
      </w:r>
      <w:r w:rsidR="00DF43A9">
        <w:rPr>
          <w:szCs w:val="22"/>
        </w:rPr>
        <w:t>the theatre feeders than surgeon records.</w:t>
      </w:r>
    </w:p>
    <w:p w:rsidR="002E59FA" w:rsidRPr="00975E6B" w:rsidRDefault="002E59FA" w:rsidP="002E59FA">
      <w:pPr>
        <w:pStyle w:val="BodyText"/>
      </w:pPr>
      <w:r w:rsidRPr="00975E6B">
        <w:rPr>
          <w:szCs w:val="20"/>
        </w:rPr>
        <w:fldChar w:fldCharType="begin"/>
      </w:r>
      <w:r w:rsidRPr="00975E6B">
        <w:instrText xml:space="preserve"> REF _Ref433229290 \h  \* MERGEFORMAT </w:instrText>
      </w:r>
      <w:r w:rsidRPr="00975E6B">
        <w:rPr>
          <w:szCs w:val="20"/>
        </w:rPr>
      </w:r>
      <w:r w:rsidRPr="00975E6B">
        <w:rPr>
          <w:szCs w:val="20"/>
        </w:rPr>
        <w:fldChar w:fldCharType="separate"/>
      </w:r>
      <w:r w:rsidR="00154CF7" w:rsidRPr="00975E6B">
        <w:t xml:space="preserve">Table </w:t>
      </w:r>
      <w:r w:rsidR="00154CF7" w:rsidRPr="00154CF7">
        <w:rPr>
          <w:noProof/>
        </w:rPr>
        <w:t>29</w:t>
      </w:r>
      <w:r w:rsidRPr="00975E6B">
        <w:fldChar w:fldCharType="end"/>
      </w:r>
      <w:r w:rsidRPr="00975E6B">
        <w:t xml:space="preserve"> highlights the transfer of activity data from </w:t>
      </w:r>
      <w:r w:rsidR="00C15673" w:rsidRPr="00975E6B">
        <w:t>Royal Darwin</w:t>
      </w:r>
      <w:r w:rsidRPr="00975E6B">
        <w:t xml:space="preserve"> to </w:t>
      </w:r>
      <w:r w:rsidR="00772B0F" w:rsidRPr="00975E6B">
        <w:t>NT Health</w:t>
      </w:r>
      <w:r w:rsidRPr="00975E6B">
        <w:t xml:space="preserve"> and then through to IHPA submission and finalisation.</w:t>
      </w:r>
    </w:p>
    <w:p w:rsidR="00FA743C" w:rsidRPr="00975E6B" w:rsidRDefault="002E59FA" w:rsidP="00CD1518">
      <w:pPr>
        <w:pStyle w:val="Caption"/>
      </w:pPr>
      <w:bookmarkStart w:id="709" w:name="_Ref433229290"/>
      <w:r w:rsidRPr="00975E6B">
        <w:t xml:space="preserve">Table </w:t>
      </w:r>
      <w:r w:rsidR="004D0865">
        <w:fldChar w:fldCharType="begin"/>
      </w:r>
      <w:r w:rsidR="004D0865">
        <w:rPr>
          <w:bCs w:val="0"/>
          <w:i w:val="0"/>
        </w:rPr>
        <w:instrText xml:space="preserve"> SEQ Table \* ARABIC </w:instrText>
      </w:r>
      <w:r w:rsidR="004D0865">
        <w:fldChar w:fldCharType="separate"/>
      </w:r>
      <w:r w:rsidR="00154CF7">
        <w:rPr>
          <w:bCs w:val="0"/>
          <w:i w:val="0"/>
          <w:noProof/>
        </w:rPr>
        <w:t>29</w:t>
      </w:r>
      <w:r w:rsidR="004D0865">
        <w:rPr>
          <w:noProof/>
        </w:rPr>
        <w:fldChar w:fldCharType="end"/>
      </w:r>
      <w:bookmarkEnd w:id="709"/>
      <w:r w:rsidR="00BA3F4B" w:rsidRPr="00975E6B">
        <w:t xml:space="preserve"> </w:t>
      </w:r>
      <w:r w:rsidRPr="00975E6B">
        <w:t xml:space="preserve">– Activity data submission – </w:t>
      </w:r>
      <w:r w:rsidR="00C15673" w:rsidRPr="00975E6B">
        <w:t>Royal Darwin</w:t>
      </w:r>
      <w:r w:rsidR="008B560B" w:rsidRPr="00975E6B">
        <w:t xml:space="preserve"> Hospital</w:t>
      </w:r>
    </w:p>
    <w:tbl>
      <w:tblPr>
        <w:tblW w:w="5000" w:type="pct"/>
        <w:tblLayout w:type="fixed"/>
        <w:tblLook w:val="04A0" w:firstRow="1" w:lastRow="0" w:firstColumn="1" w:lastColumn="0" w:noHBand="0" w:noVBand="1"/>
        <w:tblCaption w:val="Table 29 - Activity submission - Royal Darwin Hospital"/>
        <w:tblDescription w:val="This table highlights the transfer of activity data from Royal Darwin to NT Health and then through to IHPA submission and finalisation. There are 8 columns. Column 1 is the NHCDC product type, Column 2 is the activity related to 2013-14 costs, column 3 is the adjustments to Column 2, column 4 is the activity submitted to the jurisdiction, column 5 is the adjustments to column 4, column 6 is the activity submitted to IHPA, column 7 is the adjustments to column 6 and column 8 is the total activity submitted for the Round 18 NHCDC.&#10;"/>
      </w:tblPr>
      <w:tblGrid>
        <w:gridCol w:w="1741"/>
        <w:gridCol w:w="998"/>
        <w:gridCol w:w="998"/>
        <w:gridCol w:w="998"/>
        <w:gridCol w:w="998"/>
        <w:gridCol w:w="998"/>
        <w:gridCol w:w="998"/>
        <w:gridCol w:w="992"/>
      </w:tblGrid>
      <w:tr w:rsidR="00FA743C" w:rsidRPr="00FA743C" w:rsidTr="00E14378">
        <w:trPr>
          <w:trHeight w:val="955"/>
        </w:trPr>
        <w:tc>
          <w:tcPr>
            <w:tcW w:w="999" w:type="pct"/>
            <w:tcBorders>
              <w:top w:val="single" w:sz="4" w:space="0" w:color="4F81BD"/>
              <w:left w:val="single" w:sz="4" w:space="0" w:color="4F81BD"/>
              <w:bottom w:val="single" w:sz="4" w:space="0" w:color="4F81BD"/>
              <w:right w:val="single" w:sz="4" w:space="0" w:color="4F81BD"/>
            </w:tcBorders>
            <w:shd w:val="clear" w:color="auto" w:fill="002060"/>
            <w:vAlign w:val="bottom"/>
            <w:hideMark/>
          </w:tcPr>
          <w:p w:rsidR="00FA743C" w:rsidRPr="00CD1518" w:rsidRDefault="00FA743C" w:rsidP="00FA743C">
            <w:pPr>
              <w:spacing w:line="240" w:lineRule="auto"/>
              <w:rPr>
                <w:b/>
                <w:bCs/>
                <w:color w:val="FFFFFF"/>
                <w:sz w:val="14"/>
                <w:lang w:eastAsia="en-AU"/>
              </w:rPr>
            </w:pPr>
            <w:r w:rsidRPr="00CD1518">
              <w:rPr>
                <w:b/>
                <w:bCs/>
                <w:color w:val="FFFFFF"/>
                <w:sz w:val="14"/>
                <w:lang w:eastAsia="en-AU"/>
              </w:rPr>
              <w:t>Product</w:t>
            </w:r>
          </w:p>
        </w:tc>
        <w:tc>
          <w:tcPr>
            <w:tcW w:w="572" w:type="pct"/>
            <w:tcBorders>
              <w:top w:val="single" w:sz="4" w:space="0" w:color="4F81BD"/>
              <w:left w:val="nil"/>
              <w:bottom w:val="single" w:sz="4" w:space="0" w:color="4F81BD"/>
              <w:right w:val="single" w:sz="4" w:space="0" w:color="4F81BD"/>
            </w:tcBorders>
            <w:shd w:val="clear" w:color="auto" w:fill="002060"/>
            <w:vAlign w:val="bottom"/>
            <w:hideMark/>
          </w:tcPr>
          <w:p w:rsidR="00FA743C" w:rsidRPr="00CD1518" w:rsidRDefault="00FA743C" w:rsidP="00FA743C">
            <w:pPr>
              <w:spacing w:line="240" w:lineRule="auto"/>
              <w:jc w:val="center"/>
              <w:rPr>
                <w:b/>
                <w:bCs/>
                <w:color w:val="FFFFFF"/>
                <w:sz w:val="14"/>
                <w:lang w:eastAsia="en-AU"/>
              </w:rPr>
            </w:pPr>
            <w:r w:rsidRPr="00CD1518">
              <w:rPr>
                <w:b/>
                <w:bCs/>
                <w:color w:val="FFFFFF"/>
                <w:sz w:val="14"/>
                <w:lang w:eastAsia="en-AU"/>
              </w:rPr>
              <w:t>Activity related to 2013-14 Costs</w:t>
            </w:r>
          </w:p>
        </w:tc>
        <w:tc>
          <w:tcPr>
            <w:tcW w:w="572" w:type="pct"/>
            <w:tcBorders>
              <w:top w:val="single" w:sz="4" w:space="0" w:color="4F81BD"/>
              <w:left w:val="nil"/>
              <w:bottom w:val="single" w:sz="4" w:space="0" w:color="4F81BD"/>
              <w:right w:val="single" w:sz="4" w:space="0" w:color="4F81BD"/>
            </w:tcBorders>
            <w:shd w:val="clear" w:color="auto" w:fill="002060"/>
            <w:vAlign w:val="bottom"/>
            <w:hideMark/>
          </w:tcPr>
          <w:p w:rsidR="00FA743C" w:rsidRPr="00CD1518" w:rsidRDefault="00FA743C" w:rsidP="00FA743C">
            <w:pPr>
              <w:spacing w:line="240" w:lineRule="auto"/>
              <w:jc w:val="center"/>
              <w:rPr>
                <w:b/>
                <w:bCs/>
                <w:color w:val="FFFFFF"/>
                <w:sz w:val="14"/>
                <w:lang w:eastAsia="en-AU"/>
              </w:rPr>
            </w:pPr>
            <w:r w:rsidRPr="00CD1518">
              <w:rPr>
                <w:b/>
                <w:bCs/>
                <w:color w:val="FFFFFF"/>
                <w:sz w:val="12"/>
                <w:lang w:eastAsia="en-AU"/>
              </w:rPr>
              <w:t>Adjustments</w:t>
            </w:r>
          </w:p>
        </w:tc>
        <w:tc>
          <w:tcPr>
            <w:tcW w:w="572" w:type="pct"/>
            <w:tcBorders>
              <w:top w:val="single" w:sz="4" w:space="0" w:color="4F81BD"/>
              <w:left w:val="nil"/>
              <w:bottom w:val="single" w:sz="4" w:space="0" w:color="4F81BD"/>
              <w:right w:val="single" w:sz="4" w:space="0" w:color="4F81BD"/>
            </w:tcBorders>
            <w:shd w:val="clear" w:color="auto" w:fill="002060"/>
            <w:vAlign w:val="bottom"/>
            <w:hideMark/>
          </w:tcPr>
          <w:p w:rsidR="00FA743C" w:rsidRPr="00CD1518" w:rsidRDefault="00FA743C" w:rsidP="00FA743C">
            <w:pPr>
              <w:spacing w:line="240" w:lineRule="auto"/>
              <w:jc w:val="center"/>
              <w:rPr>
                <w:b/>
                <w:bCs/>
                <w:color w:val="FFFFFF"/>
                <w:sz w:val="14"/>
                <w:lang w:eastAsia="en-AU"/>
              </w:rPr>
            </w:pPr>
            <w:r w:rsidRPr="00CD1518">
              <w:rPr>
                <w:b/>
                <w:bCs/>
                <w:color w:val="FFFFFF"/>
                <w:sz w:val="14"/>
                <w:lang w:eastAsia="en-AU"/>
              </w:rPr>
              <w:t>Activity submitted to jurisdiction</w:t>
            </w:r>
          </w:p>
        </w:tc>
        <w:tc>
          <w:tcPr>
            <w:tcW w:w="572" w:type="pct"/>
            <w:tcBorders>
              <w:top w:val="single" w:sz="4" w:space="0" w:color="4F81BD"/>
              <w:left w:val="nil"/>
              <w:bottom w:val="single" w:sz="4" w:space="0" w:color="4F81BD"/>
              <w:right w:val="single" w:sz="4" w:space="0" w:color="4F81BD"/>
            </w:tcBorders>
            <w:shd w:val="clear" w:color="auto" w:fill="002060"/>
            <w:vAlign w:val="bottom"/>
            <w:hideMark/>
          </w:tcPr>
          <w:p w:rsidR="00FA743C" w:rsidRPr="00CD1518" w:rsidRDefault="00FA743C" w:rsidP="00FA743C">
            <w:pPr>
              <w:spacing w:line="240" w:lineRule="auto"/>
              <w:jc w:val="center"/>
              <w:rPr>
                <w:b/>
                <w:bCs/>
                <w:color w:val="FFFFFF"/>
                <w:sz w:val="12"/>
                <w:lang w:eastAsia="en-AU"/>
              </w:rPr>
            </w:pPr>
            <w:r w:rsidRPr="00CD1518">
              <w:rPr>
                <w:b/>
                <w:bCs/>
                <w:color w:val="FFFFFF"/>
                <w:sz w:val="12"/>
                <w:lang w:eastAsia="en-AU"/>
              </w:rPr>
              <w:t>Adjustments</w:t>
            </w:r>
          </w:p>
        </w:tc>
        <w:tc>
          <w:tcPr>
            <w:tcW w:w="572" w:type="pct"/>
            <w:tcBorders>
              <w:top w:val="single" w:sz="4" w:space="0" w:color="4F81BD"/>
              <w:left w:val="nil"/>
              <w:bottom w:val="single" w:sz="4" w:space="0" w:color="4F81BD"/>
              <w:right w:val="single" w:sz="4" w:space="0" w:color="4F81BD"/>
            </w:tcBorders>
            <w:shd w:val="clear" w:color="auto" w:fill="002060"/>
            <w:vAlign w:val="bottom"/>
            <w:hideMark/>
          </w:tcPr>
          <w:p w:rsidR="00FA743C" w:rsidRPr="00CD1518" w:rsidRDefault="00FA743C" w:rsidP="00FA743C">
            <w:pPr>
              <w:spacing w:line="240" w:lineRule="auto"/>
              <w:jc w:val="center"/>
              <w:rPr>
                <w:b/>
                <w:bCs/>
                <w:color w:val="FFFFFF"/>
                <w:sz w:val="14"/>
                <w:lang w:eastAsia="en-AU"/>
              </w:rPr>
            </w:pPr>
            <w:r w:rsidRPr="00CD1518">
              <w:rPr>
                <w:b/>
                <w:bCs/>
                <w:color w:val="FFFFFF"/>
                <w:sz w:val="14"/>
                <w:lang w:eastAsia="en-AU"/>
              </w:rPr>
              <w:t>Activity received by IHPA</w:t>
            </w:r>
          </w:p>
        </w:tc>
        <w:tc>
          <w:tcPr>
            <w:tcW w:w="572" w:type="pct"/>
            <w:tcBorders>
              <w:top w:val="single" w:sz="4" w:space="0" w:color="4F81BD"/>
              <w:left w:val="nil"/>
              <w:bottom w:val="single" w:sz="4" w:space="0" w:color="4F81BD"/>
              <w:right w:val="single" w:sz="4" w:space="0" w:color="4F81BD"/>
            </w:tcBorders>
            <w:shd w:val="clear" w:color="auto" w:fill="002060"/>
            <w:vAlign w:val="bottom"/>
            <w:hideMark/>
          </w:tcPr>
          <w:p w:rsidR="00FA743C" w:rsidRPr="00CD1518" w:rsidRDefault="00FA743C" w:rsidP="00FA743C">
            <w:pPr>
              <w:spacing w:line="240" w:lineRule="auto"/>
              <w:jc w:val="center"/>
              <w:rPr>
                <w:b/>
                <w:bCs/>
                <w:color w:val="FFFFFF"/>
                <w:sz w:val="12"/>
                <w:lang w:eastAsia="en-AU"/>
              </w:rPr>
            </w:pPr>
            <w:r w:rsidRPr="00CD1518">
              <w:rPr>
                <w:b/>
                <w:bCs/>
                <w:color w:val="FFFFFF"/>
                <w:sz w:val="12"/>
                <w:lang w:eastAsia="en-AU"/>
              </w:rPr>
              <w:t>Adjustments</w:t>
            </w:r>
          </w:p>
        </w:tc>
        <w:tc>
          <w:tcPr>
            <w:tcW w:w="572" w:type="pct"/>
            <w:tcBorders>
              <w:top w:val="single" w:sz="4" w:space="0" w:color="4F81BD"/>
              <w:left w:val="nil"/>
              <w:bottom w:val="single" w:sz="4" w:space="0" w:color="4F81BD"/>
              <w:right w:val="single" w:sz="4" w:space="0" w:color="4F81BD"/>
            </w:tcBorders>
            <w:shd w:val="clear" w:color="auto" w:fill="002060"/>
            <w:vAlign w:val="bottom"/>
            <w:hideMark/>
          </w:tcPr>
          <w:p w:rsidR="00FA743C" w:rsidRPr="00CD1518" w:rsidRDefault="00FA743C" w:rsidP="00FA743C">
            <w:pPr>
              <w:spacing w:line="240" w:lineRule="auto"/>
              <w:jc w:val="center"/>
              <w:rPr>
                <w:b/>
                <w:bCs/>
                <w:color w:val="FFFFFF"/>
                <w:sz w:val="14"/>
                <w:lang w:eastAsia="en-AU"/>
              </w:rPr>
            </w:pPr>
            <w:r w:rsidRPr="00CD1518">
              <w:rPr>
                <w:b/>
                <w:bCs/>
                <w:color w:val="FFFFFF"/>
                <w:sz w:val="14"/>
                <w:lang w:eastAsia="en-AU"/>
              </w:rPr>
              <w:t>Total Activity submitted for Round 18 NHCDC</w:t>
            </w:r>
          </w:p>
        </w:tc>
      </w:tr>
      <w:tr w:rsidR="00FA743C" w:rsidRPr="00FA743C" w:rsidTr="00CD1518">
        <w:trPr>
          <w:trHeight w:val="290"/>
        </w:trPr>
        <w:tc>
          <w:tcPr>
            <w:tcW w:w="999" w:type="pct"/>
            <w:tcBorders>
              <w:top w:val="nil"/>
              <w:left w:val="single" w:sz="4" w:space="0" w:color="4F81BD"/>
              <w:bottom w:val="single" w:sz="4" w:space="0" w:color="4F81BD"/>
              <w:right w:val="single" w:sz="4" w:space="0" w:color="4F81BD"/>
            </w:tcBorders>
            <w:shd w:val="clear" w:color="000000" w:fill="FFFFFF"/>
            <w:noWrap/>
            <w:vAlign w:val="center"/>
            <w:hideMark/>
          </w:tcPr>
          <w:p w:rsidR="00FA743C" w:rsidRPr="00CD1518" w:rsidRDefault="00FA743C">
            <w:pPr>
              <w:spacing w:line="240" w:lineRule="auto"/>
              <w:rPr>
                <w:color w:val="000000"/>
                <w:sz w:val="14"/>
                <w:lang w:eastAsia="en-AU"/>
              </w:rPr>
            </w:pPr>
            <w:r w:rsidRPr="00CD1518">
              <w:rPr>
                <w:color w:val="000000"/>
                <w:sz w:val="14"/>
                <w:lang w:eastAsia="en-AU"/>
              </w:rPr>
              <w:t>Acute</w:t>
            </w:r>
          </w:p>
        </w:tc>
        <w:tc>
          <w:tcPr>
            <w:tcW w:w="572" w:type="pct"/>
            <w:tcBorders>
              <w:top w:val="nil"/>
              <w:left w:val="nil"/>
              <w:bottom w:val="single" w:sz="4" w:space="0" w:color="4F81BD"/>
              <w:right w:val="single" w:sz="4" w:space="0" w:color="4F81BD"/>
            </w:tcBorders>
            <w:shd w:val="clear" w:color="000000" w:fill="FFFFFF"/>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55,393</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FFFFFF"/>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55,393</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FFFFFF"/>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55,412</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(11)</w:t>
            </w:r>
          </w:p>
        </w:tc>
        <w:tc>
          <w:tcPr>
            <w:tcW w:w="572" w:type="pct"/>
            <w:tcBorders>
              <w:top w:val="nil"/>
              <w:left w:val="nil"/>
              <w:bottom w:val="single" w:sz="4" w:space="0" w:color="4F81BD"/>
              <w:right w:val="single" w:sz="4" w:space="0" w:color="4F81BD"/>
            </w:tcBorders>
            <w:shd w:val="clear" w:color="000000" w:fill="FFFFFF"/>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55,401</w:t>
            </w:r>
          </w:p>
        </w:tc>
      </w:tr>
      <w:tr w:rsidR="00FA743C" w:rsidRPr="00FA743C" w:rsidTr="00CD1518">
        <w:trPr>
          <w:trHeight w:val="290"/>
        </w:trPr>
        <w:tc>
          <w:tcPr>
            <w:tcW w:w="999" w:type="pct"/>
            <w:tcBorders>
              <w:top w:val="nil"/>
              <w:left w:val="single" w:sz="4" w:space="0" w:color="4F81BD"/>
              <w:bottom w:val="single" w:sz="4" w:space="0" w:color="4F81BD"/>
              <w:right w:val="single" w:sz="4" w:space="0" w:color="4F81BD"/>
            </w:tcBorders>
            <w:shd w:val="clear" w:color="000000" w:fill="DCE6F1"/>
            <w:noWrap/>
            <w:vAlign w:val="center"/>
            <w:hideMark/>
          </w:tcPr>
          <w:p w:rsidR="00FA743C" w:rsidRPr="00CD1518" w:rsidRDefault="00FA743C">
            <w:pPr>
              <w:spacing w:line="240" w:lineRule="auto"/>
              <w:rPr>
                <w:color w:val="000000"/>
                <w:sz w:val="14"/>
                <w:lang w:eastAsia="en-AU"/>
              </w:rPr>
            </w:pPr>
            <w:r w:rsidRPr="00CD1518">
              <w:rPr>
                <w:color w:val="000000"/>
                <w:sz w:val="14"/>
                <w:lang w:eastAsia="en-AU"/>
              </w:rPr>
              <w:t>Non-admitted</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149,416</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149,416</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149,416</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149,416</w:t>
            </w:r>
          </w:p>
        </w:tc>
      </w:tr>
      <w:tr w:rsidR="00FA743C" w:rsidRPr="00FA743C" w:rsidTr="00CD1518">
        <w:trPr>
          <w:trHeight w:val="290"/>
        </w:trPr>
        <w:tc>
          <w:tcPr>
            <w:tcW w:w="999" w:type="pct"/>
            <w:tcBorders>
              <w:top w:val="nil"/>
              <w:left w:val="single" w:sz="4" w:space="0" w:color="4F81BD"/>
              <w:bottom w:val="single" w:sz="4" w:space="0" w:color="4F81BD"/>
              <w:right w:val="single" w:sz="4" w:space="0" w:color="4F81BD"/>
            </w:tcBorders>
            <w:shd w:val="clear" w:color="000000" w:fill="FFFFFF"/>
            <w:noWrap/>
            <w:vAlign w:val="center"/>
            <w:hideMark/>
          </w:tcPr>
          <w:p w:rsidR="00FA743C" w:rsidRPr="00CD1518" w:rsidRDefault="00FA743C">
            <w:pPr>
              <w:spacing w:line="240" w:lineRule="auto"/>
              <w:rPr>
                <w:color w:val="000000"/>
                <w:sz w:val="14"/>
                <w:lang w:eastAsia="en-AU"/>
              </w:rPr>
            </w:pPr>
            <w:r w:rsidRPr="00CD1518">
              <w:rPr>
                <w:color w:val="000000"/>
                <w:sz w:val="14"/>
                <w:lang w:eastAsia="en-AU"/>
              </w:rPr>
              <w:t>Emergency</w:t>
            </w:r>
          </w:p>
        </w:tc>
        <w:tc>
          <w:tcPr>
            <w:tcW w:w="572" w:type="pct"/>
            <w:tcBorders>
              <w:top w:val="nil"/>
              <w:left w:val="nil"/>
              <w:bottom w:val="single" w:sz="4" w:space="0" w:color="4F81BD"/>
              <w:right w:val="single" w:sz="4" w:space="0" w:color="4F81BD"/>
            </w:tcBorders>
            <w:shd w:val="clear" w:color="000000" w:fill="FFFFFF"/>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65,474</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FFFFFF"/>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65,474</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FFFFFF"/>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65,474</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FFFFFF"/>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65,474</w:t>
            </w:r>
          </w:p>
        </w:tc>
      </w:tr>
      <w:tr w:rsidR="00FA743C" w:rsidRPr="00FA743C" w:rsidTr="00CD1518">
        <w:trPr>
          <w:trHeight w:val="290"/>
        </w:trPr>
        <w:tc>
          <w:tcPr>
            <w:tcW w:w="999" w:type="pct"/>
            <w:tcBorders>
              <w:top w:val="nil"/>
              <w:left w:val="single" w:sz="4" w:space="0" w:color="4F81BD"/>
              <w:bottom w:val="single" w:sz="4" w:space="0" w:color="4F81BD"/>
              <w:right w:val="single" w:sz="4" w:space="0" w:color="4F81BD"/>
            </w:tcBorders>
            <w:shd w:val="clear" w:color="000000" w:fill="DCE6F1"/>
            <w:noWrap/>
            <w:vAlign w:val="center"/>
            <w:hideMark/>
          </w:tcPr>
          <w:p w:rsidR="00FA743C" w:rsidRPr="00CD1518" w:rsidRDefault="00FA743C">
            <w:pPr>
              <w:spacing w:line="240" w:lineRule="auto"/>
              <w:rPr>
                <w:color w:val="000000"/>
                <w:sz w:val="14"/>
                <w:lang w:eastAsia="en-AU"/>
              </w:rPr>
            </w:pPr>
            <w:proofErr w:type="spellStart"/>
            <w:r w:rsidRPr="00CD1518">
              <w:rPr>
                <w:color w:val="000000"/>
                <w:sz w:val="14"/>
                <w:lang w:eastAsia="en-AU"/>
              </w:rPr>
              <w:t>Sub Acute</w:t>
            </w:r>
            <w:proofErr w:type="spellEnd"/>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647</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647</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647</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647</w:t>
            </w:r>
          </w:p>
        </w:tc>
      </w:tr>
      <w:tr w:rsidR="00FA743C" w:rsidRPr="00FA743C" w:rsidTr="00CD1518">
        <w:trPr>
          <w:trHeight w:val="290"/>
        </w:trPr>
        <w:tc>
          <w:tcPr>
            <w:tcW w:w="999" w:type="pct"/>
            <w:tcBorders>
              <w:top w:val="nil"/>
              <w:left w:val="single" w:sz="4" w:space="0" w:color="4F81BD"/>
              <w:bottom w:val="single" w:sz="4" w:space="0" w:color="4F81BD"/>
              <w:right w:val="single" w:sz="4" w:space="0" w:color="4F81BD"/>
            </w:tcBorders>
            <w:shd w:val="clear" w:color="000000" w:fill="FFFFFF"/>
            <w:noWrap/>
            <w:vAlign w:val="center"/>
            <w:hideMark/>
          </w:tcPr>
          <w:p w:rsidR="00FA743C" w:rsidRPr="00CD1518" w:rsidRDefault="00FA743C">
            <w:pPr>
              <w:spacing w:line="240" w:lineRule="auto"/>
              <w:rPr>
                <w:color w:val="000000"/>
                <w:sz w:val="14"/>
                <w:lang w:eastAsia="en-AU"/>
              </w:rPr>
            </w:pPr>
            <w:r w:rsidRPr="00CD1518">
              <w:rPr>
                <w:color w:val="000000"/>
                <w:sz w:val="14"/>
                <w:lang w:eastAsia="en-AU"/>
              </w:rPr>
              <w:t>Mental Health</w:t>
            </w:r>
          </w:p>
        </w:tc>
        <w:tc>
          <w:tcPr>
            <w:tcW w:w="572" w:type="pct"/>
            <w:tcBorders>
              <w:top w:val="nil"/>
              <w:left w:val="nil"/>
              <w:bottom w:val="single" w:sz="4" w:space="0" w:color="4F81BD"/>
              <w:right w:val="single" w:sz="4" w:space="0" w:color="4F81BD"/>
            </w:tcBorders>
            <w:shd w:val="clear" w:color="000000" w:fill="FFFFFF"/>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FFFFFF"/>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FFFFFF"/>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FFFFFF"/>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r>
      <w:tr w:rsidR="00FA743C" w:rsidRPr="00FA743C" w:rsidTr="00CD1518">
        <w:trPr>
          <w:trHeight w:val="290"/>
        </w:trPr>
        <w:tc>
          <w:tcPr>
            <w:tcW w:w="999" w:type="pct"/>
            <w:tcBorders>
              <w:top w:val="nil"/>
              <w:left w:val="single" w:sz="4" w:space="0" w:color="4F81BD"/>
              <w:bottom w:val="single" w:sz="4" w:space="0" w:color="4F81BD"/>
              <w:right w:val="single" w:sz="4" w:space="0" w:color="4F81BD"/>
            </w:tcBorders>
            <w:shd w:val="clear" w:color="000000" w:fill="DCE6F1"/>
            <w:noWrap/>
            <w:vAlign w:val="center"/>
            <w:hideMark/>
          </w:tcPr>
          <w:p w:rsidR="00FA743C" w:rsidRPr="00CD1518" w:rsidRDefault="00FA743C">
            <w:pPr>
              <w:spacing w:line="240" w:lineRule="auto"/>
              <w:rPr>
                <w:color w:val="000000"/>
                <w:sz w:val="14"/>
                <w:lang w:eastAsia="en-AU"/>
              </w:rPr>
            </w:pPr>
            <w:r w:rsidRPr="00CD1518">
              <w:rPr>
                <w:color w:val="000000"/>
                <w:sz w:val="14"/>
                <w:lang w:eastAsia="en-AU"/>
              </w:rPr>
              <w:t>Other</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22,504</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22,504</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(20,072)</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2,413</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(1,805)</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608</w:t>
            </w:r>
          </w:p>
        </w:tc>
      </w:tr>
      <w:tr w:rsidR="00FA743C" w:rsidRPr="00FA743C" w:rsidTr="00CD1518">
        <w:trPr>
          <w:trHeight w:val="290"/>
        </w:trPr>
        <w:tc>
          <w:tcPr>
            <w:tcW w:w="999" w:type="pct"/>
            <w:tcBorders>
              <w:top w:val="nil"/>
              <w:left w:val="single" w:sz="4" w:space="0" w:color="4F81BD"/>
              <w:bottom w:val="single" w:sz="4" w:space="0" w:color="4F81BD"/>
              <w:right w:val="single" w:sz="4" w:space="0" w:color="4F81BD"/>
            </w:tcBorders>
            <w:shd w:val="clear" w:color="000000" w:fill="FFFFFF"/>
            <w:noWrap/>
            <w:vAlign w:val="center"/>
            <w:hideMark/>
          </w:tcPr>
          <w:p w:rsidR="00FA743C" w:rsidRPr="00CD1518" w:rsidRDefault="00FA743C">
            <w:pPr>
              <w:spacing w:line="240" w:lineRule="auto"/>
              <w:rPr>
                <w:color w:val="000000"/>
                <w:sz w:val="14"/>
                <w:lang w:eastAsia="en-AU"/>
              </w:rPr>
            </w:pPr>
            <w:r w:rsidRPr="00CD1518">
              <w:rPr>
                <w:color w:val="000000"/>
                <w:sz w:val="14"/>
                <w:lang w:eastAsia="en-AU"/>
              </w:rPr>
              <w:t>Research</w:t>
            </w:r>
          </w:p>
        </w:tc>
        <w:tc>
          <w:tcPr>
            <w:tcW w:w="572" w:type="pct"/>
            <w:tcBorders>
              <w:top w:val="nil"/>
              <w:left w:val="nil"/>
              <w:bottom w:val="single" w:sz="4" w:space="0" w:color="4F81BD"/>
              <w:right w:val="single" w:sz="4" w:space="0" w:color="4F81BD"/>
            </w:tcBorders>
            <w:shd w:val="clear" w:color="000000" w:fill="FFFFFF"/>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FFFFFF"/>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FFFFFF"/>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FFFFFF"/>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r>
      <w:tr w:rsidR="00FA743C" w:rsidRPr="00FA743C" w:rsidTr="00CD1518">
        <w:trPr>
          <w:trHeight w:val="290"/>
        </w:trPr>
        <w:tc>
          <w:tcPr>
            <w:tcW w:w="999" w:type="pct"/>
            <w:tcBorders>
              <w:top w:val="nil"/>
              <w:left w:val="single" w:sz="4" w:space="0" w:color="4F81BD"/>
              <w:bottom w:val="single" w:sz="4" w:space="0" w:color="4F81BD"/>
              <w:right w:val="single" w:sz="4" w:space="0" w:color="4F81BD"/>
            </w:tcBorders>
            <w:shd w:val="clear" w:color="000000" w:fill="DCE6F1"/>
            <w:noWrap/>
            <w:vAlign w:val="center"/>
            <w:hideMark/>
          </w:tcPr>
          <w:p w:rsidR="00FA743C" w:rsidRPr="00CD1518" w:rsidRDefault="00FA743C">
            <w:pPr>
              <w:spacing w:line="240" w:lineRule="auto"/>
              <w:rPr>
                <w:color w:val="000000"/>
                <w:sz w:val="14"/>
                <w:lang w:eastAsia="en-AU"/>
              </w:rPr>
            </w:pPr>
            <w:r w:rsidRPr="00CD1518">
              <w:rPr>
                <w:color w:val="000000"/>
                <w:sz w:val="14"/>
                <w:lang w:eastAsia="en-AU"/>
              </w:rPr>
              <w:t>Teaching and Training</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1</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1</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1</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w:t>
            </w:r>
          </w:p>
        </w:tc>
        <w:tc>
          <w:tcPr>
            <w:tcW w:w="572" w:type="pct"/>
            <w:tcBorders>
              <w:top w:val="nil"/>
              <w:left w:val="nil"/>
              <w:bottom w:val="single" w:sz="4" w:space="0" w:color="4F81BD"/>
              <w:right w:val="single" w:sz="4" w:space="0" w:color="4F81BD"/>
            </w:tcBorders>
            <w:shd w:val="clear" w:color="000000" w:fill="DCE6F1"/>
            <w:noWrap/>
            <w:vAlign w:val="center"/>
            <w:hideMark/>
          </w:tcPr>
          <w:p w:rsidR="00FA743C" w:rsidRPr="00CD1518" w:rsidRDefault="00FA743C" w:rsidP="00CD1518">
            <w:pPr>
              <w:spacing w:line="240" w:lineRule="auto"/>
              <w:jc w:val="right"/>
              <w:rPr>
                <w:color w:val="000000"/>
                <w:sz w:val="14"/>
                <w:lang w:eastAsia="en-AU"/>
              </w:rPr>
            </w:pPr>
            <w:r w:rsidRPr="00CD1518">
              <w:rPr>
                <w:color w:val="000000"/>
                <w:sz w:val="14"/>
                <w:lang w:eastAsia="en-AU"/>
              </w:rPr>
              <w:t>1</w:t>
            </w:r>
          </w:p>
        </w:tc>
      </w:tr>
      <w:tr w:rsidR="00FA743C" w:rsidRPr="00FA743C" w:rsidTr="00CD1518">
        <w:trPr>
          <w:trHeight w:val="290"/>
        </w:trPr>
        <w:tc>
          <w:tcPr>
            <w:tcW w:w="999" w:type="pct"/>
            <w:tcBorders>
              <w:top w:val="nil"/>
              <w:left w:val="single" w:sz="4" w:space="0" w:color="4F81BD"/>
              <w:bottom w:val="single" w:sz="4" w:space="0" w:color="4F81BD"/>
              <w:right w:val="single" w:sz="4" w:space="0" w:color="4F81BD"/>
            </w:tcBorders>
            <w:shd w:val="clear" w:color="000000" w:fill="DDD9C4"/>
            <w:noWrap/>
            <w:vAlign w:val="center"/>
            <w:hideMark/>
          </w:tcPr>
          <w:p w:rsidR="00FA743C" w:rsidRPr="00CD1518" w:rsidRDefault="00FA743C">
            <w:pPr>
              <w:spacing w:line="240" w:lineRule="auto"/>
              <w:rPr>
                <w:b/>
                <w:bCs/>
                <w:color w:val="000000"/>
                <w:sz w:val="14"/>
                <w:lang w:eastAsia="en-AU"/>
              </w:rPr>
            </w:pPr>
            <w:r w:rsidRPr="00CD1518">
              <w:rPr>
                <w:b/>
                <w:bCs/>
                <w:color w:val="000000"/>
                <w:sz w:val="14"/>
                <w:lang w:eastAsia="en-AU"/>
              </w:rPr>
              <w:t>Total</w:t>
            </w:r>
          </w:p>
        </w:tc>
        <w:tc>
          <w:tcPr>
            <w:tcW w:w="572" w:type="pct"/>
            <w:tcBorders>
              <w:top w:val="nil"/>
              <w:left w:val="nil"/>
              <w:bottom w:val="single" w:sz="4" w:space="0" w:color="4F81BD"/>
              <w:right w:val="single" w:sz="4" w:space="0" w:color="4F81BD"/>
            </w:tcBorders>
            <w:shd w:val="clear" w:color="000000" w:fill="DDD9C4"/>
            <w:noWrap/>
            <w:vAlign w:val="center"/>
            <w:hideMark/>
          </w:tcPr>
          <w:p w:rsidR="00FA743C" w:rsidRPr="00CD1518" w:rsidRDefault="00FA743C" w:rsidP="00CD1518">
            <w:pPr>
              <w:spacing w:line="240" w:lineRule="auto"/>
              <w:jc w:val="right"/>
              <w:rPr>
                <w:b/>
                <w:bCs/>
                <w:color w:val="000000"/>
                <w:sz w:val="14"/>
                <w:lang w:eastAsia="en-AU"/>
              </w:rPr>
            </w:pPr>
            <w:r w:rsidRPr="00CD1518">
              <w:rPr>
                <w:b/>
                <w:bCs/>
                <w:color w:val="000000"/>
                <w:sz w:val="14"/>
                <w:lang w:eastAsia="en-AU"/>
              </w:rPr>
              <w:t>293,435</w:t>
            </w:r>
          </w:p>
        </w:tc>
        <w:tc>
          <w:tcPr>
            <w:tcW w:w="572" w:type="pct"/>
            <w:tcBorders>
              <w:top w:val="nil"/>
              <w:left w:val="nil"/>
              <w:bottom w:val="single" w:sz="4" w:space="0" w:color="4F81BD"/>
              <w:right w:val="single" w:sz="4" w:space="0" w:color="4F81BD"/>
            </w:tcBorders>
            <w:shd w:val="clear" w:color="000000" w:fill="DDD9C4"/>
            <w:noWrap/>
            <w:vAlign w:val="center"/>
            <w:hideMark/>
          </w:tcPr>
          <w:p w:rsidR="00FA743C" w:rsidRPr="00CD1518" w:rsidRDefault="00FA743C" w:rsidP="00CD1518">
            <w:pPr>
              <w:spacing w:line="240" w:lineRule="auto"/>
              <w:jc w:val="right"/>
              <w:rPr>
                <w:b/>
                <w:bCs/>
                <w:color w:val="000000"/>
                <w:sz w:val="14"/>
                <w:lang w:eastAsia="en-AU"/>
              </w:rPr>
            </w:pPr>
            <w:r w:rsidRPr="00CD1518">
              <w:rPr>
                <w:b/>
                <w:bCs/>
                <w:color w:val="000000"/>
                <w:sz w:val="14"/>
                <w:lang w:eastAsia="en-AU"/>
              </w:rPr>
              <w:t>-</w:t>
            </w:r>
          </w:p>
        </w:tc>
        <w:tc>
          <w:tcPr>
            <w:tcW w:w="572" w:type="pct"/>
            <w:tcBorders>
              <w:top w:val="nil"/>
              <w:left w:val="nil"/>
              <w:bottom w:val="single" w:sz="4" w:space="0" w:color="4F81BD"/>
              <w:right w:val="single" w:sz="4" w:space="0" w:color="4F81BD"/>
            </w:tcBorders>
            <w:shd w:val="clear" w:color="000000" w:fill="DDD9C4"/>
            <w:noWrap/>
            <w:vAlign w:val="center"/>
            <w:hideMark/>
          </w:tcPr>
          <w:p w:rsidR="00FA743C" w:rsidRPr="00CD1518" w:rsidRDefault="00FA743C" w:rsidP="00CD1518">
            <w:pPr>
              <w:spacing w:line="240" w:lineRule="auto"/>
              <w:jc w:val="right"/>
              <w:rPr>
                <w:b/>
                <w:bCs/>
                <w:color w:val="000000"/>
                <w:sz w:val="14"/>
                <w:lang w:eastAsia="en-AU"/>
              </w:rPr>
            </w:pPr>
            <w:r w:rsidRPr="00CD1518">
              <w:rPr>
                <w:b/>
                <w:bCs/>
                <w:color w:val="000000"/>
                <w:sz w:val="14"/>
                <w:lang w:eastAsia="en-AU"/>
              </w:rPr>
              <w:t>293,435</w:t>
            </w:r>
          </w:p>
        </w:tc>
        <w:tc>
          <w:tcPr>
            <w:tcW w:w="572" w:type="pct"/>
            <w:tcBorders>
              <w:top w:val="nil"/>
              <w:left w:val="nil"/>
              <w:bottom w:val="single" w:sz="4" w:space="0" w:color="4F81BD"/>
              <w:right w:val="single" w:sz="4" w:space="0" w:color="4F81BD"/>
            </w:tcBorders>
            <w:shd w:val="clear" w:color="000000" w:fill="DDD9C4"/>
            <w:noWrap/>
            <w:vAlign w:val="center"/>
            <w:hideMark/>
          </w:tcPr>
          <w:p w:rsidR="00FA743C" w:rsidRPr="00CD1518" w:rsidRDefault="00FA743C" w:rsidP="00CD1518">
            <w:pPr>
              <w:spacing w:line="240" w:lineRule="auto"/>
              <w:jc w:val="right"/>
              <w:rPr>
                <w:b/>
                <w:bCs/>
                <w:color w:val="000000"/>
                <w:sz w:val="14"/>
                <w:lang w:eastAsia="en-AU"/>
              </w:rPr>
            </w:pPr>
            <w:r w:rsidRPr="00CD1518">
              <w:rPr>
                <w:b/>
                <w:bCs/>
                <w:color w:val="000000"/>
                <w:sz w:val="14"/>
                <w:lang w:eastAsia="en-AU"/>
              </w:rPr>
              <w:t>(20,072)</w:t>
            </w:r>
          </w:p>
        </w:tc>
        <w:tc>
          <w:tcPr>
            <w:tcW w:w="572" w:type="pct"/>
            <w:tcBorders>
              <w:top w:val="nil"/>
              <w:left w:val="nil"/>
              <w:bottom w:val="single" w:sz="4" w:space="0" w:color="4F81BD"/>
              <w:right w:val="single" w:sz="4" w:space="0" w:color="4F81BD"/>
            </w:tcBorders>
            <w:shd w:val="clear" w:color="000000" w:fill="DDD9C4"/>
            <w:noWrap/>
            <w:vAlign w:val="center"/>
            <w:hideMark/>
          </w:tcPr>
          <w:p w:rsidR="00FA743C" w:rsidRPr="00CD1518" w:rsidRDefault="00FA743C" w:rsidP="00CD1518">
            <w:pPr>
              <w:spacing w:line="240" w:lineRule="auto"/>
              <w:jc w:val="right"/>
              <w:rPr>
                <w:b/>
                <w:bCs/>
                <w:color w:val="000000"/>
                <w:sz w:val="14"/>
                <w:lang w:eastAsia="en-AU"/>
              </w:rPr>
            </w:pPr>
            <w:r w:rsidRPr="00CD1518">
              <w:rPr>
                <w:b/>
                <w:bCs/>
                <w:color w:val="000000"/>
                <w:sz w:val="14"/>
                <w:lang w:eastAsia="en-AU"/>
              </w:rPr>
              <w:t>273,363</w:t>
            </w:r>
          </w:p>
        </w:tc>
        <w:tc>
          <w:tcPr>
            <w:tcW w:w="572" w:type="pct"/>
            <w:tcBorders>
              <w:top w:val="nil"/>
              <w:left w:val="nil"/>
              <w:bottom w:val="single" w:sz="4" w:space="0" w:color="4F81BD"/>
              <w:right w:val="single" w:sz="4" w:space="0" w:color="4F81BD"/>
            </w:tcBorders>
            <w:shd w:val="clear" w:color="000000" w:fill="DDD9C4"/>
            <w:noWrap/>
            <w:vAlign w:val="center"/>
            <w:hideMark/>
          </w:tcPr>
          <w:p w:rsidR="00FA743C" w:rsidRPr="00CD1518" w:rsidRDefault="00FA743C" w:rsidP="00CD1518">
            <w:pPr>
              <w:spacing w:line="240" w:lineRule="auto"/>
              <w:jc w:val="right"/>
              <w:rPr>
                <w:b/>
                <w:bCs/>
                <w:color w:val="000000"/>
                <w:sz w:val="14"/>
                <w:lang w:eastAsia="en-AU"/>
              </w:rPr>
            </w:pPr>
            <w:r w:rsidRPr="00CD1518">
              <w:rPr>
                <w:b/>
                <w:bCs/>
                <w:color w:val="000000"/>
                <w:sz w:val="14"/>
                <w:lang w:eastAsia="en-AU"/>
              </w:rPr>
              <w:t>(1,816)</w:t>
            </w:r>
          </w:p>
        </w:tc>
        <w:tc>
          <w:tcPr>
            <w:tcW w:w="572" w:type="pct"/>
            <w:tcBorders>
              <w:top w:val="nil"/>
              <w:left w:val="nil"/>
              <w:bottom w:val="single" w:sz="4" w:space="0" w:color="4F81BD"/>
              <w:right w:val="single" w:sz="4" w:space="0" w:color="4F81BD"/>
            </w:tcBorders>
            <w:shd w:val="clear" w:color="000000" w:fill="DDD9C4"/>
            <w:noWrap/>
            <w:vAlign w:val="center"/>
            <w:hideMark/>
          </w:tcPr>
          <w:p w:rsidR="00FA743C" w:rsidRPr="00CD1518" w:rsidRDefault="00FA743C" w:rsidP="00CD1518">
            <w:pPr>
              <w:spacing w:line="240" w:lineRule="auto"/>
              <w:jc w:val="right"/>
              <w:rPr>
                <w:b/>
                <w:bCs/>
                <w:color w:val="000000"/>
                <w:sz w:val="14"/>
                <w:lang w:eastAsia="en-AU"/>
              </w:rPr>
            </w:pPr>
            <w:r w:rsidRPr="00CD1518">
              <w:rPr>
                <w:b/>
                <w:bCs/>
                <w:color w:val="000000"/>
                <w:sz w:val="14"/>
                <w:lang w:eastAsia="en-AU"/>
              </w:rPr>
              <w:t>271,547</w:t>
            </w:r>
          </w:p>
        </w:tc>
      </w:tr>
    </w:tbl>
    <w:p w:rsidR="002E59FA" w:rsidRPr="00975E6B" w:rsidRDefault="002E59FA" w:rsidP="002E59FA">
      <w:pPr>
        <w:pStyle w:val="FootnoteText"/>
        <w:rPr>
          <w:bCs/>
          <w:i/>
          <w:sz w:val="16"/>
          <w:szCs w:val="16"/>
        </w:rPr>
      </w:pPr>
      <w:r w:rsidRPr="00975E6B">
        <w:rPr>
          <w:bCs/>
          <w:i/>
          <w:sz w:val="16"/>
          <w:szCs w:val="16"/>
        </w:rPr>
        <w:t xml:space="preserve">Source: KPMG based on data supplied by </w:t>
      </w:r>
      <w:r w:rsidR="00C15673" w:rsidRPr="00975E6B">
        <w:rPr>
          <w:bCs/>
          <w:i/>
          <w:sz w:val="16"/>
          <w:szCs w:val="16"/>
        </w:rPr>
        <w:t>Royal Darwin</w:t>
      </w:r>
      <w:r w:rsidRPr="00975E6B">
        <w:rPr>
          <w:bCs/>
          <w:i/>
          <w:sz w:val="16"/>
          <w:szCs w:val="16"/>
        </w:rPr>
        <w:t xml:space="preserve">, </w:t>
      </w:r>
      <w:r w:rsidR="00772B0F" w:rsidRPr="00975E6B">
        <w:rPr>
          <w:bCs/>
          <w:i/>
          <w:sz w:val="16"/>
          <w:szCs w:val="16"/>
        </w:rPr>
        <w:t>NT Health</w:t>
      </w:r>
      <w:r w:rsidRPr="00975E6B">
        <w:rPr>
          <w:bCs/>
          <w:i/>
          <w:sz w:val="16"/>
          <w:szCs w:val="16"/>
        </w:rPr>
        <w:t xml:space="preserve"> and IHPA </w:t>
      </w:r>
    </w:p>
    <w:p w:rsidR="002E59FA" w:rsidRPr="00FA743C" w:rsidRDefault="002E59FA" w:rsidP="002E59FA">
      <w:pPr>
        <w:pStyle w:val="BodyText"/>
      </w:pPr>
      <w:r w:rsidRPr="00FA743C">
        <w:t xml:space="preserve">The following should be noted about the transfer of activity data for </w:t>
      </w:r>
      <w:r w:rsidR="00C15673" w:rsidRPr="00FA743C">
        <w:t>Royal Darwin</w:t>
      </w:r>
      <w:r w:rsidRPr="00FA743C">
        <w:t>:</w:t>
      </w:r>
    </w:p>
    <w:p w:rsidR="00FA743C" w:rsidRPr="00274CCD" w:rsidRDefault="00FA743C" w:rsidP="00C00F23">
      <w:pPr>
        <w:numPr>
          <w:ilvl w:val="0"/>
          <w:numId w:val="39"/>
        </w:numPr>
        <w:spacing w:before="120" w:after="120" w:line="280" w:lineRule="atLeast"/>
        <w:jc w:val="both"/>
      </w:pPr>
      <w:r w:rsidRPr="00F55636">
        <w:rPr>
          <w:szCs w:val="22"/>
        </w:rPr>
        <w:t xml:space="preserve">The variance between records from source detailed in </w:t>
      </w:r>
      <w:r w:rsidR="00F55636">
        <w:rPr>
          <w:szCs w:val="22"/>
        </w:rPr>
        <w:fldChar w:fldCharType="begin"/>
      </w:r>
      <w:r w:rsidR="00F55636">
        <w:rPr>
          <w:szCs w:val="22"/>
        </w:rPr>
        <w:instrText xml:space="preserve"> REF _Ref433285589 \h </w:instrText>
      </w:r>
      <w:r w:rsidR="00F55636">
        <w:rPr>
          <w:szCs w:val="22"/>
        </w:rPr>
      </w:r>
      <w:r w:rsidR="00F55636">
        <w:rPr>
          <w:szCs w:val="22"/>
        </w:rPr>
        <w:fldChar w:fldCharType="separate"/>
      </w:r>
      <w:r w:rsidR="00154CF7" w:rsidRPr="00D06D4E">
        <w:t xml:space="preserve">Table </w:t>
      </w:r>
      <w:r w:rsidR="00154CF7">
        <w:rPr>
          <w:noProof/>
        </w:rPr>
        <w:t>28</w:t>
      </w:r>
      <w:r w:rsidR="00F55636">
        <w:rPr>
          <w:szCs w:val="22"/>
        </w:rPr>
        <w:fldChar w:fldCharType="end"/>
      </w:r>
      <w:r w:rsidR="00F55636">
        <w:rPr>
          <w:szCs w:val="22"/>
        </w:rPr>
        <w:t xml:space="preserve"> (300,262 records)</w:t>
      </w:r>
      <w:r w:rsidRPr="00F55636">
        <w:rPr>
          <w:szCs w:val="22"/>
        </w:rPr>
        <w:t xml:space="preserve"> and activity related to 2013-14 costs by NHCDC product in </w:t>
      </w:r>
      <w:r w:rsidRPr="00F55636">
        <w:rPr>
          <w:szCs w:val="22"/>
        </w:rPr>
        <w:fldChar w:fldCharType="begin"/>
      </w:r>
      <w:r w:rsidRPr="00F55636">
        <w:rPr>
          <w:szCs w:val="22"/>
        </w:rPr>
        <w:instrText xml:space="preserve"> REF _Ref433229290 \h  \* MERGEFORMAT </w:instrText>
      </w:r>
      <w:r w:rsidRPr="00F55636">
        <w:rPr>
          <w:szCs w:val="22"/>
        </w:rPr>
      </w:r>
      <w:r w:rsidRPr="00F55636">
        <w:rPr>
          <w:szCs w:val="22"/>
        </w:rPr>
        <w:fldChar w:fldCharType="separate"/>
      </w:r>
      <w:r w:rsidR="00154CF7" w:rsidRPr="00154CF7">
        <w:rPr>
          <w:szCs w:val="22"/>
        </w:rPr>
        <w:t>Table 29</w:t>
      </w:r>
      <w:r w:rsidRPr="00F55636">
        <w:rPr>
          <w:szCs w:val="22"/>
        </w:rPr>
        <w:fldChar w:fldCharType="end"/>
      </w:r>
      <w:r w:rsidRPr="00F55636">
        <w:rPr>
          <w:szCs w:val="22"/>
        </w:rPr>
        <w:t xml:space="preserve"> </w:t>
      </w:r>
      <w:r w:rsidR="00F55636">
        <w:rPr>
          <w:szCs w:val="22"/>
        </w:rPr>
        <w:t xml:space="preserve">(293,435 records) </w:t>
      </w:r>
      <w:r w:rsidRPr="00F55636">
        <w:rPr>
          <w:szCs w:val="22"/>
        </w:rPr>
        <w:t>was attributed to dummy encounters and unlinked records.</w:t>
      </w:r>
    </w:p>
    <w:p w:rsidR="008375B1" w:rsidRPr="00975E6B" w:rsidRDefault="008375B1" w:rsidP="00F26328">
      <w:pPr>
        <w:numPr>
          <w:ilvl w:val="0"/>
          <w:numId w:val="39"/>
        </w:numPr>
        <w:spacing w:before="120" w:after="120" w:line="280" w:lineRule="atLeast"/>
        <w:jc w:val="both"/>
      </w:pPr>
      <w:r w:rsidRPr="00FA743C">
        <w:rPr>
          <w:szCs w:val="22"/>
        </w:rPr>
        <w:t>Adjustments</w:t>
      </w:r>
      <w:r w:rsidRPr="00975E6B">
        <w:rPr>
          <w:szCs w:val="22"/>
        </w:rPr>
        <w:t xml:space="preserve"> made by NT Health relate to the exclusion of dummy records at Item G in the reconciliation.</w:t>
      </w:r>
    </w:p>
    <w:p w:rsidR="002E59FA" w:rsidRPr="00975E6B" w:rsidRDefault="002E59FA" w:rsidP="00F26328">
      <w:pPr>
        <w:pStyle w:val="BodyText"/>
        <w:numPr>
          <w:ilvl w:val="0"/>
          <w:numId w:val="39"/>
        </w:numPr>
      </w:pPr>
      <w:r w:rsidRPr="00975E6B">
        <w:t xml:space="preserve">The adjustment </w:t>
      </w:r>
      <w:r w:rsidR="008375B1" w:rsidRPr="00975E6B">
        <w:t xml:space="preserve">made by IHPA </w:t>
      </w:r>
      <w:r w:rsidRPr="00975E6B">
        <w:t xml:space="preserve">to the </w:t>
      </w:r>
      <w:r w:rsidR="009A14A9" w:rsidRPr="00975E6B">
        <w:t>‘o</w:t>
      </w:r>
      <w:r w:rsidRPr="00975E6B">
        <w:t>ther</w:t>
      </w:r>
      <w:r w:rsidR="009A14A9" w:rsidRPr="00975E6B">
        <w:t>’</w:t>
      </w:r>
      <w:r w:rsidRPr="00975E6B">
        <w:t xml:space="preserve"> product relates to the </w:t>
      </w:r>
      <w:r w:rsidR="009A14A9" w:rsidRPr="00975E6B">
        <w:t xml:space="preserve">unqualified baby </w:t>
      </w:r>
      <w:r w:rsidRPr="00975E6B">
        <w:t xml:space="preserve">adjustment discussed in Item J of the explanation of reconciliation items and a reallocation of separations from </w:t>
      </w:r>
      <w:r w:rsidR="009A14A9" w:rsidRPr="00975E6B">
        <w:t>a</w:t>
      </w:r>
      <w:r w:rsidRPr="00975E6B">
        <w:t xml:space="preserve">cute to </w:t>
      </w:r>
      <w:r w:rsidR="009A14A9" w:rsidRPr="00975E6B">
        <w:t>o</w:t>
      </w:r>
      <w:r w:rsidRPr="00975E6B">
        <w:t>ther patients.</w:t>
      </w:r>
    </w:p>
    <w:p w:rsidR="002E59FA" w:rsidRPr="00975E6B" w:rsidRDefault="002E59FA" w:rsidP="00F26328">
      <w:pPr>
        <w:pStyle w:val="BodyText"/>
        <w:numPr>
          <w:ilvl w:val="0"/>
          <w:numId w:val="39"/>
        </w:numPr>
      </w:pPr>
      <w:r w:rsidRPr="00975E6B">
        <w:t xml:space="preserve">Adjustments made by IHPA relating to admitted emergency reallocations </w:t>
      </w:r>
      <w:r w:rsidR="004A564A" w:rsidRPr="00975E6B">
        <w:t xml:space="preserve">for reporting and analysis purposes </w:t>
      </w:r>
      <w:r w:rsidRPr="00975E6B">
        <w:t>(as discussed in Item J of the explanation of reconciliation items) has no impact on the reported activity.</w:t>
      </w:r>
    </w:p>
    <w:p w:rsidR="002E59FA" w:rsidRPr="00975E6B" w:rsidRDefault="002E59FA" w:rsidP="003B387A">
      <w:pPr>
        <w:pStyle w:val="Heading3"/>
        <w:numPr>
          <w:ilvl w:val="2"/>
          <w:numId w:val="77"/>
        </w:numPr>
      </w:pPr>
      <w:bookmarkStart w:id="710" w:name="_Ref433354393"/>
      <w:r w:rsidRPr="0026742C">
        <w:t>Treatment</w:t>
      </w:r>
      <w:r w:rsidRPr="00975E6B">
        <w:t xml:space="preserve"> of </w:t>
      </w:r>
      <w:bookmarkEnd w:id="710"/>
      <w:r w:rsidR="00E2298F" w:rsidRPr="00975E6B">
        <w:t>WIP</w:t>
      </w:r>
    </w:p>
    <w:p w:rsidR="002E59FA" w:rsidRPr="00975E6B" w:rsidRDefault="00F55636" w:rsidP="002E59FA">
      <w:pPr>
        <w:pStyle w:val="BodyText"/>
      </w:pPr>
      <w:r>
        <w:fldChar w:fldCharType="begin"/>
      </w:r>
      <w:r>
        <w:instrText xml:space="preserve"> REF _Ref444516165 \h </w:instrText>
      </w:r>
      <w:r>
        <w:fldChar w:fldCharType="separate"/>
      </w:r>
      <w:r w:rsidR="00154CF7" w:rsidRPr="00975E6B">
        <w:t xml:space="preserve">Table </w:t>
      </w:r>
      <w:r w:rsidR="00154CF7">
        <w:rPr>
          <w:noProof/>
        </w:rPr>
        <w:t>30</w:t>
      </w:r>
      <w:r>
        <w:fldChar w:fldCharType="end"/>
      </w:r>
      <w:r>
        <w:t xml:space="preserve"> </w:t>
      </w:r>
      <w:r w:rsidR="002E59FA" w:rsidRPr="00975E6B">
        <w:t xml:space="preserve">demonstrates models for </w:t>
      </w:r>
      <w:r w:rsidR="00785E68" w:rsidRPr="00975E6B">
        <w:t>WIP</w:t>
      </w:r>
      <w:r w:rsidR="002E59FA" w:rsidRPr="00975E6B">
        <w:t xml:space="preserve"> and what was included in the </w:t>
      </w:r>
      <w:r w:rsidR="00C15673" w:rsidRPr="00975E6B">
        <w:t>Royal Darwin</w:t>
      </w:r>
      <w:r w:rsidR="002E59FA" w:rsidRPr="00975E6B">
        <w:t xml:space="preserve"> Round 18 NHCDC submission.</w:t>
      </w:r>
    </w:p>
    <w:p w:rsidR="002E59FA" w:rsidRPr="00975E6B" w:rsidRDefault="002E59FA" w:rsidP="00F55636">
      <w:pPr>
        <w:pStyle w:val="Caption"/>
        <w:pageBreakBefore/>
      </w:pPr>
      <w:bookmarkStart w:id="711" w:name="_Ref434264922"/>
      <w:bookmarkStart w:id="712" w:name="_Ref444516165"/>
      <w:r w:rsidRPr="00975E6B">
        <w:lastRenderedPageBreak/>
        <w:t xml:space="preserve">Table </w:t>
      </w:r>
      <w:r w:rsidR="00AC3838">
        <w:fldChar w:fldCharType="begin"/>
      </w:r>
      <w:r w:rsidR="00AC3838">
        <w:instrText xml:space="preserve"> SEQ Table \* ARABIC </w:instrText>
      </w:r>
      <w:r w:rsidR="00AC3838">
        <w:fldChar w:fldCharType="separate"/>
      </w:r>
      <w:proofErr w:type="gramStart"/>
      <w:r w:rsidR="00154CF7">
        <w:rPr>
          <w:noProof/>
        </w:rPr>
        <w:t>30</w:t>
      </w:r>
      <w:r w:rsidR="00AC3838">
        <w:rPr>
          <w:noProof/>
        </w:rPr>
        <w:fldChar w:fldCharType="end"/>
      </w:r>
      <w:bookmarkEnd w:id="711"/>
      <w:bookmarkEnd w:id="712"/>
      <w:r w:rsidRPr="00975E6B">
        <w:t xml:space="preserve"> – W</w:t>
      </w:r>
      <w:r w:rsidR="00E2298F" w:rsidRPr="00975E6B">
        <w:t xml:space="preserve">IP </w:t>
      </w:r>
      <w:r w:rsidRPr="00975E6B">
        <w:t xml:space="preserve">– </w:t>
      </w:r>
      <w:r w:rsidR="00C15673" w:rsidRPr="00975E6B">
        <w:t>Royal Darwin</w:t>
      </w:r>
      <w:r w:rsidR="008B560B" w:rsidRPr="00975E6B">
        <w:t xml:space="preserve"> Hospital</w:t>
      </w:r>
      <w:proofErr w:type="gramEnd"/>
    </w:p>
    <w:tbl>
      <w:tblPr>
        <w:tblStyle w:val="ListTable4-Accent11"/>
        <w:tblW w:w="5000" w:type="pct"/>
        <w:tblLayout w:type="fixed"/>
        <w:tblLook w:val="0620" w:firstRow="1" w:lastRow="0" w:firstColumn="0" w:lastColumn="0" w:noHBand="1" w:noVBand="1"/>
        <w:tblCaption w:val="Table 30 - Models for Work In Progress - Royal Darwin Hospital"/>
        <w:tblDescription w:val="This table describes the models for Work In Progress and how that applied to Royal Darwin Hospital.  The first column is the model number, the second column is the description and the third column is how that model was applied for the relevant hospital.&#10;"/>
      </w:tblPr>
      <w:tblGrid>
        <w:gridCol w:w="870"/>
        <w:gridCol w:w="3928"/>
        <w:gridCol w:w="3923"/>
      </w:tblGrid>
      <w:tr w:rsidR="002E59FA"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99" w:type="pct"/>
            <w:tcBorders>
              <w:right w:val="single" w:sz="4" w:space="0" w:color="548DD4" w:themeColor="text2" w:themeTint="99"/>
            </w:tcBorders>
            <w:shd w:val="clear" w:color="auto" w:fill="002060"/>
            <w:noWrap/>
          </w:tcPr>
          <w:p w:rsidR="002E59FA" w:rsidRPr="00975E6B" w:rsidRDefault="002E59FA" w:rsidP="0029344A">
            <w:pPr>
              <w:jc w:val="right"/>
            </w:pPr>
            <w:r w:rsidRPr="00975E6B">
              <w:t>Model</w:t>
            </w:r>
          </w:p>
        </w:tc>
        <w:tc>
          <w:tcPr>
            <w:tcW w:w="2252" w:type="pct"/>
            <w:tcBorders>
              <w:left w:val="single" w:sz="4" w:space="0" w:color="548DD4" w:themeColor="text2" w:themeTint="99"/>
            </w:tcBorders>
            <w:shd w:val="clear" w:color="auto" w:fill="002060"/>
          </w:tcPr>
          <w:p w:rsidR="002E59FA" w:rsidRPr="00975E6B" w:rsidRDefault="002E59FA" w:rsidP="0029344A">
            <w:r w:rsidRPr="00975E6B">
              <w:t>Description</w:t>
            </w:r>
          </w:p>
        </w:tc>
        <w:tc>
          <w:tcPr>
            <w:tcW w:w="2249" w:type="pct"/>
            <w:tcBorders>
              <w:left w:val="single" w:sz="4" w:space="0" w:color="548DD4" w:themeColor="text2" w:themeTint="99"/>
            </w:tcBorders>
            <w:shd w:val="clear" w:color="auto" w:fill="002060"/>
          </w:tcPr>
          <w:p w:rsidR="002E59FA" w:rsidRPr="00975E6B" w:rsidRDefault="002E59FA" w:rsidP="0029344A">
            <w:r w:rsidRPr="00975E6B">
              <w:t>Submitted to Round 18 NHCDC</w:t>
            </w:r>
          </w:p>
        </w:tc>
      </w:tr>
      <w:tr w:rsidR="002E59FA" w:rsidRPr="00975E6B" w:rsidTr="0029344A">
        <w:tc>
          <w:tcPr>
            <w:tcW w:w="499" w:type="pct"/>
            <w:tcBorders>
              <w:right w:val="single" w:sz="4" w:space="0" w:color="548DD4" w:themeColor="text2" w:themeTint="99"/>
            </w:tcBorders>
            <w:noWrap/>
          </w:tcPr>
          <w:p w:rsidR="002E59FA" w:rsidRPr="00975E6B" w:rsidRDefault="002E59FA" w:rsidP="001140D3">
            <w:pPr>
              <w:jc w:val="center"/>
            </w:pPr>
            <w:r w:rsidRPr="00975E6B">
              <w:t>1</w:t>
            </w:r>
          </w:p>
        </w:tc>
        <w:tc>
          <w:tcPr>
            <w:tcW w:w="2252" w:type="pct"/>
            <w:tcBorders>
              <w:left w:val="single" w:sz="4" w:space="0" w:color="548DD4" w:themeColor="text2" w:themeTint="99"/>
            </w:tcBorders>
          </w:tcPr>
          <w:p w:rsidR="002E59FA" w:rsidRPr="00975E6B" w:rsidRDefault="002E59FA" w:rsidP="0029344A">
            <w:r w:rsidRPr="00975E6B">
              <w:t>Admitted and Discharged Patients in 2013/14 only</w:t>
            </w:r>
          </w:p>
        </w:tc>
        <w:tc>
          <w:tcPr>
            <w:tcW w:w="2249" w:type="pct"/>
            <w:tcBorders>
              <w:left w:val="single" w:sz="4" w:space="0" w:color="548DD4" w:themeColor="text2" w:themeTint="99"/>
            </w:tcBorders>
          </w:tcPr>
          <w:p w:rsidR="002E59FA" w:rsidRPr="00975E6B" w:rsidRDefault="002E59FA" w:rsidP="0029344A">
            <w:pPr>
              <w:jc w:val="center"/>
            </w:pPr>
            <w:r w:rsidRPr="00975E6B">
              <w:t>Submitted to Round 18 of the NHCDC</w:t>
            </w:r>
          </w:p>
        </w:tc>
      </w:tr>
      <w:tr w:rsidR="002E59FA" w:rsidRPr="00975E6B" w:rsidTr="0029344A">
        <w:tc>
          <w:tcPr>
            <w:tcW w:w="499" w:type="pct"/>
            <w:tcBorders>
              <w:right w:val="single" w:sz="4" w:space="0" w:color="548DD4" w:themeColor="text2" w:themeTint="99"/>
            </w:tcBorders>
            <w:noWrap/>
          </w:tcPr>
          <w:p w:rsidR="002E59FA" w:rsidRPr="00975E6B" w:rsidRDefault="002E59FA" w:rsidP="001140D3">
            <w:pPr>
              <w:jc w:val="center"/>
            </w:pPr>
            <w:r w:rsidRPr="00975E6B">
              <w:t>2</w:t>
            </w:r>
          </w:p>
        </w:tc>
        <w:tc>
          <w:tcPr>
            <w:tcW w:w="2252" w:type="pct"/>
            <w:tcBorders>
              <w:left w:val="single" w:sz="4" w:space="0" w:color="548DD4" w:themeColor="text2" w:themeTint="99"/>
            </w:tcBorders>
          </w:tcPr>
          <w:p w:rsidR="002E59FA" w:rsidRPr="00975E6B" w:rsidRDefault="002E59FA" w:rsidP="0029344A">
            <w:r w:rsidRPr="00975E6B">
              <w:t>Costs for patients discharged in 2013/14 but incurred prior to 2013/14</w:t>
            </w:r>
          </w:p>
        </w:tc>
        <w:tc>
          <w:tcPr>
            <w:tcW w:w="2249" w:type="pct"/>
            <w:tcBorders>
              <w:left w:val="single" w:sz="4" w:space="0" w:color="548DD4" w:themeColor="text2" w:themeTint="99"/>
            </w:tcBorders>
          </w:tcPr>
          <w:p w:rsidR="002E59FA" w:rsidRPr="00975E6B" w:rsidRDefault="002E59FA" w:rsidP="0029344A">
            <w:pPr>
              <w:jc w:val="center"/>
            </w:pPr>
            <w:r w:rsidRPr="00975E6B">
              <w:t>Not submitted to Round 18 of the NHCDC</w:t>
            </w:r>
          </w:p>
        </w:tc>
      </w:tr>
      <w:tr w:rsidR="002E59FA" w:rsidRPr="00975E6B" w:rsidTr="0029344A">
        <w:tc>
          <w:tcPr>
            <w:tcW w:w="499" w:type="pct"/>
            <w:tcBorders>
              <w:right w:val="single" w:sz="4" w:space="0" w:color="548DD4" w:themeColor="text2" w:themeTint="99"/>
            </w:tcBorders>
            <w:noWrap/>
          </w:tcPr>
          <w:p w:rsidR="002E59FA" w:rsidRPr="00975E6B" w:rsidRDefault="002E59FA" w:rsidP="001140D3">
            <w:pPr>
              <w:jc w:val="center"/>
            </w:pPr>
            <w:r w:rsidRPr="00975E6B">
              <w:t>3</w:t>
            </w:r>
          </w:p>
        </w:tc>
        <w:tc>
          <w:tcPr>
            <w:tcW w:w="2252" w:type="pct"/>
            <w:tcBorders>
              <w:left w:val="single" w:sz="4" w:space="0" w:color="548DD4" w:themeColor="text2" w:themeTint="99"/>
            </w:tcBorders>
          </w:tcPr>
          <w:p w:rsidR="002E59FA" w:rsidRPr="00975E6B" w:rsidRDefault="002E59FA" w:rsidP="0029344A">
            <w:r w:rsidRPr="00975E6B">
              <w:t>Costs for patients admitted in 2013/14 and still admitted at 30/06/2014</w:t>
            </w:r>
          </w:p>
        </w:tc>
        <w:tc>
          <w:tcPr>
            <w:tcW w:w="2249" w:type="pct"/>
            <w:tcBorders>
              <w:left w:val="single" w:sz="4" w:space="0" w:color="548DD4" w:themeColor="text2" w:themeTint="99"/>
            </w:tcBorders>
          </w:tcPr>
          <w:p w:rsidR="002E59FA" w:rsidRPr="00975E6B" w:rsidRDefault="002E59FA" w:rsidP="0029344A">
            <w:pPr>
              <w:jc w:val="center"/>
            </w:pPr>
            <w:r w:rsidRPr="00975E6B">
              <w:t>Not submitted to Round 18 of the NHCDC</w:t>
            </w:r>
          </w:p>
        </w:tc>
      </w:tr>
      <w:tr w:rsidR="002E59FA" w:rsidRPr="00975E6B" w:rsidTr="0029344A">
        <w:tc>
          <w:tcPr>
            <w:tcW w:w="499" w:type="pct"/>
            <w:tcBorders>
              <w:right w:val="single" w:sz="4" w:space="0" w:color="548DD4" w:themeColor="text2" w:themeTint="99"/>
            </w:tcBorders>
            <w:noWrap/>
          </w:tcPr>
          <w:p w:rsidR="002E59FA" w:rsidRPr="00975E6B" w:rsidRDefault="002E59FA" w:rsidP="001140D3">
            <w:pPr>
              <w:jc w:val="center"/>
            </w:pPr>
            <w:r w:rsidRPr="00975E6B">
              <w:t>4</w:t>
            </w:r>
          </w:p>
        </w:tc>
        <w:tc>
          <w:tcPr>
            <w:tcW w:w="2252" w:type="pct"/>
            <w:tcBorders>
              <w:left w:val="single" w:sz="4" w:space="0" w:color="548DD4" w:themeColor="text2" w:themeTint="99"/>
            </w:tcBorders>
          </w:tcPr>
          <w:p w:rsidR="002E59FA" w:rsidRPr="00975E6B" w:rsidRDefault="002E59FA" w:rsidP="0029344A">
            <w:r w:rsidRPr="00975E6B">
              <w:t>Costs for patients admitted prior to 2013/14 and still admitted at 30/06/2014</w:t>
            </w:r>
          </w:p>
        </w:tc>
        <w:tc>
          <w:tcPr>
            <w:tcW w:w="2249" w:type="pct"/>
            <w:tcBorders>
              <w:left w:val="single" w:sz="4" w:space="0" w:color="548DD4" w:themeColor="text2" w:themeTint="99"/>
            </w:tcBorders>
          </w:tcPr>
          <w:p w:rsidR="002E59FA" w:rsidRPr="00975E6B" w:rsidRDefault="002E59FA" w:rsidP="0029344A">
            <w:pPr>
              <w:jc w:val="center"/>
            </w:pPr>
            <w:r w:rsidRPr="00975E6B">
              <w:t>Not submitted to Round 18 of the NHCDC</w:t>
            </w:r>
          </w:p>
        </w:tc>
      </w:tr>
    </w:tbl>
    <w:p w:rsidR="002E59FA" w:rsidRPr="00975E6B" w:rsidRDefault="002E59FA" w:rsidP="002E59FA">
      <w:pPr>
        <w:pStyle w:val="FootnoteText"/>
        <w:rPr>
          <w:bCs/>
          <w:i/>
          <w:sz w:val="16"/>
          <w:szCs w:val="16"/>
        </w:rPr>
      </w:pPr>
      <w:r w:rsidRPr="00975E6B">
        <w:rPr>
          <w:bCs/>
          <w:i/>
          <w:sz w:val="16"/>
          <w:szCs w:val="16"/>
        </w:rPr>
        <w:t xml:space="preserve">Source: KPMG, based on </w:t>
      </w:r>
      <w:r w:rsidR="00C15673" w:rsidRPr="00975E6B">
        <w:rPr>
          <w:bCs/>
          <w:i/>
          <w:sz w:val="16"/>
          <w:szCs w:val="16"/>
        </w:rPr>
        <w:t>Royal Darwin</w:t>
      </w:r>
      <w:r w:rsidRPr="00975E6B">
        <w:rPr>
          <w:bCs/>
          <w:i/>
          <w:sz w:val="16"/>
          <w:szCs w:val="16"/>
        </w:rPr>
        <w:t xml:space="preserve"> templates and review discussions</w:t>
      </w:r>
    </w:p>
    <w:p w:rsidR="002E59FA" w:rsidRPr="00975E6B" w:rsidRDefault="002E59FA" w:rsidP="002E59FA">
      <w:pPr>
        <w:pStyle w:val="BodyText"/>
      </w:pPr>
      <w:r w:rsidRPr="00975E6B">
        <w:t>In summary, as a result of the change in clinical costing software referred to above there was no WIP</w:t>
      </w:r>
      <w:r w:rsidR="00B7080E" w:rsidRPr="00975E6B">
        <w:t xml:space="preserve"> cost</w:t>
      </w:r>
      <w:r w:rsidRPr="00975E6B">
        <w:t xml:space="preserve"> data submitted in Round 18 for </w:t>
      </w:r>
      <w:r w:rsidR="00C15673" w:rsidRPr="00975E6B">
        <w:t>Royal Darwin</w:t>
      </w:r>
      <w:r w:rsidRPr="00975E6B">
        <w:t>.</w:t>
      </w:r>
    </w:p>
    <w:p w:rsidR="002E59FA" w:rsidRPr="00975E6B" w:rsidRDefault="002E59FA" w:rsidP="0026742C">
      <w:pPr>
        <w:pStyle w:val="Heading4"/>
        <w:numPr>
          <w:ilvl w:val="0"/>
          <w:numId w:val="0"/>
        </w:numPr>
        <w:ind w:left="720" w:hanging="720"/>
      </w:pPr>
      <w:r w:rsidRPr="00975E6B">
        <w:t>Escalation factor</w:t>
      </w:r>
    </w:p>
    <w:p w:rsidR="002E59FA" w:rsidRPr="00975E6B" w:rsidRDefault="002E59FA" w:rsidP="002E59FA">
      <w:pPr>
        <w:pStyle w:val="BodyText"/>
      </w:pPr>
      <w:r w:rsidRPr="00975E6B">
        <w:t xml:space="preserve">No escalation factor was applied to costs incurred prior to 2013/14 for the </w:t>
      </w:r>
      <w:r w:rsidR="00C15673" w:rsidRPr="00975E6B">
        <w:t>Royal Darwin</w:t>
      </w:r>
      <w:r w:rsidRPr="00975E6B">
        <w:t xml:space="preserve"> Round 18 submission to the NHCDC.</w:t>
      </w:r>
    </w:p>
    <w:p w:rsidR="002E59FA" w:rsidRPr="00975E6B" w:rsidRDefault="002E59FA" w:rsidP="003B387A">
      <w:pPr>
        <w:pStyle w:val="Heading3"/>
        <w:numPr>
          <w:ilvl w:val="2"/>
          <w:numId w:val="77"/>
        </w:numPr>
      </w:pPr>
      <w:r w:rsidRPr="0026742C">
        <w:t>Treatment</w:t>
      </w:r>
      <w:r w:rsidRPr="00975E6B">
        <w:t xml:space="preserve"> of other specific cost items</w:t>
      </w:r>
    </w:p>
    <w:p w:rsidR="002E59FA" w:rsidRPr="00975E6B" w:rsidRDefault="00EB4E48" w:rsidP="002E59FA">
      <w:r w:rsidRPr="00975E6B">
        <w:t xml:space="preserve">The following items were discussed during the reviews to understand their treatment in the costing process. The cost data is used to inform the </w:t>
      </w:r>
      <w:r w:rsidR="009A14A9" w:rsidRPr="00975E6B">
        <w:t>National Efficient Price (</w:t>
      </w:r>
      <w:r w:rsidRPr="00975E6B">
        <w:t>NEP</w:t>
      </w:r>
      <w:r w:rsidR="009A14A9" w:rsidRPr="00975E6B">
        <w:t>)</w:t>
      </w:r>
      <w:r w:rsidRPr="00975E6B">
        <w:t xml:space="preserve"> and specific funding model adjustments for particular patient cohorts</w:t>
      </w:r>
      <w:r w:rsidR="002E59FA" w:rsidRPr="00975E6B">
        <w:t xml:space="preserve">. </w:t>
      </w:r>
      <w:r w:rsidR="00C15673" w:rsidRPr="00975E6B">
        <w:t>Royal Darwin</w:t>
      </w:r>
      <w:r w:rsidR="002E59FA" w:rsidRPr="00975E6B">
        <w:t>’s treatment of each of the items is summarised in</w:t>
      </w:r>
      <w:r w:rsidR="00B33CC1" w:rsidRPr="00975E6B">
        <w:t xml:space="preserve"> </w:t>
      </w:r>
      <w:r w:rsidR="00B33CC1" w:rsidRPr="00975E6B">
        <w:fldChar w:fldCharType="begin"/>
      </w:r>
      <w:r w:rsidR="00B33CC1" w:rsidRPr="00975E6B">
        <w:instrText xml:space="preserve"> REF _Ref434264942 \h </w:instrText>
      </w:r>
      <w:r w:rsidR="00975E6B">
        <w:instrText xml:space="preserve"> \* MERGEFORMAT </w:instrText>
      </w:r>
      <w:r w:rsidR="00B33CC1" w:rsidRPr="00975E6B">
        <w:fldChar w:fldCharType="separate"/>
      </w:r>
      <w:r w:rsidR="00154CF7" w:rsidRPr="00975E6B">
        <w:t xml:space="preserve">Table </w:t>
      </w:r>
      <w:r w:rsidR="00154CF7">
        <w:rPr>
          <w:noProof/>
        </w:rPr>
        <w:t>31</w:t>
      </w:r>
      <w:r w:rsidR="00B33CC1" w:rsidRPr="00975E6B">
        <w:fldChar w:fldCharType="end"/>
      </w:r>
      <w:r w:rsidR="002E59FA" w:rsidRPr="00975E6B">
        <w:t>.</w:t>
      </w:r>
    </w:p>
    <w:p w:rsidR="002E59FA" w:rsidRPr="00975E6B" w:rsidRDefault="002E59FA" w:rsidP="002E59FA">
      <w:pPr>
        <w:pStyle w:val="Caption"/>
      </w:pPr>
      <w:bookmarkStart w:id="713" w:name="_Ref434264942"/>
      <w:r w:rsidRPr="00975E6B">
        <w:t xml:space="preserve">Table </w:t>
      </w:r>
      <w:fldSimple w:instr=" SEQ Table \* ARABIC ">
        <w:r w:rsidR="00154CF7">
          <w:rPr>
            <w:noProof/>
          </w:rPr>
          <w:t>31</w:t>
        </w:r>
      </w:fldSimple>
      <w:bookmarkEnd w:id="713"/>
      <w:r w:rsidRPr="00975E6B">
        <w:t xml:space="preserve"> – Treatment of other specific cost items – </w:t>
      </w:r>
      <w:r w:rsidR="00C15673" w:rsidRPr="00975E6B">
        <w:t>Royal Darwin</w:t>
      </w:r>
      <w:r w:rsidR="008B560B" w:rsidRPr="00975E6B">
        <w:t xml:space="preserve"> Hospital</w:t>
      </w:r>
    </w:p>
    <w:tbl>
      <w:tblPr>
        <w:tblStyle w:val="ListTable4-Accent11"/>
        <w:tblW w:w="5000" w:type="pct"/>
        <w:tblLayout w:type="fixed"/>
        <w:tblLook w:val="0620" w:firstRow="1" w:lastRow="0" w:firstColumn="0" w:lastColumn="0" w:noHBand="1" w:noVBand="1"/>
        <w:tblCaption w:val="Table 31 - Treatment of specific items - Royal Darwin Hospital"/>
        <w:tblDescription w:val="This table describes how Royal Darwin Hospital treated specific items in their Round 18 NHCDC Submission.  The first column is the item and the second column is the description of the treatment.&#10;"/>
      </w:tblPr>
      <w:tblGrid>
        <w:gridCol w:w="3342"/>
        <w:gridCol w:w="5379"/>
      </w:tblGrid>
      <w:tr w:rsidR="002E59FA" w:rsidRPr="00975E6B" w:rsidTr="00E14378">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tcPr>
          <w:p w:rsidR="002E59FA" w:rsidRPr="00975E6B" w:rsidRDefault="002E59FA" w:rsidP="0029344A">
            <w:r w:rsidRPr="00975E6B">
              <w:t>Item</w:t>
            </w:r>
          </w:p>
        </w:tc>
        <w:tc>
          <w:tcPr>
            <w:tcW w:w="3084" w:type="pct"/>
            <w:tcBorders>
              <w:left w:val="single" w:sz="4" w:space="0" w:color="548DD4" w:themeColor="text2" w:themeTint="99"/>
            </w:tcBorders>
            <w:shd w:val="clear" w:color="auto" w:fill="002060"/>
          </w:tcPr>
          <w:p w:rsidR="002E59FA" w:rsidRPr="00975E6B" w:rsidRDefault="002E59FA" w:rsidP="0029344A">
            <w:r w:rsidRPr="00975E6B">
              <w:t>Treatment</w:t>
            </w:r>
          </w:p>
        </w:tc>
      </w:tr>
      <w:tr w:rsidR="002E59FA" w:rsidRPr="00975E6B" w:rsidTr="0029344A">
        <w:tc>
          <w:tcPr>
            <w:tcW w:w="1916" w:type="pct"/>
            <w:tcBorders>
              <w:right w:val="single" w:sz="4" w:space="0" w:color="548DD4" w:themeColor="text2" w:themeTint="99"/>
            </w:tcBorders>
            <w:noWrap/>
          </w:tcPr>
          <w:p w:rsidR="002E59FA" w:rsidRPr="00975E6B" w:rsidRDefault="002E59FA" w:rsidP="0029344A">
            <w:pPr>
              <w:pStyle w:val="BodyText"/>
              <w:jc w:val="left"/>
            </w:pPr>
            <w:r w:rsidRPr="00975E6B">
              <w:t>Teaching, training and research</w:t>
            </w:r>
          </w:p>
        </w:tc>
        <w:tc>
          <w:tcPr>
            <w:tcW w:w="3084" w:type="pct"/>
            <w:tcBorders>
              <w:left w:val="single" w:sz="4" w:space="0" w:color="548DD4" w:themeColor="text2" w:themeTint="99"/>
            </w:tcBorders>
          </w:tcPr>
          <w:p w:rsidR="002E59FA" w:rsidRPr="00975E6B" w:rsidRDefault="00140C9F" w:rsidP="00EC75FC">
            <w:pPr>
              <w:pStyle w:val="BodyText"/>
              <w:jc w:val="left"/>
            </w:pPr>
            <w:r w:rsidRPr="00975E6B">
              <w:t>TTR</w:t>
            </w:r>
            <w:r w:rsidR="002E59FA" w:rsidRPr="00975E6B">
              <w:t xml:space="preserve"> costs are separately costed based on PFRAC information. </w:t>
            </w:r>
          </w:p>
        </w:tc>
      </w:tr>
      <w:tr w:rsidR="002E59FA" w:rsidRPr="00975E6B" w:rsidTr="0029344A">
        <w:tc>
          <w:tcPr>
            <w:tcW w:w="1916" w:type="pct"/>
            <w:tcBorders>
              <w:right w:val="single" w:sz="4" w:space="0" w:color="548DD4" w:themeColor="text2" w:themeTint="99"/>
            </w:tcBorders>
            <w:noWrap/>
          </w:tcPr>
          <w:p w:rsidR="002E59FA" w:rsidRPr="00975E6B" w:rsidRDefault="002E59FA" w:rsidP="0029344A">
            <w:pPr>
              <w:pStyle w:val="BodyText"/>
              <w:jc w:val="left"/>
            </w:pPr>
            <w:r w:rsidRPr="00975E6B">
              <w:t>Shared/other commercial entities</w:t>
            </w:r>
          </w:p>
        </w:tc>
        <w:tc>
          <w:tcPr>
            <w:tcW w:w="3084" w:type="pct"/>
            <w:tcBorders>
              <w:left w:val="single" w:sz="4" w:space="0" w:color="548DD4" w:themeColor="text2" w:themeTint="99"/>
            </w:tcBorders>
          </w:tcPr>
          <w:p w:rsidR="002E59FA" w:rsidRPr="00975E6B" w:rsidRDefault="002E59FA" w:rsidP="00EC75FC">
            <w:pPr>
              <w:pStyle w:val="BodyText"/>
              <w:jc w:val="left"/>
            </w:pPr>
            <w:r w:rsidRPr="00975E6B">
              <w:t xml:space="preserve">All expenditure is included in the </w:t>
            </w:r>
            <w:r w:rsidR="00295314" w:rsidRPr="00975E6B">
              <w:t xml:space="preserve">GL </w:t>
            </w:r>
            <w:r w:rsidRPr="00975E6B">
              <w:t>and is excluded where not applicable post allocation.</w:t>
            </w:r>
          </w:p>
        </w:tc>
      </w:tr>
      <w:tr w:rsidR="002E59FA" w:rsidRPr="00975E6B" w:rsidTr="0029344A">
        <w:tc>
          <w:tcPr>
            <w:tcW w:w="1916" w:type="pct"/>
            <w:tcBorders>
              <w:right w:val="single" w:sz="4" w:space="0" w:color="548DD4" w:themeColor="text2" w:themeTint="99"/>
            </w:tcBorders>
            <w:noWrap/>
          </w:tcPr>
          <w:p w:rsidR="002E59FA" w:rsidRPr="00975E6B" w:rsidRDefault="002E59FA" w:rsidP="00901115">
            <w:pPr>
              <w:pStyle w:val="BodyText"/>
              <w:jc w:val="left"/>
            </w:pPr>
            <w:r w:rsidRPr="00975E6B">
              <w:t xml:space="preserve">Intensive Care Unit </w:t>
            </w:r>
          </w:p>
        </w:tc>
        <w:tc>
          <w:tcPr>
            <w:tcW w:w="3084" w:type="pct"/>
            <w:tcBorders>
              <w:left w:val="single" w:sz="4" w:space="0" w:color="548DD4" w:themeColor="text2" w:themeTint="99"/>
            </w:tcBorders>
          </w:tcPr>
          <w:p w:rsidR="002E59FA" w:rsidRPr="00975E6B" w:rsidRDefault="002E59FA" w:rsidP="0029344A">
            <w:pPr>
              <w:pStyle w:val="BodyText"/>
              <w:jc w:val="left"/>
            </w:pPr>
            <w:r w:rsidRPr="00975E6B">
              <w:t>No change to the costing methodology.</w:t>
            </w:r>
          </w:p>
        </w:tc>
      </w:tr>
      <w:tr w:rsidR="002E59FA" w:rsidRPr="00975E6B" w:rsidTr="0029344A">
        <w:tc>
          <w:tcPr>
            <w:tcW w:w="1916" w:type="pct"/>
            <w:tcBorders>
              <w:right w:val="single" w:sz="4" w:space="0" w:color="548DD4" w:themeColor="text2" w:themeTint="99"/>
            </w:tcBorders>
            <w:noWrap/>
          </w:tcPr>
          <w:p w:rsidR="002E59FA" w:rsidRPr="00975E6B" w:rsidRDefault="00EE5E5B" w:rsidP="00901115">
            <w:pPr>
              <w:pStyle w:val="BodyText"/>
              <w:jc w:val="left"/>
            </w:pPr>
            <w:r w:rsidRPr="00975E6B">
              <w:t>Aboriginal and Torres Strait Islander</w:t>
            </w:r>
            <w:r w:rsidR="002E59FA" w:rsidRPr="00975E6B">
              <w:t xml:space="preserve"> patients</w:t>
            </w:r>
          </w:p>
        </w:tc>
        <w:tc>
          <w:tcPr>
            <w:tcW w:w="3084" w:type="pct"/>
            <w:tcBorders>
              <w:left w:val="single" w:sz="4" w:space="0" w:color="548DD4" w:themeColor="text2" w:themeTint="99"/>
            </w:tcBorders>
          </w:tcPr>
          <w:p w:rsidR="002E59FA" w:rsidRPr="00975E6B" w:rsidRDefault="002E59FA" w:rsidP="0029344A">
            <w:pPr>
              <w:pStyle w:val="BodyText"/>
              <w:jc w:val="left"/>
            </w:pPr>
            <w:r w:rsidRPr="00975E6B">
              <w:t>No change to the costing methodology. It should be noted that:</w:t>
            </w:r>
          </w:p>
          <w:p w:rsidR="002E59FA" w:rsidRPr="00975E6B" w:rsidRDefault="002E59FA" w:rsidP="00F26328">
            <w:pPr>
              <w:pStyle w:val="BodyText"/>
              <w:numPr>
                <w:ilvl w:val="0"/>
                <w:numId w:val="41"/>
              </w:numPr>
              <w:ind w:left="318" w:hanging="284"/>
              <w:jc w:val="left"/>
            </w:pPr>
            <w:r w:rsidRPr="00975E6B">
              <w:t>Health services have a number of Indigenous only cost centres, i.e. 100</w:t>
            </w:r>
            <w:r w:rsidR="00DA7807" w:rsidRPr="00975E6B">
              <w:t> percent</w:t>
            </w:r>
            <w:r w:rsidRPr="00975E6B">
              <w:t xml:space="preserve"> of costs applied to ATSI patients.</w:t>
            </w:r>
          </w:p>
          <w:p w:rsidR="002E59FA" w:rsidRPr="00975E6B" w:rsidRDefault="002E59FA" w:rsidP="00F26328">
            <w:pPr>
              <w:pStyle w:val="BodyText"/>
              <w:numPr>
                <w:ilvl w:val="0"/>
                <w:numId w:val="41"/>
              </w:numPr>
              <w:ind w:left="318" w:hanging="284"/>
              <w:jc w:val="left"/>
            </w:pPr>
            <w:r w:rsidRPr="00975E6B">
              <w:t xml:space="preserve">Indigenous Patient Liaison Officers and Aboriginal Health Worker costs are only allocated to ATSI patients. </w:t>
            </w:r>
          </w:p>
        </w:tc>
      </w:tr>
      <w:tr w:rsidR="002E59FA" w:rsidRPr="00975E6B" w:rsidTr="0029344A">
        <w:trPr>
          <w:trHeight w:val="516"/>
        </w:trPr>
        <w:tc>
          <w:tcPr>
            <w:tcW w:w="1916" w:type="pct"/>
            <w:tcBorders>
              <w:right w:val="single" w:sz="4" w:space="0" w:color="548DD4" w:themeColor="text2" w:themeTint="99"/>
            </w:tcBorders>
            <w:noWrap/>
          </w:tcPr>
          <w:p w:rsidR="002E59FA" w:rsidRPr="00975E6B" w:rsidRDefault="002E59FA" w:rsidP="0029344A">
            <w:pPr>
              <w:pStyle w:val="BodyText"/>
              <w:jc w:val="left"/>
            </w:pPr>
            <w:r w:rsidRPr="00975E6B">
              <w:t xml:space="preserve">Private Patients </w:t>
            </w:r>
          </w:p>
        </w:tc>
        <w:tc>
          <w:tcPr>
            <w:tcW w:w="3084" w:type="pct"/>
            <w:tcBorders>
              <w:left w:val="single" w:sz="4" w:space="0" w:color="548DD4" w:themeColor="text2" w:themeTint="99"/>
            </w:tcBorders>
          </w:tcPr>
          <w:p w:rsidR="002E59FA" w:rsidRPr="00975E6B" w:rsidRDefault="002E59FA" w:rsidP="0029344A">
            <w:pPr>
              <w:pStyle w:val="BodyText"/>
              <w:jc w:val="left"/>
            </w:pPr>
            <w:r w:rsidRPr="00975E6B">
              <w:t>No change to the costing methodology. No private patient weights or adjustments made.</w:t>
            </w:r>
          </w:p>
        </w:tc>
      </w:tr>
      <w:tr w:rsidR="002E59FA" w:rsidRPr="00975E6B" w:rsidTr="0029344A">
        <w:tc>
          <w:tcPr>
            <w:tcW w:w="1916" w:type="pct"/>
            <w:tcBorders>
              <w:right w:val="single" w:sz="4" w:space="0" w:color="548DD4" w:themeColor="text2" w:themeTint="99"/>
            </w:tcBorders>
            <w:noWrap/>
          </w:tcPr>
          <w:p w:rsidR="002E59FA" w:rsidRPr="00975E6B" w:rsidRDefault="002E59FA" w:rsidP="00901115">
            <w:pPr>
              <w:pStyle w:val="BodyText"/>
              <w:jc w:val="left"/>
            </w:pPr>
            <w:r w:rsidRPr="00975E6B">
              <w:lastRenderedPageBreak/>
              <w:t>PBS drugs</w:t>
            </w:r>
          </w:p>
        </w:tc>
        <w:tc>
          <w:tcPr>
            <w:tcW w:w="3084" w:type="pct"/>
            <w:tcBorders>
              <w:left w:val="single" w:sz="4" w:space="0" w:color="548DD4" w:themeColor="text2" w:themeTint="99"/>
            </w:tcBorders>
          </w:tcPr>
          <w:p w:rsidR="002E59FA" w:rsidRPr="00975E6B" w:rsidRDefault="002E59FA" w:rsidP="0029344A">
            <w:pPr>
              <w:pStyle w:val="BodyText"/>
              <w:jc w:val="left"/>
            </w:pPr>
            <w:r w:rsidRPr="00975E6B">
              <w:t xml:space="preserve">Included in the Round 18 submission with no offsets undertaken. </w:t>
            </w:r>
          </w:p>
        </w:tc>
      </w:tr>
      <w:tr w:rsidR="002E59FA" w:rsidRPr="00975E6B" w:rsidTr="0029344A">
        <w:tc>
          <w:tcPr>
            <w:tcW w:w="1916" w:type="pct"/>
            <w:tcBorders>
              <w:right w:val="single" w:sz="4" w:space="0" w:color="548DD4" w:themeColor="text2" w:themeTint="99"/>
            </w:tcBorders>
            <w:noWrap/>
          </w:tcPr>
          <w:p w:rsidR="002E59FA" w:rsidRPr="00975E6B" w:rsidRDefault="002E59FA" w:rsidP="0029344A">
            <w:pPr>
              <w:pStyle w:val="BodyText"/>
              <w:jc w:val="left"/>
            </w:pPr>
            <w:r w:rsidRPr="00975E6B">
              <w:t>Other</w:t>
            </w:r>
          </w:p>
        </w:tc>
        <w:tc>
          <w:tcPr>
            <w:tcW w:w="3084" w:type="pct"/>
            <w:tcBorders>
              <w:left w:val="single" w:sz="4" w:space="0" w:color="548DD4" w:themeColor="text2" w:themeTint="99"/>
            </w:tcBorders>
          </w:tcPr>
          <w:p w:rsidR="002E59FA" w:rsidRPr="00975E6B" w:rsidRDefault="002E59FA" w:rsidP="0029344A">
            <w:pPr>
              <w:pStyle w:val="BodyText"/>
              <w:jc w:val="left"/>
            </w:pPr>
            <w:r w:rsidRPr="00975E6B">
              <w:t xml:space="preserve">Patient travel costs (in-scope and out of scope) represent a significant cost in the NT, </w:t>
            </w:r>
            <w:r w:rsidR="00295314" w:rsidRPr="00975E6B">
              <w:t xml:space="preserve">being </w:t>
            </w:r>
            <w:r w:rsidRPr="00975E6B">
              <w:t>approximately $50</w:t>
            </w:r>
            <w:r w:rsidR="009A14A9" w:rsidRPr="00975E6B">
              <w:t> </w:t>
            </w:r>
            <w:r w:rsidRPr="00975E6B">
              <w:t xml:space="preserve">million in 2013-14. </w:t>
            </w:r>
            <w:r w:rsidR="00772B0F" w:rsidRPr="00975E6B">
              <w:t>NT Health</w:t>
            </w:r>
            <w:r w:rsidRPr="00975E6B">
              <w:t xml:space="preserve"> allocates in-scope costs (inter-hospital transfers) to patient-level encounters.</w:t>
            </w:r>
          </w:p>
          <w:p w:rsidR="002E59FA" w:rsidRPr="00975E6B" w:rsidRDefault="00C15673" w:rsidP="009A14A9">
            <w:pPr>
              <w:pStyle w:val="BodyText"/>
              <w:jc w:val="left"/>
            </w:pPr>
            <w:r w:rsidRPr="00975E6B">
              <w:t>Royal Darwin</w:t>
            </w:r>
            <w:r w:rsidR="002E59FA" w:rsidRPr="00975E6B">
              <w:t xml:space="preserve"> provides services to the other </w:t>
            </w:r>
            <w:r w:rsidR="009A14A9" w:rsidRPr="00975E6B">
              <w:t xml:space="preserve">two </w:t>
            </w:r>
            <w:r w:rsidR="002E59FA" w:rsidRPr="00975E6B">
              <w:t xml:space="preserve">hospitals in the LHN, Gove </w:t>
            </w:r>
            <w:r w:rsidR="004A3B41" w:rsidRPr="00975E6B">
              <w:t xml:space="preserve">District Hospital </w:t>
            </w:r>
            <w:r w:rsidR="002E59FA" w:rsidRPr="00975E6B">
              <w:t>and Katherine</w:t>
            </w:r>
            <w:r w:rsidR="004A3B41" w:rsidRPr="00975E6B">
              <w:t xml:space="preserve"> Hospital</w:t>
            </w:r>
            <w:r w:rsidR="002E59FA" w:rsidRPr="00975E6B">
              <w:t>. The costs associated with these services are mapped to the relevant facility, rather than recharged. The jurisdiction provided an example of a patient level costing for a</w:t>
            </w:r>
            <w:r w:rsidR="009A14A9" w:rsidRPr="00975E6B">
              <w:t>n</w:t>
            </w:r>
            <w:r w:rsidR="00BA3F4B" w:rsidRPr="00975E6B">
              <w:t xml:space="preserve"> </w:t>
            </w:r>
            <w:r w:rsidR="002E59FA" w:rsidRPr="00975E6B">
              <w:t xml:space="preserve">orthopaedic patient </w:t>
            </w:r>
            <w:r w:rsidR="009A14A9" w:rsidRPr="00975E6B">
              <w:t xml:space="preserve">in the Gove </w:t>
            </w:r>
            <w:r w:rsidR="004A3B41" w:rsidRPr="00975E6B">
              <w:t xml:space="preserve">District </w:t>
            </w:r>
            <w:r w:rsidR="009A14A9" w:rsidRPr="00975E6B">
              <w:t xml:space="preserve">Hospital </w:t>
            </w:r>
            <w:r w:rsidR="002E59FA" w:rsidRPr="00975E6B">
              <w:t>where the expenditure included costs for the surgeon and anaesthetist</w:t>
            </w:r>
            <w:r w:rsidR="009A14A9" w:rsidRPr="00975E6B">
              <w:t xml:space="preserve"> from the </w:t>
            </w:r>
            <w:r w:rsidRPr="00975E6B">
              <w:t>Royal Darwin</w:t>
            </w:r>
            <w:r w:rsidR="002E59FA" w:rsidRPr="00975E6B">
              <w:t>.</w:t>
            </w:r>
          </w:p>
        </w:tc>
      </w:tr>
    </w:tbl>
    <w:p w:rsidR="002E59FA" w:rsidRPr="00975E6B" w:rsidRDefault="002E59FA" w:rsidP="002E59FA">
      <w:pPr>
        <w:pStyle w:val="FootnoteText"/>
        <w:rPr>
          <w:bCs/>
          <w:i/>
          <w:sz w:val="16"/>
          <w:szCs w:val="16"/>
        </w:rPr>
      </w:pPr>
      <w:r w:rsidRPr="00975E6B">
        <w:rPr>
          <w:bCs/>
          <w:i/>
          <w:sz w:val="16"/>
          <w:szCs w:val="16"/>
        </w:rPr>
        <w:t>Source: KPMG</w:t>
      </w:r>
    </w:p>
    <w:p w:rsidR="002E59FA" w:rsidRPr="00975E6B" w:rsidRDefault="002E59FA" w:rsidP="003B387A">
      <w:pPr>
        <w:pStyle w:val="Heading3"/>
        <w:numPr>
          <w:ilvl w:val="2"/>
          <w:numId w:val="77"/>
        </w:numPr>
      </w:pPr>
      <w:r w:rsidRPr="0026742C">
        <w:t>Sample</w:t>
      </w:r>
      <w:r w:rsidRPr="00975E6B">
        <w:t xml:space="preserve"> patient data</w:t>
      </w:r>
    </w:p>
    <w:p w:rsidR="002E59FA" w:rsidRPr="00975E6B" w:rsidRDefault="002E59FA" w:rsidP="001140D3">
      <w:pPr>
        <w:pStyle w:val="BodyText"/>
      </w:pPr>
      <w:r w:rsidRPr="00975E6B">
        <w:t xml:space="preserve">IHPA selected a sample of five patients from </w:t>
      </w:r>
      <w:r w:rsidR="00C15673" w:rsidRPr="00975E6B">
        <w:t>Royal Darwin</w:t>
      </w:r>
      <w:r w:rsidRPr="00975E6B">
        <w:t xml:space="preserve"> for the purposes of testing the data flow from jurisdictions to IHPA at the patient level. </w:t>
      </w:r>
      <w:r w:rsidR="00772B0F" w:rsidRPr="00975E6B">
        <w:t>NT Health</w:t>
      </w:r>
      <w:r w:rsidRPr="00975E6B">
        <w:t xml:space="preserve"> provided the patient level costs for all five patients and these reconciled to IHPA records. The results are summarised in</w:t>
      </w:r>
      <w:r w:rsidR="00B33CC1" w:rsidRPr="00975E6B">
        <w:t xml:space="preserve"> </w:t>
      </w:r>
      <w:r w:rsidR="00B33CC1" w:rsidRPr="00975E6B">
        <w:fldChar w:fldCharType="begin"/>
      </w:r>
      <w:r w:rsidR="00B33CC1" w:rsidRPr="00975E6B">
        <w:instrText xml:space="preserve"> REF _Ref434264960 \h </w:instrText>
      </w:r>
      <w:r w:rsidR="00975E6B">
        <w:instrText xml:space="preserve"> \* MERGEFORMAT </w:instrText>
      </w:r>
      <w:r w:rsidR="00B33CC1" w:rsidRPr="00975E6B">
        <w:fldChar w:fldCharType="separate"/>
      </w:r>
      <w:r w:rsidR="00154CF7" w:rsidRPr="00975E6B">
        <w:t xml:space="preserve">Table </w:t>
      </w:r>
      <w:r w:rsidR="00154CF7" w:rsidRPr="00154CF7">
        <w:rPr>
          <w:noProof/>
        </w:rPr>
        <w:t>32</w:t>
      </w:r>
      <w:r w:rsidR="00B33CC1" w:rsidRPr="00975E6B">
        <w:fldChar w:fldCharType="end"/>
      </w:r>
      <w:r w:rsidRPr="00975E6B">
        <w:t>.</w:t>
      </w:r>
    </w:p>
    <w:p w:rsidR="00FA743C" w:rsidRPr="00975E6B" w:rsidRDefault="002E59FA" w:rsidP="00CD1518">
      <w:pPr>
        <w:pStyle w:val="Caption"/>
      </w:pPr>
      <w:bookmarkStart w:id="714" w:name="_Ref434264960"/>
      <w:r w:rsidRPr="00975E6B">
        <w:t xml:space="preserve">Table </w:t>
      </w:r>
      <w:r w:rsidR="004D0865">
        <w:fldChar w:fldCharType="begin"/>
      </w:r>
      <w:r w:rsidR="004D0865">
        <w:rPr>
          <w:bCs w:val="0"/>
          <w:i w:val="0"/>
        </w:rPr>
        <w:instrText xml:space="preserve"> SEQ Table \* ARABIC </w:instrText>
      </w:r>
      <w:r w:rsidR="004D0865">
        <w:fldChar w:fldCharType="separate"/>
      </w:r>
      <w:r w:rsidR="00154CF7">
        <w:rPr>
          <w:bCs w:val="0"/>
          <w:i w:val="0"/>
          <w:noProof/>
        </w:rPr>
        <w:t>32</w:t>
      </w:r>
      <w:r w:rsidR="004D0865">
        <w:rPr>
          <w:noProof/>
        </w:rPr>
        <w:fldChar w:fldCharType="end"/>
      </w:r>
      <w:bookmarkEnd w:id="714"/>
      <w:r w:rsidRPr="00975E6B">
        <w:t xml:space="preserve"> – Sample patients – </w:t>
      </w:r>
      <w:r w:rsidR="00C15673" w:rsidRPr="00975E6B">
        <w:t>Royal Darwin</w:t>
      </w:r>
      <w:r w:rsidR="008B560B" w:rsidRPr="00975E6B">
        <w:t xml:space="preserve"> Hospital</w:t>
      </w:r>
    </w:p>
    <w:tbl>
      <w:tblPr>
        <w:tblW w:w="5000" w:type="pct"/>
        <w:tblLook w:val="04A0" w:firstRow="1" w:lastRow="0" w:firstColumn="1" w:lastColumn="0" w:noHBand="0" w:noVBand="1"/>
        <w:tblCaption w:val="Table 32 - Sample patients - Royal Darwin Hospital"/>
        <w:tblDescription w:val="This table presents the results of the 5 sample patients tested for the data flow from jurisdictions to IHPA at the patient level for Royal Darwin. There are 5 columns.  Column 1 is the sample number, Column 2 is the product type, column 3 is the amount in  jurisdiction records, Column 4 is the amount received by IHPA and Column 5 is the variance between jurisdiction and IHPA.&#10;"/>
      </w:tblPr>
      <w:tblGrid>
        <w:gridCol w:w="509"/>
        <w:gridCol w:w="2274"/>
        <w:gridCol w:w="2274"/>
        <w:gridCol w:w="2274"/>
        <w:gridCol w:w="1390"/>
      </w:tblGrid>
      <w:tr w:rsidR="00FA743C" w:rsidRPr="00FA743C" w:rsidTr="00E14378">
        <w:trPr>
          <w:trHeight w:val="260"/>
        </w:trPr>
        <w:tc>
          <w:tcPr>
            <w:tcW w:w="291"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FA743C" w:rsidRPr="00FA743C" w:rsidRDefault="00FA743C" w:rsidP="00FA743C">
            <w:pPr>
              <w:spacing w:line="240" w:lineRule="auto"/>
              <w:jc w:val="center"/>
              <w:rPr>
                <w:b/>
                <w:bCs/>
                <w:color w:val="FFFFFF"/>
                <w:lang w:eastAsia="en-AU"/>
              </w:rPr>
            </w:pPr>
            <w:r w:rsidRPr="00FA743C">
              <w:rPr>
                <w:b/>
                <w:bCs/>
                <w:color w:val="FFFFFF"/>
                <w:lang w:eastAsia="en-AU"/>
              </w:rPr>
              <w: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FA743C" w:rsidRPr="00FA743C" w:rsidRDefault="00FA743C" w:rsidP="00FA743C">
            <w:pPr>
              <w:spacing w:line="240" w:lineRule="auto"/>
              <w:rPr>
                <w:b/>
                <w:bCs/>
                <w:color w:val="FFFFFF"/>
                <w:lang w:eastAsia="en-AU"/>
              </w:rPr>
            </w:pPr>
            <w:r w:rsidRPr="00FA743C">
              <w:rPr>
                <w:b/>
                <w:bCs/>
                <w:color w:val="FFFFFF"/>
                <w:lang w:eastAsia="en-AU"/>
              </w:rPr>
              <w:t>Product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FA743C" w:rsidRPr="00FA743C" w:rsidRDefault="00FA743C" w:rsidP="00FA743C">
            <w:pPr>
              <w:spacing w:line="240" w:lineRule="auto"/>
              <w:jc w:val="center"/>
              <w:rPr>
                <w:b/>
                <w:bCs/>
                <w:color w:val="FFFFFF"/>
                <w:lang w:eastAsia="en-AU"/>
              </w:rPr>
            </w:pPr>
            <w:r w:rsidRPr="00FA743C">
              <w:rPr>
                <w:b/>
                <w:bCs/>
                <w:color w:val="FFFFFF"/>
                <w:lang w:eastAsia="en-AU"/>
              </w:rPr>
              <w:t>Jurisdiction records</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FA743C" w:rsidRPr="00FA743C" w:rsidRDefault="00FA743C" w:rsidP="00FA743C">
            <w:pPr>
              <w:spacing w:line="240" w:lineRule="auto"/>
              <w:jc w:val="center"/>
              <w:rPr>
                <w:b/>
                <w:bCs/>
                <w:color w:val="FFFFFF"/>
                <w:lang w:eastAsia="en-AU"/>
              </w:rPr>
            </w:pPr>
            <w:r w:rsidRPr="00FA743C">
              <w:rPr>
                <w:b/>
                <w:bCs/>
                <w:color w:val="FFFFFF"/>
                <w:lang w:eastAsia="en-AU"/>
              </w:rPr>
              <w:t>Received by IHPA</w:t>
            </w:r>
          </w:p>
        </w:tc>
        <w:tc>
          <w:tcPr>
            <w:tcW w:w="797" w:type="pct"/>
            <w:tcBorders>
              <w:top w:val="single" w:sz="4" w:space="0" w:color="5B9BD5"/>
              <w:left w:val="nil"/>
              <w:bottom w:val="nil"/>
              <w:right w:val="single" w:sz="4" w:space="0" w:color="5B9BD5"/>
            </w:tcBorders>
            <w:shd w:val="clear" w:color="auto" w:fill="002060"/>
            <w:vAlign w:val="bottom"/>
            <w:hideMark/>
          </w:tcPr>
          <w:p w:rsidR="00FA743C" w:rsidRPr="00FA743C" w:rsidRDefault="00FA743C" w:rsidP="00FA743C">
            <w:pPr>
              <w:spacing w:line="240" w:lineRule="auto"/>
              <w:jc w:val="center"/>
              <w:rPr>
                <w:b/>
                <w:bCs/>
                <w:color w:val="FFFFFF"/>
                <w:lang w:eastAsia="en-AU"/>
              </w:rPr>
            </w:pPr>
            <w:r w:rsidRPr="00FA743C">
              <w:rPr>
                <w:b/>
                <w:bCs/>
                <w:color w:val="FFFFFF"/>
                <w:lang w:eastAsia="en-AU"/>
              </w:rPr>
              <w:t>Variance</w:t>
            </w:r>
          </w:p>
        </w:tc>
      </w:tr>
      <w:tr w:rsidR="00CA7B4E" w:rsidRPr="00FA743C"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FA743C" w:rsidRDefault="00CA7B4E" w:rsidP="00CA7B4E">
            <w:pPr>
              <w:spacing w:line="240" w:lineRule="auto"/>
              <w:jc w:val="center"/>
              <w:rPr>
                <w:color w:val="000000"/>
                <w:lang w:eastAsia="en-AU"/>
              </w:rPr>
            </w:pPr>
            <w:r w:rsidRPr="00FA743C">
              <w:rPr>
                <w:color w:val="000000"/>
                <w:lang w:eastAsia="en-AU"/>
              </w:rPr>
              <w:t>1</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FA743C" w:rsidRDefault="00CA7B4E" w:rsidP="00CA7B4E">
            <w:pPr>
              <w:spacing w:line="240" w:lineRule="auto"/>
              <w:rPr>
                <w:color w:val="000000"/>
                <w:lang w:eastAsia="en-AU"/>
              </w:rPr>
            </w:pPr>
            <w:r w:rsidRPr="00FA743C">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FA743C" w:rsidRDefault="00CA7B4E" w:rsidP="00CD1518">
            <w:pPr>
              <w:spacing w:line="240" w:lineRule="auto"/>
              <w:jc w:val="right"/>
              <w:rPr>
                <w:color w:val="000000"/>
                <w:lang w:eastAsia="en-AU"/>
              </w:rPr>
            </w:pPr>
            <w:r w:rsidRPr="00FA743C">
              <w:rPr>
                <w:color w:val="000000"/>
                <w:lang w:eastAsia="en-AU"/>
              </w:rPr>
              <w:t xml:space="preserve"> $620,248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FA743C" w:rsidRDefault="00CA7B4E" w:rsidP="00CD1518">
            <w:pPr>
              <w:spacing w:line="240" w:lineRule="auto"/>
              <w:jc w:val="right"/>
              <w:rPr>
                <w:color w:val="000000"/>
                <w:lang w:eastAsia="en-AU"/>
              </w:rPr>
            </w:pPr>
            <w:r w:rsidRPr="00FA743C">
              <w:rPr>
                <w:color w:val="000000"/>
                <w:lang w:eastAsia="en-AU"/>
              </w:rPr>
              <w:t xml:space="preserve"> $620,248 </w:t>
            </w:r>
          </w:p>
        </w:tc>
        <w:tc>
          <w:tcPr>
            <w:tcW w:w="797" w:type="pct"/>
            <w:tcBorders>
              <w:top w:val="single" w:sz="4" w:space="0" w:color="5B9BD5"/>
              <w:left w:val="nil"/>
              <w:bottom w:val="single" w:sz="4" w:space="0" w:color="5B9BD5"/>
              <w:right w:val="single" w:sz="4" w:space="0" w:color="5B9BD5"/>
            </w:tcBorders>
            <w:shd w:val="clear" w:color="000000" w:fill="FFFFFF"/>
            <w:noWrap/>
            <w:vAlign w:val="bottom"/>
            <w:hideMark/>
          </w:tcPr>
          <w:p w:rsidR="00CA7B4E" w:rsidRPr="00FA743C" w:rsidRDefault="00CA7B4E" w:rsidP="00CD1518">
            <w:pPr>
              <w:spacing w:line="240" w:lineRule="auto"/>
              <w:jc w:val="right"/>
              <w:rPr>
                <w:color w:val="000000"/>
                <w:lang w:eastAsia="en-AU"/>
              </w:rPr>
            </w:pPr>
            <w:r w:rsidRPr="00FA743C">
              <w:rPr>
                <w:color w:val="000000"/>
                <w:lang w:eastAsia="en-AU"/>
              </w:rPr>
              <w:t xml:space="preserve"> $-   </w:t>
            </w:r>
          </w:p>
        </w:tc>
      </w:tr>
      <w:tr w:rsidR="00CA7B4E" w:rsidRPr="00FA743C" w:rsidTr="00CD1518">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FA743C" w:rsidRDefault="00CA7B4E" w:rsidP="00CA7B4E">
            <w:pPr>
              <w:spacing w:line="240" w:lineRule="auto"/>
              <w:jc w:val="center"/>
              <w:rPr>
                <w:color w:val="000000"/>
                <w:lang w:eastAsia="en-AU"/>
              </w:rPr>
            </w:pPr>
            <w:r w:rsidRPr="00FA743C">
              <w:rPr>
                <w:color w:val="000000"/>
                <w:lang w:eastAsia="en-AU"/>
              </w:rPr>
              <w:t>2</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FA743C" w:rsidRDefault="00CA7B4E" w:rsidP="00CA7B4E">
            <w:pPr>
              <w:spacing w:line="240" w:lineRule="auto"/>
              <w:rPr>
                <w:color w:val="000000"/>
                <w:lang w:eastAsia="en-AU"/>
              </w:rPr>
            </w:pPr>
            <w:r w:rsidRPr="00FA743C">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FA743C" w:rsidRDefault="00CA7B4E" w:rsidP="00CD1518">
            <w:pPr>
              <w:spacing w:line="240" w:lineRule="auto"/>
              <w:jc w:val="right"/>
              <w:rPr>
                <w:color w:val="000000"/>
                <w:lang w:eastAsia="en-AU"/>
              </w:rPr>
            </w:pPr>
            <w:r w:rsidRPr="00FA743C">
              <w:rPr>
                <w:color w:val="000000"/>
                <w:lang w:eastAsia="en-AU"/>
              </w:rPr>
              <w:t xml:space="preserve"> $60,801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FA743C" w:rsidRDefault="00CA7B4E" w:rsidP="00CD1518">
            <w:pPr>
              <w:spacing w:line="240" w:lineRule="auto"/>
              <w:jc w:val="right"/>
              <w:rPr>
                <w:color w:val="000000"/>
                <w:lang w:eastAsia="en-AU"/>
              </w:rPr>
            </w:pPr>
            <w:r w:rsidRPr="00FA743C">
              <w:rPr>
                <w:color w:val="000000"/>
                <w:lang w:eastAsia="en-AU"/>
              </w:rPr>
              <w:t xml:space="preserve"> $60,801 </w:t>
            </w:r>
          </w:p>
        </w:tc>
        <w:tc>
          <w:tcPr>
            <w:tcW w:w="797" w:type="pct"/>
            <w:tcBorders>
              <w:top w:val="nil"/>
              <w:left w:val="nil"/>
              <w:bottom w:val="single" w:sz="4" w:space="0" w:color="5B9BD5"/>
              <w:right w:val="single" w:sz="4" w:space="0" w:color="5B9BD5"/>
            </w:tcBorders>
            <w:shd w:val="clear" w:color="000000" w:fill="DDEBF7"/>
            <w:noWrap/>
            <w:vAlign w:val="bottom"/>
            <w:hideMark/>
          </w:tcPr>
          <w:p w:rsidR="00CA7B4E" w:rsidRPr="00FA743C" w:rsidRDefault="00CA7B4E" w:rsidP="00CD1518">
            <w:pPr>
              <w:spacing w:line="240" w:lineRule="auto"/>
              <w:jc w:val="right"/>
              <w:rPr>
                <w:color w:val="000000"/>
                <w:lang w:eastAsia="en-AU"/>
              </w:rPr>
            </w:pPr>
            <w:r w:rsidRPr="00FA743C">
              <w:rPr>
                <w:color w:val="000000"/>
                <w:lang w:eastAsia="en-AU"/>
              </w:rPr>
              <w:t xml:space="preserve"> $-   </w:t>
            </w:r>
          </w:p>
        </w:tc>
      </w:tr>
      <w:tr w:rsidR="00CA7B4E" w:rsidRPr="00FA743C"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FA743C" w:rsidRDefault="00CA7B4E" w:rsidP="00CA7B4E">
            <w:pPr>
              <w:spacing w:line="240" w:lineRule="auto"/>
              <w:jc w:val="center"/>
              <w:rPr>
                <w:color w:val="000000"/>
                <w:lang w:eastAsia="en-AU"/>
              </w:rPr>
            </w:pPr>
            <w:r w:rsidRPr="00FA743C">
              <w:rPr>
                <w:color w:val="000000"/>
                <w:lang w:eastAsia="en-AU"/>
              </w:rPr>
              <w:t>3</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FA743C" w:rsidRDefault="00CA7B4E" w:rsidP="00CA7B4E">
            <w:pPr>
              <w:spacing w:line="240" w:lineRule="auto"/>
              <w:rPr>
                <w:color w:val="000000"/>
                <w:lang w:eastAsia="en-AU"/>
              </w:rPr>
            </w:pPr>
            <w:r w:rsidRPr="00FA743C">
              <w:rPr>
                <w:color w:val="000000"/>
                <w:lang w:eastAsia="en-AU"/>
              </w:rPr>
              <w:t xml:space="preserve"> Non-Admitted ED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FA743C" w:rsidRDefault="00CA7B4E" w:rsidP="00CD1518">
            <w:pPr>
              <w:spacing w:line="240" w:lineRule="auto"/>
              <w:jc w:val="right"/>
              <w:rPr>
                <w:color w:val="000000"/>
                <w:lang w:eastAsia="en-AU"/>
              </w:rPr>
            </w:pPr>
            <w:r>
              <w:rPr>
                <w:color w:val="000000"/>
                <w:lang w:eastAsia="en-AU"/>
              </w:rPr>
              <w:t xml:space="preserve"> $</w:t>
            </w:r>
            <w:r w:rsidRPr="00FA743C">
              <w:rPr>
                <w:color w:val="000000"/>
                <w:lang w:eastAsia="en-AU"/>
              </w:rPr>
              <w:t xml:space="preserve">75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FA743C" w:rsidRDefault="00CA7B4E" w:rsidP="00CD1518">
            <w:pPr>
              <w:spacing w:line="240" w:lineRule="auto"/>
              <w:jc w:val="right"/>
              <w:rPr>
                <w:color w:val="000000"/>
                <w:lang w:eastAsia="en-AU"/>
              </w:rPr>
            </w:pPr>
            <w:r>
              <w:rPr>
                <w:color w:val="000000"/>
                <w:lang w:eastAsia="en-AU"/>
              </w:rPr>
              <w:t xml:space="preserve"> $</w:t>
            </w:r>
            <w:r w:rsidRPr="00FA743C">
              <w:rPr>
                <w:color w:val="000000"/>
                <w:lang w:eastAsia="en-AU"/>
              </w:rPr>
              <w:t xml:space="preserve">75 </w:t>
            </w:r>
          </w:p>
        </w:tc>
        <w:tc>
          <w:tcPr>
            <w:tcW w:w="797" w:type="pct"/>
            <w:tcBorders>
              <w:top w:val="nil"/>
              <w:left w:val="nil"/>
              <w:bottom w:val="single" w:sz="4" w:space="0" w:color="5B9BD5"/>
              <w:right w:val="single" w:sz="4" w:space="0" w:color="5B9BD5"/>
            </w:tcBorders>
            <w:shd w:val="clear" w:color="000000" w:fill="FFFFFF"/>
            <w:noWrap/>
            <w:vAlign w:val="bottom"/>
            <w:hideMark/>
          </w:tcPr>
          <w:p w:rsidR="00CA7B4E" w:rsidRPr="00FA743C" w:rsidRDefault="00CA7B4E" w:rsidP="00CD1518">
            <w:pPr>
              <w:spacing w:line="240" w:lineRule="auto"/>
              <w:jc w:val="right"/>
              <w:rPr>
                <w:color w:val="000000"/>
                <w:lang w:eastAsia="en-AU"/>
              </w:rPr>
            </w:pPr>
            <w:r w:rsidRPr="00FA743C">
              <w:rPr>
                <w:color w:val="000000"/>
                <w:lang w:eastAsia="en-AU"/>
              </w:rPr>
              <w:t xml:space="preserve"> $-   </w:t>
            </w:r>
          </w:p>
        </w:tc>
      </w:tr>
      <w:tr w:rsidR="00CA7B4E" w:rsidRPr="00FA743C" w:rsidTr="00CD1518">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FA743C" w:rsidRDefault="00CA7B4E" w:rsidP="00CA7B4E">
            <w:pPr>
              <w:spacing w:line="240" w:lineRule="auto"/>
              <w:jc w:val="center"/>
              <w:rPr>
                <w:color w:val="000000"/>
                <w:lang w:eastAsia="en-AU"/>
              </w:rPr>
            </w:pPr>
            <w:r w:rsidRPr="00FA743C">
              <w:rPr>
                <w:color w:val="000000"/>
                <w:lang w:eastAsia="en-AU"/>
              </w:rPr>
              <w:t>4</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FA743C" w:rsidRDefault="00CA7B4E" w:rsidP="00CA7B4E">
            <w:pPr>
              <w:spacing w:line="240" w:lineRule="auto"/>
              <w:rPr>
                <w:color w:val="000000"/>
                <w:lang w:eastAsia="en-AU"/>
              </w:rPr>
            </w:pPr>
            <w:r w:rsidRPr="00FA743C">
              <w:rPr>
                <w:color w:val="000000"/>
                <w:lang w:eastAsia="en-AU"/>
              </w:rPr>
              <w:t xml:space="preserve"> Admitted ED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FA743C" w:rsidRDefault="00CA7B4E" w:rsidP="00CD1518">
            <w:pPr>
              <w:spacing w:line="240" w:lineRule="auto"/>
              <w:jc w:val="right"/>
              <w:rPr>
                <w:color w:val="000000"/>
                <w:lang w:eastAsia="en-AU"/>
              </w:rPr>
            </w:pPr>
            <w:r w:rsidRPr="00FA743C">
              <w:rPr>
                <w:color w:val="000000"/>
                <w:lang w:eastAsia="en-AU"/>
              </w:rPr>
              <w:t xml:space="preserve"> $46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FA743C" w:rsidRDefault="00CA7B4E" w:rsidP="00CD1518">
            <w:pPr>
              <w:spacing w:line="240" w:lineRule="auto"/>
              <w:jc w:val="right"/>
              <w:rPr>
                <w:color w:val="000000"/>
                <w:lang w:eastAsia="en-AU"/>
              </w:rPr>
            </w:pPr>
            <w:r w:rsidRPr="00FA743C">
              <w:rPr>
                <w:color w:val="000000"/>
                <w:lang w:eastAsia="en-AU"/>
              </w:rPr>
              <w:t xml:space="preserve"> $46 </w:t>
            </w:r>
          </w:p>
        </w:tc>
        <w:tc>
          <w:tcPr>
            <w:tcW w:w="797" w:type="pct"/>
            <w:tcBorders>
              <w:top w:val="nil"/>
              <w:left w:val="nil"/>
              <w:bottom w:val="single" w:sz="4" w:space="0" w:color="5B9BD5"/>
              <w:right w:val="single" w:sz="4" w:space="0" w:color="5B9BD5"/>
            </w:tcBorders>
            <w:shd w:val="clear" w:color="000000" w:fill="DDEBF7"/>
            <w:noWrap/>
            <w:vAlign w:val="bottom"/>
            <w:hideMark/>
          </w:tcPr>
          <w:p w:rsidR="00CA7B4E" w:rsidRPr="00FA743C" w:rsidRDefault="00CA7B4E" w:rsidP="00CD1518">
            <w:pPr>
              <w:spacing w:line="240" w:lineRule="auto"/>
              <w:jc w:val="right"/>
              <w:rPr>
                <w:color w:val="000000"/>
                <w:lang w:eastAsia="en-AU"/>
              </w:rPr>
            </w:pPr>
            <w:r w:rsidRPr="00FA743C">
              <w:rPr>
                <w:color w:val="000000"/>
                <w:lang w:eastAsia="en-AU"/>
              </w:rPr>
              <w:t xml:space="preserve"> $-   </w:t>
            </w:r>
          </w:p>
        </w:tc>
      </w:tr>
      <w:tr w:rsidR="00CA7B4E" w:rsidRPr="00FA743C"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FA743C" w:rsidRDefault="00CA7B4E" w:rsidP="00CA7B4E">
            <w:pPr>
              <w:spacing w:line="240" w:lineRule="auto"/>
              <w:jc w:val="center"/>
              <w:rPr>
                <w:color w:val="000000"/>
                <w:lang w:eastAsia="en-AU"/>
              </w:rPr>
            </w:pPr>
            <w:r w:rsidRPr="00FA743C">
              <w:rPr>
                <w:color w:val="000000"/>
                <w:lang w:eastAsia="en-AU"/>
              </w:rPr>
              <w:t>5</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FA743C" w:rsidRDefault="00CA7B4E" w:rsidP="00CA7B4E">
            <w:pPr>
              <w:spacing w:line="240" w:lineRule="auto"/>
              <w:rPr>
                <w:color w:val="000000"/>
                <w:lang w:eastAsia="en-AU"/>
              </w:rPr>
            </w:pPr>
            <w:r w:rsidRPr="00FA743C">
              <w:rPr>
                <w:color w:val="000000"/>
                <w:lang w:eastAsia="en-AU"/>
              </w:rPr>
              <w:t xml:space="preserve"> Non-admitted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FA743C" w:rsidRDefault="00CA7B4E" w:rsidP="00CD1518">
            <w:pPr>
              <w:spacing w:line="240" w:lineRule="auto"/>
              <w:jc w:val="right"/>
              <w:rPr>
                <w:color w:val="000000"/>
                <w:lang w:eastAsia="en-AU"/>
              </w:rPr>
            </w:pPr>
            <w:r w:rsidRPr="00FA743C">
              <w:rPr>
                <w:color w:val="000000"/>
                <w:lang w:eastAsia="en-AU"/>
              </w:rPr>
              <w:t xml:space="preserve"> $87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FA743C" w:rsidRDefault="00CA7B4E" w:rsidP="00CD1518">
            <w:pPr>
              <w:spacing w:line="240" w:lineRule="auto"/>
              <w:jc w:val="right"/>
              <w:rPr>
                <w:color w:val="000000"/>
                <w:lang w:eastAsia="en-AU"/>
              </w:rPr>
            </w:pPr>
            <w:r w:rsidRPr="00FA743C">
              <w:rPr>
                <w:color w:val="000000"/>
                <w:lang w:eastAsia="en-AU"/>
              </w:rPr>
              <w:t xml:space="preserve"> $87 </w:t>
            </w:r>
          </w:p>
        </w:tc>
        <w:tc>
          <w:tcPr>
            <w:tcW w:w="797" w:type="pct"/>
            <w:tcBorders>
              <w:top w:val="nil"/>
              <w:left w:val="nil"/>
              <w:bottom w:val="single" w:sz="4" w:space="0" w:color="5B9BD5"/>
              <w:right w:val="single" w:sz="4" w:space="0" w:color="5B9BD5"/>
            </w:tcBorders>
            <w:shd w:val="clear" w:color="000000" w:fill="FFFFFF"/>
            <w:noWrap/>
            <w:vAlign w:val="bottom"/>
            <w:hideMark/>
          </w:tcPr>
          <w:p w:rsidR="00CA7B4E" w:rsidRPr="00FA743C" w:rsidRDefault="00CA7B4E" w:rsidP="00CD1518">
            <w:pPr>
              <w:spacing w:line="240" w:lineRule="auto"/>
              <w:jc w:val="right"/>
              <w:rPr>
                <w:color w:val="000000"/>
                <w:lang w:eastAsia="en-AU"/>
              </w:rPr>
            </w:pPr>
            <w:r w:rsidRPr="00FA743C">
              <w:rPr>
                <w:color w:val="000000"/>
                <w:lang w:eastAsia="en-AU"/>
              </w:rPr>
              <w:t xml:space="preserve"> $-   </w:t>
            </w:r>
          </w:p>
        </w:tc>
      </w:tr>
    </w:tbl>
    <w:p w:rsidR="002E59FA" w:rsidRPr="00975E6B" w:rsidRDefault="002E59FA" w:rsidP="002E59FA">
      <w:pPr>
        <w:pStyle w:val="FootnoteText"/>
        <w:rPr>
          <w:bCs/>
          <w:i/>
          <w:sz w:val="16"/>
          <w:szCs w:val="16"/>
        </w:rPr>
      </w:pPr>
      <w:r w:rsidRPr="00975E6B">
        <w:rPr>
          <w:bCs/>
          <w:i/>
          <w:sz w:val="16"/>
          <w:szCs w:val="16"/>
        </w:rPr>
        <w:t xml:space="preserve">Source: KPMG, based on </w:t>
      </w:r>
      <w:r w:rsidR="00C15673" w:rsidRPr="00975E6B">
        <w:rPr>
          <w:bCs/>
          <w:i/>
          <w:sz w:val="16"/>
          <w:szCs w:val="16"/>
        </w:rPr>
        <w:t>Royal Darwin</w:t>
      </w:r>
      <w:r w:rsidRPr="00975E6B">
        <w:rPr>
          <w:bCs/>
          <w:i/>
          <w:sz w:val="16"/>
          <w:szCs w:val="16"/>
        </w:rPr>
        <w:t xml:space="preserve"> and IHPA data</w:t>
      </w:r>
    </w:p>
    <w:p w:rsidR="00973235" w:rsidRPr="00975E6B" w:rsidRDefault="00973235" w:rsidP="003B387A">
      <w:pPr>
        <w:pStyle w:val="Heading2"/>
        <w:numPr>
          <w:ilvl w:val="1"/>
          <w:numId w:val="77"/>
        </w:numPr>
      </w:pPr>
      <w:bookmarkStart w:id="715" w:name="_Toc444523659"/>
      <w:r w:rsidRPr="0026742C">
        <w:t>Application</w:t>
      </w:r>
      <w:r w:rsidRPr="00975E6B">
        <w:t xml:space="preserve"> of AHPCS Version 3.1</w:t>
      </w:r>
      <w:bookmarkEnd w:id="715"/>
    </w:p>
    <w:p w:rsidR="0029344A" w:rsidRPr="00975E6B" w:rsidRDefault="0029344A" w:rsidP="0029344A">
      <w:pPr>
        <w:pStyle w:val="BodyText"/>
      </w:pPr>
      <w:r w:rsidRPr="00975E6B">
        <w:fldChar w:fldCharType="begin"/>
      </w:r>
      <w:r w:rsidRPr="00975E6B">
        <w:instrText xml:space="preserve"> REF _Ref433914687 \h  \* MERGEFORMAT </w:instrText>
      </w:r>
      <w:r w:rsidRPr="00975E6B">
        <w:fldChar w:fldCharType="separate"/>
      </w:r>
      <w:r w:rsidR="00154CF7" w:rsidRPr="00975E6B">
        <w:t xml:space="preserve">Table </w:t>
      </w:r>
      <w:r w:rsidR="00154CF7">
        <w:rPr>
          <w:noProof/>
        </w:rPr>
        <w:t>33</w:t>
      </w:r>
      <w:r w:rsidRPr="00975E6B">
        <w:fldChar w:fldCharType="end"/>
      </w:r>
      <w:r w:rsidRPr="00975E6B">
        <w:t xml:space="preserve"> </w:t>
      </w:r>
      <w:r w:rsidR="00973235" w:rsidRPr="00975E6B">
        <w:t>summarises</w:t>
      </w:r>
      <w:r w:rsidRPr="00975E6B">
        <w:t xml:space="preserve"> NT’s application of selected standards from </w:t>
      </w:r>
      <w:r w:rsidR="004A3B41" w:rsidRPr="00975E6B">
        <w:t>V</w:t>
      </w:r>
      <w:r w:rsidRPr="00975E6B">
        <w:t>ersion 3.1 of the AHPCS</w:t>
      </w:r>
      <w:r w:rsidR="00973235" w:rsidRPr="00975E6B">
        <w:t xml:space="preserve"> (outlined in Section </w:t>
      </w:r>
      <w:r w:rsidR="00973235" w:rsidRPr="00975E6B">
        <w:fldChar w:fldCharType="begin"/>
      </w:r>
      <w:r w:rsidR="00973235" w:rsidRPr="00975E6B">
        <w:instrText xml:space="preserve"> REF _Ref434054856 \r \h </w:instrText>
      </w:r>
      <w:r w:rsidR="00975E6B">
        <w:instrText xml:space="preserve"> \* MERGEFORMAT </w:instrText>
      </w:r>
      <w:r w:rsidR="00973235" w:rsidRPr="00975E6B">
        <w:fldChar w:fldCharType="separate"/>
      </w:r>
      <w:r w:rsidR="00154CF7">
        <w:t>1.3.4</w:t>
      </w:r>
      <w:r w:rsidR="00973235" w:rsidRPr="00975E6B">
        <w:fldChar w:fldCharType="end"/>
      </w:r>
      <w:r w:rsidR="00973235" w:rsidRPr="00975E6B">
        <w:t xml:space="preserve">) to the </w:t>
      </w:r>
      <w:r w:rsidR="00C15673" w:rsidRPr="00975E6B">
        <w:t>Royal Darwin</w:t>
      </w:r>
      <w:r w:rsidR="00973235" w:rsidRPr="00975E6B">
        <w:t>’s Round 18 NHCDC submission</w:t>
      </w:r>
      <w:r w:rsidRPr="00975E6B">
        <w:t>.</w:t>
      </w:r>
    </w:p>
    <w:p w:rsidR="0029344A" w:rsidRPr="00975E6B" w:rsidRDefault="0029344A" w:rsidP="0029344A">
      <w:pPr>
        <w:pStyle w:val="Caption"/>
      </w:pPr>
      <w:bookmarkStart w:id="716" w:name="_Ref433914687"/>
      <w:r w:rsidRPr="00975E6B">
        <w:t xml:space="preserve">Table </w:t>
      </w:r>
      <w:fldSimple w:instr=" SEQ Table \* ARABIC ">
        <w:r w:rsidR="00154CF7">
          <w:rPr>
            <w:noProof/>
          </w:rPr>
          <w:t>33</w:t>
        </w:r>
      </w:fldSimple>
      <w:bookmarkEnd w:id="716"/>
      <w:r w:rsidRPr="00975E6B">
        <w:t xml:space="preserve"> – Application of Costing Standards – </w:t>
      </w:r>
      <w:r w:rsidR="00C15673" w:rsidRPr="00975E6B">
        <w:t>Royal Darwin</w:t>
      </w:r>
      <w:r w:rsidR="008B560B" w:rsidRPr="00975E6B">
        <w:t xml:space="preserve"> Hospital</w:t>
      </w:r>
    </w:p>
    <w:tbl>
      <w:tblPr>
        <w:tblStyle w:val="ListTable4-Accent11"/>
        <w:tblW w:w="5000" w:type="pct"/>
        <w:tblLayout w:type="fixed"/>
        <w:tblLook w:val="0620" w:firstRow="1" w:lastRow="0" w:firstColumn="0" w:lastColumn="0" w:noHBand="1" w:noVBand="1"/>
        <w:tblCaption w:val="Table 33 - Application of Costing Standards - NT"/>
        <w:tblDescription w:val="This table describes the application of the in-scope costing standards for the Northern Territory based on the hospital sampled.  The first column is the Costing Standard number, the second column is the costing standard title and the third column is the discussion of the application of the costing standard for the relevant hospital.&#10;"/>
      </w:tblPr>
      <w:tblGrid>
        <w:gridCol w:w="1451"/>
        <w:gridCol w:w="3201"/>
        <w:gridCol w:w="4069"/>
      </w:tblGrid>
      <w:tr w:rsidR="0029344A" w:rsidRPr="00975E6B" w:rsidTr="00E14378">
        <w:trPr>
          <w:cnfStyle w:val="100000000000" w:firstRow="1" w:lastRow="0" w:firstColumn="0" w:lastColumn="0" w:oddVBand="0" w:evenVBand="0" w:oddHBand="0" w:evenHBand="0" w:firstRowFirstColumn="0" w:firstRowLastColumn="0" w:lastRowFirstColumn="0" w:lastRowLastColumn="0"/>
          <w:tblHeader/>
        </w:trPr>
        <w:tc>
          <w:tcPr>
            <w:tcW w:w="832" w:type="pct"/>
            <w:tcBorders>
              <w:right w:val="single" w:sz="4" w:space="0" w:color="548DD4" w:themeColor="text2" w:themeTint="99"/>
            </w:tcBorders>
            <w:shd w:val="clear" w:color="auto" w:fill="002060"/>
            <w:noWrap/>
          </w:tcPr>
          <w:p w:rsidR="0029344A" w:rsidRPr="00975E6B" w:rsidRDefault="0029344A" w:rsidP="0029344A">
            <w:r w:rsidRPr="00975E6B">
              <w:t>No.</w:t>
            </w:r>
          </w:p>
        </w:tc>
        <w:tc>
          <w:tcPr>
            <w:tcW w:w="1835" w:type="pct"/>
            <w:tcBorders>
              <w:left w:val="single" w:sz="4" w:space="0" w:color="548DD4" w:themeColor="text2" w:themeTint="99"/>
            </w:tcBorders>
            <w:shd w:val="clear" w:color="auto" w:fill="002060"/>
          </w:tcPr>
          <w:p w:rsidR="0029344A" w:rsidRPr="00975E6B" w:rsidRDefault="0029344A" w:rsidP="0029344A">
            <w:r w:rsidRPr="00975E6B">
              <w:t>Title</w:t>
            </w:r>
          </w:p>
        </w:tc>
        <w:tc>
          <w:tcPr>
            <w:tcW w:w="2333" w:type="pct"/>
            <w:tcBorders>
              <w:left w:val="single" w:sz="4" w:space="0" w:color="548DD4" w:themeColor="text2" w:themeTint="99"/>
            </w:tcBorders>
            <w:shd w:val="clear" w:color="auto" w:fill="002060"/>
          </w:tcPr>
          <w:p w:rsidR="0029344A" w:rsidRPr="00975E6B" w:rsidRDefault="0029344A" w:rsidP="0029344A">
            <w:r w:rsidRPr="00975E6B">
              <w:t>Discussion</w:t>
            </w:r>
          </w:p>
        </w:tc>
      </w:tr>
      <w:tr w:rsidR="0029344A" w:rsidRPr="00975E6B" w:rsidTr="001140D3">
        <w:tc>
          <w:tcPr>
            <w:tcW w:w="832" w:type="pct"/>
            <w:tcBorders>
              <w:right w:val="single" w:sz="4" w:space="0" w:color="548DD4" w:themeColor="text2" w:themeTint="99"/>
            </w:tcBorders>
            <w:noWrap/>
          </w:tcPr>
          <w:p w:rsidR="0029344A" w:rsidRPr="00975E6B" w:rsidRDefault="0029344A" w:rsidP="0029344A">
            <w:pPr>
              <w:pStyle w:val="BodyText"/>
              <w:jc w:val="left"/>
            </w:pPr>
            <w:r w:rsidRPr="00975E6B">
              <w:t>SCP 1.004</w:t>
            </w:r>
          </w:p>
        </w:tc>
        <w:tc>
          <w:tcPr>
            <w:tcW w:w="1835" w:type="pct"/>
            <w:tcBorders>
              <w:left w:val="single" w:sz="4" w:space="0" w:color="548DD4" w:themeColor="text2" w:themeTint="99"/>
            </w:tcBorders>
          </w:tcPr>
          <w:p w:rsidR="0029344A" w:rsidRPr="00975E6B" w:rsidRDefault="0029344A" w:rsidP="0029344A">
            <w:pPr>
              <w:pStyle w:val="BodyText"/>
              <w:jc w:val="left"/>
            </w:pPr>
            <w:r w:rsidRPr="00975E6B">
              <w:t>Hospital Products in Scope</w:t>
            </w:r>
          </w:p>
        </w:tc>
        <w:tc>
          <w:tcPr>
            <w:tcW w:w="2333" w:type="pct"/>
            <w:tcBorders>
              <w:left w:val="single" w:sz="4" w:space="0" w:color="548DD4" w:themeColor="text2" w:themeTint="99"/>
            </w:tcBorders>
          </w:tcPr>
          <w:p w:rsidR="0029344A" w:rsidRPr="00975E6B" w:rsidRDefault="0029344A">
            <w:pPr>
              <w:pStyle w:val="BodyText"/>
              <w:jc w:val="left"/>
            </w:pPr>
            <w:r w:rsidRPr="00975E6B">
              <w:t>Application of this standard was demonstrated through the template submitted and the subsequent interview process. Costs are reported against admitted, non-admitted and emergency products.</w:t>
            </w:r>
          </w:p>
        </w:tc>
      </w:tr>
      <w:tr w:rsidR="0029344A" w:rsidRPr="00975E6B" w:rsidTr="001140D3">
        <w:trPr>
          <w:trHeight w:val="1908"/>
        </w:trPr>
        <w:tc>
          <w:tcPr>
            <w:tcW w:w="832" w:type="pct"/>
            <w:tcBorders>
              <w:right w:val="single" w:sz="4" w:space="0" w:color="548DD4" w:themeColor="text2" w:themeTint="99"/>
            </w:tcBorders>
            <w:noWrap/>
          </w:tcPr>
          <w:p w:rsidR="0029344A" w:rsidRPr="00975E6B" w:rsidRDefault="0029344A" w:rsidP="0029344A">
            <w:pPr>
              <w:pStyle w:val="BodyText"/>
              <w:jc w:val="left"/>
            </w:pPr>
            <w:r w:rsidRPr="00975E6B">
              <w:lastRenderedPageBreak/>
              <w:t>SCP 2.003</w:t>
            </w:r>
          </w:p>
        </w:tc>
        <w:tc>
          <w:tcPr>
            <w:tcW w:w="1835" w:type="pct"/>
            <w:tcBorders>
              <w:left w:val="single" w:sz="4" w:space="0" w:color="548DD4" w:themeColor="text2" w:themeTint="99"/>
            </w:tcBorders>
          </w:tcPr>
          <w:p w:rsidR="0029344A" w:rsidRPr="00975E6B" w:rsidRDefault="0029344A" w:rsidP="0029344A">
            <w:pPr>
              <w:pStyle w:val="BodyText"/>
              <w:jc w:val="left"/>
            </w:pPr>
            <w:r w:rsidRPr="00975E6B">
              <w:t>Product Costs in Scope</w:t>
            </w:r>
          </w:p>
        </w:tc>
        <w:tc>
          <w:tcPr>
            <w:tcW w:w="2333" w:type="pct"/>
            <w:tcBorders>
              <w:left w:val="single" w:sz="4" w:space="0" w:color="548DD4" w:themeColor="text2" w:themeTint="99"/>
            </w:tcBorders>
          </w:tcPr>
          <w:p w:rsidR="0029344A" w:rsidRPr="00975E6B" w:rsidRDefault="00772B0F" w:rsidP="0029344A">
            <w:pPr>
              <w:pStyle w:val="BodyText"/>
            </w:pPr>
            <w:r w:rsidRPr="00975E6B">
              <w:t>NT Health</w:t>
            </w:r>
            <w:r w:rsidR="0029344A" w:rsidRPr="00975E6B">
              <w:t xml:space="preserve"> representatives demonstrated through the interview process </w:t>
            </w:r>
            <w:r w:rsidR="00295314" w:rsidRPr="00975E6B">
              <w:t xml:space="preserve">that </w:t>
            </w:r>
            <w:r w:rsidR="0029344A" w:rsidRPr="00975E6B">
              <w:t xml:space="preserve">the NT reconciliation process for financial data </w:t>
            </w:r>
            <w:r w:rsidR="00295314" w:rsidRPr="00975E6B">
              <w:t xml:space="preserve">is </w:t>
            </w:r>
            <w:r w:rsidR="0029344A" w:rsidRPr="00975E6B">
              <w:t xml:space="preserve">used for costing purposes. </w:t>
            </w:r>
          </w:p>
          <w:p w:rsidR="0029344A" w:rsidRPr="00975E6B" w:rsidRDefault="0029344A" w:rsidP="0029344A">
            <w:pPr>
              <w:pStyle w:val="BodyText"/>
            </w:pPr>
            <w:r w:rsidRPr="00975E6B">
              <w:t>It was also stated that all products are costed, which includes costs assigned to products in scope for the NHCDC, unlinked activity, and costs assigned to dummy patients where there is no activity.</w:t>
            </w:r>
          </w:p>
          <w:p w:rsidR="0029344A" w:rsidRPr="00975E6B" w:rsidRDefault="0029344A" w:rsidP="0029344A">
            <w:pPr>
              <w:pStyle w:val="BodyText"/>
              <w:jc w:val="left"/>
            </w:pPr>
            <w:r w:rsidRPr="00975E6B">
              <w:t>Private patient costs are not imputed.</w:t>
            </w:r>
          </w:p>
        </w:tc>
      </w:tr>
      <w:tr w:rsidR="0029344A" w:rsidRPr="00975E6B" w:rsidTr="001140D3">
        <w:tc>
          <w:tcPr>
            <w:tcW w:w="832" w:type="pct"/>
            <w:tcBorders>
              <w:right w:val="single" w:sz="4" w:space="0" w:color="548DD4" w:themeColor="text2" w:themeTint="99"/>
            </w:tcBorders>
            <w:noWrap/>
          </w:tcPr>
          <w:p w:rsidR="0029344A" w:rsidRPr="00975E6B" w:rsidRDefault="0029344A" w:rsidP="0029344A">
            <w:pPr>
              <w:pStyle w:val="BodyText"/>
              <w:jc w:val="left"/>
            </w:pPr>
            <w:r w:rsidRPr="00975E6B">
              <w:t>SCP 2A.003</w:t>
            </w:r>
          </w:p>
        </w:tc>
        <w:tc>
          <w:tcPr>
            <w:tcW w:w="1835" w:type="pct"/>
            <w:tcBorders>
              <w:left w:val="single" w:sz="4" w:space="0" w:color="548DD4" w:themeColor="text2" w:themeTint="99"/>
            </w:tcBorders>
          </w:tcPr>
          <w:p w:rsidR="0029344A" w:rsidRPr="00975E6B" w:rsidRDefault="0029344A" w:rsidP="0029344A">
            <w:pPr>
              <w:pStyle w:val="BodyText"/>
              <w:jc w:val="left"/>
            </w:pPr>
            <w:r w:rsidRPr="00975E6B">
              <w:t>Teaching and Training Costs</w:t>
            </w:r>
          </w:p>
        </w:tc>
        <w:tc>
          <w:tcPr>
            <w:tcW w:w="2333" w:type="pct"/>
            <w:tcBorders>
              <w:left w:val="single" w:sz="4" w:space="0" w:color="548DD4" w:themeColor="text2" w:themeTint="99"/>
            </w:tcBorders>
          </w:tcPr>
          <w:p w:rsidR="0029344A" w:rsidRPr="00975E6B" w:rsidRDefault="0029344A" w:rsidP="0029344A">
            <w:pPr>
              <w:pStyle w:val="BodyText"/>
              <w:jc w:val="left"/>
            </w:pPr>
            <w:r w:rsidRPr="00975E6B">
              <w:t>TTR is separately costed using PFRAC information.</w:t>
            </w:r>
          </w:p>
        </w:tc>
      </w:tr>
      <w:tr w:rsidR="0029344A" w:rsidRPr="00975E6B" w:rsidTr="001140D3">
        <w:tc>
          <w:tcPr>
            <w:tcW w:w="832" w:type="pct"/>
            <w:tcBorders>
              <w:right w:val="single" w:sz="4" w:space="0" w:color="548DD4" w:themeColor="text2" w:themeTint="99"/>
            </w:tcBorders>
            <w:noWrap/>
          </w:tcPr>
          <w:p w:rsidR="0029344A" w:rsidRPr="00975E6B" w:rsidRDefault="0029344A" w:rsidP="0029344A">
            <w:pPr>
              <w:pStyle w:val="BodyText"/>
              <w:jc w:val="left"/>
            </w:pPr>
            <w:r w:rsidRPr="00975E6B">
              <w:t>SCP 2B.002</w:t>
            </w:r>
          </w:p>
        </w:tc>
        <w:tc>
          <w:tcPr>
            <w:tcW w:w="1835" w:type="pct"/>
            <w:tcBorders>
              <w:left w:val="single" w:sz="4" w:space="0" w:color="548DD4" w:themeColor="text2" w:themeTint="99"/>
            </w:tcBorders>
          </w:tcPr>
          <w:p w:rsidR="0029344A" w:rsidRPr="00975E6B" w:rsidRDefault="0029344A" w:rsidP="0029344A">
            <w:pPr>
              <w:pStyle w:val="BodyText"/>
              <w:jc w:val="left"/>
            </w:pPr>
            <w:r w:rsidRPr="00975E6B">
              <w:t>Research Costs</w:t>
            </w:r>
          </w:p>
        </w:tc>
        <w:tc>
          <w:tcPr>
            <w:tcW w:w="2333" w:type="pct"/>
            <w:tcBorders>
              <w:left w:val="single" w:sz="4" w:space="0" w:color="548DD4" w:themeColor="text2" w:themeTint="99"/>
            </w:tcBorders>
          </w:tcPr>
          <w:p w:rsidR="0029344A" w:rsidRPr="00975E6B" w:rsidRDefault="0029344A" w:rsidP="0029344A">
            <w:pPr>
              <w:pStyle w:val="BodyText"/>
              <w:jc w:val="left"/>
            </w:pPr>
            <w:r w:rsidRPr="00975E6B">
              <w:t>Refer to SCP 2A.003 above</w:t>
            </w:r>
            <w:r w:rsidR="00295314" w:rsidRPr="00975E6B">
              <w:t>.</w:t>
            </w:r>
          </w:p>
        </w:tc>
      </w:tr>
      <w:tr w:rsidR="0029344A" w:rsidRPr="00975E6B" w:rsidTr="001140D3">
        <w:trPr>
          <w:trHeight w:val="516"/>
        </w:trPr>
        <w:tc>
          <w:tcPr>
            <w:tcW w:w="832" w:type="pct"/>
            <w:tcBorders>
              <w:right w:val="single" w:sz="4" w:space="0" w:color="548DD4" w:themeColor="text2" w:themeTint="99"/>
            </w:tcBorders>
            <w:noWrap/>
          </w:tcPr>
          <w:p w:rsidR="0029344A" w:rsidRPr="00975E6B" w:rsidRDefault="0029344A" w:rsidP="0029344A">
            <w:pPr>
              <w:pStyle w:val="BodyText"/>
              <w:jc w:val="left"/>
            </w:pPr>
            <w:r w:rsidRPr="00975E6B">
              <w:t>SCP 3.001</w:t>
            </w:r>
          </w:p>
        </w:tc>
        <w:tc>
          <w:tcPr>
            <w:tcW w:w="1835" w:type="pct"/>
            <w:tcBorders>
              <w:left w:val="single" w:sz="4" w:space="0" w:color="548DD4" w:themeColor="text2" w:themeTint="99"/>
            </w:tcBorders>
          </w:tcPr>
          <w:p w:rsidR="0029344A" w:rsidRPr="00975E6B" w:rsidRDefault="0029344A" w:rsidP="0029344A">
            <w:pPr>
              <w:pStyle w:val="BodyText"/>
              <w:jc w:val="left"/>
            </w:pPr>
            <w:r w:rsidRPr="00975E6B">
              <w:t>Matching Production and Cost</w:t>
            </w:r>
          </w:p>
        </w:tc>
        <w:tc>
          <w:tcPr>
            <w:tcW w:w="2333" w:type="pct"/>
            <w:tcBorders>
              <w:left w:val="single" w:sz="4" w:space="0" w:color="548DD4" w:themeColor="text2" w:themeTint="99"/>
            </w:tcBorders>
          </w:tcPr>
          <w:p w:rsidR="0029344A" w:rsidRPr="00975E6B" w:rsidRDefault="0029344A" w:rsidP="00EC75FC">
            <w:pPr>
              <w:pStyle w:val="BodyText"/>
              <w:jc w:val="left"/>
            </w:pPr>
            <w:r w:rsidRPr="00975E6B">
              <w:t>This was demonstrated during the site visit</w:t>
            </w:r>
            <w:r w:rsidR="00295314" w:rsidRPr="00975E6B">
              <w:t>. A</w:t>
            </w:r>
            <w:r w:rsidRPr="00975E6B">
              <w:t xml:space="preserve">n excel file was </w:t>
            </w:r>
            <w:r w:rsidR="00295314" w:rsidRPr="00975E6B">
              <w:t xml:space="preserve">also </w:t>
            </w:r>
            <w:r w:rsidRPr="00975E6B">
              <w:t>produced from the costing system which outlined all reclass rules.</w:t>
            </w:r>
          </w:p>
        </w:tc>
      </w:tr>
      <w:tr w:rsidR="0029344A" w:rsidRPr="00975E6B" w:rsidTr="001140D3">
        <w:tc>
          <w:tcPr>
            <w:tcW w:w="832" w:type="pct"/>
            <w:tcBorders>
              <w:right w:val="single" w:sz="4" w:space="0" w:color="548DD4" w:themeColor="text2" w:themeTint="99"/>
            </w:tcBorders>
            <w:noWrap/>
          </w:tcPr>
          <w:p w:rsidR="0029344A" w:rsidRPr="00975E6B" w:rsidRDefault="0029344A" w:rsidP="0029344A">
            <w:pPr>
              <w:pStyle w:val="BodyText"/>
              <w:jc w:val="left"/>
            </w:pPr>
            <w:r w:rsidRPr="00975E6B">
              <w:t>SCP 3A.001</w:t>
            </w:r>
          </w:p>
        </w:tc>
        <w:tc>
          <w:tcPr>
            <w:tcW w:w="1835" w:type="pct"/>
            <w:tcBorders>
              <w:left w:val="single" w:sz="4" w:space="0" w:color="548DD4" w:themeColor="text2" w:themeTint="99"/>
            </w:tcBorders>
          </w:tcPr>
          <w:p w:rsidR="0029344A" w:rsidRPr="00975E6B" w:rsidRDefault="0029344A" w:rsidP="0029344A">
            <w:pPr>
              <w:pStyle w:val="BodyText"/>
              <w:jc w:val="left"/>
            </w:pPr>
            <w:r w:rsidRPr="00975E6B">
              <w:t>Matching Production and Cost – Overhead Cost Allocation</w:t>
            </w:r>
          </w:p>
        </w:tc>
        <w:tc>
          <w:tcPr>
            <w:tcW w:w="2333" w:type="pct"/>
            <w:tcBorders>
              <w:left w:val="single" w:sz="4" w:space="0" w:color="548DD4" w:themeColor="text2" w:themeTint="99"/>
            </w:tcBorders>
          </w:tcPr>
          <w:p w:rsidR="0029344A" w:rsidRPr="00975E6B" w:rsidRDefault="00AD71DB">
            <w:pPr>
              <w:pStyle w:val="BodyText"/>
              <w:jc w:val="left"/>
              <w:rPr>
                <w:b/>
              </w:rPr>
            </w:pPr>
            <w:r w:rsidRPr="00975E6B">
              <w:t>The jurisdiction was able to demonstrate that overhead costs were fully allocated to direct patient care areas via the pre allocation and post allocation data included in the templates.</w:t>
            </w:r>
          </w:p>
        </w:tc>
      </w:tr>
      <w:tr w:rsidR="0029344A" w:rsidRPr="00975E6B" w:rsidTr="001140D3">
        <w:tc>
          <w:tcPr>
            <w:tcW w:w="832" w:type="pct"/>
            <w:tcBorders>
              <w:right w:val="single" w:sz="4" w:space="0" w:color="548DD4" w:themeColor="text2" w:themeTint="99"/>
            </w:tcBorders>
            <w:noWrap/>
          </w:tcPr>
          <w:p w:rsidR="0029344A" w:rsidRPr="00975E6B" w:rsidRDefault="0029344A" w:rsidP="0029344A">
            <w:pPr>
              <w:pStyle w:val="BodyText"/>
              <w:jc w:val="left"/>
            </w:pPr>
            <w:r w:rsidRPr="00975E6B">
              <w:t>SCP 3B.001</w:t>
            </w:r>
          </w:p>
        </w:tc>
        <w:tc>
          <w:tcPr>
            <w:tcW w:w="1835" w:type="pct"/>
            <w:tcBorders>
              <w:left w:val="single" w:sz="4" w:space="0" w:color="548DD4" w:themeColor="text2" w:themeTint="99"/>
            </w:tcBorders>
          </w:tcPr>
          <w:p w:rsidR="0029344A" w:rsidRPr="00975E6B" w:rsidRDefault="0029344A" w:rsidP="0029344A">
            <w:pPr>
              <w:pStyle w:val="BodyText"/>
              <w:jc w:val="left"/>
            </w:pPr>
            <w:r w:rsidRPr="00975E6B">
              <w:t>Matching Production and Cost – Costing all Products</w:t>
            </w:r>
          </w:p>
        </w:tc>
        <w:tc>
          <w:tcPr>
            <w:tcW w:w="2333" w:type="pct"/>
            <w:tcBorders>
              <w:left w:val="single" w:sz="4" w:space="0" w:color="548DD4" w:themeColor="text2" w:themeTint="99"/>
            </w:tcBorders>
          </w:tcPr>
          <w:p w:rsidR="0029344A" w:rsidRPr="00975E6B" w:rsidRDefault="0031210D">
            <w:pPr>
              <w:pStyle w:val="BodyText"/>
              <w:jc w:val="left"/>
            </w:pPr>
            <w:r w:rsidRPr="00975E6B">
              <w:t xml:space="preserve">Demonstrated in the template. </w:t>
            </w:r>
            <w:r w:rsidR="00F8487D" w:rsidRPr="00975E6B">
              <w:t xml:space="preserve">NT </w:t>
            </w:r>
            <w:r w:rsidR="00AD71DB" w:rsidRPr="00975E6B">
              <w:t xml:space="preserve">Health </w:t>
            </w:r>
            <w:r w:rsidR="00F8487D" w:rsidRPr="00975E6B">
              <w:t>provided an overview of their internal reconciliation process which demonstrated the allocation of costs to products.</w:t>
            </w:r>
          </w:p>
        </w:tc>
      </w:tr>
      <w:tr w:rsidR="0029344A" w:rsidRPr="00975E6B" w:rsidTr="001140D3">
        <w:tc>
          <w:tcPr>
            <w:tcW w:w="832" w:type="pct"/>
            <w:tcBorders>
              <w:right w:val="single" w:sz="4" w:space="0" w:color="548DD4" w:themeColor="text2" w:themeTint="99"/>
            </w:tcBorders>
            <w:noWrap/>
          </w:tcPr>
          <w:p w:rsidR="0029344A" w:rsidRPr="00975E6B" w:rsidRDefault="0029344A" w:rsidP="0029344A">
            <w:pPr>
              <w:pStyle w:val="BodyText"/>
              <w:jc w:val="left"/>
            </w:pPr>
            <w:r w:rsidRPr="00975E6B">
              <w:t>SCP 3C.001</w:t>
            </w:r>
          </w:p>
        </w:tc>
        <w:tc>
          <w:tcPr>
            <w:tcW w:w="1835" w:type="pct"/>
            <w:tcBorders>
              <w:left w:val="single" w:sz="4" w:space="0" w:color="548DD4" w:themeColor="text2" w:themeTint="99"/>
            </w:tcBorders>
          </w:tcPr>
          <w:p w:rsidR="0029344A" w:rsidRPr="00975E6B" w:rsidRDefault="0029344A" w:rsidP="0029344A">
            <w:pPr>
              <w:pStyle w:val="BodyText"/>
              <w:jc w:val="left"/>
            </w:pPr>
            <w:r w:rsidRPr="00975E6B">
              <w:t>Matching Production and Cost – Commercial Business Entities</w:t>
            </w:r>
          </w:p>
        </w:tc>
        <w:tc>
          <w:tcPr>
            <w:tcW w:w="2333" w:type="pct"/>
            <w:tcBorders>
              <w:left w:val="single" w:sz="4" w:space="0" w:color="548DD4" w:themeColor="text2" w:themeTint="99"/>
            </w:tcBorders>
          </w:tcPr>
          <w:p w:rsidR="0029344A" w:rsidRPr="00975E6B" w:rsidRDefault="0029344A" w:rsidP="0029344A">
            <w:pPr>
              <w:pStyle w:val="BodyText"/>
              <w:jc w:val="left"/>
            </w:pPr>
            <w:r w:rsidRPr="00975E6B">
              <w:t>Based on discussions during the review, application of this standard was demonstrated.</w:t>
            </w:r>
          </w:p>
        </w:tc>
      </w:tr>
      <w:tr w:rsidR="0029344A" w:rsidRPr="00975E6B" w:rsidTr="001140D3">
        <w:tc>
          <w:tcPr>
            <w:tcW w:w="832" w:type="pct"/>
            <w:tcBorders>
              <w:right w:val="single" w:sz="4" w:space="0" w:color="548DD4" w:themeColor="text2" w:themeTint="99"/>
            </w:tcBorders>
            <w:noWrap/>
          </w:tcPr>
          <w:p w:rsidR="0029344A" w:rsidRPr="00975E6B" w:rsidRDefault="0029344A" w:rsidP="0029344A">
            <w:pPr>
              <w:pStyle w:val="BodyText"/>
              <w:jc w:val="left"/>
            </w:pPr>
            <w:r w:rsidRPr="00975E6B">
              <w:t>SCP 3E.001</w:t>
            </w:r>
          </w:p>
        </w:tc>
        <w:tc>
          <w:tcPr>
            <w:tcW w:w="1835" w:type="pct"/>
            <w:tcBorders>
              <w:left w:val="single" w:sz="4" w:space="0" w:color="548DD4" w:themeColor="text2" w:themeTint="99"/>
            </w:tcBorders>
          </w:tcPr>
          <w:p w:rsidR="0029344A" w:rsidRPr="00975E6B" w:rsidRDefault="0029344A" w:rsidP="0029344A">
            <w:pPr>
              <w:pStyle w:val="BodyText"/>
              <w:jc w:val="left"/>
            </w:pPr>
            <w:r w:rsidRPr="00975E6B">
              <w:t>Matching Production and Cost – Offsets and Recoveries</w:t>
            </w:r>
          </w:p>
        </w:tc>
        <w:tc>
          <w:tcPr>
            <w:tcW w:w="2333" w:type="pct"/>
            <w:tcBorders>
              <w:left w:val="single" w:sz="4" w:space="0" w:color="548DD4" w:themeColor="text2" w:themeTint="99"/>
            </w:tcBorders>
          </w:tcPr>
          <w:p w:rsidR="0029344A" w:rsidRPr="00975E6B" w:rsidRDefault="0029344A" w:rsidP="0029344A">
            <w:pPr>
              <w:pStyle w:val="BodyText"/>
              <w:jc w:val="left"/>
            </w:pPr>
            <w:r w:rsidRPr="00975E6B">
              <w:t>Demonstrated in the template and confirmed during the consultation process. There were no offsets and recoveries identified.</w:t>
            </w:r>
          </w:p>
        </w:tc>
      </w:tr>
      <w:tr w:rsidR="0029344A" w:rsidRPr="00975E6B" w:rsidTr="001140D3">
        <w:tc>
          <w:tcPr>
            <w:tcW w:w="832" w:type="pct"/>
            <w:tcBorders>
              <w:right w:val="single" w:sz="4" w:space="0" w:color="548DD4" w:themeColor="text2" w:themeTint="99"/>
            </w:tcBorders>
            <w:noWrap/>
          </w:tcPr>
          <w:p w:rsidR="0029344A" w:rsidRPr="00975E6B" w:rsidRDefault="0029344A" w:rsidP="0029344A">
            <w:pPr>
              <w:pStyle w:val="BodyText"/>
              <w:jc w:val="left"/>
            </w:pPr>
            <w:r w:rsidRPr="00975E6B">
              <w:t>SCP 3G.001</w:t>
            </w:r>
          </w:p>
        </w:tc>
        <w:tc>
          <w:tcPr>
            <w:tcW w:w="1835" w:type="pct"/>
            <w:tcBorders>
              <w:left w:val="single" w:sz="4" w:space="0" w:color="548DD4" w:themeColor="text2" w:themeTint="99"/>
            </w:tcBorders>
          </w:tcPr>
          <w:p w:rsidR="0029344A" w:rsidRPr="00975E6B" w:rsidRDefault="0029344A" w:rsidP="0029344A">
            <w:pPr>
              <w:pStyle w:val="BodyText"/>
              <w:jc w:val="left"/>
            </w:pPr>
            <w:r w:rsidRPr="00975E6B">
              <w:t>Matching Production and Cost – Reconciliation to Source Data</w:t>
            </w:r>
          </w:p>
        </w:tc>
        <w:tc>
          <w:tcPr>
            <w:tcW w:w="2333" w:type="pct"/>
            <w:tcBorders>
              <w:left w:val="single" w:sz="4" w:space="0" w:color="548DD4" w:themeColor="text2" w:themeTint="99"/>
            </w:tcBorders>
          </w:tcPr>
          <w:p w:rsidR="0029344A" w:rsidRPr="00975E6B" w:rsidRDefault="00772B0F" w:rsidP="0029344A">
            <w:pPr>
              <w:pStyle w:val="BodyText"/>
              <w:jc w:val="left"/>
            </w:pPr>
            <w:r w:rsidRPr="00975E6B">
              <w:t>NT Health</w:t>
            </w:r>
            <w:r w:rsidR="0029344A" w:rsidRPr="00975E6B">
              <w:t xml:space="preserve"> representatives demonstrated through the consultation process </w:t>
            </w:r>
            <w:r w:rsidR="00295314" w:rsidRPr="00975E6B">
              <w:t xml:space="preserve">that </w:t>
            </w:r>
            <w:r w:rsidR="0029344A" w:rsidRPr="00975E6B">
              <w:t xml:space="preserve">the NT reconciliation for financial and activity data </w:t>
            </w:r>
            <w:r w:rsidR="00295314" w:rsidRPr="00975E6B">
              <w:t xml:space="preserve">is </w:t>
            </w:r>
            <w:r w:rsidR="0029344A" w:rsidRPr="00975E6B">
              <w:t xml:space="preserve">used for costing purposes. The </w:t>
            </w:r>
            <w:r w:rsidR="0029344A" w:rsidRPr="00975E6B">
              <w:lastRenderedPageBreak/>
              <w:t>process appears robust.</w:t>
            </w:r>
          </w:p>
        </w:tc>
      </w:tr>
      <w:tr w:rsidR="0029344A" w:rsidRPr="00975E6B" w:rsidTr="001140D3">
        <w:tc>
          <w:tcPr>
            <w:tcW w:w="832" w:type="pct"/>
            <w:tcBorders>
              <w:right w:val="single" w:sz="4" w:space="0" w:color="548DD4" w:themeColor="text2" w:themeTint="99"/>
            </w:tcBorders>
            <w:noWrap/>
          </w:tcPr>
          <w:p w:rsidR="0029344A" w:rsidRPr="00975E6B" w:rsidRDefault="0029344A" w:rsidP="0029344A">
            <w:pPr>
              <w:pStyle w:val="BodyText"/>
              <w:jc w:val="left"/>
            </w:pPr>
            <w:r w:rsidRPr="00975E6B">
              <w:lastRenderedPageBreak/>
              <w:t>GL2.004</w:t>
            </w:r>
          </w:p>
        </w:tc>
        <w:tc>
          <w:tcPr>
            <w:tcW w:w="1835" w:type="pct"/>
            <w:tcBorders>
              <w:left w:val="single" w:sz="4" w:space="0" w:color="548DD4" w:themeColor="text2" w:themeTint="99"/>
            </w:tcBorders>
          </w:tcPr>
          <w:p w:rsidR="0029344A" w:rsidRPr="00975E6B" w:rsidRDefault="0029344A" w:rsidP="0029344A">
            <w:pPr>
              <w:pStyle w:val="BodyText"/>
              <w:jc w:val="left"/>
            </w:pPr>
            <w:r w:rsidRPr="00975E6B">
              <w:t>Account Code Mapping to Line Items</w:t>
            </w:r>
          </w:p>
        </w:tc>
        <w:tc>
          <w:tcPr>
            <w:tcW w:w="2333" w:type="pct"/>
            <w:tcBorders>
              <w:left w:val="single" w:sz="4" w:space="0" w:color="548DD4" w:themeColor="text2" w:themeTint="99"/>
            </w:tcBorders>
          </w:tcPr>
          <w:p w:rsidR="0029344A" w:rsidRPr="00975E6B" w:rsidRDefault="00C15673" w:rsidP="0029344A">
            <w:pPr>
              <w:pStyle w:val="BodyText"/>
              <w:jc w:val="left"/>
            </w:pPr>
            <w:r w:rsidRPr="00975E6B">
              <w:t>Royal Darwin</w:t>
            </w:r>
            <w:r w:rsidR="0029344A" w:rsidRPr="00975E6B">
              <w:t xml:space="preserve"> mapped total costs to the standard specified line items.</w:t>
            </w:r>
          </w:p>
        </w:tc>
      </w:tr>
      <w:tr w:rsidR="0029344A" w:rsidRPr="00975E6B" w:rsidTr="001140D3">
        <w:tc>
          <w:tcPr>
            <w:tcW w:w="832" w:type="pct"/>
            <w:tcBorders>
              <w:right w:val="single" w:sz="4" w:space="0" w:color="548DD4" w:themeColor="text2" w:themeTint="99"/>
            </w:tcBorders>
            <w:noWrap/>
          </w:tcPr>
          <w:p w:rsidR="0029344A" w:rsidRPr="00975E6B" w:rsidRDefault="0029344A" w:rsidP="0029344A">
            <w:pPr>
              <w:pStyle w:val="BodyText"/>
              <w:jc w:val="left"/>
            </w:pPr>
            <w:r w:rsidRPr="00975E6B">
              <w:t>COST 5.002</w:t>
            </w:r>
          </w:p>
        </w:tc>
        <w:tc>
          <w:tcPr>
            <w:tcW w:w="1835" w:type="pct"/>
            <w:tcBorders>
              <w:left w:val="single" w:sz="4" w:space="0" w:color="548DD4" w:themeColor="text2" w:themeTint="99"/>
            </w:tcBorders>
          </w:tcPr>
          <w:p w:rsidR="0029344A" w:rsidRPr="00975E6B" w:rsidRDefault="0029344A" w:rsidP="0029344A">
            <w:pPr>
              <w:pStyle w:val="BodyText"/>
              <w:jc w:val="left"/>
            </w:pPr>
            <w:r w:rsidRPr="00975E6B">
              <w:t>Treatment of Work-In-Progress Costs</w:t>
            </w:r>
          </w:p>
        </w:tc>
        <w:tc>
          <w:tcPr>
            <w:tcW w:w="2333" w:type="pct"/>
            <w:tcBorders>
              <w:left w:val="single" w:sz="4" w:space="0" w:color="548DD4" w:themeColor="text2" w:themeTint="99"/>
            </w:tcBorders>
          </w:tcPr>
          <w:p w:rsidR="0029344A" w:rsidRPr="00975E6B" w:rsidRDefault="0029344A" w:rsidP="0029344A">
            <w:pPr>
              <w:pStyle w:val="BodyText"/>
              <w:jc w:val="left"/>
            </w:pPr>
            <w:r w:rsidRPr="00975E6B">
              <w:t xml:space="preserve">No WIP was included in Round 18 – refer to Section </w:t>
            </w:r>
            <w:r w:rsidRPr="00975E6B">
              <w:fldChar w:fldCharType="begin"/>
            </w:r>
            <w:r w:rsidRPr="00975E6B">
              <w:instrText xml:space="preserve"> REF _Ref433354393 \r \h </w:instrText>
            </w:r>
            <w:r w:rsidR="00975E6B">
              <w:instrText xml:space="preserve"> \* MERGEFORMAT </w:instrText>
            </w:r>
            <w:r w:rsidRPr="00975E6B">
              <w:fldChar w:fldCharType="separate"/>
            </w:r>
            <w:r w:rsidR="00154CF7">
              <w:t>4.2.4</w:t>
            </w:r>
            <w:r w:rsidRPr="00975E6B">
              <w:fldChar w:fldCharType="end"/>
            </w:r>
            <w:r w:rsidRPr="00975E6B">
              <w:t xml:space="preserve"> above.</w:t>
            </w:r>
          </w:p>
        </w:tc>
      </w:tr>
    </w:tbl>
    <w:p w:rsidR="0029344A" w:rsidRPr="00975E6B" w:rsidRDefault="0029344A" w:rsidP="0029344A">
      <w:pPr>
        <w:pStyle w:val="FootnoteText"/>
      </w:pPr>
      <w:r w:rsidRPr="00975E6B">
        <w:rPr>
          <w:bCs/>
          <w:i/>
          <w:sz w:val="16"/>
          <w:szCs w:val="16"/>
        </w:rPr>
        <w:t>Source: KPMG</w:t>
      </w:r>
    </w:p>
    <w:p w:rsidR="00B60BA8" w:rsidRPr="00975E6B" w:rsidRDefault="002E59FA" w:rsidP="003B387A">
      <w:pPr>
        <w:pStyle w:val="Heading2"/>
        <w:numPr>
          <w:ilvl w:val="1"/>
          <w:numId w:val="77"/>
        </w:numPr>
      </w:pPr>
      <w:bookmarkStart w:id="717" w:name="_Toc444523660"/>
      <w:r w:rsidRPr="0026742C">
        <w:t>Conclusion</w:t>
      </w:r>
      <w:bookmarkEnd w:id="717"/>
    </w:p>
    <w:p w:rsidR="007A7777" w:rsidRPr="00975E6B" w:rsidRDefault="007A7777" w:rsidP="001140D3">
      <w:pPr>
        <w:pStyle w:val="BodyText"/>
      </w:pPr>
      <w:r w:rsidRPr="00975E6B">
        <w:t xml:space="preserve">The findings of the NT Round 18 IFR are summarised </w:t>
      </w:r>
      <w:r w:rsidR="00732CCF" w:rsidRPr="00975E6B">
        <w:t>as follows</w:t>
      </w:r>
      <w:r w:rsidRPr="00975E6B">
        <w:t>:</w:t>
      </w:r>
    </w:p>
    <w:p w:rsidR="00101147" w:rsidRPr="00975E6B" w:rsidRDefault="00772B0F" w:rsidP="00F26328">
      <w:pPr>
        <w:pStyle w:val="BodyText"/>
        <w:numPr>
          <w:ilvl w:val="0"/>
          <w:numId w:val="48"/>
        </w:numPr>
      </w:pPr>
      <w:r w:rsidRPr="00975E6B">
        <w:t>NT Health</w:t>
      </w:r>
      <w:r w:rsidR="00101147" w:rsidRPr="00975E6B">
        <w:t xml:space="preserve"> implemented a new costing methodology for Round 18 including new costing software PPM2 and improved allocation methods for a range of costs.</w:t>
      </w:r>
    </w:p>
    <w:p w:rsidR="00963F72" w:rsidRPr="00975E6B" w:rsidRDefault="007A7777" w:rsidP="00F26328">
      <w:pPr>
        <w:pStyle w:val="BodyText"/>
        <w:numPr>
          <w:ilvl w:val="0"/>
          <w:numId w:val="48"/>
        </w:numPr>
      </w:pPr>
      <w:r w:rsidRPr="00975E6B">
        <w:rPr>
          <w:bCs/>
        </w:rPr>
        <w:t xml:space="preserve">The </w:t>
      </w:r>
      <w:r w:rsidRPr="00975E6B">
        <w:t>financial reconciliation demonstrated the transformation of cost</w:t>
      </w:r>
      <w:r w:rsidR="00C42E19" w:rsidRPr="00975E6B">
        <w:t xml:space="preserve"> data for the entire group of LHNs</w:t>
      </w:r>
      <w:r w:rsidR="00732CCF" w:rsidRPr="00975E6B">
        <w:t xml:space="preserve"> in the NT</w:t>
      </w:r>
      <w:r w:rsidR="00C42E19" w:rsidRPr="00975E6B">
        <w:t xml:space="preserve">. The costs submitted to the jurisdiction for </w:t>
      </w:r>
      <w:r w:rsidR="00C15673" w:rsidRPr="00975E6B">
        <w:t>Royal Darwin</w:t>
      </w:r>
      <w:r w:rsidR="00C42E19" w:rsidRPr="00975E6B">
        <w:t xml:space="preserve"> accounted for 45</w:t>
      </w:r>
      <w:r w:rsidR="00DA7807" w:rsidRPr="00975E6B">
        <w:t> percent</w:t>
      </w:r>
      <w:r w:rsidR="00C42E19" w:rsidRPr="00975E6B">
        <w:t xml:space="preserve"> of the GL</w:t>
      </w:r>
      <w:r w:rsidR="00732CCF" w:rsidRPr="00975E6B">
        <w:t xml:space="preserve"> for the LNH</w:t>
      </w:r>
      <w:r w:rsidR="00C42E19" w:rsidRPr="00975E6B">
        <w:t xml:space="preserve">. </w:t>
      </w:r>
      <w:r w:rsidRPr="00975E6B">
        <w:t xml:space="preserve">There </w:t>
      </w:r>
      <w:r w:rsidR="00732CCF" w:rsidRPr="00975E6B">
        <w:t xml:space="preserve">were </w:t>
      </w:r>
      <w:r w:rsidRPr="00975E6B">
        <w:t xml:space="preserve">no unexplained variances in the financial reconciliation of the </w:t>
      </w:r>
      <w:r w:rsidR="00C15673" w:rsidRPr="00975E6B">
        <w:t>Royal Darwin</w:t>
      </w:r>
      <w:r w:rsidRPr="00975E6B">
        <w:t xml:space="preserve"> NHCDC submission</w:t>
      </w:r>
      <w:r w:rsidR="00C42E19" w:rsidRPr="00975E6B">
        <w:t xml:space="preserve">. </w:t>
      </w:r>
    </w:p>
    <w:p w:rsidR="007A7777" w:rsidRPr="00975E6B" w:rsidRDefault="00973235" w:rsidP="00F26328">
      <w:pPr>
        <w:pStyle w:val="BodyText"/>
        <w:numPr>
          <w:ilvl w:val="0"/>
          <w:numId w:val="48"/>
        </w:numPr>
      </w:pPr>
      <w:r w:rsidRPr="00975E6B">
        <w:t xml:space="preserve">Teaching and </w:t>
      </w:r>
      <w:r w:rsidR="00732CCF" w:rsidRPr="00975E6B">
        <w:t>t</w:t>
      </w:r>
      <w:r w:rsidRPr="00975E6B">
        <w:t>raining costs</w:t>
      </w:r>
      <w:r w:rsidR="00963F72" w:rsidRPr="00975E6B">
        <w:t xml:space="preserve"> were submitted</w:t>
      </w:r>
      <w:r w:rsidRPr="00975E6B">
        <w:t xml:space="preserve"> to the NHCDC in Round 18</w:t>
      </w:r>
      <w:r w:rsidR="00C50DA9" w:rsidRPr="00975E6B">
        <w:t xml:space="preserve">. </w:t>
      </w:r>
      <w:r w:rsidR="00963F72" w:rsidRPr="00975E6B">
        <w:t>These costs are product costed using PFRAC information.</w:t>
      </w:r>
    </w:p>
    <w:p w:rsidR="00973235" w:rsidRPr="00975E6B" w:rsidRDefault="00973235" w:rsidP="00F26328">
      <w:pPr>
        <w:pStyle w:val="BodyText"/>
        <w:numPr>
          <w:ilvl w:val="0"/>
          <w:numId w:val="48"/>
        </w:numPr>
      </w:pPr>
      <w:r w:rsidRPr="00975E6B">
        <w:t xml:space="preserve">Patient travel costs (in-scope and out of scope) represent a significant cost in the NT, approximately $50 million in 2013-14. </w:t>
      </w:r>
      <w:r w:rsidR="00772B0F" w:rsidRPr="00975E6B">
        <w:t>NT Health</w:t>
      </w:r>
      <w:r w:rsidRPr="00975E6B">
        <w:t xml:space="preserve"> allocates in-scope costs (inter-hospital transfers) to patient-level encounters.</w:t>
      </w:r>
    </w:p>
    <w:p w:rsidR="00C42E19" w:rsidRPr="00975E6B" w:rsidRDefault="00C42E19" w:rsidP="00F26328">
      <w:pPr>
        <w:pStyle w:val="BodyText"/>
        <w:numPr>
          <w:ilvl w:val="0"/>
          <w:numId w:val="48"/>
        </w:numPr>
      </w:pPr>
      <w:r w:rsidRPr="00975E6B">
        <w:t xml:space="preserve">Total activity data for </w:t>
      </w:r>
      <w:r w:rsidR="00C15673" w:rsidRPr="00975E6B">
        <w:t>Royal Darwin</w:t>
      </w:r>
      <w:r w:rsidRPr="00975E6B">
        <w:t xml:space="preserve"> was adjusted for the removal of dummy patients by </w:t>
      </w:r>
      <w:r w:rsidR="00772B0F" w:rsidRPr="00975E6B">
        <w:t>NT Health</w:t>
      </w:r>
      <w:r w:rsidRPr="00975E6B">
        <w:t xml:space="preserve">, a reallocation of </w:t>
      </w:r>
      <w:r w:rsidR="00732CCF" w:rsidRPr="00975E6B">
        <w:t>a</w:t>
      </w:r>
      <w:r w:rsidRPr="00975E6B">
        <w:t xml:space="preserve">cute and </w:t>
      </w:r>
      <w:r w:rsidR="00732CCF" w:rsidRPr="00975E6B">
        <w:t>o</w:t>
      </w:r>
      <w:r w:rsidRPr="00975E6B">
        <w:t xml:space="preserve">ther </w:t>
      </w:r>
      <w:r w:rsidR="00732CCF" w:rsidRPr="00975E6B">
        <w:t xml:space="preserve">products </w:t>
      </w:r>
      <w:r w:rsidRPr="00975E6B">
        <w:t xml:space="preserve">by IHPA and the IHPA </w:t>
      </w:r>
      <w:r w:rsidR="00732CCF" w:rsidRPr="00975E6B">
        <w:t xml:space="preserve">unqualified baby </w:t>
      </w:r>
      <w:r w:rsidRPr="00975E6B">
        <w:t>adjustment</w:t>
      </w:r>
      <w:r w:rsidR="00C50DA9" w:rsidRPr="00975E6B">
        <w:t xml:space="preserve">. </w:t>
      </w:r>
    </w:p>
    <w:p w:rsidR="00DF43A9" w:rsidRDefault="00DF43A9" w:rsidP="00F26328">
      <w:pPr>
        <w:numPr>
          <w:ilvl w:val="0"/>
          <w:numId w:val="48"/>
        </w:numPr>
        <w:shd w:val="clear" w:color="auto" w:fill="FFFFFF" w:themeFill="background1"/>
        <w:spacing w:before="120" w:after="120" w:line="280" w:lineRule="atLeast"/>
        <w:jc w:val="both"/>
        <w:rPr>
          <w:szCs w:val="22"/>
        </w:rPr>
      </w:pPr>
      <w:r w:rsidRPr="00975E6B">
        <w:rPr>
          <w:szCs w:val="22"/>
        </w:rPr>
        <w:t xml:space="preserve">With the exception of </w:t>
      </w:r>
      <w:r>
        <w:rPr>
          <w:szCs w:val="22"/>
        </w:rPr>
        <w:t>four</w:t>
      </w:r>
      <w:r w:rsidRPr="00975E6B">
        <w:rPr>
          <w:szCs w:val="22"/>
        </w:rPr>
        <w:t xml:space="preserve"> feeder data systems, the number of records linked to </w:t>
      </w:r>
      <w:proofErr w:type="gramStart"/>
      <w:r w:rsidRPr="00975E6B">
        <w:rPr>
          <w:szCs w:val="22"/>
        </w:rPr>
        <w:t>admitted</w:t>
      </w:r>
      <w:proofErr w:type="gramEnd"/>
      <w:r w:rsidRPr="00975E6B">
        <w:rPr>
          <w:szCs w:val="22"/>
        </w:rPr>
        <w:t xml:space="preserve"> acute patients, emergency or non-admitted patients had a greater than 90 percent link or match. </w:t>
      </w:r>
    </w:p>
    <w:p w:rsidR="002E59FA" w:rsidRPr="00975E6B" w:rsidRDefault="00973235" w:rsidP="00F26328">
      <w:pPr>
        <w:pStyle w:val="BodyText"/>
        <w:numPr>
          <w:ilvl w:val="0"/>
          <w:numId w:val="48"/>
        </w:numPr>
        <w:rPr>
          <w:b/>
          <w:bCs/>
        </w:rPr>
      </w:pPr>
      <w:r w:rsidRPr="00975E6B">
        <w:t>WIP for prior years was not included in Round 18 due to a change in the costing software.</w:t>
      </w:r>
    </w:p>
    <w:p w:rsidR="00F8487D" w:rsidRPr="00975E6B" w:rsidRDefault="00F8487D" w:rsidP="00F26328">
      <w:pPr>
        <w:pStyle w:val="BodyText"/>
        <w:numPr>
          <w:ilvl w:val="0"/>
          <w:numId w:val="48"/>
        </w:numPr>
        <w:rPr>
          <w:b/>
          <w:bCs/>
        </w:rPr>
      </w:pPr>
      <w:r w:rsidRPr="00975E6B">
        <w:t xml:space="preserve">On review of the five sample patients selected for Royal Darwin, all five patients reconciled to IHPA records. </w:t>
      </w:r>
    </w:p>
    <w:p w:rsidR="00325700" w:rsidRPr="00975E6B" w:rsidRDefault="00325700" w:rsidP="001140D3">
      <w:pPr>
        <w:pStyle w:val="BodyText"/>
      </w:pPr>
      <w:r w:rsidRPr="00975E6B">
        <w:t xml:space="preserve">Based on discussions held during the site visit, and a review of the financial reconciliation provided, the changes made since Round 17 have improved the costing methodology and reconciliation processes in place for </w:t>
      </w:r>
      <w:r w:rsidR="00772B0F" w:rsidRPr="00975E6B">
        <w:t>NT</w:t>
      </w:r>
      <w:r w:rsidRPr="00975E6B">
        <w:t xml:space="preserve">. As such, nothing </w:t>
      </w:r>
      <w:r w:rsidR="00AE5BD0" w:rsidRPr="00975E6B">
        <w:t>was identified</w:t>
      </w:r>
      <w:r w:rsidRPr="00975E6B">
        <w:t xml:space="preserve"> to suggest that the financial data</w:t>
      </w:r>
      <w:r w:rsidR="00FA471E" w:rsidRPr="00975E6B">
        <w:t xml:space="preserve"> for </w:t>
      </w:r>
      <w:r w:rsidR="00C15673" w:rsidRPr="00975E6B">
        <w:t>Royal Darwin</w:t>
      </w:r>
      <w:r w:rsidRPr="00975E6B">
        <w:t xml:space="preserve"> is not fit for NHCDC submission. Furthermore, the data flow from the jurisdiction to IHPA demonstrated no unexplained variances.</w:t>
      </w:r>
    </w:p>
    <w:p w:rsidR="00BA70A6" w:rsidRPr="00975E6B" w:rsidRDefault="00BA70A6" w:rsidP="003B387A">
      <w:pPr>
        <w:pStyle w:val="Heading1"/>
        <w:numPr>
          <w:ilvl w:val="0"/>
          <w:numId w:val="77"/>
        </w:numPr>
      </w:pPr>
      <w:bookmarkStart w:id="718" w:name="_Toc444523661"/>
      <w:r w:rsidRPr="00B60516">
        <w:lastRenderedPageBreak/>
        <w:t>Queensland</w:t>
      </w:r>
      <w:bookmarkEnd w:id="718"/>
    </w:p>
    <w:p w:rsidR="00273A0D" w:rsidRPr="00975E6B" w:rsidRDefault="00273A0D" w:rsidP="003B387A">
      <w:pPr>
        <w:pStyle w:val="Heading2"/>
        <w:numPr>
          <w:ilvl w:val="1"/>
          <w:numId w:val="77"/>
        </w:numPr>
      </w:pPr>
      <w:bookmarkStart w:id="719" w:name="_Toc444523662"/>
      <w:r w:rsidRPr="00B60516">
        <w:t>Jurisdictional</w:t>
      </w:r>
      <w:r w:rsidRPr="00975E6B">
        <w:t xml:space="preserve"> overview</w:t>
      </w:r>
      <w:bookmarkEnd w:id="719"/>
    </w:p>
    <w:p w:rsidR="00273A0D" w:rsidRPr="00975E6B" w:rsidRDefault="00273A0D" w:rsidP="003B387A">
      <w:pPr>
        <w:pStyle w:val="Heading3"/>
        <w:numPr>
          <w:ilvl w:val="2"/>
          <w:numId w:val="77"/>
        </w:numPr>
      </w:pPr>
      <w:r w:rsidRPr="00B60516">
        <w:t>Management</w:t>
      </w:r>
      <w:r w:rsidRPr="00975E6B">
        <w:t xml:space="preserve"> of NHCDC process </w:t>
      </w:r>
    </w:p>
    <w:p w:rsidR="00273A0D" w:rsidRPr="00975E6B" w:rsidRDefault="00273A0D" w:rsidP="00273A0D">
      <w:pPr>
        <w:pStyle w:val="BodyText"/>
      </w:pPr>
      <w:r w:rsidRPr="00975E6B">
        <w:t xml:space="preserve">The </w:t>
      </w:r>
      <w:r w:rsidR="00CA6430" w:rsidRPr="00975E6B">
        <w:t>Queensland</w:t>
      </w:r>
      <w:r w:rsidRPr="00975E6B">
        <w:t xml:space="preserve"> NHCDC process is the responsibility of both the Department of Health (</w:t>
      </w:r>
      <w:r w:rsidR="00CA6430" w:rsidRPr="00975E6B">
        <w:t>Queensland</w:t>
      </w:r>
      <w:r w:rsidRPr="00975E6B">
        <w:t xml:space="preserve"> Health) and the 16 Hospital and Health Services (HHS) that support the provision of public health services throughout </w:t>
      </w:r>
      <w:r w:rsidR="00CA6430" w:rsidRPr="00975E6B">
        <w:t>Queensland</w:t>
      </w:r>
      <w:r w:rsidRPr="00975E6B">
        <w:t xml:space="preserve">. </w:t>
      </w:r>
      <w:r w:rsidR="00CA6430" w:rsidRPr="00975E6B">
        <w:t>Queensland</w:t>
      </w:r>
      <w:r w:rsidRPr="00975E6B">
        <w:t xml:space="preserve"> Health supports the costing function in </w:t>
      </w:r>
      <w:r w:rsidR="00CA6430" w:rsidRPr="00975E6B">
        <w:t>Queensland</w:t>
      </w:r>
      <w:r w:rsidRPr="00975E6B">
        <w:t xml:space="preserve">, with cost data seen as an essential ingredient to the state’s healthcare funding, including through its submission to the NHCDC. </w:t>
      </w:r>
    </w:p>
    <w:p w:rsidR="00273A0D" w:rsidRPr="00975E6B" w:rsidRDefault="00273A0D" w:rsidP="00273A0D">
      <w:pPr>
        <w:pStyle w:val="BodyText"/>
      </w:pPr>
      <w:r w:rsidRPr="00975E6B">
        <w:t xml:space="preserve">Most hospitals in </w:t>
      </w:r>
      <w:r w:rsidR="00CA6430" w:rsidRPr="00975E6B">
        <w:t>Queensland</w:t>
      </w:r>
      <w:r w:rsidRPr="00975E6B">
        <w:t xml:space="preserve"> have costing staff who undertake patient costing at the hospital level. Once the costing has been completed, hospital costing staff inform</w:t>
      </w:r>
      <w:r w:rsidR="0014145B" w:rsidRPr="00975E6B">
        <w:t>s</w:t>
      </w:r>
      <w:r w:rsidRPr="00975E6B">
        <w:t xml:space="preserve"> </w:t>
      </w:r>
      <w:r w:rsidR="00CA6430" w:rsidRPr="00975E6B">
        <w:t>Queensland</w:t>
      </w:r>
      <w:r w:rsidRPr="00975E6B">
        <w:t xml:space="preserve"> Health that the data has been finalised and submitted to a central state</w:t>
      </w:r>
      <w:r w:rsidR="00F8487D" w:rsidRPr="00975E6B">
        <w:t>-</w:t>
      </w:r>
      <w:r w:rsidRPr="00975E6B">
        <w:t>wide database.</w:t>
      </w:r>
    </w:p>
    <w:p w:rsidR="00273A0D" w:rsidRPr="00975E6B" w:rsidRDefault="00CA6430" w:rsidP="00273A0D">
      <w:pPr>
        <w:pStyle w:val="BodyText"/>
      </w:pPr>
      <w:r w:rsidRPr="00975E6B">
        <w:t>Queensland</w:t>
      </w:r>
      <w:r w:rsidR="00273A0D" w:rsidRPr="00975E6B">
        <w:t xml:space="preserve"> Health has direct access to the costing system database. The submission files are extracted from the database and a series of validation reports are run for quality assurance purposes. It was noted during the interview process that </w:t>
      </w:r>
      <w:r w:rsidRPr="00975E6B">
        <w:t>Queensland</w:t>
      </w:r>
      <w:r w:rsidR="00273A0D" w:rsidRPr="00975E6B">
        <w:t xml:space="preserve"> Health performs over 400 audit validations on the submitted data. These include a number of pre</w:t>
      </w:r>
      <w:r w:rsidR="00295314" w:rsidRPr="00975E6B">
        <w:t>-</w:t>
      </w:r>
      <w:r w:rsidR="00273A0D" w:rsidRPr="00975E6B">
        <w:t xml:space="preserve">audit reports which score the quality of data to achieve an 80 percent confidence level. There are also a number of extract data audit reports that assess records for errors in activity and mismatching of costed data to source activity systems. These audit reports also assess if there are new cost departments (hospital departments) that require mapping to local and national requirements. </w:t>
      </w:r>
    </w:p>
    <w:p w:rsidR="00F8487D" w:rsidRPr="00975E6B" w:rsidRDefault="00273A0D" w:rsidP="00273A0D">
      <w:pPr>
        <w:pStyle w:val="BodyText"/>
      </w:pPr>
      <w:r w:rsidRPr="00975E6B">
        <w:t xml:space="preserve">Once finalised, a state costing report is produced for each hospital that includes all episodes costed and submitted to each costing team. This report includes information on costs for </w:t>
      </w:r>
      <w:r w:rsidR="001E4752" w:rsidRPr="00975E6B">
        <w:t>Diagnosis Related Groups (</w:t>
      </w:r>
      <w:r w:rsidRPr="00975E6B">
        <w:t>DRGs</w:t>
      </w:r>
      <w:r w:rsidR="001E4752" w:rsidRPr="00975E6B">
        <w:t>)</w:t>
      </w:r>
      <w:r w:rsidRPr="00975E6B">
        <w:t>, Tier</w:t>
      </w:r>
      <w:r w:rsidR="001E4752" w:rsidRPr="00975E6B">
        <w:t xml:space="preserve"> </w:t>
      </w:r>
      <w:r w:rsidRPr="00975E6B">
        <w:t xml:space="preserve">2 and subacute activity for the current round and </w:t>
      </w:r>
      <w:r w:rsidR="00F915E5" w:rsidRPr="00975E6B">
        <w:t>previous</w:t>
      </w:r>
      <w:r w:rsidR="001E4752" w:rsidRPr="00975E6B">
        <w:t>ly in R</w:t>
      </w:r>
      <w:r w:rsidRPr="00975E6B">
        <w:t>ound</w:t>
      </w:r>
      <w:r w:rsidR="001E4752" w:rsidRPr="00975E6B">
        <w:t xml:space="preserve"> 17</w:t>
      </w:r>
      <w:r w:rsidRPr="00975E6B">
        <w:t>. Differences of less than 10 </w:t>
      </w:r>
      <w:r w:rsidR="00F915E5" w:rsidRPr="00975E6B">
        <w:t>percent</w:t>
      </w:r>
      <w:r w:rsidRPr="00975E6B">
        <w:t xml:space="preserve"> are seen as insignificant. </w:t>
      </w:r>
      <w:r w:rsidR="00F8487D" w:rsidRPr="00975E6B">
        <w:t>In addition, URG and UDG (emergency departments and emergency services) cost weight report information is provided to hospitals for review prior to the submission of the data for the NHCDC</w:t>
      </w:r>
      <w:r w:rsidR="005D12ED" w:rsidRPr="00975E6B">
        <w:t xml:space="preserve">. </w:t>
      </w:r>
      <w:r w:rsidR="00F8487D" w:rsidRPr="00975E6B">
        <w:t xml:space="preserve">It is noted that comparative data using cost weight reports is provided at LHN level for current and previous five years with a summary table of average cost outcomes. </w:t>
      </w:r>
    </w:p>
    <w:p w:rsidR="00273A0D" w:rsidRPr="00975E6B" w:rsidRDefault="00273A0D" w:rsidP="00273A0D">
      <w:pPr>
        <w:pStyle w:val="BodyText"/>
      </w:pPr>
      <w:r w:rsidRPr="00975E6B">
        <w:t xml:space="preserve">Where issues with data quality are identified, hospital costing </w:t>
      </w:r>
      <w:proofErr w:type="gramStart"/>
      <w:r w:rsidRPr="00975E6B">
        <w:t>staff address</w:t>
      </w:r>
      <w:proofErr w:type="gramEnd"/>
      <w:r w:rsidRPr="00975E6B">
        <w:t xml:space="preserve"> these and prepare for final submission to </w:t>
      </w:r>
      <w:r w:rsidR="00CA6430" w:rsidRPr="00975E6B">
        <w:t>Queensland</w:t>
      </w:r>
      <w:r w:rsidRPr="00975E6B">
        <w:t xml:space="preserve"> Health. Hospital Chief Financial Officers will sign off on the data. This cost data submission is used for both the </w:t>
      </w:r>
      <w:r w:rsidR="00CA6430" w:rsidRPr="00975E6B">
        <w:t>Queensland</w:t>
      </w:r>
      <w:r w:rsidRPr="00975E6B">
        <w:t xml:space="preserve"> state funding model and NHCDC submission.</w:t>
      </w:r>
      <w:r w:rsidR="00F8487D" w:rsidRPr="00975E6B">
        <w:t xml:space="preserve"> </w:t>
      </w:r>
      <w:r w:rsidR="00CA6430" w:rsidRPr="00975E6B">
        <w:t>Queensland</w:t>
      </w:r>
      <w:r w:rsidRPr="00975E6B">
        <w:t xml:space="preserve"> Health prepare</w:t>
      </w:r>
      <w:r w:rsidR="001E4752" w:rsidRPr="00975E6B">
        <w:t>s</w:t>
      </w:r>
      <w:r w:rsidRPr="00975E6B">
        <w:t xml:space="preserve"> the NHCDC submission according to the NHCDC Round 18 Data Request Specifications provided by IHPA.</w:t>
      </w:r>
    </w:p>
    <w:p w:rsidR="00273A0D" w:rsidRPr="00975E6B" w:rsidRDefault="001E4752" w:rsidP="00273A0D">
      <w:pPr>
        <w:pStyle w:val="BodyText"/>
      </w:pPr>
      <w:r w:rsidRPr="00975E6B">
        <w:t>Queensland nominated three hospitals to partic</w:t>
      </w:r>
      <w:r w:rsidR="005742CA" w:rsidRPr="00975E6B">
        <w:t>i</w:t>
      </w:r>
      <w:r w:rsidRPr="00975E6B">
        <w:t>pate</w:t>
      </w:r>
      <w:r w:rsidR="00273A0D" w:rsidRPr="00975E6B">
        <w:t xml:space="preserve"> in the Round 18 IFR</w:t>
      </w:r>
      <w:r w:rsidRPr="00975E6B">
        <w:t xml:space="preserve">, including Ipswich Hospital, Mackay </w:t>
      </w:r>
      <w:r w:rsidR="00901CD9" w:rsidRPr="00975E6B">
        <w:t xml:space="preserve">Base </w:t>
      </w:r>
      <w:r w:rsidR="003B6AC0" w:rsidRPr="00975E6B">
        <w:t>Hospital, and T</w:t>
      </w:r>
      <w:r w:rsidRPr="00975E6B">
        <w:t xml:space="preserve">he Prince Charles Hospital in Brisbane. </w:t>
      </w:r>
    </w:p>
    <w:p w:rsidR="007A24FF" w:rsidRPr="00975E6B" w:rsidRDefault="00934925" w:rsidP="0080753B">
      <w:pPr>
        <w:pStyle w:val="Heading4"/>
        <w:numPr>
          <w:ilvl w:val="0"/>
          <w:numId w:val="0"/>
        </w:numPr>
        <w:ind w:left="720" w:hanging="720"/>
      </w:pPr>
      <w:r w:rsidRPr="00975E6B">
        <w:t>Key initiatives since Round 17 NHCDC</w:t>
      </w:r>
    </w:p>
    <w:p w:rsidR="00273A0D" w:rsidRPr="00975E6B" w:rsidRDefault="00273A0D" w:rsidP="00273A0D">
      <w:pPr>
        <w:pStyle w:val="FootnoteText"/>
        <w:rPr>
          <w:sz w:val="20"/>
        </w:rPr>
      </w:pPr>
      <w:r w:rsidRPr="00975E6B">
        <w:rPr>
          <w:sz w:val="20"/>
        </w:rPr>
        <w:t xml:space="preserve">The Torres and Cape HHS, South West HHS and Central West HHS (comprising 51 rural and remote hospitals) moved to patient level costing in Round 18. </w:t>
      </w:r>
    </w:p>
    <w:p w:rsidR="00273A0D" w:rsidRPr="00975E6B" w:rsidRDefault="00273A0D" w:rsidP="003B387A">
      <w:pPr>
        <w:pStyle w:val="Heading2"/>
        <w:numPr>
          <w:ilvl w:val="1"/>
          <w:numId w:val="77"/>
        </w:numPr>
      </w:pPr>
      <w:bookmarkStart w:id="720" w:name="_Toc434584631"/>
      <w:bookmarkStart w:id="721" w:name="_Toc434585005"/>
      <w:bookmarkStart w:id="722" w:name="_Toc434585142"/>
      <w:bookmarkStart w:id="723" w:name="_Toc444523663"/>
      <w:bookmarkEnd w:id="720"/>
      <w:bookmarkEnd w:id="721"/>
      <w:bookmarkEnd w:id="722"/>
      <w:r w:rsidRPr="0080753B">
        <w:lastRenderedPageBreak/>
        <w:t>Ipswich</w:t>
      </w:r>
      <w:r w:rsidRPr="00975E6B">
        <w:t xml:space="preserve"> Hospital</w:t>
      </w:r>
      <w:bookmarkEnd w:id="723"/>
    </w:p>
    <w:p w:rsidR="00273A0D" w:rsidRPr="00975E6B" w:rsidRDefault="00273A0D" w:rsidP="003B387A">
      <w:pPr>
        <w:pStyle w:val="Heading3"/>
        <w:numPr>
          <w:ilvl w:val="2"/>
          <w:numId w:val="77"/>
        </w:numPr>
      </w:pPr>
      <w:r w:rsidRPr="00975E6B">
        <w:t>Overview</w:t>
      </w:r>
    </w:p>
    <w:p w:rsidR="00273A0D" w:rsidRPr="00975E6B" w:rsidRDefault="00273A0D" w:rsidP="00273A0D">
      <w:r w:rsidRPr="00975E6B">
        <w:t>Ipswich Hospital is a major acute hospital with 351 beds, located in Ipswich, 40 kilometres west of Brisbane. The hospital offers services in all major health specialities, including anaesthetics, emergency, medicine, surgery, intensive and coronary care, orthopaedics, obstetrics, paediatrics, palliative care, rehabilitation and mental health</w:t>
      </w:r>
      <w:r w:rsidR="007068D5" w:rsidRPr="00975E6B">
        <w:t>,</w:t>
      </w:r>
      <w:r w:rsidRPr="00975E6B">
        <w:t xml:space="preserve"> along with a full range of allied health services. The Ipswich Hospital has a major teaching role, providing both undergraduate and postgraduate clinical education and training</w:t>
      </w:r>
      <w:r w:rsidRPr="00975E6B">
        <w:rPr>
          <w:rStyle w:val="FootnoteReference"/>
        </w:rPr>
        <w:footnoteReference w:id="5"/>
      </w:r>
      <w:r w:rsidRPr="00975E6B">
        <w:t>.</w:t>
      </w:r>
    </w:p>
    <w:p w:rsidR="00273A0D" w:rsidRPr="00975E6B" w:rsidRDefault="00273A0D" w:rsidP="003B387A">
      <w:pPr>
        <w:pStyle w:val="Heading3"/>
        <w:numPr>
          <w:ilvl w:val="2"/>
          <w:numId w:val="77"/>
        </w:numPr>
      </w:pPr>
      <w:r w:rsidRPr="00B60516">
        <w:t>Financial</w:t>
      </w:r>
      <w:r w:rsidRPr="00975E6B">
        <w:t xml:space="preserve"> data</w:t>
      </w:r>
    </w:p>
    <w:p w:rsidR="00273A0D" w:rsidRPr="00975E6B" w:rsidRDefault="00273A0D" w:rsidP="00273A0D">
      <w:pPr>
        <w:pStyle w:val="BodyText"/>
      </w:pPr>
      <w:r w:rsidRPr="00975E6B">
        <w:t xml:space="preserve">For the Round 18 IFR, departmental representatives of </w:t>
      </w:r>
      <w:r w:rsidR="00CA6430" w:rsidRPr="00975E6B">
        <w:t>Queensland</w:t>
      </w:r>
      <w:r w:rsidRPr="00975E6B">
        <w:t xml:space="preserve"> Health completed the relevant IFR templates and participated in consultations during the review. </w:t>
      </w:r>
    </w:p>
    <w:p w:rsidR="00273A0D" w:rsidRPr="00975E6B" w:rsidRDefault="00273A0D" w:rsidP="00273A0D">
      <w:pPr>
        <w:pStyle w:val="BodyText"/>
      </w:pPr>
      <w:r w:rsidRPr="00975E6B">
        <w:fldChar w:fldCharType="begin"/>
      </w:r>
      <w:r w:rsidRPr="00975E6B">
        <w:instrText xml:space="preserve"> REF _Ref434046164 \h </w:instrText>
      </w:r>
      <w:r w:rsidR="00975E6B">
        <w:instrText xml:space="preserve"> \* MERGEFORMAT </w:instrText>
      </w:r>
      <w:r w:rsidRPr="00975E6B">
        <w:fldChar w:fldCharType="separate"/>
      </w:r>
      <w:r w:rsidR="00154CF7" w:rsidRPr="00975E6B">
        <w:t xml:space="preserve">Table </w:t>
      </w:r>
      <w:r w:rsidR="00154CF7">
        <w:rPr>
          <w:noProof/>
        </w:rPr>
        <w:t>34</w:t>
      </w:r>
      <w:r w:rsidRPr="00975E6B">
        <w:fldChar w:fldCharType="end"/>
      </w:r>
      <w:r w:rsidRPr="00975E6B">
        <w:t xml:space="preserve"> presents an overview of the template results for expenditures used for costing (at the hospital level), the jurisdictional process for cost data received and the IHPA process for cost data received.</w:t>
      </w:r>
    </w:p>
    <w:p w:rsidR="00273A0D" w:rsidRPr="00975E6B" w:rsidRDefault="00273A0D" w:rsidP="00273A0D">
      <w:pPr>
        <w:pStyle w:val="Caption"/>
        <w:sectPr w:rsidR="00273A0D" w:rsidRPr="00975E6B" w:rsidSect="00835E8A">
          <w:endnotePr>
            <w:numFmt w:val="decimal"/>
          </w:endnotePr>
          <w:pgSz w:w="11907" w:h="16840" w:code="9"/>
          <w:pgMar w:top="1964" w:right="1474" w:bottom="1588" w:left="1474" w:header="958" w:footer="737" w:gutter="454"/>
          <w:cols w:space="720"/>
          <w:docGrid w:linePitch="272"/>
        </w:sectPr>
      </w:pPr>
    </w:p>
    <w:p w:rsidR="00273A0D" w:rsidRPr="00975E6B" w:rsidRDefault="00273A0D" w:rsidP="00273A0D">
      <w:pPr>
        <w:pStyle w:val="Caption"/>
      </w:pPr>
      <w:bookmarkStart w:id="724" w:name="_Ref434046164"/>
      <w:r w:rsidRPr="00975E6B">
        <w:lastRenderedPageBreak/>
        <w:t xml:space="preserve">Table </w:t>
      </w:r>
      <w:fldSimple w:instr=" SEQ Table \* ARABIC ">
        <w:r w:rsidR="00154CF7">
          <w:rPr>
            <w:noProof/>
          </w:rPr>
          <w:t>34</w:t>
        </w:r>
      </w:fldSimple>
      <w:bookmarkEnd w:id="724"/>
      <w:r w:rsidRPr="00975E6B">
        <w:t xml:space="preserve"> – </w:t>
      </w:r>
      <w:proofErr w:type="gramStart"/>
      <w:r w:rsidRPr="00975E6B">
        <w:t>Round 18 NHCDC Reconciliation – Ipswich Hospital</w:t>
      </w:r>
      <w:proofErr w:type="gramEnd"/>
    </w:p>
    <w:p w:rsidR="00273A0D" w:rsidRPr="00975E6B" w:rsidRDefault="007939A0" w:rsidP="00273A0D">
      <w:r>
        <w:rPr>
          <w:noProof/>
          <w:lang w:eastAsia="en-AU"/>
        </w:rPr>
        <w:drawing>
          <wp:inline distT="0" distB="0" distL="0" distR="0" wp14:anchorId="62D3342E" wp14:editId="5B85C730">
            <wp:extent cx="8410575" cy="3352800"/>
            <wp:effectExtent l="0" t="0" r="9525" b="0"/>
            <wp:docPr id="53" name="Picture 16" descr="This table presents the financial reconciliation of hospital expenditure for Round 18 for Ipswich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 title="Table 34 - Round 18 NHCDC Reconciliation - Ipswich Hospi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This table presents the financial reconciliation of hospital expenditure for Round 18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8410575" cy="3352800"/>
                    </a:xfrm>
                    <a:prstGeom prst="rect">
                      <a:avLst/>
                    </a:prstGeom>
                    <a:noFill/>
                    <a:ln>
                      <a:noFill/>
                    </a:ln>
                  </pic:spPr>
                </pic:pic>
              </a:graphicData>
            </a:graphic>
          </wp:inline>
        </w:drawing>
      </w:r>
    </w:p>
    <w:p w:rsidR="00273A0D" w:rsidRPr="00975E6B" w:rsidRDefault="00273A0D" w:rsidP="00273A0D">
      <w:pPr>
        <w:rPr>
          <w:bCs/>
          <w:i/>
          <w:sz w:val="16"/>
          <w:szCs w:val="16"/>
        </w:rPr>
      </w:pPr>
      <w:r w:rsidRPr="00975E6B">
        <w:rPr>
          <w:bCs/>
          <w:i/>
          <w:sz w:val="16"/>
          <w:szCs w:val="16"/>
        </w:rPr>
        <w:t>Source: KPMG based on Ipswich Hospital IFR templates</w:t>
      </w:r>
    </w:p>
    <w:p w:rsidR="00273A0D" w:rsidRPr="00975E6B" w:rsidRDefault="00273A0D" w:rsidP="00273A0D">
      <w:pPr>
        <w:rPr>
          <w:bCs/>
          <w:i/>
          <w:sz w:val="16"/>
          <w:szCs w:val="16"/>
        </w:rPr>
      </w:pPr>
      <w:r w:rsidRPr="00975E6B">
        <w:rPr>
          <w:bCs/>
          <w:i/>
          <w:sz w:val="16"/>
          <w:szCs w:val="16"/>
        </w:rPr>
        <w:t>* These figures include admitted emergency costs.</w:t>
      </w:r>
    </w:p>
    <w:p w:rsidR="00273A0D" w:rsidRPr="00975E6B" w:rsidRDefault="00273A0D" w:rsidP="00273A0D">
      <w:pPr>
        <w:rPr>
          <w:bCs/>
          <w:i/>
          <w:sz w:val="16"/>
          <w:szCs w:val="16"/>
        </w:rPr>
      </w:pPr>
    </w:p>
    <w:p w:rsidR="00273A0D" w:rsidRPr="00975E6B" w:rsidRDefault="00273A0D" w:rsidP="00273A0D">
      <w:pPr>
        <w:rPr>
          <w:bCs/>
          <w:i/>
          <w:sz w:val="16"/>
          <w:szCs w:val="16"/>
        </w:rPr>
      </w:pPr>
    </w:p>
    <w:p w:rsidR="00273A0D" w:rsidRPr="00975E6B" w:rsidRDefault="00273A0D" w:rsidP="00F26328">
      <w:pPr>
        <w:pStyle w:val="Heading4"/>
        <w:numPr>
          <w:ilvl w:val="3"/>
          <w:numId w:val="63"/>
        </w:numPr>
        <w:sectPr w:rsidR="00273A0D" w:rsidRPr="00975E6B" w:rsidSect="00835E8A">
          <w:endnotePr>
            <w:numFmt w:val="decimal"/>
          </w:endnotePr>
          <w:pgSz w:w="16840" w:h="11907" w:orient="landscape" w:code="9"/>
          <w:pgMar w:top="1474" w:right="1964" w:bottom="1474" w:left="1588" w:header="958" w:footer="737" w:gutter="454"/>
          <w:cols w:space="720"/>
          <w:docGrid w:linePitch="272"/>
        </w:sectPr>
      </w:pPr>
    </w:p>
    <w:p w:rsidR="00273A0D" w:rsidRPr="00975E6B" w:rsidRDefault="00273A0D" w:rsidP="0080753B">
      <w:pPr>
        <w:pStyle w:val="Heading4"/>
        <w:numPr>
          <w:ilvl w:val="0"/>
          <w:numId w:val="0"/>
        </w:numPr>
      </w:pPr>
      <w:r w:rsidRPr="00975E6B">
        <w:lastRenderedPageBreak/>
        <w:t>Explanation of reconciliation items</w:t>
      </w:r>
    </w:p>
    <w:p w:rsidR="00273A0D" w:rsidRPr="00975E6B" w:rsidRDefault="00B33CC1" w:rsidP="00273A0D">
      <w:pPr>
        <w:pStyle w:val="BodyText"/>
      </w:pPr>
      <w:r w:rsidRPr="00975E6B">
        <w:fldChar w:fldCharType="begin"/>
      </w:r>
      <w:r w:rsidRPr="00975E6B">
        <w:instrText xml:space="preserve"> REF _Ref434264984 \h </w:instrText>
      </w:r>
      <w:r w:rsidR="00975E6B">
        <w:instrText xml:space="preserve"> \* MERGEFORMAT </w:instrText>
      </w:r>
      <w:r w:rsidRPr="00975E6B">
        <w:fldChar w:fldCharType="separate"/>
      </w:r>
      <w:r w:rsidR="00154CF7" w:rsidRPr="00975E6B">
        <w:t xml:space="preserve">Table </w:t>
      </w:r>
      <w:r w:rsidR="00154CF7">
        <w:rPr>
          <w:noProof/>
        </w:rPr>
        <w:t>35</w:t>
      </w:r>
      <w:r w:rsidRPr="00975E6B">
        <w:fldChar w:fldCharType="end"/>
      </w:r>
      <w:r w:rsidRPr="00975E6B">
        <w:t xml:space="preserve"> </w:t>
      </w:r>
      <w:r w:rsidR="00273A0D" w:rsidRPr="00975E6B">
        <w:t xml:space="preserve">discusses each of the reconciliation items, including adjustments, inclusions and exclusions to the </w:t>
      </w:r>
      <w:r w:rsidR="00F915E5" w:rsidRPr="00975E6B">
        <w:t>GL</w:t>
      </w:r>
      <w:r w:rsidR="00273A0D" w:rsidRPr="00975E6B">
        <w:t>.</w:t>
      </w:r>
    </w:p>
    <w:p w:rsidR="00273A0D" w:rsidRPr="00975E6B" w:rsidRDefault="00273A0D" w:rsidP="00273A0D">
      <w:pPr>
        <w:pStyle w:val="Caption"/>
      </w:pPr>
      <w:bookmarkStart w:id="725" w:name="_Ref434264984"/>
      <w:r w:rsidRPr="00975E6B">
        <w:t xml:space="preserve">Table </w:t>
      </w:r>
      <w:fldSimple w:instr=" SEQ Table \* ARABIC ">
        <w:r w:rsidR="00154CF7">
          <w:rPr>
            <w:noProof/>
          </w:rPr>
          <w:t>35</w:t>
        </w:r>
      </w:fldSimple>
      <w:bookmarkEnd w:id="725"/>
      <w:r w:rsidRPr="00975E6B">
        <w:t xml:space="preserve"> – </w:t>
      </w:r>
      <w:r w:rsidR="00704A46" w:rsidRPr="00975E6B">
        <w:t>Financial Reconciliation, explanation of items</w:t>
      </w:r>
      <w:r w:rsidRPr="00975E6B">
        <w:t xml:space="preserve"> – Ipswich Hospital</w:t>
      </w:r>
    </w:p>
    <w:tbl>
      <w:tblPr>
        <w:tblStyle w:val="ListTable4-Accent11"/>
        <w:tblW w:w="5000" w:type="pct"/>
        <w:tblLayout w:type="fixed"/>
        <w:tblLook w:val="0620" w:firstRow="1" w:lastRow="0" w:firstColumn="0" w:lastColumn="0" w:noHBand="1" w:noVBand="1"/>
        <w:tblCaption w:val="Table 35 - Financial reconciliation, explanation of items - Ipswich Hospital"/>
        <w:tblDescription w:val="This table describes the information presented in Table 34.  The first column is the item number (A to K), the second column is the title of the item number and the third column is a description of the financial information included at that item.&#10;"/>
      </w:tblPr>
      <w:tblGrid>
        <w:gridCol w:w="722"/>
        <w:gridCol w:w="2622"/>
        <w:gridCol w:w="5377"/>
      </w:tblGrid>
      <w:tr w:rsidR="00273A0D"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14" w:type="pct"/>
            <w:tcBorders>
              <w:right w:val="single" w:sz="4" w:space="0" w:color="548DD4" w:themeColor="text2" w:themeTint="99"/>
            </w:tcBorders>
            <w:shd w:val="clear" w:color="auto" w:fill="002060"/>
            <w:noWrap/>
          </w:tcPr>
          <w:p w:rsidR="00273A0D" w:rsidRPr="00975E6B" w:rsidRDefault="00273A0D" w:rsidP="0029344A">
            <w:r w:rsidRPr="00975E6B">
              <w:t>Item</w:t>
            </w:r>
          </w:p>
        </w:tc>
        <w:tc>
          <w:tcPr>
            <w:tcW w:w="1503" w:type="pct"/>
            <w:tcBorders>
              <w:left w:val="single" w:sz="4" w:space="0" w:color="548DD4" w:themeColor="text2" w:themeTint="99"/>
            </w:tcBorders>
            <w:shd w:val="clear" w:color="auto" w:fill="002060"/>
          </w:tcPr>
          <w:p w:rsidR="00273A0D" w:rsidRPr="00975E6B" w:rsidRDefault="00273A0D" w:rsidP="0029344A">
            <w:r w:rsidRPr="00975E6B">
              <w:t>Heading</w:t>
            </w:r>
          </w:p>
        </w:tc>
        <w:tc>
          <w:tcPr>
            <w:tcW w:w="3083" w:type="pct"/>
            <w:tcBorders>
              <w:left w:val="single" w:sz="4" w:space="0" w:color="548DD4" w:themeColor="text2" w:themeTint="99"/>
            </w:tcBorders>
            <w:shd w:val="clear" w:color="auto" w:fill="002060"/>
          </w:tcPr>
          <w:p w:rsidR="00273A0D" w:rsidRPr="00975E6B" w:rsidRDefault="00273A0D" w:rsidP="0029344A">
            <w:r w:rsidRPr="00975E6B">
              <w:t>Discussion</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A</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General Ledger</w:t>
            </w:r>
          </w:p>
        </w:tc>
        <w:tc>
          <w:tcPr>
            <w:tcW w:w="3083" w:type="pct"/>
            <w:tcBorders>
              <w:left w:val="single" w:sz="4" w:space="0" w:color="548DD4" w:themeColor="text2" w:themeTint="99"/>
            </w:tcBorders>
          </w:tcPr>
          <w:p w:rsidR="00273A0D" w:rsidRPr="00975E6B" w:rsidRDefault="00273A0D">
            <w:pPr>
              <w:pStyle w:val="BodyText"/>
            </w:pPr>
            <w:r w:rsidRPr="00975E6B">
              <w:t>The final GL extracted from the financial systems indicated expenditure of $416.</w:t>
            </w:r>
            <w:r w:rsidR="003E67CF" w:rsidRPr="00975E6B">
              <w:t>4</w:t>
            </w:r>
            <w:r w:rsidRPr="00975E6B">
              <w:t xml:space="preserve"> million.</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B</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Adjustments to the GL</w:t>
            </w:r>
          </w:p>
        </w:tc>
        <w:tc>
          <w:tcPr>
            <w:tcW w:w="3083" w:type="pct"/>
            <w:tcBorders>
              <w:left w:val="single" w:sz="4" w:space="0" w:color="548DD4" w:themeColor="text2" w:themeTint="99"/>
            </w:tcBorders>
          </w:tcPr>
          <w:p w:rsidR="00273A0D" w:rsidRPr="00975E6B" w:rsidRDefault="00273A0D" w:rsidP="0029344A">
            <w:pPr>
              <w:pStyle w:val="BodyText"/>
            </w:pPr>
            <w:r w:rsidRPr="00975E6B">
              <w:t xml:space="preserve">A number of adjustments </w:t>
            </w:r>
            <w:r w:rsidR="00F915E5" w:rsidRPr="00975E6B">
              <w:t>wer</w:t>
            </w:r>
            <w:r w:rsidRPr="00975E6B">
              <w:t>e made to the GL. Excluded expenditure total</w:t>
            </w:r>
            <w:r w:rsidR="00F915E5" w:rsidRPr="00975E6B">
              <w:t>led</w:t>
            </w:r>
            <w:r w:rsidRPr="00975E6B">
              <w:t xml:space="preserve"> $149.1 million and comprise</w:t>
            </w:r>
            <w:r w:rsidR="00F915E5" w:rsidRPr="00975E6B">
              <w:t>d</w:t>
            </w:r>
            <w:r w:rsidRPr="00975E6B">
              <w:t>:</w:t>
            </w:r>
          </w:p>
          <w:p w:rsidR="00273A0D" w:rsidRPr="00975E6B" w:rsidRDefault="00273A0D" w:rsidP="00F26328">
            <w:pPr>
              <w:pStyle w:val="BodyText"/>
              <w:numPr>
                <w:ilvl w:val="0"/>
                <w:numId w:val="44"/>
              </w:numPr>
            </w:pPr>
            <w:r w:rsidRPr="00975E6B">
              <w:t>Other hospital financial data included in the GL totalling $143.5 million</w:t>
            </w:r>
            <w:r w:rsidR="004C3D61" w:rsidRPr="00975E6B">
              <w:t>.</w:t>
            </w:r>
          </w:p>
          <w:p w:rsidR="00273A0D" w:rsidRPr="00975E6B" w:rsidRDefault="00273A0D" w:rsidP="00F26328">
            <w:pPr>
              <w:pStyle w:val="BodyText"/>
              <w:numPr>
                <w:ilvl w:val="0"/>
                <w:numId w:val="44"/>
              </w:numPr>
            </w:pPr>
            <w:r w:rsidRPr="00975E6B">
              <w:t>Out of scope expenditure such as Trust accounts, Disability services and car park expenditure totalling $5.6 million.</w:t>
            </w:r>
          </w:p>
          <w:p w:rsidR="00273A0D" w:rsidRPr="00975E6B" w:rsidRDefault="00273A0D" w:rsidP="007068D5">
            <w:pPr>
              <w:pStyle w:val="BodyText"/>
            </w:pPr>
            <w:r w:rsidRPr="00975E6B">
              <w:t>These adjustments established an expenditure base for costing of $267.3 million. This was approximately 64</w:t>
            </w:r>
            <w:r w:rsidR="007068D5" w:rsidRPr="00975E6B">
              <w:t> </w:t>
            </w:r>
            <w:r w:rsidR="003E67CF" w:rsidRPr="00975E6B">
              <w:t>percent</w:t>
            </w:r>
            <w:r w:rsidRPr="00975E6B">
              <w:t xml:space="preserve"> of total expenditure reported in the GL.</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C</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Allocation of Costs</w:t>
            </w:r>
          </w:p>
        </w:tc>
        <w:tc>
          <w:tcPr>
            <w:tcW w:w="3083" w:type="pct"/>
            <w:tcBorders>
              <w:left w:val="single" w:sz="4" w:space="0" w:color="548DD4" w:themeColor="text2" w:themeTint="99"/>
            </w:tcBorders>
          </w:tcPr>
          <w:p w:rsidR="00273A0D" w:rsidRPr="00975E6B" w:rsidRDefault="00273A0D" w:rsidP="0029344A">
            <w:pPr>
              <w:pStyle w:val="BodyText"/>
            </w:pPr>
            <w:r w:rsidRPr="00975E6B">
              <w:t xml:space="preserve">The hospital undertakes a process of reclass/transfers etc. between direct cost centres. In </w:t>
            </w:r>
            <w:r w:rsidR="00CA6430" w:rsidRPr="00975E6B">
              <w:t>Queensland</w:t>
            </w:r>
            <w:r w:rsidRPr="00975E6B">
              <w:t xml:space="preserve"> this process </w:t>
            </w:r>
            <w:r w:rsidR="007068D5" w:rsidRPr="00975E6B">
              <w:t xml:space="preserve">is </w:t>
            </w:r>
            <w:r w:rsidRPr="00975E6B">
              <w:t xml:space="preserve">undertaken through derived accounts. The net effect of these derived accounts </w:t>
            </w:r>
            <w:r w:rsidR="0074117C" w:rsidRPr="00975E6B">
              <w:t xml:space="preserve">was </w:t>
            </w:r>
            <w:r w:rsidRPr="00975E6B">
              <w:t xml:space="preserve">zero. Reclass/transfers </w:t>
            </w:r>
            <w:r w:rsidR="00F915E5" w:rsidRPr="00975E6B">
              <w:t>we</w:t>
            </w:r>
            <w:r w:rsidRPr="00975E6B">
              <w:t>re determined based on discussions with cost centre managers.</w:t>
            </w:r>
          </w:p>
          <w:p w:rsidR="00273A0D" w:rsidRPr="00975E6B" w:rsidRDefault="00273A0D" w:rsidP="00F26328">
            <w:pPr>
              <w:pStyle w:val="BodyText"/>
              <w:numPr>
                <w:ilvl w:val="0"/>
                <w:numId w:val="38"/>
              </w:numPr>
            </w:pPr>
            <w:r w:rsidRPr="00975E6B">
              <w:t>It was observed that a total of $222.8 million direct cost centres were allocated pre and post allocation.</w:t>
            </w:r>
          </w:p>
          <w:p w:rsidR="00273A0D" w:rsidRPr="00975E6B" w:rsidRDefault="00273A0D" w:rsidP="00F26328">
            <w:pPr>
              <w:pStyle w:val="BodyText"/>
              <w:numPr>
                <w:ilvl w:val="0"/>
                <w:numId w:val="38"/>
              </w:numPr>
            </w:pPr>
            <w:r w:rsidRPr="00975E6B">
              <w:t>It was observed that overheads of $44.5 million were allocated to direct cost centres pre and post allocation.</w:t>
            </w:r>
          </w:p>
          <w:p w:rsidR="00273A0D" w:rsidRPr="00975E6B" w:rsidRDefault="00273A0D" w:rsidP="0029344A">
            <w:pPr>
              <w:pStyle w:val="BodyText"/>
            </w:pPr>
            <w:r w:rsidRPr="00975E6B">
              <w:t xml:space="preserve">The total direct and overhead post allocation amount was equal to $267.3 million. </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D</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Post Allocation Adjustments</w:t>
            </w:r>
          </w:p>
        </w:tc>
        <w:tc>
          <w:tcPr>
            <w:tcW w:w="3083" w:type="pct"/>
            <w:tcBorders>
              <w:left w:val="single" w:sz="4" w:space="0" w:color="548DD4" w:themeColor="text2" w:themeTint="99"/>
            </w:tcBorders>
          </w:tcPr>
          <w:p w:rsidR="00273A0D" w:rsidRPr="00975E6B" w:rsidRDefault="00273A0D" w:rsidP="0029344A">
            <w:pPr>
              <w:pStyle w:val="BodyText"/>
            </w:pPr>
            <w:r w:rsidRPr="00975E6B">
              <w:t>Costs were adjusted after the allocation of costs in Item C. These amounts comprise</w:t>
            </w:r>
            <w:r w:rsidR="00F915E5" w:rsidRPr="00975E6B">
              <w:t>d</w:t>
            </w:r>
            <w:r w:rsidRPr="00975E6B">
              <w:t xml:space="preserve">: </w:t>
            </w:r>
          </w:p>
          <w:p w:rsidR="00273A0D" w:rsidRPr="00975E6B" w:rsidRDefault="00273A0D" w:rsidP="00F26328">
            <w:pPr>
              <w:pStyle w:val="BodyText"/>
              <w:numPr>
                <w:ilvl w:val="0"/>
                <w:numId w:val="38"/>
              </w:numPr>
            </w:pPr>
            <w:r w:rsidRPr="00975E6B">
              <w:t xml:space="preserve">$1.5 million in mismatched cost records. This amount related to costs in Transition 2 (the costing software used by Ipswich Hospital) that should be deleted after </w:t>
            </w:r>
            <w:proofErr w:type="spellStart"/>
            <w:r w:rsidRPr="00975E6B">
              <w:t>recosting</w:t>
            </w:r>
            <w:proofErr w:type="spellEnd"/>
            <w:r w:rsidRPr="00975E6B">
              <w:t xml:space="preserve"> by Ipswich Hospital. Ipswich Hospital does not delete these records from the system, </w:t>
            </w:r>
            <w:r w:rsidR="00F51504" w:rsidRPr="00975E6B">
              <w:t xml:space="preserve">and </w:t>
            </w:r>
            <w:r w:rsidRPr="00975E6B">
              <w:t xml:space="preserve">neither does </w:t>
            </w:r>
            <w:r w:rsidR="00CA6430" w:rsidRPr="00975E6B">
              <w:t>Queensland</w:t>
            </w:r>
            <w:r w:rsidRPr="00975E6B">
              <w:t xml:space="preserve"> Health for the purposes of the continuing </w:t>
            </w:r>
            <w:r w:rsidR="008E2C92" w:rsidRPr="00975E6B">
              <w:t xml:space="preserve">quality assurance </w:t>
            </w:r>
            <w:r w:rsidRPr="00975E6B">
              <w:t>process</w:t>
            </w:r>
            <w:r w:rsidR="008E2C92" w:rsidRPr="00975E6B">
              <w:t>es</w:t>
            </w:r>
            <w:r w:rsidRPr="00975E6B">
              <w:t xml:space="preserve"> on the cost data. These costs </w:t>
            </w:r>
            <w:r w:rsidR="00F51504" w:rsidRPr="00975E6B">
              <w:t>we</w:t>
            </w:r>
            <w:r w:rsidRPr="00975E6B">
              <w:t xml:space="preserve">re excluded prior to submission. </w:t>
            </w:r>
            <w:r w:rsidRPr="00975E6B">
              <w:lastRenderedPageBreak/>
              <w:t>See Item G below.</w:t>
            </w:r>
          </w:p>
          <w:p w:rsidR="00273A0D" w:rsidRPr="00975E6B" w:rsidRDefault="00273A0D" w:rsidP="00F26328">
            <w:pPr>
              <w:pStyle w:val="BodyText"/>
              <w:numPr>
                <w:ilvl w:val="0"/>
                <w:numId w:val="38"/>
              </w:numPr>
            </w:pPr>
            <w:r w:rsidRPr="00975E6B">
              <w:t xml:space="preserve">$4.5 million in </w:t>
            </w:r>
            <w:r w:rsidR="0003156E" w:rsidRPr="00975E6B">
              <w:t>work in progress (</w:t>
            </w:r>
            <w:r w:rsidRPr="00975E6B">
              <w:t>WIP</w:t>
            </w:r>
            <w:r w:rsidR="0003156E" w:rsidRPr="00975E6B">
              <w:t>)</w:t>
            </w:r>
            <w:r w:rsidRPr="00975E6B">
              <w:t xml:space="preserve"> </w:t>
            </w:r>
            <w:r w:rsidR="0003156E" w:rsidRPr="00975E6B">
              <w:t xml:space="preserve">patients </w:t>
            </w:r>
            <w:r w:rsidRPr="00975E6B">
              <w:t xml:space="preserve">from 2012/13 </w:t>
            </w:r>
            <w:r w:rsidR="00F51504" w:rsidRPr="00975E6B">
              <w:t>wa</w:t>
            </w:r>
            <w:r w:rsidRPr="00975E6B">
              <w:t>s included post allocation.</w:t>
            </w:r>
          </w:p>
          <w:p w:rsidR="00273A0D" w:rsidRPr="00975E6B" w:rsidRDefault="00273A0D">
            <w:pPr>
              <w:pStyle w:val="BodyText"/>
            </w:pPr>
            <w:r w:rsidRPr="00975E6B">
              <w:t>The total expenditure allocated to patients was $273.3 million. As this amount include</w:t>
            </w:r>
            <w:r w:rsidR="00F51504" w:rsidRPr="00975E6B">
              <w:t>d</w:t>
            </w:r>
            <w:r w:rsidRPr="00975E6B">
              <w:t xml:space="preserve"> prior year costs (i.e. WIP 2012/13), no percentage of the GL </w:t>
            </w:r>
            <w:r w:rsidR="0074117C" w:rsidRPr="00975E6B">
              <w:t xml:space="preserve">was </w:t>
            </w:r>
            <w:r w:rsidRPr="00975E6B">
              <w:t>calculated.</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lastRenderedPageBreak/>
              <w:t>E</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Costed products submitted to jurisdiction</w:t>
            </w:r>
          </w:p>
        </w:tc>
        <w:tc>
          <w:tcPr>
            <w:tcW w:w="3083" w:type="pct"/>
            <w:tcBorders>
              <w:left w:val="single" w:sz="4" w:space="0" w:color="548DD4" w:themeColor="text2" w:themeTint="99"/>
            </w:tcBorders>
          </w:tcPr>
          <w:p w:rsidR="00273A0D" w:rsidRPr="00975E6B" w:rsidRDefault="00273A0D" w:rsidP="002A25A7">
            <w:pPr>
              <w:pStyle w:val="BodyText"/>
            </w:pPr>
            <w:r w:rsidRPr="00975E6B">
              <w:t>Costs derived by the hospital and reported at product level reconcile</w:t>
            </w:r>
            <w:r w:rsidR="00F51504" w:rsidRPr="00975E6B">
              <w:t>d</w:t>
            </w:r>
            <w:r w:rsidRPr="00975E6B">
              <w:t xml:space="preserve"> to $273.3 million. The hospital included</w:t>
            </w:r>
            <w:r w:rsidR="002A25A7" w:rsidRPr="00975E6B">
              <w:t xml:space="preserve"> </w:t>
            </w:r>
            <w:r w:rsidR="008E2C92" w:rsidRPr="00975E6B">
              <w:t>a</w:t>
            </w:r>
            <w:r w:rsidRPr="00975E6B">
              <w:t xml:space="preserve">cute, </w:t>
            </w:r>
            <w:r w:rsidR="002A25A7" w:rsidRPr="00975E6B">
              <w:t>non-admitted</w:t>
            </w:r>
            <w:r w:rsidRPr="00975E6B">
              <w:t>,</w:t>
            </w:r>
            <w:r w:rsidR="002A25A7" w:rsidRPr="00975E6B">
              <w:t xml:space="preserve"> emergency care</w:t>
            </w:r>
            <w:r w:rsidRPr="00975E6B">
              <w:t xml:space="preserve">, </w:t>
            </w:r>
            <w:r w:rsidR="002A25A7" w:rsidRPr="00975E6B">
              <w:t>subacute</w:t>
            </w:r>
            <w:r w:rsidRPr="00975E6B">
              <w:t xml:space="preserve"> and </w:t>
            </w:r>
            <w:r w:rsidR="002A25A7" w:rsidRPr="00975E6B">
              <w:t>o</w:t>
            </w:r>
            <w:r w:rsidRPr="00975E6B">
              <w:t>ther costed products.</w:t>
            </w:r>
          </w:p>
        </w:tc>
      </w:tr>
      <w:tr w:rsidR="00273A0D" w:rsidRPr="00975E6B" w:rsidTr="0029344A">
        <w:trPr>
          <w:trHeight w:val="285"/>
        </w:trPr>
        <w:tc>
          <w:tcPr>
            <w:tcW w:w="414" w:type="pct"/>
            <w:tcBorders>
              <w:right w:val="single" w:sz="4" w:space="0" w:color="548DD4" w:themeColor="text2" w:themeTint="99"/>
            </w:tcBorders>
            <w:noWrap/>
          </w:tcPr>
          <w:p w:rsidR="00273A0D" w:rsidRPr="00975E6B" w:rsidRDefault="00273A0D" w:rsidP="0029344A">
            <w:pPr>
              <w:pStyle w:val="BodyText"/>
            </w:pPr>
            <w:r w:rsidRPr="00975E6B">
              <w:t>F</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Costed Products received by jurisdiction</w:t>
            </w:r>
          </w:p>
        </w:tc>
        <w:tc>
          <w:tcPr>
            <w:tcW w:w="3083" w:type="pct"/>
            <w:tcBorders>
              <w:left w:val="single" w:sz="4" w:space="0" w:color="548DD4" w:themeColor="text2" w:themeTint="99"/>
            </w:tcBorders>
          </w:tcPr>
          <w:p w:rsidR="00273A0D" w:rsidRPr="00975E6B" w:rsidRDefault="00273A0D" w:rsidP="0029344A">
            <w:pPr>
              <w:pStyle w:val="BodyText"/>
            </w:pPr>
            <w:r w:rsidRPr="00975E6B">
              <w:t>No variance was noted between Items E and F.</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G</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Final Adjustments</w:t>
            </w:r>
          </w:p>
        </w:tc>
        <w:tc>
          <w:tcPr>
            <w:tcW w:w="3083" w:type="pct"/>
            <w:tcBorders>
              <w:left w:val="single" w:sz="4" w:space="0" w:color="548DD4" w:themeColor="text2" w:themeTint="99"/>
            </w:tcBorders>
          </w:tcPr>
          <w:p w:rsidR="00273A0D" w:rsidRPr="00975E6B" w:rsidRDefault="00CA6430" w:rsidP="0029344A">
            <w:pPr>
              <w:pStyle w:val="BodyText"/>
            </w:pPr>
            <w:r w:rsidRPr="00975E6B">
              <w:t>Queensland</w:t>
            </w:r>
            <w:r w:rsidR="00A32AD5" w:rsidRPr="00975E6B">
              <w:t xml:space="preserve"> Health</w:t>
            </w:r>
            <w:r w:rsidR="00273A0D" w:rsidRPr="00975E6B">
              <w:t xml:space="preserve"> makes a number of adjustments to the hospital submission. The adjustments made for Round</w:t>
            </w:r>
            <w:r w:rsidR="002A25A7" w:rsidRPr="00975E6B">
              <w:t> </w:t>
            </w:r>
            <w:r w:rsidR="00273A0D" w:rsidRPr="00975E6B">
              <w:t>18 totalled $30.8 million and included:</w:t>
            </w:r>
          </w:p>
          <w:p w:rsidR="00273A0D" w:rsidRPr="00975E6B" w:rsidRDefault="00273A0D" w:rsidP="00F26328">
            <w:pPr>
              <w:pStyle w:val="BodyText"/>
              <w:numPr>
                <w:ilvl w:val="0"/>
                <w:numId w:val="45"/>
              </w:numPr>
            </w:pPr>
            <w:r w:rsidRPr="00975E6B">
              <w:t>Corporate overhead costs of $2.4 million.</w:t>
            </w:r>
          </w:p>
          <w:p w:rsidR="00273A0D" w:rsidRPr="00975E6B" w:rsidRDefault="00273A0D" w:rsidP="00F26328">
            <w:pPr>
              <w:pStyle w:val="BodyText"/>
              <w:numPr>
                <w:ilvl w:val="0"/>
                <w:numId w:val="45"/>
              </w:numPr>
            </w:pPr>
            <w:r w:rsidRPr="00975E6B">
              <w:t xml:space="preserve">Cost centres with </w:t>
            </w:r>
            <w:r w:rsidR="004E6E7C" w:rsidRPr="00975E6B">
              <w:t xml:space="preserve">$21,209 of </w:t>
            </w:r>
            <w:r w:rsidRPr="00975E6B">
              <w:t xml:space="preserve">negative balances removed. Note this had a positive impact on the total </w:t>
            </w:r>
            <w:r w:rsidR="00EF71BF" w:rsidRPr="00975E6B">
              <w:t>costs</w:t>
            </w:r>
            <w:r w:rsidRPr="00975E6B">
              <w:t>.</w:t>
            </w:r>
          </w:p>
          <w:p w:rsidR="00273A0D" w:rsidRPr="00975E6B" w:rsidRDefault="00273A0D" w:rsidP="00F26328">
            <w:pPr>
              <w:pStyle w:val="BodyText"/>
              <w:numPr>
                <w:ilvl w:val="0"/>
                <w:numId w:val="45"/>
              </w:numPr>
            </w:pPr>
            <w:r w:rsidRPr="00975E6B">
              <w:t xml:space="preserve">Excluded </w:t>
            </w:r>
            <w:r w:rsidR="00EF71BF" w:rsidRPr="00975E6B">
              <w:t xml:space="preserve">costs </w:t>
            </w:r>
            <w:r w:rsidR="004E6E7C" w:rsidRPr="00975E6B">
              <w:t xml:space="preserve">of $109,615 </w:t>
            </w:r>
            <w:r w:rsidRPr="00975E6B">
              <w:t xml:space="preserve">related to </w:t>
            </w:r>
            <w:proofErr w:type="gramStart"/>
            <w:r w:rsidRPr="00975E6B">
              <w:t>admitted</w:t>
            </w:r>
            <w:proofErr w:type="gramEnd"/>
            <w:r w:rsidRPr="00975E6B">
              <w:t xml:space="preserve"> </w:t>
            </w:r>
            <w:r w:rsidR="00E80193" w:rsidRPr="00975E6B">
              <w:t>emergency</w:t>
            </w:r>
            <w:r w:rsidR="008E2C92" w:rsidRPr="00975E6B">
              <w:t xml:space="preserve"> </w:t>
            </w:r>
            <w:r w:rsidRPr="00975E6B">
              <w:t xml:space="preserve">episodes with no matching </w:t>
            </w:r>
            <w:r w:rsidR="00366F39" w:rsidRPr="00975E6B">
              <w:t>admitted</w:t>
            </w:r>
            <w:r w:rsidR="00846982" w:rsidRPr="00975E6B">
              <w:t xml:space="preserve"> acute</w:t>
            </w:r>
            <w:r w:rsidRPr="00975E6B">
              <w:t xml:space="preserve"> episodes.</w:t>
            </w:r>
          </w:p>
          <w:p w:rsidR="00273A0D" w:rsidRPr="00975E6B" w:rsidRDefault="00273A0D" w:rsidP="00F26328">
            <w:pPr>
              <w:pStyle w:val="BodyText"/>
              <w:numPr>
                <w:ilvl w:val="0"/>
                <w:numId w:val="45"/>
              </w:numPr>
            </w:pPr>
            <w:r w:rsidRPr="00975E6B">
              <w:t xml:space="preserve">Excluded </w:t>
            </w:r>
            <w:r w:rsidR="00EF71BF" w:rsidRPr="00975E6B">
              <w:t xml:space="preserve">costs </w:t>
            </w:r>
            <w:r w:rsidRPr="00975E6B">
              <w:t>related to unlinked records and mismatched records of $1.7 million. This included $1.5 million in mismatched records discussed in Item</w:t>
            </w:r>
            <w:r w:rsidR="004E6E7C" w:rsidRPr="00975E6B">
              <w:t> </w:t>
            </w:r>
            <w:r w:rsidRPr="00975E6B">
              <w:t>D</w:t>
            </w:r>
            <w:r w:rsidR="005B4F74" w:rsidRPr="00975E6B">
              <w:t xml:space="preserve"> and $</w:t>
            </w:r>
            <w:r w:rsidR="00E82391" w:rsidRPr="00975E6B">
              <w:t>227,944</w:t>
            </w:r>
            <w:r w:rsidR="005B4F74" w:rsidRPr="00975E6B">
              <w:t xml:space="preserve"> in records with data errors.</w:t>
            </w:r>
          </w:p>
          <w:p w:rsidR="00273A0D" w:rsidRPr="00975E6B" w:rsidRDefault="00273A0D" w:rsidP="00F26328">
            <w:pPr>
              <w:pStyle w:val="BodyText"/>
              <w:numPr>
                <w:ilvl w:val="0"/>
                <w:numId w:val="45"/>
              </w:numPr>
            </w:pPr>
            <w:r w:rsidRPr="00975E6B">
              <w:t xml:space="preserve">Excluded </w:t>
            </w:r>
            <w:r w:rsidR="00EF71BF" w:rsidRPr="00975E6B">
              <w:t xml:space="preserve">costs </w:t>
            </w:r>
            <w:r w:rsidRPr="00975E6B">
              <w:t>of $</w:t>
            </w:r>
            <w:r w:rsidR="004E6E7C" w:rsidRPr="00975E6B">
              <w:t>41,582</w:t>
            </w:r>
            <w:r w:rsidRPr="00975E6B">
              <w:t>.</w:t>
            </w:r>
          </w:p>
          <w:p w:rsidR="00273A0D" w:rsidRPr="00975E6B" w:rsidRDefault="008D56DE" w:rsidP="00F26328">
            <w:pPr>
              <w:pStyle w:val="BodyText"/>
              <w:numPr>
                <w:ilvl w:val="0"/>
                <w:numId w:val="45"/>
              </w:numPr>
            </w:pPr>
            <w:r w:rsidRPr="00975E6B">
              <w:t xml:space="preserve">Exclusion of </w:t>
            </w:r>
            <w:r w:rsidR="00273A0D" w:rsidRPr="00975E6B">
              <w:t>Virtual Patient feeder data totalling $26.5 million.</w:t>
            </w:r>
          </w:p>
          <w:p w:rsidR="00273A0D" w:rsidRPr="00975E6B" w:rsidRDefault="00273A0D" w:rsidP="00F26328">
            <w:pPr>
              <w:pStyle w:val="BodyText"/>
              <w:numPr>
                <w:ilvl w:val="0"/>
                <w:numId w:val="45"/>
              </w:numPr>
              <w:rPr>
                <w:i/>
              </w:rPr>
            </w:pPr>
            <w:r w:rsidRPr="00975E6B">
              <w:t>WIP costs of $5.1 million excluded</w:t>
            </w:r>
            <w:r w:rsidRPr="00975E6B">
              <w:rPr>
                <w:i/>
              </w:rPr>
              <w:t xml:space="preserve">. </w:t>
            </w:r>
            <w:r w:rsidRPr="00975E6B">
              <w:rPr>
                <w:lang w:val="en-US"/>
              </w:rPr>
              <w:t xml:space="preserve">The WIP costs excluded </w:t>
            </w:r>
            <w:r w:rsidR="00F51504" w:rsidRPr="00975E6B">
              <w:rPr>
                <w:lang w:val="en-US"/>
              </w:rPr>
              <w:t>we</w:t>
            </w:r>
            <w:r w:rsidRPr="00975E6B">
              <w:rPr>
                <w:lang w:val="en-US"/>
              </w:rPr>
              <w:t>re for episodes still in treatment i.e. admitted but not yet discharged</w:t>
            </w:r>
            <w:r w:rsidR="004E6E7C" w:rsidRPr="00975E6B">
              <w:rPr>
                <w:lang w:val="en-US"/>
              </w:rPr>
              <w:t xml:space="preserve"> </w:t>
            </w:r>
            <w:r w:rsidRPr="00975E6B">
              <w:rPr>
                <w:lang w:val="en-US"/>
              </w:rPr>
              <w:t>at 30</w:t>
            </w:r>
            <w:r w:rsidR="004E6E7C" w:rsidRPr="00975E6B">
              <w:rPr>
                <w:lang w:val="en-US"/>
              </w:rPr>
              <w:t xml:space="preserve"> June </w:t>
            </w:r>
            <w:r w:rsidRPr="00975E6B">
              <w:rPr>
                <w:lang w:val="en-US"/>
              </w:rPr>
              <w:t>2014.</w:t>
            </w:r>
            <w:r w:rsidRPr="00975E6B">
              <w:rPr>
                <w:i/>
                <w:color w:val="FF0000"/>
              </w:rPr>
              <w:t xml:space="preserve"> </w:t>
            </w:r>
          </w:p>
          <w:p w:rsidR="00273A0D" w:rsidRPr="00975E6B" w:rsidRDefault="00273A0D" w:rsidP="0029344A">
            <w:pPr>
              <w:pStyle w:val="BodyText"/>
            </w:pPr>
            <w:r w:rsidRPr="00975E6B">
              <w:t xml:space="preserve">The total NHCDC costs submitted to IHPA by </w:t>
            </w:r>
            <w:r w:rsidR="00CA6430" w:rsidRPr="00975E6B">
              <w:t>Queensland</w:t>
            </w:r>
            <w:r w:rsidRPr="00975E6B">
              <w:t xml:space="preserve"> Health was $242.5 million.</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H</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Costed products submitted to IHPA</w:t>
            </w:r>
          </w:p>
        </w:tc>
        <w:tc>
          <w:tcPr>
            <w:tcW w:w="3083" w:type="pct"/>
            <w:tcBorders>
              <w:left w:val="single" w:sz="4" w:space="0" w:color="548DD4" w:themeColor="text2" w:themeTint="99"/>
            </w:tcBorders>
          </w:tcPr>
          <w:p w:rsidR="00273A0D" w:rsidRPr="00975E6B" w:rsidRDefault="00273A0D" w:rsidP="0029344A">
            <w:pPr>
              <w:pStyle w:val="BodyText"/>
            </w:pPr>
            <w:r w:rsidRPr="00975E6B">
              <w:t>Costs submitted to IHPA and reported at product level reconcile</w:t>
            </w:r>
            <w:r w:rsidR="00F51504" w:rsidRPr="00975E6B">
              <w:t>d</w:t>
            </w:r>
            <w:r w:rsidRPr="00975E6B">
              <w:t xml:space="preserve"> to $242.5 million. </w:t>
            </w:r>
            <w:r w:rsidR="00CA6430" w:rsidRPr="00975E6B">
              <w:t>Queensland</w:t>
            </w:r>
            <w:r w:rsidRPr="00975E6B">
              <w:t xml:space="preserve"> Health submitted </w:t>
            </w:r>
            <w:r w:rsidR="002A25A7" w:rsidRPr="00975E6B">
              <w:t xml:space="preserve">acute, non-admitted, emergency care, subacute </w:t>
            </w:r>
            <w:r w:rsidR="002A25A7" w:rsidRPr="00975E6B">
              <w:lastRenderedPageBreak/>
              <w:t>and other costed products</w:t>
            </w:r>
            <w:r w:rsidRPr="00975E6B">
              <w:t>.</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lastRenderedPageBreak/>
              <w:t>I</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Total Products received by IHPA</w:t>
            </w:r>
          </w:p>
        </w:tc>
        <w:tc>
          <w:tcPr>
            <w:tcW w:w="3083" w:type="pct"/>
            <w:tcBorders>
              <w:left w:val="single" w:sz="4" w:space="0" w:color="548DD4" w:themeColor="text2" w:themeTint="99"/>
            </w:tcBorders>
          </w:tcPr>
          <w:p w:rsidR="00273A0D" w:rsidRPr="00975E6B" w:rsidRDefault="00273A0D" w:rsidP="0029344A">
            <w:pPr>
              <w:pStyle w:val="BodyText"/>
            </w:pPr>
            <w:r w:rsidRPr="00975E6B">
              <w:t>Total Costs received by IHPA totalled $242.5 million. There was a small variance of $11 noted between costs submitted by the jurisdiction and costs received by IHPA.</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J</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IHPA Adjustments</w:t>
            </w:r>
          </w:p>
        </w:tc>
        <w:tc>
          <w:tcPr>
            <w:tcW w:w="3083" w:type="pct"/>
            <w:tcBorders>
              <w:left w:val="single" w:sz="4" w:space="0" w:color="548DD4" w:themeColor="text2" w:themeTint="99"/>
            </w:tcBorders>
          </w:tcPr>
          <w:p w:rsidR="00273A0D" w:rsidRPr="00975E6B" w:rsidRDefault="00273A0D" w:rsidP="0029344A">
            <w:pPr>
              <w:pStyle w:val="BodyText"/>
              <w:rPr>
                <w:i/>
              </w:rPr>
            </w:pPr>
            <w:r w:rsidRPr="00975E6B">
              <w:rPr>
                <w:i/>
              </w:rPr>
              <w:t>Admitted Emergency</w:t>
            </w:r>
          </w:p>
          <w:p w:rsidR="00273A0D" w:rsidRPr="00975E6B" w:rsidRDefault="00273A0D">
            <w:pPr>
              <w:pStyle w:val="BodyText"/>
            </w:pPr>
            <w:r w:rsidRPr="00975E6B">
              <w:t xml:space="preserve">Upon receipt of cost data, IHPA allocates the admitted emergency costs back to admitted patients for the purposes of reporting and analysis. Within IHPA’s reconciliation this amount </w:t>
            </w:r>
            <w:r w:rsidR="0074117C" w:rsidRPr="00975E6B">
              <w:t xml:space="preserve">was </w:t>
            </w:r>
            <w:r w:rsidRPr="00975E6B">
              <w:t>a duplication of admitted emergency costs and not an additional cost. For Ipswich Hospital this amounted to $10.8 million.</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K</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Final NHCDC Costed Outputs</w:t>
            </w:r>
          </w:p>
        </w:tc>
        <w:tc>
          <w:tcPr>
            <w:tcW w:w="3083" w:type="pct"/>
            <w:tcBorders>
              <w:left w:val="single" w:sz="4" w:space="0" w:color="548DD4" w:themeColor="text2" w:themeTint="99"/>
            </w:tcBorders>
          </w:tcPr>
          <w:p w:rsidR="00273A0D" w:rsidRPr="00975E6B" w:rsidRDefault="00273A0D" w:rsidP="008D56DE">
            <w:pPr>
              <w:pStyle w:val="BodyText"/>
            </w:pPr>
            <w:r w:rsidRPr="00975E6B">
              <w:t xml:space="preserve">The final NHCDC costed data for Ipswich Hospital loaded into the National Round 18 cost data set </w:t>
            </w:r>
            <w:r w:rsidR="00F51504" w:rsidRPr="00975E6B">
              <w:t>wa</w:t>
            </w:r>
            <w:r w:rsidRPr="00975E6B">
              <w:t>s $253.3</w:t>
            </w:r>
            <w:r w:rsidR="008D56DE" w:rsidRPr="00975E6B">
              <w:t> </w:t>
            </w:r>
            <w:r w:rsidRPr="00975E6B">
              <w:t>million which include</w:t>
            </w:r>
            <w:r w:rsidR="00F51504" w:rsidRPr="00975E6B">
              <w:t>d</w:t>
            </w:r>
            <w:r w:rsidRPr="00975E6B">
              <w:t xml:space="preserve"> the admitted emergency cost of $10.8 million.</w:t>
            </w:r>
          </w:p>
        </w:tc>
      </w:tr>
    </w:tbl>
    <w:p w:rsidR="00664CB0" w:rsidRPr="00975E6B" w:rsidRDefault="00664CB0" w:rsidP="003D1169">
      <w:pPr>
        <w:rPr>
          <w:bCs/>
          <w:i/>
          <w:sz w:val="16"/>
          <w:szCs w:val="16"/>
        </w:rPr>
      </w:pPr>
      <w:r w:rsidRPr="00975E6B">
        <w:rPr>
          <w:bCs/>
          <w:i/>
          <w:sz w:val="16"/>
          <w:szCs w:val="16"/>
        </w:rPr>
        <w:t>Source: KPMG, based on Ipswich Hospital templates and review discussions</w:t>
      </w:r>
    </w:p>
    <w:p w:rsidR="00273A0D" w:rsidRPr="00975E6B" w:rsidRDefault="00273A0D" w:rsidP="003B387A">
      <w:pPr>
        <w:pStyle w:val="Heading3"/>
        <w:numPr>
          <w:ilvl w:val="2"/>
          <w:numId w:val="77"/>
        </w:numPr>
      </w:pPr>
      <w:r w:rsidRPr="0080753B">
        <w:t>Activity</w:t>
      </w:r>
      <w:r w:rsidRPr="00975E6B">
        <w:t xml:space="preserve"> data</w:t>
      </w:r>
    </w:p>
    <w:p w:rsidR="00273A0D" w:rsidRPr="00B464CA" w:rsidRDefault="00273A0D" w:rsidP="00B464CA">
      <w:pPr>
        <w:spacing w:before="120" w:after="120" w:line="280" w:lineRule="atLeast"/>
        <w:jc w:val="both"/>
        <w:rPr>
          <w:bCs/>
        </w:rPr>
      </w:pPr>
      <w:r w:rsidRPr="00B464CA">
        <w:rPr>
          <w:bCs/>
        </w:rPr>
        <w:fldChar w:fldCharType="begin"/>
      </w:r>
      <w:r w:rsidRPr="00B464CA">
        <w:rPr>
          <w:bCs/>
        </w:rPr>
        <w:instrText xml:space="preserve"> REF _Ref433303052 \h </w:instrText>
      </w:r>
      <w:r w:rsidR="00975E6B" w:rsidRPr="00B464CA">
        <w:rPr>
          <w:bCs/>
        </w:rPr>
        <w:instrText xml:space="preserve"> \* MERGEFORMAT </w:instrText>
      </w:r>
      <w:r w:rsidRPr="00B464CA">
        <w:rPr>
          <w:bCs/>
        </w:rPr>
      </w:r>
      <w:r w:rsidRPr="00B464CA">
        <w:rPr>
          <w:bCs/>
        </w:rPr>
        <w:fldChar w:fldCharType="separate"/>
      </w:r>
      <w:r w:rsidR="00154CF7" w:rsidRPr="00154CF7">
        <w:rPr>
          <w:bCs/>
        </w:rPr>
        <w:t>Table 36</w:t>
      </w:r>
      <w:r w:rsidRPr="00B464CA">
        <w:rPr>
          <w:bCs/>
        </w:rPr>
        <w:fldChar w:fldCharType="end"/>
      </w:r>
      <w:r w:rsidRPr="00B464CA">
        <w:rPr>
          <w:bCs/>
        </w:rPr>
        <w:t xml:space="preserve"> presents activity and feeder data for Ipswich Hospital.</w:t>
      </w:r>
    </w:p>
    <w:p w:rsidR="00273A0D" w:rsidRDefault="00273A0D" w:rsidP="00273A0D">
      <w:pPr>
        <w:pStyle w:val="Caption"/>
      </w:pPr>
      <w:bookmarkStart w:id="726" w:name="_Ref433303052"/>
      <w:r w:rsidRPr="00975E6B">
        <w:t xml:space="preserve">Table </w:t>
      </w:r>
      <w:fldSimple w:instr=" SEQ Table \* ARABIC ">
        <w:r w:rsidR="00154CF7">
          <w:rPr>
            <w:noProof/>
          </w:rPr>
          <w:t>36</w:t>
        </w:r>
      </w:fldSimple>
      <w:bookmarkEnd w:id="726"/>
      <w:r w:rsidR="00BA3F4B" w:rsidRPr="00975E6B">
        <w:t xml:space="preserve"> </w:t>
      </w:r>
      <w:r w:rsidRPr="00975E6B">
        <w:t>– Activity data – Ipswich Hospital</w:t>
      </w:r>
    </w:p>
    <w:tbl>
      <w:tblPr>
        <w:tblW w:w="5019" w:type="pct"/>
        <w:tblLayout w:type="fixed"/>
        <w:tblLook w:val="04A0" w:firstRow="1" w:lastRow="0" w:firstColumn="1" w:lastColumn="0" w:noHBand="0" w:noVBand="1"/>
        <w:tblCaption w:val="Table 36 - Activity data - Ipswich Hospital"/>
        <w:tblDescription w:val="This table presents activity and feeder data for Ipswich Hospital.  There are 11 columns.  Column 1 is the Data source, Column 2 is the number of records from source, Column 3 is the number of records in costing system, Column 4 is the variance between Column 2 and 3, Column 5 is the number of records linked to acute, column 6 is the number of records linked to emergency, Column 7 is the number of records linked to non-admitted, column 8 is the total linked records, column 9 is the number linked to other, column 10 is the number of unlinked records and column 11 is the % of linked to source.&#10;"/>
      </w:tblPr>
      <w:tblGrid>
        <w:gridCol w:w="1249"/>
        <w:gridCol w:w="854"/>
        <w:gridCol w:w="851"/>
        <w:gridCol w:w="424"/>
        <w:gridCol w:w="821"/>
        <w:gridCol w:w="821"/>
        <w:gridCol w:w="821"/>
        <w:gridCol w:w="821"/>
        <w:gridCol w:w="763"/>
        <w:gridCol w:w="763"/>
        <w:gridCol w:w="566"/>
      </w:tblGrid>
      <w:tr w:rsidR="003E3288" w:rsidRPr="004D0865" w:rsidTr="00E14378">
        <w:trPr>
          <w:cantSplit/>
          <w:trHeight w:val="666"/>
        </w:trPr>
        <w:tc>
          <w:tcPr>
            <w:tcW w:w="713" w:type="pct"/>
            <w:tcBorders>
              <w:top w:val="single" w:sz="4" w:space="0" w:color="5B9BD5"/>
              <w:left w:val="single" w:sz="4" w:space="0" w:color="5B9BD5"/>
              <w:bottom w:val="nil"/>
              <w:right w:val="nil"/>
            </w:tcBorders>
            <w:shd w:val="clear" w:color="auto" w:fill="002060"/>
            <w:vAlign w:val="bottom"/>
            <w:hideMark/>
          </w:tcPr>
          <w:p w:rsidR="004D0865" w:rsidRPr="00CD1518" w:rsidRDefault="004D0865" w:rsidP="004D0865">
            <w:pPr>
              <w:spacing w:line="240" w:lineRule="auto"/>
              <w:rPr>
                <w:b/>
                <w:bCs/>
                <w:color w:val="FFFFFF"/>
                <w:sz w:val="12"/>
                <w:lang w:eastAsia="en-AU"/>
              </w:rPr>
            </w:pPr>
            <w:r w:rsidRPr="00CD1518">
              <w:rPr>
                <w:b/>
                <w:bCs/>
                <w:color w:val="FFFFFF"/>
                <w:sz w:val="12"/>
                <w:lang w:eastAsia="en-AU"/>
              </w:rPr>
              <w:t>Data</w:t>
            </w:r>
          </w:p>
        </w:tc>
        <w:tc>
          <w:tcPr>
            <w:tcW w:w="488" w:type="pct"/>
            <w:tcBorders>
              <w:top w:val="single" w:sz="4" w:space="0" w:color="5B9BD5"/>
              <w:left w:val="single" w:sz="4" w:space="0" w:color="5B9BD5"/>
              <w:bottom w:val="nil"/>
              <w:right w:val="single" w:sz="4" w:space="0" w:color="5B9BD5"/>
            </w:tcBorders>
            <w:shd w:val="clear" w:color="auto" w:fill="002060"/>
            <w:vAlign w:val="bottom"/>
            <w:hideMark/>
          </w:tcPr>
          <w:p w:rsidR="004D0865" w:rsidRPr="00CD1518" w:rsidRDefault="004D0865" w:rsidP="004D0865">
            <w:pPr>
              <w:spacing w:line="240" w:lineRule="auto"/>
              <w:jc w:val="center"/>
              <w:rPr>
                <w:b/>
                <w:bCs/>
                <w:color w:val="FFFFFF"/>
                <w:sz w:val="12"/>
                <w:lang w:eastAsia="en-AU"/>
              </w:rPr>
            </w:pPr>
            <w:r w:rsidRPr="00CD1518">
              <w:rPr>
                <w:b/>
                <w:bCs/>
                <w:color w:val="FFFFFF"/>
                <w:sz w:val="12"/>
                <w:lang w:eastAsia="en-AU"/>
              </w:rPr>
              <w:t># Records from Source</w:t>
            </w:r>
          </w:p>
        </w:tc>
        <w:tc>
          <w:tcPr>
            <w:tcW w:w="486" w:type="pct"/>
            <w:tcBorders>
              <w:top w:val="single" w:sz="4" w:space="0" w:color="5B9BD5"/>
              <w:left w:val="nil"/>
              <w:bottom w:val="nil"/>
              <w:right w:val="nil"/>
            </w:tcBorders>
            <w:shd w:val="clear" w:color="auto" w:fill="002060"/>
            <w:vAlign w:val="bottom"/>
            <w:hideMark/>
          </w:tcPr>
          <w:p w:rsidR="004D0865" w:rsidRPr="00CD1518" w:rsidRDefault="004D0865" w:rsidP="004D0865">
            <w:pPr>
              <w:spacing w:line="240" w:lineRule="auto"/>
              <w:jc w:val="center"/>
              <w:rPr>
                <w:b/>
                <w:bCs/>
                <w:color w:val="FFFFFF"/>
                <w:sz w:val="12"/>
                <w:lang w:eastAsia="en-AU"/>
              </w:rPr>
            </w:pPr>
            <w:r w:rsidRPr="00CD1518">
              <w:rPr>
                <w:b/>
                <w:bCs/>
                <w:color w:val="FFFFFF"/>
                <w:sz w:val="12"/>
                <w:lang w:eastAsia="en-AU"/>
              </w:rPr>
              <w:t># Records in costing system</w:t>
            </w:r>
          </w:p>
        </w:tc>
        <w:tc>
          <w:tcPr>
            <w:tcW w:w="242" w:type="pct"/>
            <w:tcBorders>
              <w:top w:val="single" w:sz="4" w:space="0" w:color="5B9BD5"/>
              <w:left w:val="single" w:sz="4" w:space="0" w:color="5B9BD5"/>
              <w:bottom w:val="nil"/>
              <w:right w:val="single" w:sz="4" w:space="0" w:color="5B9BD5"/>
            </w:tcBorders>
            <w:shd w:val="clear" w:color="auto" w:fill="002060"/>
            <w:textDirection w:val="btLr"/>
            <w:vAlign w:val="center"/>
            <w:hideMark/>
          </w:tcPr>
          <w:p w:rsidR="004D0865" w:rsidRPr="00CD1518" w:rsidRDefault="004D0865" w:rsidP="00CD1518">
            <w:pPr>
              <w:spacing w:line="240" w:lineRule="auto"/>
              <w:ind w:left="113" w:right="113"/>
              <w:rPr>
                <w:b/>
                <w:bCs/>
                <w:color w:val="FFFFFF"/>
                <w:sz w:val="12"/>
                <w:lang w:eastAsia="en-AU"/>
              </w:rPr>
            </w:pPr>
            <w:r w:rsidRPr="00CD1518">
              <w:rPr>
                <w:b/>
                <w:bCs/>
                <w:color w:val="FFFFFF"/>
                <w:sz w:val="10"/>
                <w:lang w:eastAsia="en-AU"/>
              </w:rPr>
              <w:t>Variance</w:t>
            </w:r>
          </w:p>
        </w:tc>
        <w:tc>
          <w:tcPr>
            <w:tcW w:w="469" w:type="pct"/>
            <w:tcBorders>
              <w:top w:val="single" w:sz="4" w:space="0" w:color="5B9BD5"/>
              <w:left w:val="nil"/>
              <w:bottom w:val="nil"/>
              <w:right w:val="nil"/>
            </w:tcBorders>
            <w:shd w:val="clear" w:color="auto" w:fill="002060"/>
            <w:vAlign w:val="bottom"/>
            <w:hideMark/>
          </w:tcPr>
          <w:p w:rsidR="004D0865" w:rsidRPr="00CD1518" w:rsidRDefault="004D0865" w:rsidP="004D0865">
            <w:pPr>
              <w:spacing w:line="240" w:lineRule="auto"/>
              <w:jc w:val="center"/>
              <w:rPr>
                <w:b/>
                <w:bCs/>
                <w:color w:val="FFFFFF"/>
                <w:sz w:val="12"/>
                <w:lang w:eastAsia="en-AU"/>
              </w:rPr>
            </w:pPr>
            <w:r w:rsidRPr="00CD1518">
              <w:rPr>
                <w:b/>
                <w:bCs/>
                <w:color w:val="FFFFFF"/>
                <w:sz w:val="12"/>
                <w:lang w:eastAsia="en-AU"/>
              </w:rPr>
              <w:t># Records linked to Acute</w:t>
            </w:r>
          </w:p>
        </w:tc>
        <w:tc>
          <w:tcPr>
            <w:tcW w:w="469" w:type="pct"/>
            <w:tcBorders>
              <w:top w:val="single" w:sz="4" w:space="0" w:color="5B9BD5"/>
              <w:left w:val="single" w:sz="4" w:space="0" w:color="5B9BD5"/>
              <w:bottom w:val="nil"/>
              <w:right w:val="single" w:sz="4" w:space="0" w:color="5B9BD5"/>
            </w:tcBorders>
            <w:shd w:val="clear" w:color="auto" w:fill="002060"/>
            <w:vAlign w:val="bottom"/>
            <w:hideMark/>
          </w:tcPr>
          <w:p w:rsidR="004D0865" w:rsidRPr="00CD1518" w:rsidRDefault="004D0865">
            <w:pPr>
              <w:spacing w:line="240" w:lineRule="auto"/>
              <w:jc w:val="center"/>
              <w:rPr>
                <w:b/>
                <w:bCs/>
                <w:color w:val="FFFFFF"/>
                <w:sz w:val="12"/>
                <w:lang w:eastAsia="en-AU"/>
              </w:rPr>
            </w:pPr>
            <w:r>
              <w:rPr>
                <w:b/>
                <w:bCs/>
                <w:color w:val="FFFFFF"/>
                <w:sz w:val="12"/>
                <w:lang w:eastAsia="en-AU"/>
              </w:rPr>
              <w:t xml:space="preserve"># Records linked to </w:t>
            </w:r>
            <w:proofErr w:type="spellStart"/>
            <w:r>
              <w:rPr>
                <w:b/>
                <w:bCs/>
                <w:color w:val="FFFFFF"/>
                <w:sz w:val="12"/>
                <w:lang w:eastAsia="en-AU"/>
              </w:rPr>
              <w:t>Emerg</w:t>
            </w:r>
            <w:proofErr w:type="spellEnd"/>
            <w:r>
              <w:rPr>
                <w:b/>
                <w:bCs/>
                <w:color w:val="FFFFFF"/>
                <w:sz w:val="12"/>
                <w:lang w:eastAsia="en-AU"/>
              </w:rPr>
              <w:t>.</w:t>
            </w:r>
          </w:p>
        </w:tc>
        <w:tc>
          <w:tcPr>
            <w:tcW w:w="469" w:type="pct"/>
            <w:tcBorders>
              <w:top w:val="single" w:sz="4" w:space="0" w:color="5B9BD5"/>
              <w:left w:val="nil"/>
              <w:bottom w:val="nil"/>
              <w:right w:val="single" w:sz="4" w:space="0" w:color="5B9BD5"/>
            </w:tcBorders>
            <w:shd w:val="clear" w:color="auto" w:fill="002060"/>
            <w:vAlign w:val="bottom"/>
            <w:hideMark/>
          </w:tcPr>
          <w:p w:rsidR="004D0865" w:rsidRPr="00CD1518" w:rsidRDefault="004D0865" w:rsidP="004D0865">
            <w:pPr>
              <w:spacing w:line="240" w:lineRule="auto"/>
              <w:jc w:val="center"/>
              <w:rPr>
                <w:b/>
                <w:bCs/>
                <w:color w:val="FFFFFF"/>
                <w:sz w:val="12"/>
                <w:lang w:eastAsia="en-AU"/>
              </w:rPr>
            </w:pPr>
            <w:r w:rsidRPr="00CD1518">
              <w:rPr>
                <w:b/>
                <w:bCs/>
                <w:color w:val="FFFFFF"/>
                <w:sz w:val="12"/>
                <w:lang w:eastAsia="en-AU"/>
              </w:rPr>
              <w:t># Records linked to Non-admitted</w:t>
            </w:r>
          </w:p>
        </w:tc>
        <w:tc>
          <w:tcPr>
            <w:tcW w:w="469" w:type="pct"/>
            <w:tcBorders>
              <w:top w:val="single" w:sz="4" w:space="0" w:color="5B9BD5"/>
              <w:left w:val="nil"/>
              <w:bottom w:val="nil"/>
              <w:right w:val="single" w:sz="4" w:space="0" w:color="5B9BD5"/>
            </w:tcBorders>
            <w:shd w:val="clear" w:color="auto" w:fill="002060"/>
            <w:vAlign w:val="bottom"/>
            <w:hideMark/>
          </w:tcPr>
          <w:p w:rsidR="004D0865" w:rsidRPr="00CD1518" w:rsidRDefault="004D0865" w:rsidP="004D0865">
            <w:pPr>
              <w:spacing w:line="240" w:lineRule="auto"/>
              <w:jc w:val="center"/>
              <w:rPr>
                <w:b/>
                <w:bCs/>
                <w:color w:val="FFFFFF"/>
                <w:sz w:val="12"/>
                <w:lang w:eastAsia="en-AU"/>
              </w:rPr>
            </w:pPr>
            <w:r w:rsidRPr="00CD1518">
              <w:rPr>
                <w:b/>
                <w:bCs/>
                <w:color w:val="FFFFFF"/>
                <w:sz w:val="12"/>
                <w:lang w:eastAsia="en-AU"/>
              </w:rPr>
              <w:t>Total Linking Process</w:t>
            </w:r>
          </w:p>
        </w:tc>
        <w:tc>
          <w:tcPr>
            <w:tcW w:w="436" w:type="pct"/>
            <w:tcBorders>
              <w:top w:val="single" w:sz="4" w:space="0" w:color="5B9BD5"/>
              <w:left w:val="nil"/>
              <w:bottom w:val="nil"/>
              <w:right w:val="nil"/>
            </w:tcBorders>
            <w:shd w:val="clear" w:color="auto" w:fill="002060"/>
            <w:vAlign w:val="bottom"/>
            <w:hideMark/>
          </w:tcPr>
          <w:p w:rsidR="004D0865" w:rsidRPr="00CD1518" w:rsidRDefault="004D0865" w:rsidP="004D0865">
            <w:pPr>
              <w:spacing w:line="240" w:lineRule="auto"/>
              <w:jc w:val="center"/>
              <w:rPr>
                <w:b/>
                <w:bCs/>
                <w:color w:val="FFFFFF"/>
                <w:sz w:val="11"/>
                <w:szCs w:val="11"/>
                <w:lang w:eastAsia="en-AU"/>
              </w:rPr>
            </w:pPr>
            <w:r w:rsidRPr="00CD1518">
              <w:rPr>
                <w:b/>
                <w:bCs/>
                <w:color w:val="FFFFFF"/>
                <w:sz w:val="11"/>
                <w:szCs w:val="11"/>
                <w:lang w:eastAsia="en-AU"/>
              </w:rPr>
              <w:t># Records linked to Other</w:t>
            </w:r>
          </w:p>
        </w:tc>
        <w:tc>
          <w:tcPr>
            <w:tcW w:w="436" w:type="pct"/>
            <w:tcBorders>
              <w:top w:val="single" w:sz="4" w:space="0" w:color="5B9BD5"/>
              <w:left w:val="single" w:sz="4" w:space="0" w:color="5B9BD5"/>
              <w:bottom w:val="nil"/>
              <w:right w:val="single" w:sz="4" w:space="0" w:color="5B9BD5"/>
            </w:tcBorders>
            <w:shd w:val="clear" w:color="auto" w:fill="002060"/>
            <w:vAlign w:val="bottom"/>
            <w:hideMark/>
          </w:tcPr>
          <w:p w:rsidR="004D0865" w:rsidRPr="00CD1518" w:rsidRDefault="004D0865" w:rsidP="004D0865">
            <w:pPr>
              <w:spacing w:line="240" w:lineRule="auto"/>
              <w:jc w:val="center"/>
              <w:rPr>
                <w:b/>
                <w:bCs/>
                <w:color w:val="FFFFFF"/>
                <w:sz w:val="11"/>
                <w:szCs w:val="11"/>
                <w:lang w:eastAsia="en-AU"/>
              </w:rPr>
            </w:pPr>
            <w:r w:rsidRPr="00CD1518">
              <w:rPr>
                <w:b/>
                <w:bCs/>
                <w:color w:val="FFFFFF"/>
                <w:sz w:val="11"/>
                <w:szCs w:val="11"/>
                <w:lang w:eastAsia="en-AU"/>
              </w:rPr>
              <w:t># Unlinked records</w:t>
            </w:r>
          </w:p>
        </w:tc>
        <w:tc>
          <w:tcPr>
            <w:tcW w:w="323" w:type="pct"/>
            <w:tcBorders>
              <w:top w:val="single" w:sz="4" w:space="0" w:color="5B9BD5"/>
              <w:left w:val="nil"/>
              <w:bottom w:val="nil"/>
              <w:right w:val="single" w:sz="4" w:space="0" w:color="5B9BD5"/>
            </w:tcBorders>
            <w:shd w:val="clear" w:color="auto" w:fill="002060"/>
            <w:vAlign w:val="bottom"/>
            <w:hideMark/>
          </w:tcPr>
          <w:p w:rsidR="004D0865" w:rsidRPr="00CD1518" w:rsidRDefault="004D0865" w:rsidP="004D0865">
            <w:pPr>
              <w:spacing w:line="240" w:lineRule="auto"/>
              <w:jc w:val="center"/>
              <w:rPr>
                <w:b/>
                <w:bCs/>
                <w:color w:val="FFFFFF"/>
                <w:sz w:val="11"/>
                <w:szCs w:val="11"/>
                <w:lang w:eastAsia="en-AU"/>
              </w:rPr>
            </w:pPr>
            <w:r w:rsidRPr="00CD1518">
              <w:rPr>
                <w:b/>
                <w:bCs/>
                <w:color w:val="FFFFFF"/>
                <w:sz w:val="11"/>
                <w:szCs w:val="11"/>
                <w:lang w:eastAsia="en-AU"/>
              </w:rPr>
              <w:t>% Linked</w:t>
            </w:r>
          </w:p>
        </w:tc>
      </w:tr>
      <w:tr w:rsidR="003E3288" w:rsidRPr="004D0865" w:rsidTr="00B53993">
        <w:trPr>
          <w:trHeight w:val="260"/>
        </w:trPr>
        <w:tc>
          <w:tcPr>
            <w:tcW w:w="713" w:type="pct"/>
            <w:tcBorders>
              <w:top w:val="nil"/>
              <w:left w:val="single" w:sz="4" w:space="0" w:color="5B9BD5"/>
              <w:bottom w:val="nil"/>
              <w:right w:val="nil"/>
            </w:tcBorders>
            <w:shd w:val="clear" w:color="000000" w:fill="D0CECE"/>
            <w:noWrap/>
            <w:vAlign w:val="center"/>
            <w:hideMark/>
          </w:tcPr>
          <w:p w:rsidR="004D0865" w:rsidRPr="00CD1518" w:rsidRDefault="004D0865">
            <w:pPr>
              <w:spacing w:line="240" w:lineRule="auto"/>
              <w:rPr>
                <w:b/>
                <w:bCs/>
                <w:color w:val="000000"/>
                <w:sz w:val="12"/>
                <w:lang w:eastAsia="en-AU"/>
              </w:rPr>
            </w:pPr>
            <w:r w:rsidRPr="00CD1518">
              <w:rPr>
                <w:b/>
                <w:bCs/>
                <w:color w:val="000000"/>
                <w:sz w:val="12"/>
                <w:lang w:eastAsia="en-AU"/>
              </w:rPr>
              <w:t>Activity Data</w:t>
            </w:r>
          </w:p>
        </w:tc>
        <w:tc>
          <w:tcPr>
            <w:tcW w:w="488" w:type="pct"/>
            <w:tcBorders>
              <w:top w:val="nil"/>
              <w:left w:val="single" w:sz="4" w:space="0" w:color="5B9BD5"/>
              <w:bottom w:val="nil"/>
              <w:right w:val="single" w:sz="4" w:space="0" w:color="5B9BD5"/>
            </w:tcBorders>
            <w:shd w:val="clear" w:color="000000" w:fill="D0CECE"/>
            <w:noWrap/>
            <w:vAlign w:val="center"/>
            <w:hideMark/>
          </w:tcPr>
          <w:p w:rsidR="004D0865" w:rsidRPr="00CD1518" w:rsidRDefault="004D0865">
            <w:pPr>
              <w:spacing w:line="240" w:lineRule="auto"/>
              <w:rPr>
                <w:b/>
                <w:bCs/>
                <w:color w:val="000000"/>
                <w:sz w:val="12"/>
                <w:lang w:eastAsia="en-AU"/>
              </w:rPr>
            </w:pPr>
          </w:p>
        </w:tc>
        <w:tc>
          <w:tcPr>
            <w:tcW w:w="486" w:type="pct"/>
            <w:tcBorders>
              <w:top w:val="nil"/>
              <w:left w:val="nil"/>
              <w:bottom w:val="nil"/>
              <w:right w:val="nil"/>
            </w:tcBorders>
            <w:shd w:val="clear" w:color="000000" w:fill="D0CECE"/>
            <w:noWrap/>
            <w:vAlign w:val="center"/>
            <w:hideMark/>
          </w:tcPr>
          <w:p w:rsidR="004D0865" w:rsidRPr="00CD1518" w:rsidRDefault="004D0865">
            <w:pPr>
              <w:spacing w:line="240" w:lineRule="auto"/>
              <w:rPr>
                <w:b/>
                <w:bCs/>
                <w:color w:val="000000"/>
                <w:sz w:val="12"/>
                <w:lang w:eastAsia="en-AU"/>
              </w:rPr>
            </w:pPr>
          </w:p>
        </w:tc>
        <w:tc>
          <w:tcPr>
            <w:tcW w:w="242" w:type="pct"/>
            <w:tcBorders>
              <w:top w:val="nil"/>
              <w:left w:val="single" w:sz="4" w:space="0" w:color="5B9BD5"/>
              <w:bottom w:val="nil"/>
              <w:right w:val="single" w:sz="4" w:space="0" w:color="5B9BD5"/>
            </w:tcBorders>
            <w:shd w:val="clear" w:color="000000" w:fill="D0CECE"/>
            <w:noWrap/>
            <w:vAlign w:val="center"/>
            <w:hideMark/>
          </w:tcPr>
          <w:p w:rsidR="004D0865" w:rsidRPr="00CD1518" w:rsidRDefault="004D0865">
            <w:pPr>
              <w:spacing w:line="240" w:lineRule="auto"/>
              <w:rPr>
                <w:b/>
                <w:bCs/>
                <w:color w:val="000000"/>
                <w:sz w:val="12"/>
                <w:lang w:eastAsia="en-AU"/>
              </w:rPr>
            </w:pPr>
          </w:p>
        </w:tc>
        <w:tc>
          <w:tcPr>
            <w:tcW w:w="469" w:type="pct"/>
            <w:tcBorders>
              <w:top w:val="nil"/>
              <w:left w:val="nil"/>
              <w:bottom w:val="nil"/>
              <w:right w:val="nil"/>
            </w:tcBorders>
            <w:shd w:val="clear" w:color="000000" w:fill="D0CECE"/>
            <w:noWrap/>
            <w:vAlign w:val="center"/>
            <w:hideMark/>
          </w:tcPr>
          <w:p w:rsidR="004D0865" w:rsidRPr="00CD1518" w:rsidRDefault="004D0865">
            <w:pPr>
              <w:spacing w:line="240" w:lineRule="auto"/>
              <w:rPr>
                <w:b/>
                <w:bCs/>
                <w:color w:val="000000"/>
                <w:sz w:val="12"/>
                <w:lang w:eastAsia="en-AU"/>
              </w:rPr>
            </w:pPr>
          </w:p>
        </w:tc>
        <w:tc>
          <w:tcPr>
            <w:tcW w:w="469" w:type="pct"/>
            <w:tcBorders>
              <w:top w:val="nil"/>
              <w:left w:val="single" w:sz="4" w:space="0" w:color="5B9BD5"/>
              <w:bottom w:val="nil"/>
              <w:right w:val="single" w:sz="4" w:space="0" w:color="5B9BD5"/>
            </w:tcBorders>
            <w:shd w:val="clear" w:color="000000" w:fill="D0CECE"/>
            <w:noWrap/>
            <w:vAlign w:val="center"/>
            <w:hideMark/>
          </w:tcPr>
          <w:p w:rsidR="004D0865" w:rsidRPr="00CD1518" w:rsidRDefault="004D0865">
            <w:pPr>
              <w:spacing w:line="240" w:lineRule="auto"/>
              <w:rPr>
                <w:b/>
                <w:bCs/>
                <w:color w:val="000000"/>
                <w:sz w:val="12"/>
                <w:lang w:eastAsia="en-AU"/>
              </w:rPr>
            </w:pPr>
          </w:p>
        </w:tc>
        <w:tc>
          <w:tcPr>
            <w:tcW w:w="469" w:type="pct"/>
            <w:tcBorders>
              <w:top w:val="nil"/>
              <w:left w:val="nil"/>
              <w:bottom w:val="nil"/>
              <w:right w:val="single" w:sz="4" w:space="0" w:color="5B9BD5"/>
            </w:tcBorders>
            <w:shd w:val="clear" w:color="000000" w:fill="D0CECE"/>
            <w:noWrap/>
            <w:vAlign w:val="center"/>
            <w:hideMark/>
          </w:tcPr>
          <w:p w:rsidR="004D0865" w:rsidRPr="00CD1518" w:rsidRDefault="004D0865">
            <w:pPr>
              <w:spacing w:line="240" w:lineRule="auto"/>
              <w:rPr>
                <w:b/>
                <w:bCs/>
                <w:color w:val="000000"/>
                <w:sz w:val="12"/>
                <w:lang w:eastAsia="en-AU"/>
              </w:rPr>
            </w:pPr>
          </w:p>
        </w:tc>
        <w:tc>
          <w:tcPr>
            <w:tcW w:w="469" w:type="pct"/>
            <w:tcBorders>
              <w:top w:val="nil"/>
              <w:left w:val="nil"/>
              <w:bottom w:val="nil"/>
              <w:right w:val="single" w:sz="4" w:space="0" w:color="5B9BD5"/>
            </w:tcBorders>
            <w:shd w:val="clear" w:color="000000" w:fill="D0CECE"/>
            <w:noWrap/>
            <w:vAlign w:val="center"/>
            <w:hideMark/>
          </w:tcPr>
          <w:p w:rsidR="004D0865" w:rsidRPr="00CD1518" w:rsidRDefault="004D0865">
            <w:pPr>
              <w:spacing w:line="240" w:lineRule="auto"/>
              <w:rPr>
                <w:b/>
                <w:bCs/>
                <w:color w:val="000000"/>
                <w:sz w:val="12"/>
                <w:lang w:eastAsia="en-AU"/>
              </w:rPr>
            </w:pPr>
          </w:p>
        </w:tc>
        <w:tc>
          <w:tcPr>
            <w:tcW w:w="436" w:type="pct"/>
            <w:tcBorders>
              <w:top w:val="nil"/>
              <w:left w:val="nil"/>
              <w:bottom w:val="nil"/>
              <w:right w:val="nil"/>
            </w:tcBorders>
            <w:shd w:val="clear" w:color="000000" w:fill="D0CECE"/>
            <w:noWrap/>
            <w:vAlign w:val="center"/>
            <w:hideMark/>
          </w:tcPr>
          <w:p w:rsidR="004D0865" w:rsidRPr="00CD1518" w:rsidRDefault="004D0865">
            <w:pPr>
              <w:spacing w:line="240" w:lineRule="auto"/>
              <w:rPr>
                <w:b/>
                <w:bCs/>
                <w:color w:val="000000"/>
                <w:sz w:val="12"/>
                <w:lang w:eastAsia="en-AU"/>
              </w:rPr>
            </w:pPr>
          </w:p>
        </w:tc>
        <w:tc>
          <w:tcPr>
            <w:tcW w:w="436" w:type="pct"/>
            <w:tcBorders>
              <w:top w:val="nil"/>
              <w:left w:val="single" w:sz="4" w:space="0" w:color="5B9BD5"/>
              <w:bottom w:val="nil"/>
              <w:right w:val="single" w:sz="4" w:space="0" w:color="5B9BD5"/>
            </w:tcBorders>
            <w:shd w:val="clear" w:color="000000" w:fill="D0CECE"/>
            <w:noWrap/>
            <w:vAlign w:val="center"/>
            <w:hideMark/>
          </w:tcPr>
          <w:p w:rsidR="004D0865" w:rsidRPr="00CD1518" w:rsidRDefault="004D0865">
            <w:pPr>
              <w:spacing w:line="240" w:lineRule="auto"/>
              <w:rPr>
                <w:b/>
                <w:bCs/>
                <w:color w:val="000000"/>
                <w:sz w:val="12"/>
                <w:lang w:eastAsia="en-AU"/>
              </w:rPr>
            </w:pPr>
          </w:p>
        </w:tc>
        <w:tc>
          <w:tcPr>
            <w:tcW w:w="323" w:type="pct"/>
            <w:tcBorders>
              <w:top w:val="nil"/>
              <w:left w:val="nil"/>
              <w:bottom w:val="nil"/>
              <w:right w:val="single" w:sz="4" w:space="0" w:color="5B9BD5"/>
            </w:tcBorders>
            <w:shd w:val="clear" w:color="000000" w:fill="D0CECE"/>
            <w:noWrap/>
            <w:vAlign w:val="center"/>
            <w:hideMark/>
          </w:tcPr>
          <w:p w:rsidR="004D0865" w:rsidRPr="00CD1518" w:rsidRDefault="004D0865">
            <w:pPr>
              <w:spacing w:line="240" w:lineRule="auto"/>
              <w:rPr>
                <w:b/>
                <w:bCs/>
                <w:color w:val="000000"/>
                <w:sz w:val="12"/>
                <w:lang w:eastAsia="en-AU"/>
              </w:rPr>
            </w:pPr>
          </w:p>
        </w:tc>
      </w:tr>
      <w:tr w:rsidR="008900DD" w:rsidRPr="004D0865" w:rsidTr="00B53993">
        <w:trPr>
          <w:trHeight w:val="260"/>
        </w:trPr>
        <w:tc>
          <w:tcPr>
            <w:tcW w:w="713" w:type="pct"/>
            <w:tcBorders>
              <w:top w:val="nil"/>
              <w:left w:val="single" w:sz="4" w:space="0" w:color="5B9BD5"/>
              <w:bottom w:val="nil"/>
              <w:right w:val="nil"/>
            </w:tcBorders>
            <w:shd w:val="clear" w:color="000000" w:fill="FFFFFF"/>
            <w:noWrap/>
            <w:vAlign w:val="center"/>
            <w:hideMark/>
          </w:tcPr>
          <w:p w:rsidR="004D0865" w:rsidRPr="00CD1518" w:rsidRDefault="004D0865">
            <w:pPr>
              <w:spacing w:line="240" w:lineRule="auto"/>
              <w:rPr>
                <w:color w:val="000000"/>
                <w:sz w:val="12"/>
                <w:lang w:eastAsia="en-AU"/>
              </w:rPr>
            </w:pPr>
            <w:r w:rsidRPr="00CD1518">
              <w:rPr>
                <w:color w:val="000000"/>
                <w:sz w:val="12"/>
                <w:lang w:eastAsia="en-AU"/>
              </w:rPr>
              <w:t xml:space="preserve">Emergency </w:t>
            </w:r>
          </w:p>
        </w:tc>
        <w:tc>
          <w:tcPr>
            <w:tcW w:w="488" w:type="pct"/>
            <w:tcBorders>
              <w:top w:val="nil"/>
              <w:left w:val="single" w:sz="4" w:space="0" w:color="5B9BD5"/>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54,511</w:t>
            </w:r>
          </w:p>
        </w:tc>
        <w:tc>
          <w:tcPr>
            <w:tcW w:w="486" w:type="pct"/>
            <w:tcBorders>
              <w:top w:val="nil"/>
              <w:left w:val="nil"/>
              <w:bottom w:val="nil"/>
              <w:right w:val="nil"/>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54,511</w:t>
            </w:r>
          </w:p>
        </w:tc>
        <w:tc>
          <w:tcPr>
            <w:tcW w:w="242"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54,511</w:t>
            </w:r>
          </w:p>
        </w:tc>
        <w:tc>
          <w:tcPr>
            <w:tcW w:w="469" w:type="pct"/>
            <w:tcBorders>
              <w:top w:val="nil"/>
              <w:left w:val="nil"/>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54,511</w:t>
            </w:r>
          </w:p>
        </w:tc>
        <w:tc>
          <w:tcPr>
            <w:tcW w:w="436" w:type="pct"/>
            <w:tcBorders>
              <w:top w:val="nil"/>
              <w:left w:val="nil"/>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36" w:type="pct"/>
            <w:tcBorders>
              <w:top w:val="nil"/>
              <w:left w:val="nil"/>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323" w:type="pct"/>
            <w:tcBorders>
              <w:top w:val="nil"/>
              <w:left w:val="nil"/>
              <w:bottom w:val="nil"/>
              <w:right w:val="single" w:sz="4" w:space="0" w:color="5B9BD5"/>
            </w:tcBorders>
            <w:shd w:val="clear" w:color="000000" w:fill="FFFFFF"/>
            <w:noWrap/>
            <w:vAlign w:val="center"/>
            <w:hideMark/>
          </w:tcPr>
          <w:p w:rsidR="004D0865" w:rsidRPr="00CD1518" w:rsidRDefault="004D0865">
            <w:pPr>
              <w:spacing w:line="240" w:lineRule="auto"/>
              <w:jc w:val="right"/>
              <w:rPr>
                <w:color w:val="000000"/>
                <w:sz w:val="12"/>
                <w:lang w:eastAsia="en-AU"/>
              </w:rPr>
            </w:pPr>
            <w:r w:rsidRPr="00CD1518">
              <w:rPr>
                <w:color w:val="000000"/>
                <w:sz w:val="12"/>
                <w:lang w:eastAsia="en-AU"/>
              </w:rPr>
              <w:t>100%</w:t>
            </w:r>
          </w:p>
        </w:tc>
      </w:tr>
      <w:tr w:rsidR="003E3288" w:rsidRPr="004D0865" w:rsidTr="00B53993">
        <w:trPr>
          <w:trHeight w:val="260"/>
        </w:trPr>
        <w:tc>
          <w:tcPr>
            <w:tcW w:w="713" w:type="pct"/>
            <w:tcBorders>
              <w:top w:val="nil"/>
              <w:left w:val="single" w:sz="4" w:space="0" w:color="5B9BD5"/>
              <w:bottom w:val="nil"/>
              <w:right w:val="nil"/>
            </w:tcBorders>
            <w:shd w:val="clear" w:color="000000" w:fill="DDEBF7"/>
            <w:noWrap/>
            <w:vAlign w:val="center"/>
            <w:hideMark/>
          </w:tcPr>
          <w:p w:rsidR="004D0865" w:rsidRPr="00CD1518" w:rsidRDefault="004D0865">
            <w:pPr>
              <w:spacing w:line="240" w:lineRule="auto"/>
              <w:rPr>
                <w:sz w:val="12"/>
                <w:lang w:eastAsia="en-AU"/>
              </w:rPr>
            </w:pPr>
            <w:r w:rsidRPr="00CD1518">
              <w:rPr>
                <w:sz w:val="12"/>
                <w:lang w:eastAsia="en-AU"/>
              </w:rPr>
              <w:t>Acute</w:t>
            </w:r>
          </w:p>
        </w:tc>
        <w:tc>
          <w:tcPr>
            <w:tcW w:w="488"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sz w:val="12"/>
                <w:lang w:eastAsia="en-AU"/>
              </w:rPr>
            </w:pPr>
            <w:r w:rsidRPr="00CD1518">
              <w:rPr>
                <w:sz w:val="12"/>
                <w:lang w:eastAsia="en-AU"/>
              </w:rPr>
              <w:t>44,083</w:t>
            </w:r>
          </w:p>
        </w:tc>
        <w:tc>
          <w:tcPr>
            <w:tcW w:w="486" w:type="pct"/>
            <w:tcBorders>
              <w:top w:val="nil"/>
              <w:left w:val="nil"/>
              <w:bottom w:val="nil"/>
              <w:right w:val="nil"/>
            </w:tcBorders>
            <w:shd w:val="clear" w:color="000000" w:fill="DDEBF7"/>
            <w:noWrap/>
            <w:vAlign w:val="center"/>
            <w:hideMark/>
          </w:tcPr>
          <w:p w:rsidR="004D0865" w:rsidRPr="00CD1518" w:rsidRDefault="004D0865" w:rsidP="00CD1518">
            <w:pPr>
              <w:spacing w:line="240" w:lineRule="auto"/>
              <w:jc w:val="right"/>
              <w:rPr>
                <w:sz w:val="12"/>
                <w:lang w:eastAsia="en-AU"/>
              </w:rPr>
            </w:pPr>
            <w:r w:rsidRPr="00CD1518">
              <w:rPr>
                <w:sz w:val="12"/>
                <w:lang w:eastAsia="en-AU"/>
              </w:rPr>
              <w:t>44,083</w:t>
            </w:r>
          </w:p>
        </w:tc>
        <w:tc>
          <w:tcPr>
            <w:tcW w:w="242"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nil"/>
            </w:tcBorders>
            <w:shd w:val="clear" w:color="000000" w:fill="DDEBF7"/>
            <w:noWrap/>
            <w:vAlign w:val="center"/>
            <w:hideMark/>
          </w:tcPr>
          <w:p w:rsidR="004D0865" w:rsidRPr="00CD1518" w:rsidRDefault="004D0865" w:rsidP="00CD1518">
            <w:pPr>
              <w:spacing w:line="240" w:lineRule="auto"/>
              <w:jc w:val="right"/>
              <w:rPr>
                <w:sz w:val="12"/>
                <w:lang w:eastAsia="en-AU"/>
              </w:rPr>
            </w:pPr>
            <w:r w:rsidRPr="00CD1518">
              <w:rPr>
                <w:sz w:val="12"/>
                <w:lang w:eastAsia="en-AU"/>
              </w:rPr>
              <w:t>44,083</w:t>
            </w:r>
          </w:p>
        </w:tc>
        <w:tc>
          <w:tcPr>
            <w:tcW w:w="469"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sz w:val="12"/>
                <w:lang w:eastAsia="en-AU"/>
              </w:rPr>
            </w:pPr>
            <w:r w:rsidRPr="00CD1518">
              <w:rPr>
                <w:sz w:val="12"/>
                <w:lang w:eastAsia="en-AU"/>
              </w:rPr>
              <w:t>-</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sz w:val="12"/>
                <w:lang w:eastAsia="en-AU"/>
              </w:rPr>
            </w:pPr>
            <w:r w:rsidRPr="00CD1518">
              <w:rPr>
                <w:sz w:val="12"/>
                <w:lang w:eastAsia="en-AU"/>
              </w:rPr>
              <w:t>-</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44,083</w:t>
            </w:r>
          </w:p>
        </w:tc>
        <w:tc>
          <w:tcPr>
            <w:tcW w:w="436" w:type="pct"/>
            <w:tcBorders>
              <w:top w:val="nil"/>
              <w:left w:val="nil"/>
              <w:bottom w:val="nil"/>
              <w:right w:val="nil"/>
            </w:tcBorders>
            <w:shd w:val="clear" w:color="000000" w:fill="DDEBF7"/>
            <w:noWrap/>
            <w:vAlign w:val="center"/>
            <w:hideMark/>
          </w:tcPr>
          <w:p w:rsidR="004D0865" w:rsidRPr="00CD1518" w:rsidRDefault="004D0865" w:rsidP="00CD1518">
            <w:pPr>
              <w:spacing w:line="240" w:lineRule="auto"/>
              <w:jc w:val="right"/>
              <w:rPr>
                <w:sz w:val="12"/>
                <w:lang w:eastAsia="en-AU"/>
              </w:rPr>
            </w:pPr>
            <w:r w:rsidRPr="00CD1518">
              <w:rPr>
                <w:sz w:val="12"/>
                <w:lang w:eastAsia="en-AU"/>
              </w:rPr>
              <w:t>-</w:t>
            </w:r>
          </w:p>
        </w:tc>
        <w:tc>
          <w:tcPr>
            <w:tcW w:w="436"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sz w:val="12"/>
                <w:lang w:eastAsia="en-AU"/>
              </w:rPr>
            </w:pPr>
            <w:r w:rsidRPr="00CD1518">
              <w:rPr>
                <w:sz w:val="12"/>
                <w:lang w:eastAsia="en-AU"/>
              </w:rPr>
              <w:t>-</w:t>
            </w:r>
          </w:p>
        </w:tc>
        <w:tc>
          <w:tcPr>
            <w:tcW w:w="323" w:type="pct"/>
            <w:tcBorders>
              <w:top w:val="nil"/>
              <w:left w:val="nil"/>
              <w:bottom w:val="nil"/>
              <w:right w:val="single" w:sz="4" w:space="0" w:color="5B9BD5"/>
            </w:tcBorders>
            <w:shd w:val="clear" w:color="000000" w:fill="DDEBF7"/>
            <w:noWrap/>
            <w:vAlign w:val="center"/>
            <w:hideMark/>
          </w:tcPr>
          <w:p w:rsidR="004D0865" w:rsidRPr="00CD1518" w:rsidRDefault="004D0865">
            <w:pPr>
              <w:spacing w:line="240" w:lineRule="auto"/>
              <w:jc w:val="right"/>
              <w:rPr>
                <w:sz w:val="12"/>
                <w:lang w:eastAsia="en-AU"/>
              </w:rPr>
            </w:pPr>
            <w:r w:rsidRPr="00CD1518">
              <w:rPr>
                <w:sz w:val="12"/>
                <w:lang w:eastAsia="en-AU"/>
              </w:rPr>
              <w:t>100%</w:t>
            </w:r>
          </w:p>
        </w:tc>
      </w:tr>
      <w:tr w:rsidR="003E3288" w:rsidRPr="004D0865" w:rsidTr="00B53993">
        <w:trPr>
          <w:trHeight w:val="260"/>
        </w:trPr>
        <w:tc>
          <w:tcPr>
            <w:tcW w:w="713" w:type="pct"/>
            <w:tcBorders>
              <w:top w:val="nil"/>
              <w:left w:val="single" w:sz="4" w:space="0" w:color="5B9BD5"/>
              <w:bottom w:val="nil"/>
              <w:right w:val="nil"/>
            </w:tcBorders>
            <w:shd w:val="clear" w:color="000000" w:fill="FFFFFF"/>
            <w:noWrap/>
            <w:vAlign w:val="center"/>
            <w:hideMark/>
          </w:tcPr>
          <w:p w:rsidR="004D0865" w:rsidRPr="00CD1518" w:rsidRDefault="004D0865">
            <w:pPr>
              <w:spacing w:line="240" w:lineRule="auto"/>
              <w:rPr>
                <w:color w:val="000000"/>
                <w:sz w:val="12"/>
                <w:lang w:eastAsia="en-AU"/>
              </w:rPr>
            </w:pPr>
            <w:r w:rsidRPr="00CD1518">
              <w:rPr>
                <w:color w:val="000000"/>
                <w:sz w:val="12"/>
                <w:lang w:eastAsia="en-AU"/>
              </w:rPr>
              <w:t>Non-admitted</w:t>
            </w:r>
          </w:p>
        </w:tc>
        <w:tc>
          <w:tcPr>
            <w:tcW w:w="488" w:type="pct"/>
            <w:tcBorders>
              <w:top w:val="nil"/>
              <w:left w:val="single" w:sz="4" w:space="0" w:color="5B9BD5"/>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162,435</w:t>
            </w:r>
          </w:p>
        </w:tc>
        <w:tc>
          <w:tcPr>
            <w:tcW w:w="486" w:type="pct"/>
            <w:tcBorders>
              <w:top w:val="nil"/>
              <w:left w:val="nil"/>
              <w:bottom w:val="nil"/>
              <w:right w:val="nil"/>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162,435</w:t>
            </w:r>
          </w:p>
        </w:tc>
        <w:tc>
          <w:tcPr>
            <w:tcW w:w="242"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nil"/>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single" w:sz="4" w:space="0" w:color="5B9BD5"/>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162,435</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162,435</w:t>
            </w:r>
          </w:p>
        </w:tc>
        <w:tc>
          <w:tcPr>
            <w:tcW w:w="436" w:type="pct"/>
            <w:tcBorders>
              <w:top w:val="nil"/>
              <w:left w:val="nil"/>
              <w:bottom w:val="nil"/>
              <w:right w:val="nil"/>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36" w:type="pct"/>
            <w:tcBorders>
              <w:top w:val="nil"/>
              <w:left w:val="single" w:sz="4" w:space="0" w:color="5B9BD5"/>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323" w:type="pct"/>
            <w:tcBorders>
              <w:top w:val="nil"/>
              <w:left w:val="nil"/>
              <w:bottom w:val="nil"/>
              <w:right w:val="single" w:sz="4" w:space="0" w:color="5B9BD5"/>
            </w:tcBorders>
            <w:shd w:val="clear" w:color="000000" w:fill="FFFFFF"/>
            <w:noWrap/>
            <w:vAlign w:val="center"/>
            <w:hideMark/>
          </w:tcPr>
          <w:p w:rsidR="004D0865" w:rsidRPr="00CD1518" w:rsidRDefault="004D0865">
            <w:pPr>
              <w:spacing w:line="240" w:lineRule="auto"/>
              <w:jc w:val="right"/>
              <w:rPr>
                <w:color w:val="000000"/>
                <w:sz w:val="12"/>
                <w:lang w:eastAsia="en-AU"/>
              </w:rPr>
            </w:pPr>
            <w:r w:rsidRPr="00CD1518">
              <w:rPr>
                <w:color w:val="000000"/>
                <w:sz w:val="12"/>
                <w:lang w:eastAsia="en-AU"/>
              </w:rPr>
              <w:t>100%</w:t>
            </w:r>
          </w:p>
        </w:tc>
      </w:tr>
      <w:tr w:rsidR="003E3288" w:rsidRPr="004D0865" w:rsidTr="00B53993">
        <w:trPr>
          <w:trHeight w:val="260"/>
        </w:trPr>
        <w:tc>
          <w:tcPr>
            <w:tcW w:w="713" w:type="pct"/>
            <w:tcBorders>
              <w:top w:val="nil"/>
              <w:left w:val="single" w:sz="4" w:space="0" w:color="5B9BD5"/>
              <w:bottom w:val="nil"/>
              <w:right w:val="nil"/>
            </w:tcBorders>
            <w:shd w:val="clear" w:color="000000" w:fill="DDEBF7"/>
            <w:noWrap/>
            <w:vAlign w:val="center"/>
            <w:hideMark/>
          </w:tcPr>
          <w:p w:rsidR="004D0865" w:rsidRPr="00CD1518" w:rsidRDefault="004D0865">
            <w:pPr>
              <w:spacing w:line="240" w:lineRule="auto"/>
              <w:rPr>
                <w:sz w:val="12"/>
                <w:lang w:eastAsia="en-AU"/>
              </w:rPr>
            </w:pPr>
            <w:r w:rsidRPr="00CD1518">
              <w:rPr>
                <w:sz w:val="12"/>
                <w:lang w:eastAsia="en-AU"/>
              </w:rPr>
              <w:t>Unlinked</w:t>
            </w:r>
          </w:p>
        </w:tc>
        <w:tc>
          <w:tcPr>
            <w:tcW w:w="488"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sz w:val="12"/>
                <w:lang w:eastAsia="en-AU"/>
              </w:rPr>
            </w:pPr>
            <w:r w:rsidRPr="00CD1518">
              <w:rPr>
                <w:sz w:val="12"/>
                <w:lang w:eastAsia="en-AU"/>
              </w:rPr>
              <w:t>1,426</w:t>
            </w:r>
          </w:p>
        </w:tc>
        <w:tc>
          <w:tcPr>
            <w:tcW w:w="486" w:type="pct"/>
            <w:tcBorders>
              <w:top w:val="nil"/>
              <w:left w:val="nil"/>
              <w:bottom w:val="nil"/>
              <w:right w:val="nil"/>
            </w:tcBorders>
            <w:shd w:val="clear" w:color="000000" w:fill="DDEBF7"/>
            <w:noWrap/>
            <w:vAlign w:val="center"/>
            <w:hideMark/>
          </w:tcPr>
          <w:p w:rsidR="004D0865" w:rsidRPr="00CD1518" w:rsidRDefault="004D0865" w:rsidP="00CD1518">
            <w:pPr>
              <w:spacing w:line="240" w:lineRule="auto"/>
              <w:jc w:val="right"/>
              <w:rPr>
                <w:sz w:val="12"/>
                <w:lang w:eastAsia="en-AU"/>
              </w:rPr>
            </w:pPr>
            <w:r w:rsidRPr="00CD1518">
              <w:rPr>
                <w:sz w:val="12"/>
                <w:lang w:eastAsia="en-AU"/>
              </w:rPr>
              <w:t>1,426</w:t>
            </w:r>
          </w:p>
        </w:tc>
        <w:tc>
          <w:tcPr>
            <w:tcW w:w="242"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nil"/>
            </w:tcBorders>
            <w:shd w:val="clear" w:color="000000" w:fill="DDEBF7"/>
            <w:noWrap/>
            <w:vAlign w:val="center"/>
            <w:hideMark/>
          </w:tcPr>
          <w:p w:rsidR="004D0865" w:rsidRPr="00CD1518" w:rsidRDefault="004D0865" w:rsidP="00CD1518">
            <w:pPr>
              <w:spacing w:line="240" w:lineRule="auto"/>
              <w:jc w:val="right"/>
              <w:rPr>
                <w:sz w:val="12"/>
                <w:lang w:eastAsia="en-AU"/>
              </w:rPr>
            </w:pPr>
            <w:r w:rsidRPr="00CD1518">
              <w:rPr>
                <w:sz w:val="12"/>
                <w:lang w:eastAsia="en-AU"/>
              </w:rPr>
              <w:t>-</w:t>
            </w:r>
          </w:p>
        </w:tc>
        <w:tc>
          <w:tcPr>
            <w:tcW w:w="469"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sz w:val="12"/>
                <w:lang w:eastAsia="en-AU"/>
              </w:rPr>
            </w:pPr>
            <w:r w:rsidRPr="00CD1518">
              <w:rPr>
                <w:sz w:val="12"/>
                <w:lang w:eastAsia="en-AU"/>
              </w:rPr>
              <w:t>-</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sz w:val="12"/>
                <w:lang w:eastAsia="en-AU"/>
              </w:rPr>
            </w:pPr>
            <w:r w:rsidRPr="00CD1518">
              <w:rPr>
                <w:sz w:val="12"/>
                <w:lang w:eastAsia="en-AU"/>
              </w:rPr>
              <w:t>-</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1,426</w:t>
            </w:r>
          </w:p>
        </w:tc>
        <w:tc>
          <w:tcPr>
            <w:tcW w:w="436" w:type="pct"/>
            <w:tcBorders>
              <w:top w:val="nil"/>
              <w:left w:val="nil"/>
              <w:bottom w:val="nil"/>
              <w:right w:val="nil"/>
            </w:tcBorders>
            <w:shd w:val="clear" w:color="000000" w:fill="DDEBF7"/>
            <w:noWrap/>
            <w:vAlign w:val="center"/>
            <w:hideMark/>
          </w:tcPr>
          <w:p w:rsidR="004D0865" w:rsidRPr="00CD1518" w:rsidRDefault="004D0865" w:rsidP="00CD1518">
            <w:pPr>
              <w:spacing w:line="240" w:lineRule="auto"/>
              <w:jc w:val="right"/>
              <w:rPr>
                <w:sz w:val="12"/>
                <w:lang w:eastAsia="en-AU"/>
              </w:rPr>
            </w:pPr>
            <w:r w:rsidRPr="00CD1518">
              <w:rPr>
                <w:sz w:val="12"/>
                <w:lang w:eastAsia="en-AU"/>
              </w:rPr>
              <w:t>-</w:t>
            </w:r>
          </w:p>
        </w:tc>
        <w:tc>
          <w:tcPr>
            <w:tcW w:w="436"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sz w:val="12"/>
                <w:lang w:eastAsia="en-AU"/>
              </w:rPr>
            </w:pPr>
            <w:r w:rsidRPr="00CD1518">
              <w:rPr>
                <w:sz w:val="12"/>
                <w:lang w:eastAsia="en-AU"/>
              </w:rPr>
              <w:t>1,426</w:t>
            </w:r>
          </w:p>
        </w:tc>
        <w:tc>
          <w:tcPr>
            <w:tcW w:w="323" w:type="pct"/>
            <w:tcBorders>
              <w:top w:val="nil"/>
              <w:left w:val="nil"/>
              <w:bottom w:val="nil"/>
              <w:right w:val="single" w:sz="4" w:space="0" w:color="5B9BD5"/>
            </w:tcBorders>
            <w:shd w:val="clear" w:color="000000" w:fill="DDEBF7"/>
            <w:noWrap/>
            <w:vAlign w:val="center"/>
            <w:hideMark/>
          </w:tcPr>
          <w:p w:rsidR="004D0865" w:rsidRPr="00CD1518" w:rsidRDefault="004D0865">
            <w:pPr>
              <w:spacing w:line="240" w:lineRule="auto"/>
              <w:jc w:val="right"/>
              <w:rPr>
                <w:sz w:val="12"/>
                <w:lang w:eastAsia="en-AU"/>
              </w:rPr>
            </w:pPr>
            <w:r w:rsidRPr="00CD1518">
              <w:rPr>
                <w:sz w:val="12"/>
                <w:lang w:eastAsia="en-AU"/>
              </w:rPr>
              <w:t>100%</w:t>
            </w:r>
          </w:p>
        </w:tc>
      </w:tr>
      <w:tr w:rsidR="000A6997" w:rsidRPr="004D0865" w:rsidTr="00CD1518">
        <w:trPr>
          <w:trHeight w:val="260"/>
        </w:trPr>
        <w:tc>
          <w:tcPr>
            <w:tcW w:w="713" w:type="pct"/>
            <w:tcBorders>
              <w:top w:val="nil"/>
              <w:left w:val="single" w:sz="4" w:space="0" w:color="5B9BD5"/>
              <w:bottom w:val="single" w:sz="4" w:space="0" w:color="5B9BD5"/>
              <w:right w:val="nil"/>
            </w:tcBorders>
            <w:shd w:val="clear" w:color="000000" w:fill="FFFFFF"/>
            <w:noWrap/>
            <w:vAlign w:val="center"/>
            <w:hideMark/>
          </w:tcPr>
          <w:p w:rsidR="004D0865" w:rsidRPr="00CD1518" w:rsidRDefault="004D0865">
            <w:pPr>
              <w:spacing w:line="240" w:lineRule="auto"/>
              <w:rPr>
                <w:color w:val="000000"/>
                <w:sz w:val="12"/>
                <w:lang w:eastAsia="en-AU"/>
              </w:rPr>
            </w:pPr>
            <w:r w:rsidRPr="00CD1518">
              <w:rPr>
                <w:color w:val="000000"/>
                <w:sz w:val="12"/>
                <w:lang w:eastAsia="en-AU"/>
              </w:rPr>
              <w:t>Zero Cost Encounters</w:t>
            </w:r>
          </w:p>
        </w:tc>
        <w:tc>
          <w:tcPr>
            <w:tcW w:w="488" w:type="pct"/>
            <w:tcBorders>
              <w:top w:val="nil"/>
              <w:left w:val="single" w:sz="4" w:space="0" w:color="5B9BD5"/>
              <w:bottom w:val="single" w:sz="4" w:space="0" w:color="5B9BD5"/>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318</w:t>
            </w:r>
          </w:p>
        </w:tc>
        <w:tc>
          <w:tcPr>
            <w:tcW w:w="486" w:type="pct"/>
            <w:tcBorders>
              <w:top w:val="nil"/>
              <w:left w:val="nil"/>
              <w:bottom w:val="single" w:sz="4" w:space="0" w:color="5B9BD5"/>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318</w:t>
            </w:r>
          </w:p>
        </w:tc>
        <w:tc>
          <w:tcPr>
            <w:tcW w:w="242" w:type="pct"/>
            <w:tcBorders>
              <w:top w:val="nil"/>
              <w:left w:val="nil"/>
              <w:bottom w:val="single" w:sz="4" w:space="0" w:color="5B9BD5"/>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single" w:sz="4" w:space="0" w:color="5B9BD5"/>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single" w:sz="4" w:space="0" w:color="5B9BD5"/>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single" w:sz="4" w:space="0" w:color="5B9BD5"/>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single" w:sz="4" w:space="0" w:color="5B9BD5"/>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318</w:t>
            </w:r>
          </w:p>
        </w:tc>
        <w:tc>
          <w:tcPr>
            <w:tcW w:w="436" w:type="pct"/>
            <w:tcBorders>
              <w:top w:val="nil"/>
              <w:left w:val="nil"/>
              <w:bottom w:val="single" w:sz="4" w:space="0" w:color="5B9BD5"/>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318</w:t>
            </w:r>
          </w:p>
        </w:tc>
        <w:tc>
          <w:tcPr>
            <w:tcW w:w="436" w:type="pct"/>
            <w:tcBorders>
              <w:top w:val="nil"/>
              <w:left w:val="nil"/>
              <w:bottom w:val="single" w:sz="4" w:space="0" w:color="5B9BD5"/>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323" w:type="pct"/>
            <w:tcBorders>
              <w:top w:val="nil"/>
              <w:left w:val="nil"/>
              <w:bottom w:val="single" w:sz="4" w:space="0" w:color="5B9BD5"/>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w:t>
            </w:r>
            <w:r w:rsidR="000A6997">
              <w:rPr>
                <w:color w:val="000000"/>
                <w:sz w:val="12"/>
                <w:lang w:eastAsia="en-AU"/>
              </w:rPr>
              <w:t>00%</w:t>
            </w:r>
          </w:p>
        </w:tc>
      </w:tr>
      <w:tr w:rsidR="000A6997" w:rsidRPr="004D0865" w:rsidTr="00CD1518">
        <w:trPr>
          <w:trHeight w:val="260"/>
        </w:trPr>
        <w:tc>
          <w:tcPr>
            <w:tcW w:w="713" w:type="pct"/>
            <w:tcBorders>
              <w:top w:val="nil"/>
              <w:left w:val="single" w:sz="4" w:space="0" w:color="5B9BD5"/>
              <w:bottom w:val="nil"/>
              <w:right w:val="nil"/>
            </w:tcBorders>
            <w:shd w:val="clear" w:color="000000" w:fill="DDEBF7"/>
            <w:noWrap/>
            <w:vAlign w:val="center"/>
            <w:hideMark/>
          </w:tcPr>
          <w:p w:rsidR="004D0865" w:rsidRPr="00CD1518" w:rsidRDefault="004D0865">
            <w:pPr>
              <w:spacing w:line="240" w:lineRule="auto"/>
              <w:rPr>
                <w:b/>
                <w:bCs/>
                <w:color w:val="000000"/>
                <w:sz w:val="12"/>
                <w:lang w:eastAsia="en-AU"/>
              </w:rPr>
            </w:pPr>
            <w:r w:rsidRPr="00CD1518">
              <w:rPr>
                <w:b/>
                <w:bCs/>
                <w:color w:val="000000"/>
                <w:sz w:val="12"/>
                <w:lang w:eastAsia="en-AU"/>
              </w:rPr>
              <w:t>TOTAL</w:t>
            </w:r>
          </w:p>
        </w:tc>
        <w:tc>
          <w:tcPr>
            <w:tcW w:w="488"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b/>
                <w:bCs/>
                <w:color w:val="000000"/>
                <w:sz w:val="12"/>
                <w:lang w:eastAsia="en-AU"/>
              </w:rPr>
            </w:pPr>
            <w:r w:rsidRPr="00CD1518">
              <w:rPr>
                <w:b/>
                <w:bCs/>
                <w:color w:val="000000"/>
                <w:sz w:val="12"/>
                <w:lang w:eastAsia="en-AU"/>
              </w:rPr>
              <w:t>262,773</w:t>
            </w:r>
          </w:p>
        </w:tc>
        <w:tc>
          <w:tcPr>
            <w:tcW w:w="486"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b/>
                <w:bCs/>
                <w:color w:val="000000"/>
                <w:sz w:val="12"/>
                <w:lang w:eastAsia="en-AU"/>
              </w:rPr>
            </w:pPr>
            <w:r w:rsidRPr="00CD1518">
              <w:rPr>
                <w:b/>
                <w:bCs/>
                <w:color w:val="000000"/>
                <w:sz w:val="12"/>
                <w:lang w:eastAsia="en-AU"/>
              </w:rPr>
              <w:t>262,773</w:t>
            </w:r>
          </w:p>
        </w:tc>
        <w:tc>
          <w:tcPr>
            <w:tcW w:w="242"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b/>
                <w:bCs/>
                <w:color w:val="000000"/>
                <w:sz w:val="12"/>
                <w:lang w:eastAsia="en-AU"/>
              </w:rPr>
            </w:pPr>
            <w:r w:rsidRPr="00CD1518">
              <w:rPr>
                <w:b/>
                <w:bCs/>
                <w:color w:val="000000"/>
                <w:sz w:val="12"/>
                <w:lang w:eastAsia="en-AU"/>
              </w:rPr>
              <w:t>-</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b/>
                <w:bCs/>
                <w:color w:val="000000"/>
                <w:sz w:val="12"/>
                <w:lang w:eastAsia="en-AU"/>
              </w:rPr>
            </w:pPr>
            <w:r w:rsidRPr="00CD1518">
              <w:rPr>
                <w:b/>
                <w:bCs/>
                <w:color w:val="000000"/>
                <w:sz w:val="12"/>
                <w:lang w:eastAsia="en-AU"/>
              </w:rPr>
              <w:t>44,083</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b/>
                <w:bCs/>
                <w:color w:val="000000"/>
                <w:sz w:val="12"/>
                <w:lang w:eastAsia="en-AU"/>
              </w:rPr>
            </w:pPr>
            <w:r w:rsidRPr="00CD1518">
              <w:rPr>
                <w:b/>
                <w:bCs/>
                <w:color w:val="000000"/>
                <w:sz w:val="12"/>
                <w:lang w:eastAsia="en-AU"/>
              </w:rPr>
              <w:t>54,511</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b/>
                <w:bCs/>
                <w:color w:val="000000"/>
                <w:sz w:val="12"/>
                <w:lang w:eastAsia="en-AU"/>
              </w:rPr>
            </w:pPr>
            <w:r w:rsidRPr="00CD1518">
              <w:rPr>
                <w:b/>
                <w:bCs/>
                <w:color w:val="000000"/>
                <w:sz w:val="12"/>
                <w:lang w:eastAsia="en-AU"/>
              </w:rPr>
              <w:t>162,435</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b/>
                <w:bCs/>
                <w:color w:val="000000"/>
                <w:sz w:val="12"/>
                <w:lang w:eastAsia="en-AU"/>
              </w:rPr>
            </w:pPr>
            <w:r w:rsidRPr="00CD1518">
              <w:rPr>
                <w:b/>
                <w:bCs/>
                <w:color w:val="000000"/>
                <w:sz w:val="12"/>
                <w:lang w:eastAsia="en-AU"/>
              </w:rPr>
              <w:t>262,773</w:t>
            </w:r>
          </w:p>
        </w:tc>
        <w:tc>
          <w:tcPr>
            <w:tcW w:w="436"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b/>
                <w:bCs/>
                <w:color w:val="000000"/>
                <w:sz w:val="12"/>
                <w:lang w:eastAsia="en-AU"/>
              </w:rPr>
            </w:pPr>
            <w:r w:rsidRPr="00CD1518">
              <w:rPr>
                <w:b/>
                <w:bCs/>
                <w:color w:val="000000"/>
                <w:sz w:val="12"/>
                <w:lang w:eastAsia="en-AU"/>
              </w:rPr>
              <w:t>318</w:t>
            </w:r>
          </w:p>
        </w:tc>
        <w:tc>
          <w:tcPr>
            <w:tcW w:w="436"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b/>
                <w:bCs/>
                <w:color w:val="000000"/>
                <w:sz w:val="12"/>
                <w:lang w:eastAsia="en-AU"/>
              </w:rPr>
            </w:pPr>
            <w:r w:rsidRPr="00CD1518">
              <w:rPr>
                <w:b/>
                <w:bCs/>
                <w:color w:val="000000"/>
                <w:sz w:val="12"/>
                <w:lang w:eastAsia="en-AU"/>
              </w:rPr>
              <w:t>1,426</w:t>
            </w:r>
          </w:p>
        </w:tc>
        <w:tc>
          <w:tcPr>
            <w:tcW w:w="323"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b/>
                <w:bCs/>
                <w:color w:val="000000"/>
                <w:sz w:val="12"/>
                <w:lang w:eastAsia="en-AU"/>
              </w:rPr>
            </w:pPr>
          </w:p>
        </w:tc>
      </w:tr>
      <w:tr w:rsidR="003E3288" w:rsidRPr="004D0865" w:rsidTr="00B53993">
        <w:trPr>
          <w:trHeight w:val="260"/>
        </w:trPr>
        <w:tc>
          <w:tcPr>
            <w:tcW w:w="713" w:type="pct"/>
            <w:tcBorders>
              <w:top w:val="nil"/>
              <w:left w:val="single" w:sz="4" w:space="0" w:color="5B9BD5"/>
              <w:bottom w:val="nil"/>
              <w:right w:val="nil"/>
            </w:tcBorders>
            <w:shd w:val="clear" w:color="000000" w:fill="D0CECE"/>
            <w:noWrap/>
            <w:vAlign w:val="center"/>
            <w:hideMark/>
          </w:tcPr>
          <w:p w:rsidR="004D0865" w:rsidRPr="00CD1518" w:rsidRDefault="004D0865">
            <w:pPr>
              <w:spacing w:line="240" w:lineRule="auto"/>
              <w:rPr>
                <w:b/>
                <w:bCs/>
                <w:color w:val="000000"/>
                <w:sz w:val="12"/>
                <w:lang w:eastAsia="en-AU"/>
              </w:rPr>
            </w:pPr>
            <w:r w:rsidRPr="00CD1518">
              <w:rPr>
                <w:b/>
                <w:bCs/>
                <w:color w:val="000000"/>
                <w:sz w:val="12"/>
                <w:lang w:eastAsia="en-AU"/>
              </w:rPr>
              <w:t>Feeder Data</w:t>
            </w:r>
          </w:p>
        </w:tc>
        <w:tc>
          <w:tcPr>
            <w:tcW w:w="488" w:type="pct"/>
            <w:tcBorders>
              <w:top w:val="nil"/>
              <w:left w:val="single" w:sz="4" w:space="0" w:color="5B9BD5"/>
              <w:bottom w:val="nil"/>
              <w:right w:val="single" w:sz="4" w:space="0" w:color="5B9BD5"/>
            </w:tcBorders>
            <w:shd w:val="clear" w:color="000000" w:fill="D0CECE"/>
            <w:noWrap/>
            <w:vAlign w:val="center"/>
            <w:hideMark/>
          </w:tcPr>
          <w:p w:rsidR="004D0865" w:rsidRPr="00CD1518" w:rsidRDefault="004D0865" w:rsidP="00CD1518">
            <w:pPr>
              <w:spacing w:line="240" w:lineRule="auto"/>
              <w:jc w:val="right"/>
              <w:rPr>
                <w:b/>
                <w:bCs/>
                <w:color w:val="000000"/>
                <w:sz w:val="12"/>
                <w:lang w:eastAsia="en-AU"/>
              </w:rPr>
            </w:pPr>
          </w:p>
        </w:tc>
        <w:tc>
          <w:tcPr>
            <w:tcW w:w="486" w:type="pct"/>
            <w:tcBorders>
              <w:top w:val="nil"/>
              <w:left w:val="nil"/>
              <w:bottom w:val="nil"/>
              <w:right w:val="nil"/>
            </w:tcBorders>
            <w:shd w:val="clear" w:color="000000" w:fill="D0CECE"/>
            <w:noWrap/>
            <w:vAlign w:val="center"/>
            <w:hideMark/>
          </w:tcPr>
          <w:p w:rsidR="004D0865" w:rsidRPr="00CD1518" w:rsidRDefault="004D0865" w:rsidP="00CD1518">
            <w:pPr>
              <w:spacing w:line="240" w:lineRule="auto"/>
              <w:jc w:val="right"/>
              <w:rPr>
                <w:b/>
                <w:bCs/>
                <w:color w:val="000000"/>
                <w:sz w:val="12"/>
                <w:lang w:eastAsia="en-AU"/>
              </w:rPr>
            </w:pPr>
          </w:p>
        </w:tc>
        <w:tc>
          <w:tcPr>
            <w:tcW w:w="242" w:type="pct"/>
            <w:tcBorders>
              <w:top w:val="nil"/>
              <w:left w:val="single" w:sz="4" w:space="0" w:color="5B9BD5"/>
              <w:bottom w:val="nil"/>
              <w:right w:val="single" w:sz="4" w:space="0" w:color="5B9BD5"/>
            </w:tcBorders>
            <w:shd w:val="clear" w:color="000000" w:fill="D0CECE"/>
            <w:noWrap/>
            <w:vAlign w:val="center"/>
            <w:hideMark/>
          </w:tcPr>
          <w:p w:rsidR="004D0865" w:rsidRPr="00CD1518" w:rsidRDefault="004D0865" w:rsidP="00CD1518">
            <w:pPr>
              <w:spacing w:line="240" w:lineRule="auto"/>
              <w:jc w:val="right"/>
              <w:rPr>
                <w:b/>
                <w:bCs/>
                <w:color w:val="000000"/>
                <w:sz w:val="12"/>
                <w:lang w:eastAsia="en-AU"/>
              </w:rPr>
            </w:pPr>
          </w:p>
        </w:tc>
        <w:tc>
          <w:tcPr>
            <w:tcW w:w="469" w:type="pct"/>
            <w:tcBorders>
              <w:top w:val="nil"/>
              <w:left w:val="nil"/>
              <w:bottom w:val="nil"/>
              <w:right w:val="nil"/>
            </w:tcBorders>
            <w:shd w:val="clear" w:color="000000" w:fill="D0CECE"/>
            <w:noWrap/>
            <w:vAlign w:val="center"/>
            <w:hideMark/>
          </w:tcPr>
          <w:p w:rsidR="004D0865" w:rsidRPr="00CD1518" w:rsidRDefault="004D0865" w:rsidP="00CD1518">
            <w:pPr>
              <w:spacing w:line="240" w:lineRule="auto"/>
              <w:jc w:val="right"/>
              <w:rPr>
                <w:b/>
                <w:bCs/>
                <w:color w:val="000000"/>
                <w:sz w:val="12"/>
                <w:lang w:eastAsia="en-AU"/>
              </w:rPr>
            </w:pPr>
          </w:p>
        </w:tc>
        <w:tc>
          <w:tcPr>
            <w:tcW w:w="469" w:type="pct"/>
            <w:tcBorders>
              <w:top w:val="nil"/>
              <w:left w:val="single" w:sz="4" w:space="0" w:color="5B9BD5"/>
              <w:bottom w:val="nil"/>
              <w:right w:val="single" w:sz="4" w:space="0" w:color="5B9BD5"/>
            </w:tcBorders>
            <w:shd w:val="clear" w:color="000000" w:fill="D0CECE"/>
            <w:noWrap/>
            <w:vAlign w:val="center"/>
            <w:hideMark/>
          </w:tcPr>
          <w:p w:rsidR="004D0865" w:rsidRPr="00CD1518" w:rsidRDefault="004D0865" w:rsidP="00CD1518">
            <w:pPr>
              <w:spacing w:line="240" w:lineRule="auto"/>
              <w:jc w:val="right"/>
              <w:rPr>
                <w:b/>
                <w:bCs/>
                <w:color w:val="000000"/>
                <w:sz w:val="12"/>
                <w:lang w:eastAsia="en-AU"/>
              </w:rPr>
            </w:pPr>
          </w:p>
        </w:tc>
        <w:tc>
          <w:tcPr>
            <w:tcW w:w="469" w:type="pct"/>
            <w:tcBorders>
              <w:top w:val="nil"/>
              <w:left w:val="nil"/>
              <w:bottom w:val="nil"/>
              <w:right w:val="single" w:sz="4" w:space="0" w:color="5B9BD5"/>
            </w:tcBorders>
            <w:shd w:val="clear" w:color="000000" w:fill="D0CECE"/>
            <w:noWrap/>
            <w:vAlign w:val="center"/>
            <w:hideMark/>
          </w:tcPr>
          <w:p w:rsidR="004D0865" w:rsidRPr="00CD1518" w:rsidRDefault="004D0865" w:rsidP="00CD1518">
            <w:pPr>
              <w:spacing w:line="240" w:lineRule="auto"/>
              <w:jc w:val="right"/>
              <w:rPr>
                <w:b/>
                <w:bCs/>
                <w:color w:val="000000"/>
                <w:sz w:val="12"/>
                <w:lang w:eastAsia="en-AU"/>
              </w:rPr>
            </w:pPr>
          </w:p>
        </w:tc>
        <w:tc>
          <w:tcPr>
            <w:tcW w:w="469" w:type="pct"/>
            <w:tcBorders>
              <w:top w:val="nil"/>
              <w:left w:val="nil"/>
              <w:bottom w:val="nil"/>
              <w:right w:val="single" w:sz="4" w:space="0" w:color="5B9BD5"/>
            </w:tcBorders>
            <w:shd w:val="clear" w:color="000000" w:fill="D0CECE"/>
            <w:noWrap/>
            <w:vAlign w:val="center"/>
            <w:hideMark/>
          </w:tcPr>
          <w:p w:rsidR="004D0865" w:rsidRPr="00CD1518" w:rsidRDefault="004D0865" w:rsidP="00CD1518">
            <w:pPr>
              <w:spacing w:line="240" w:lineRule="auto"/>
              <w:jc w:val="right"/>
              <w:rPr>
                <w:b/>
                <w:bCs/>
                <w:color w:val="000000"/>
                <w:sz w:val="12"/>
                <w:lang w:eastAsia="en-AU"/>
              </w:rPr>
            </w:pPr>
          </w:p>
        </w:tc>
        <w:tc>
          <w:tcPr>
            <w:tcW w:w="436" w:type="pct"/>
            <w:tcBorders>
              <w:top w:val="nil"/>
              <w:left w:val="nil"/>
              <w:bottom w:val="nil"/>
              <w:right w:val="nil"/>
            </w:tcBorders>
            <w:shd w:val="clear" w:color="000000" w:fill="D0CECE"/>
            <w:noWrap/>
            <w:vAlign w:val="center"/>
            <w:hideMark/>
          </w:tcPr>
          <w:p w:rsidR="004D0865" w:rsidRPr="00CD1518" w:rsidRDefault="004D0865" w:rsidP="00CD1518">
            <w:pPr>
              <w:spacing w:line="240" w:lineRule="auto"/>
              <w:jc w:val="right"/>
              <w:rPr>
                <w:b/>
                <w:bCs/>
                <w:color w:val="000000"/>
                <w:sz w:val="12"/>
                <w:lang w:eastAsia="en-AU"/>
              </w:rPr>
            </w:pPr>
          </w:p>
        </w:tc>
        <w:tc>
          <w:tcPr>
            <w:tcW w:w="436" w:type="pct"/>
            <w:tcBorders>
              <w:top w:val="nil"/>
              <w:left w:val="single" w:sz="4" w:space="0" w:color="5B9BD5"/>
              <w:bottom w:val="nil"/>
              <w:right w:val="single" w:sz="4" w:space="0" w:color="5B9BD5"/>
            </w:tcBorders>
            <w:shd w:val="clear" w:color="000000" w:fill="D0CECE"/>
            <w:noWrap/>
            <w:vAlign w:val="center"/>
            <w:hideMark/>
          </w:tcPr>
          <w:p w:rsidR="004D0865" w:rsidRPr="00CD1518" w:rsidRDefault="004D0865" w:rsidP="00CD1518">
            <w:pPr>
              <w:spacing w:line="240" w:lineRule="auto"/>
              <w:jc w:val="right"/>
              <w:rPr>
                <w:b/>
                <w:bCs/>
                <w:color w:val="000000"/>
                <w:sz w:val="12"/>
                <w:lang w:eastAsia="en-AU"/>
              </w:rPr>
            </w:pPr>
          </w:p>
        </w:tc>
        <w:tc>
          <w:tcPr>
            <w:tcW w:w="323" w:type="pct"/>
            <w:tcBorders>
              <w:top w:val="nil"/>
              <w:left w:val="nil"/>
              <w:bottom w:val="nil"/>
              <w:right w:val="single" w:sz="4" w:space="0" w:color="5B9BD5"/>
            </w:tcBorders>
            <w:shd w:val="clear" w:color="000000" w:fill="D0CECE"/>
            <w:noWrap/>
            <w:vAlign w:val="center"/>
            <w:hideMark/>
          </w:tcPr>
          <w:p w:rsidR="004D0865" w:rsidRPr="00CD1518" w:rsidRDefault="004D0865" w:rsidP="00CD1518">
            <w:pPr>
              <w:spacing w:line="240" w:lineRule="auto"/>
              <w:jc w:val="right"/>
              <w:rPr>
                <w:b/>
                <w:bCs/>
                <w:color w:val="000000"/>
                <w:sz w:val="12"/>
                <w:lang w:eastAsia="en-AU"/>
              </w:rPr>
            </w:pPr>
          </w:p>
        </w:tc>
      </w:tr>
      <w:tr w:rsidR="000A6997" w:rsidRPr="004D0865" w:rsidTr="00CD1518">
        <w:trPr>
          <w:trHeight w:val="260"/>
        </w:trPr>
        <w:tc>
          <w:tcPr>
            <w:tcW w:w="713" w:type="pct"/>
            <w:tcBorders>
              <w:top w:val="nil"/>
              <w:left w:val="single" w:sz="4" w:space="0" w:color="5B9BD5"/>
              <w:bottom w:val="nil"/>
              <w:right w:val="nil"/>
            </w:tcBorders>
            <w:shd w:val="clear" w:color="000000" w:fill="FFFFFF"/>
            <w:noWrap/>
            <w:vAlign w:val="center"/>
            <w:hideMark/>
          </w:tcPr>
          <w:p w:rsidR="004D0865" w:rsidRPr="00CD1518" w:rsidRDefault="004D0865">
            <w:pPr>
              <w:spacing w:line="240" w:lineRule="auto"/>
              <w:rPr>
                <w:color w:val="000000"/>
                <w:sz w:val="12"/>
                <w:lang w:eastAsia="en-AU"/>
              </w:rPr>
            </w:pPr>
            <w:r w:rsidRPr="00CD1518">
              <w:rPr>
                <w:color w:val="000000"/>
                <w:sz w:val="12"/>
                <w:lang w:eastAsia="en-AU"/>
              </w:rPr>
              <w:t xml:space="preserve">Appointment Schedule Outpatient </w:t>
            </w:r>
          </w:p>
        </w:tc>
        <w:tc>
          <w:tcPr>
            <w:tcW w:w="488" w:type="pct"/>
            <w:tcBorders>
              <w:top w:val="nil"/>
              <w:left w:val="single" w:sz="4" w:space="0" w:color="5B9BD5"/>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3,782,771</w:t>
            </w:r>
          </w:p>
        </w:tc>
        <w:tc>
          <w:tcPr>
            <w:tcW w:w="486" w:type="pct"/>
            <w:tcBorders>
              <w:top w:val="nil"/>
              <w:left w:val="nil"/>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3,782,771</w:t>
            </w:r>
          </w:p>
        </w:tc>
        <w:tc>
          <w:tcPr>
            <w:tcW w:w="242"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401,306</w:t>
            </w:r>
          </w:p>
        </w:tc>
        <w:tc>
          <w:tcPr>
            <w:tcW w:w="469" w:type="pct"/>
            <w:tcBorders>
              <w:top w:val="nil"/>
              <w:left w:val="nil"/>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8,308</w:t>
            </w:r>
          </w:p>
        </w:tc>
        <w:tc>
          <w:tcPr>
            <w:tcW w:w="469" w:type="pct"/>
            <w:tcBorders>
              <w:top w:val="nil"/>
              <w:left w:val="nil"/>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3,361,958</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3,771,572</w:t>
            </w:r>
          </w:p>
        </w:tc>
        <w:tc>
          <w:tcPr>
            <w:tcW w:w="436" w:type="pct"/>
            <w:tcBorders>
              <w:top w:val="nil"/>
              <w:left w:val="nil"/>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36" w:type="pct"/>
            <w:tcBorders>
              <w:top w:val="nil"/>
              <w:left w:val="nil"/>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11,199</w:t>
            </w:r>
          </w:p>
        </w:tc>
        <w:tc>
          <w:tcPr>
            <w:tcW w:w="323" w:type="pct"/>
            <w:tcBorders>
              <w:top w:val="nil"/>
              <w:left w:val="nil"/>
              <w:bottom w:val="nil"/>
              <w:right w:val="single" w:sz="4" w:space="0" w:color="5B9BD5"/>
            </w:tcBorders>
            <w:shd w:val="clear" w:color="000000" w:fill="FFFFFF"/>
            <w:noWrap/>
            <w:vAlign w:val="center"/>
            <w:hideMark/>
          </w:tcPr>
          <w:p w:rsidR="004D0865" w:rsidRPr="00CD1518" w:rsidRDefault="004D0865">
            <w:pPr>
              <w:spacing w:line="240" w:lineRule="auto"/>
              <w:jc w:val="right"/>
              <w:rPr>
                <w:color w:val="000000"/>
                <w:sz w:val="12"/>
                <w:lang w:eastAsia="en-AU"/>
              </w:rPr>
            </w:pPr>
            <w:r w:rsidRPr="00CD1518">
              <w:rPr>
                <w:color w:val="000000"/>
                <w:sz w:val="12"/>
                <w:lang w:eastAsia="en-AU"/>
              </w:rPr>
              <w:t>100%</w:t>
            </w:r>
          </w:p>
        </w:tc>
      </w:tr>
      <w:tr w:rsidR="003E3288" w:rsidRPr="004D0865" w:rsidTr="00B53993">
        <w:trPr>
          <w:trHeight w:val="260"/>
        </w:trPr>
        <w:tc>
          <w:tcPr>
            <w:tcW w:w="713" w:type="pct"/>
            <w:tcBorders>
              <w:top w:val="nil"/>
              <w:left w:val="single" w:sz="4" w:space="0" w:color="5B9BD5"/>
              <w:bottom w:val="nil"/>
              <w:right w:val="nil"/>
            </w:tcBorders>
            <w:shd w:val="clear" w:color="000000" w:fill="DDEBF7"/>
            <w:noWrap/>
            <w:vAlign w:val="center"/>
            <w:hideMark/>
          </w:tcPr>
          <w:p w:rsidR="004D0865" w:rsidRPr="00CD1518" w:rsidRDefault="004D0865">
            <w:pPr>
              <w:spacing w:line="240" w:lineRule="auto"/>
              <w:rPr>
                <w:color w:val="000000"/>
                <w:sz w:val="12"/>
                <w:lang w:eastAsia="en-AU"/>
              </w:rPr>
            </w:pPr>
            <w:r w:rsidRPr="00CD1518">
              <w:rPr>
                <w:color w:val="000000"/>
                <w:sz w:val="12"/>
                <w:lang w:eastAsia="en-AU"/>
              </w:rPr>
              <w:t xml:space="preserve">Diagnostic </w:t>
            </w:r>
            <w:r w:rsidR="007B474A" w:rsidRPr="00CD1518">
              <w:rPr>
                <w:color w:val="000000"/>
                <w:sz w:val="12"/>
                <w:lang w:eastAsia="en-AU"/>
              </w:rPr>
              <w:t>Imaging</w:t>
            </w:r>
            <w:r w:rsidRPr="00CD1518">
              <w:rPr>
                <w:color w:val="000000"/>
                <w:sz w:val="12"/>
                <w:lang w:eastAsia="en-AU"/>
              </w:rPr>
              <w:t xml:space="preserve"> </w:t>
            </w:r>
          </w:p>
        </w:tc>
        <w:tc>
          <w:tcPr>
            <w:tcW w:w="488"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1,715,950</w:t>
            </w:r>
          </w:p>
        </w:tc>
        <w:tc>
          <w:tcPr>
            <w:tcW w:w="486" w:type="pct"/>
            <w:tcBorders>
              <w:top w:val="nil"/>
              <w:left w:val="nil"/>
              <w:bottom w:val="nil"/>
              <w:right w:val="nil"/>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1,715,950</w:t>
            </w:r>
          </w:p>
        </w:tc>
        <w:tc>
          <w:tcPr>
            <w:tcW w:w="242"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nil"/>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895,675</w:t>
            </w:r>
          </w:p>
        </w:tc>
        <w:tc>
          <w:tcPr>
            <w:tcW w:w="469"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365,875</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398,200</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1,659,750</w:t>
            </w:r>
          </w:p>
        </w:tc>
        <w:tc>
          <w:tcPr>
            <w:tcW w:w="436" w:type="pct"/>
            <w:tcBorders>
              <w:top w:val="nil"/>
              <w:left w:val="nil"/>
              <w:bottom w:val="nil"/>
              <w:right w:val="nil"/>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36"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56,200</w:t>
            </w:r>
          </w:p>
        </w:tc>
        <w:tc>
          <w:tcPr>
            <w:tcW w:w="323" w:type="pct"/>
            <w:tcBorders>
              <w:top w:val="nil"/>
              <w:left w:val="nil"/>
              <w:bottom w:val="nil"/>
              <w:right w:val="single" w:sz="4" w:space="0" w:color="5B9BD5"/>
            </w:tcBorders>
            <w:shd w:val="clear" w:color="000000" w:fill="DDEBF7"/>
            <w:noWrap/>
            <w:vAlign w:val="center"/>
            <w:hideMark/>
          </w:tcPr>
          <w:p w:rsidR="004D0865" w:rsidRPr="00CD1518" w:rsidRDefault="004D0865">
            <w:pPr>
              <w:spacing w:line="240" w:lineRule="auto"/>
              <w:jc w:val="right"/>
              <w:rPr>
                <w:color w:val="000000"/>
                <w:sz w:val="12"/>
                <w:lang w:eastAsia="en-AU"/>
              </w:rPr>
            </w:pPr>
            <w:r w:rsidRPr="00CD1518">
              <w:rPr>
                <w:color w:val="000000"/>
                <w:sz w:val="12"/>
                <w:lang w:eastAsia="en-AU"/>
              </w:rPr>
              <w:t>97%</w:t>
            </w:r>
          </w:p>
        </w:tc>
      </w:tr>
      <w:tr w:rsidR="003E3288" w:rsidRPr="004D0865" w:rsidTr="00B53993">
        <w:trPr>
          <w:trHeight w:val="260"/>
        </w:trPr>
        <w:tc>
          <w:tcPr>
            <w:tcW w:w="713" w:type="pct"/>
            <w:tcBorders>
              <w:top w:val="nil"/>
              <w:left w:val="single" w:sz="4" w:space="0" w:color="5B9BD5"/>
              <w:bottom w:val="nil"/>
              <w:right w:val="nil"/>
            </w:tcBorders>
            <w:shd w:val="clear" w:color="000000" w:fill="FFFFFF"/>
            <w:noWrap/>
            <w:vAlign w:val="center"/>
            <w:hideMark/>
          </w:tcPr>
          <w:p w:rsidR="004D0865" w:rsidRPr="00CD1518" w:rsidRDefault="004D0865">
            <w:pPr>
              <w:spacing w:line="240" w:lineRule="auto"/>
              <w:rPr>
                <w:color w:val="000000"/>
                <w:sz w:val="12"/>
                <w:lang w:eastAsia="en-AU"/>
              </w:rPr>
            </w:pPr>
            <w:r w:rsidRPr="00CD1518">
              <w:rPr>
                <w:color w:val="000000"/>
                <w:sz w:val="12"/>
                <w:lang w:eastAsia="en-AU"/>
              </w:rPr>
              <w:t xml:space="preserve">Emergency Presentation </w:t>
            </w:r>
          </w:p>
        </w:tc>
        <w:tc>
          <w:tcPr>
            <w:tcW w:w="488" w:type="pct"/>
            <w:tcBorders>
              <w:top w:val="nil"/>
              <w:left w:val="single" w:sz="4" w:space="0" w:color="5B9BD5"/>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1,690,226</w:t>
            </w:r>
          </w:p>
        </w:tc>
        <w:tc>
          <w:tcPr>
            <w:tcW w:w="486" w:type="pct"/>
            <w:tcBorders>
              <w:top w:val="nil"/>
              <w:left w:val="nil"/>
              <w:bottom w:val="nil"/>
              <w:right w:val="nil"/>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1,690,226</w:t>
            </w:r>
          </w:p>
        </w:tc>
        <w:tc>
          <w:tcPr>
            <w:tcW w:w="242"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nil"/>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single" w:sz="4" w:space="0" w:color="5B9BD5"/>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1,683,530</w:t>
            </w:r>
          </w:p>
        </w:tc>
        <w:tc>
          <w:tcPr>
            <w:tcW w:w="469" w:type="pct"/>
            <w:tcBorders>
              <w:top w:val="nil"/>
              <w:left w:val="nil"/>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1,683,530</w:t>
            </w:r>
          </w:p>
        </w:tc>
        <w:tc>
          <w:tcPr>
            <w:tcW w:w="436" w:type="pct"/>
            <w:tcBorders>
              <w:top w:val="nil"/>
              <w:left w:val="nil"/>
              <w:bottom w:val="nil"/>
              <w:right w:val="nil"/>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36" w:type="pct"/>
            <w:tcBorders>
              <w:top w:val="nil"/>
              <w:left w:val="single" w:sz="4" w:space="0" w:color="5B9BD5"/>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6,696</w:t>
            </w:r>
          </w:p>
        </w:tc>
        <w:tc>
          <w:tcPr>
            <w:tcW w:w="323" w:type="pct"/>
            <w:tcBorders>
              <w:top w:val="nil"/>
              <w:left w:val="nil"/>
              <w:bottom w:val="nil"/>
              <w:right w:val="single" w:sz="4" w:space="0" w:color="5B9BD5"/>
            </w:tcBorders>
            <w:shd w:val="clear" w:color="000000" w:fill="FFFFFF"/>
            <w:noWrap/>
            <w:vAlign w:val="center"/>
            <w:hideMark/>
          </w:tcPr>
          <w:p w:rsidR="004D0865" w:rsidRPr="00CD1518" w:rsidRDefault="004D0865">
            <w:pPr>
              <w:spacing w:line="240" w:lineRule="auto"/>
              <w:jc w:val="right"/>
              <w:rPr>
                <w:color w:val="000000"/>
                <w:sz w:val="12"/>
                <w:lang w:eastAsia="en-AU"/>
              </w:rPr>
            </w:pPr>
            <w:r w:rsidRPr="00CD1518">
              <w:rPr>
                <w:color w:val="000000"/>
                <w:sz w:val="12"/>
                <w:lang w:eastAsia="en-AU"/>
              </w:rPr>
              <w:t>100%</w:t>
            </w:r>
          </w:p>
        </w:tc>
      </w:tr>
      <w:tr w:rsidR="003E3288" w:rsidRPr="004D0865" w:rsidTr="00B53993">
        <w:trPr>
          <w:trHeight w:val="260"/>
        </w:trPr>
        <w:tc>
          <w:tcPr>
            <w:tcW w:w="713" w:type="pct"/>
            <w:tcBorders>
              <w:top w:val="nil"/>
              <w:left w:val="single" w:sz="4" w:space="0" w:color="5B9BD5"/>
              <w:bottom w:val="nil"/>
              <w:right w:val="nil"/>
            </w:tcBorders>
            <w:shd w:val="clear" w:color="000000" w:fill="DDEBF7"/>
            <w:noWrap/>
            <w:vAlign w:val="center"/>
            <w:hideMark/>
          </w:tcPr>
          <w:p w:rsidR="004D0865" w:rsidRPr="00CD1518" w:rsidRDefault="004D0865">
            <w:pPr>
              <w:spacing w:line="240" w:lineRule="auto"/>
              <w:rPr>
                <w:color w:val="000000"/>
                <w:sz w:val="12"/>
                <w:lang w:eastAsia="en-AU"/>
              </w:rPr>
            </w:pPr>
            <w:r w:rsidRPr="00CD1518">
              <w:rPr>
                <w:color w:val="000000"/>
                <w:sz w:val="12"/>
                <w:lang w:eastAsia="en-AU"/>
              </w:rPr>
              <w:t>Medical ATD(</w:t>
            </w:r>
            <w:proofErr w:type="spellStart"/>
            <w:r w:rsidRPr="00CD1518">
              <w:rPr>
                <w:color w:val="000000"/>
                <w:sz w:val="12"/>
                <w:lang w:eastAsia="en-AU"/>
              </w:rPr>
              <w:t>Bedday</w:t>
            </w:r>
            <w:proofErr w:type="spellEnd"/>
            <w:r w:rsidRPr="00CD1518">
              <w:rPr>
                <w:color w:val="000000"/>
                <w:sz w:val="12"/>
                <w:lang w:eastAsia="en-AU"/>
              </w:rPr>
              <w:t xml:space="preserve">) </w:t>
            </w:r>
          </w:p>
        </w:tc>
        <w:tc>
          <w:tcPr>
            <w:tcW w:w="488"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2,675,315</w:t>
            </w:r>
          </w:p>
        </w:tc>
        <w:tc>
          <w:tcPr>
            <w:tcW w:w="486" w:type="pct"/>
            <w:tcBorders>
              <w:top w:val="nil"/>
              <w:left w:val="nil"/>
              <w:bottom w:val="nil"/>
              <w:right w:val="nil"/>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2,675,315</w:t>
            </w:r>
          </w:p>
        </w:tc>
        <w:tc>
          <w:tcPr>
            <w:tcW w:w="242"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nil"/>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2,605,677</w:t>
            </w:r>
          </w:p>
        </w:tc>
        <w:tc>
          <w:tcPr>
            <w:tcW w:w="469"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2,605,677</w:t>
            </w:r>
          </w:p>
        </w:tc>
        <w:tc>
          <w:tcPr>
            <w:tcW w:w="436" w:type="pct"/>
            <w:tcBorders>
              <w:top w:val="nil"/>
              <w:left w:val="nil"/>
              <w:bottom w:val="nil"/>
              <w:right w:val="nil"/>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36"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69,638</w:t>
            </w:r>
          </w:p>
        </w:tc>
        <w:tc>
          <w:tcPr>
            <w:tcW w:w="323" w:type="pct"/>
            <w:tcBorders>
              <w:top w:val="nil"/>
              <w:left w:val="nil"/>
              <w:bottom w:val="nil"/>
              <w:right w:val="single" w:sz="4" w:space="0" w:color="5B9BD5"/>
            </w:tcBorders>
            <w:shd w:val="clear" w:color="000000" w:fill="DDEBF7"/>
            <w:noWrap/>
            <w:vAlign w:val="center"/>
            <w:hideMark/>
          </w:tcPr>
          <w:p w:rsidR="004D0865" w:rsidRPr="00CD1518" w:rsidRDefault="004D0865">
            <w:pPr>
              <w:spacing w:line="240" w:lineRule="auto"/>
              <w:jc w:val="right"/>
              <w:rPr>
                <w:color w:val="000000"/>
                <w:sz w:val="12"/>
                <w:lang w:eastAsia="en-AU"/>
              </w:rPr>
            </w:pPr>
            <w:r w:rsidRPr="00CD1518">
              <w:rPr>
                <w:color w:val="000000"/>
                <w:sz w:val="12"/>
                <w:lang w:eastAsia="en-AU"/>
              </w:rPr>
              <w:t>97%</w:t>
            </w:r>
          </w:p>
        </w:tc>
      </w:tr>
      <w:tr w:rsidR="003E3288" w:rsidRPr="004D0865" w:rsidTr="00B53993">
        <w:trPr>
          <w:trHeight w:val="260"/>
        </w:trPr>
        <w:tc>
          <w:tcPr>
            <w:tcW w:w="713" w:type="pct"/>
            <w:tcBorders>
              <w:top w:val="nil"/>
              <w:left w:val="single" w:sz="4" w:space="0" w:color="5B9BD5"/>
              <w:bottom w:val="nil"/>
              <w:right w:val="nil"/>
            </w:tcBorders>
            <w:shd w:val="clear" w:color="000000" w:fill="FFFFFF"/>
            <w:noWrap/>
            <w:vAlign w:val="center"/>
            <w:hideMark/>
          </w:tcPr>
          <w:p w:rsidR="004D0865" w:rsidRPr="00CD1518" w:rsidRDefault="004D0865">
            <w:pPr>
              <w:spacing w:line="240" w:lineRule="auto"/>
              <w:rPr>
                <w:color w:val="000000"/>
                <w:sz w:val="12"/>
                <w:lang w:eastAsia="en-AU"/>
              </w:rPr>
            </w:pPr>
            <w:r w:rsidRPr="00CD1518">
              <w:rPr>
                <w:color w:val="000000"/>
                <w:sz w:val="12"/>
                <w:lang w:eastAsia="en-AU"/>
              </w:rPr>
              <w:t xml:space="preserve">Nursing Acuity </w:t>
            </w:r>
          </w:p>
        </w:tc>
        <w:tc>
          <w:tcPr>
            <w:tcW w:w="488" w:type="pct"/>
            <w:tcBorders>
              <w:top w:val="nil"/>
              <w:left w:val="single" w:sz="4" w:space="0" w:color="5B9BD5"/>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649,938</w:t>
            </w:r>
          </w:p>
        </w:tc>
        <w:tc>
          <w:tcPr>
            <w:tcW w:w="486" w:type="pct"/>
            <w:tcBorders>
              <w:top w:val="nil"/>
              <w:left w:val="nil"/>
              <w:bottom w:val="nil"/>
              <w:right w:val="nil"/>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649,938</w:t>
            </w:r>
          </w:p>
        </w:tc>
        <w:tc>
          <w:tcPr>
            <w:tcW w:w="242"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nil"/>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638,636</w:t>
            </w:r>
          </w:p>
        </w:tc>
        <w:tc>
          <w:tcPr>
            <w:tcW w:w="469" w:type="pct"/>
            <w:tcBorders>
              <w:top w:val="nil"/>
              <w:left w:val="single" w:sz="4" w:space="0" w:color="5B9BD5"/>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638,636</w:t>
            </w:r>
          </w:p>
        </w:tc>
        <w:tc>
          <w:tcPr>
            <w:tcW w:w="436" w:type="pct"/>
            <w:tcBorders>
              <w:top w:val="nil"/>
              <w:left w:val="nil"/>
              <w:bottom w:val="nil"/>
              <w:right w:val="nil"/>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36" w:type="pct"/>
            <w:tcBorders>
              <w:top w:val="nil"/>
              <w:left w:val="single" w:sz="4" w:space="0" w:color="5B9BD5"/>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11,302</w:t>
            </w:r>
          </w:p>
        </w:tc>
        <w:tc>
          <w:tcPr>
            <w:tcW w:w="323" w:type="pct"/>
            <w:tcBorders>
              <w:top w:val="nil"/>
              <w:left w:val="nil"/>
              <w:bottom w:val="nil"/>
              <w:right w:val="single" w:sz="4" w:space="0" w:color="5B9BD5"/>
            </w:tcBorders>
            <w:shd w:val="clear" w:color="000000" w:fill="FFFFFF"/>
            <w:noWrap/>
            <w:vAlign w:val="center"/>
            <w:hideMark/>
          </w:tcPr>
          <w:p w:rsidR="004D0865" w:rsidRPr="00CD1518" w:rsidRDefault="004D0865">
            <w:pPr>
              <w:spacing w:line="240" w:lineRule="auto"/>
              <w:jc w:val="right"/>
              <w:rPr>
                <w:color w:val="000000"/>
                <w:sz w:val="12"/>
                <w:lang w:eastAsia="en-AU"/>
              </w:rPr>
            </w:pPr>
            <w:r w:rsidRPr="00CD1518">
              <w:rPr>
                <w:color w:val="000000"/>
                <w:sz w:val="12"/>
                <w:lang w:eastAsia="en-AU"/>
              </w:rPr>
              <w:t>98%</w:t>
            </w:r>
          </w:p>
        </w:tc>
      </w:tr>
      <w:tr w:rsidR="003E3288" w:rsidRPr="004D0865" w:rsidTr="00B53993">
        <w:trPr>
          <w:trHeight w:val="260"/>
        </w:trPr>
        <w:tc>
          <w:tcPr>
            <w:tcW w:w="713" w:type="pct"/>
            <w:tcBorders>
              <w:top w:val="nil"/>
              <w:left w:val="single" w:sz="4" w:space="0" w:color="5B9BD5"/>
              <w:bottom w:val="nil"/>
              <w:right w:val="nil"/>
            </w:tcBorders>
            <w:shd w:val="clear" w:color="000000" w:fill="DDEBF7"/>
            <w:noWrap/>
            <w:vAlign w:val="center"/>
            <w:hideMark/>
          </w:tcPr>
          <w:p w:rsidR="004D0865" w:rsidRPr="00CD1518" w:rsidRDefault="004D0865">
            <w:pPr>
              <w:spacing w:line="240" w:lineRule="auto"/>
              <w:rPr>
                <w:color w:val="000000"/>
                <w:sz w:val="12"/>
                <w:lang w:eastAsia="en-AU"/>
              </w:rPr>
            </w:pPr>
            <w:r w:rsidRPr="00CD1518">
              <w:rPr>
                <w:color w:val="000000"/>
                <w:sz w:val="12"/>
                <w:lang w:eastAsia="en-AU"/>
              </w:rPr>
              <w:t>Nursing ATD(</w:t>
            </w:r>
            <w:proofErr w:type="spellStart"/>
            <w:r w:rsidRPr="00CD1518">
              <w:rPr>
                <w:color w:val="000000"/>
                <w:sz w:val="12"/>
                <w:lang w:eastAsia="en-AU"/>
              </w:rPr>
              <w:t>Bedday</w:t>
            </w:r>
            <w:proofErr w:type="spellEnd"/>
            <w:r w:rsidRPr="00CD1518">
              <w:rPr>
                <w:color w:val="000000"/>
                <w:sz w:val="12"/>
                <w:lang w:eastAsia="en-AU"/>
              </w:rPr>
              <w:t>) Data</w:t>
            </w:r>
          </w:p>
        </w:tc>
        <w:tc>
          <w:tcPr>
            <w:tcW w:w="488"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16,994,030</w:t>
            </w:r>
          </w:p>
        </w:tc>
        <w:tc>
          <w:tcPr>
            <w:tcW w:w="486" w:type="pct"/>
            <w:tcBorders>
              <w:top w:val="nil"/>
              <w:left w:val="nil"/>
              <w:bottom w:val="nil"/>
              <w:right w:val="nil"/>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16,994,030</w:t>
            </w:r>
          </w:p>
        </w:tc>
        <w:tc>
          <w:tcPr>
            <w:tcW w:w="242"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nil"/>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16,574,130</w:t>
            </w:r>
          </w:p>
        </w:tc>
        <w:tc>
          <w:tcPr>
            <w:tcW w:w="469"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16,574,130</w:t>
            </w:r>
          </w:p>
        </w:tc>
        <w:tc>
          <w:tcPr>
            <w:tcW w:w="436" w:type="pct"/>
            <w:tcBorders>
              <w:top w:val="nil"/>
              <w:left w:val="nil"/>
              <w:bottom w:val="nil"/>
              <w:right w:val="nil"/>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36"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419,900</w:t>
            </w:r>
          </w:p>
        </w:tc>
        <w:tc>
          <w:tcPr>
            <w:tcW w:w="323" w:type="pct"/>
            <w:tcBorders>
              <w:top w:val="nil"/>
              <w:left w:val="nil"/>
              <w:bottom w:val="nil"/>
              <w:right w:val="single" w:sz="4" w:space="0" w:color="5B9BD5"/>
            </w:tcBorders>
            <w:shd w:val="clear" w:color="000000" w:fill="DDEBF7"/>
            <w:noWrap/>
            <w:vAlign w:val="center"/>
            <w:hideMark/>
          </w:tcPr>
          <w:p w:rsidR="004D0865" w:rsidRPr="00CD1518" w:rsidRDefault="004D0865">
            <w:pPr>
              <w:spacing w:line="240" w:lineRule="auto"/>
              <w:jc w:val="right"/>
              <w:rPr>
                <w:color w:val="000000"/>
                <w:sz w:val="12"/>
                <w:lang w:eastAsia="en-AU"/>
              </w:rPr>
            </w:pPr>
            <w:r w:rsidRPr="00CD1518">
              <w:rPr>
                <w:color w:val="000000"/>
                <w:sz w:val="12"/>
                <w:lang w:eastAsia="en-AU"/>
              </w:rPr>
              <w:t>98%</w:t>
            </w:r>
          </w:p>
        </w:tc>
      </w:tr>
      <w:tr w:rsidR="003E3288" w:rsidRPr="004D0865" w:rsidTr="00B53993">
        <w:trPr>
          <w:trHeight w:val="260"/>
        </w:trPr>
        <w:tc>
          <w:tcPr>
            <w:tcW w:w="713" w:type="pct"/>
            <w:tcBorders>
              <w:top w:val="nil"/>
              <w:left w:val="single" w:sz="4" w:space="0" w:color="5B9BD5"/>
              <w:bottom w:val="nil"/>
              <w:right w:val="nil"/>
            </w:tcBorders>
            <w:shd w:val="clear" w:color="000000" w:fill="FFFFFF"/>
            <w:noWrap/>
            <w:vAlign w:val="center"/>
            <w:hideMark/>
          </w:tcPr>
          <w:p w:rsidR="004D0865" w:rsidRPr="00CD1518" w:rsidRDefault="004D0865">
            <w:pPr>
              <w:spacing w:line="240" w:lineRule="auto"/>
              <w:rPr>
                <w:color w:val="000000"/>
                <w:sz w:val="12"/>
                <w:lang w:eastAsia="en-AU"/>
              </w:rPr>
            </w:pPr>
            <w:r>
              <w:rPr>
                <w:color w:val="000000"/>
                <w:sz w:val="12"/>
                <w:lang w:eastAsia="en-AU"/>
              </w:rPr>
              <w:t>Operating Theatre</w:t>
            </w:r>
          </w:p>
        </w:tc>
        <w:tc>
          <w:tcPr>
            <w:tcW w:w="488" w:type="pct"/>
            <w:tcBorders>
              <w:top w:val="nil"/>
              <w:left w:val="single" w:sz="4" w:space="0" w:color="5B9BD5"/>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1,329,194</w:t>
            </w:r>
          </w:p>
        </w:tc>
        <w:tc>
          <w:tcPr>
            <w:tcW w:w="486" w:type="pct"/>
            <w:tcBorders>
              <w:top w:val="nil"/>
              <w:left w:val="nil"/>
              <w:bottom w:val="nil"/>
              <w:right w:val="nil"/>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1,329,194</w:t>
            </w:r>
          </w:p>
        </w:tc>
        <w:tc>
          <w:tcPr>
            <w:tcW w:w="242"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nil"/>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1,318,353</w:t>
            </w:r>
          </w:p>
        </w:tc>
        <w:tc>
          <w:tcPr>
            <w:tcW w:w="469" w:type="pct"/>
            <w:tcBorders>
              <w:top w:val="nil"/>
              <w:left w:val="single" w:sz="4" w:space="0" w:color="5B9BD5"/>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1,318,353</w:t>
            </w:r>
          </w:p>
        </w:tc>
        <w:tc>
          <w:tcPr>
            <w:tcW w:w="436" w:type="pct"/>
            <w:tcBorders>
              <w:top w:val="nil"/>
              <w:left w:val="nil"/>
              <w:bottom w:val="nil"/>
              <w:right w:val="nil"/>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36" w:type="pct"/>
            <w:tcBorders>
              <w:top w:val="nil"/>
              <w:left w:val="single" w:sz="4" w:space="0" w:color="5B9BD5"/>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10,841</w:t>
            </w:r>
          </w:p>
        </w:tc>
        <w:tc>
          <w:tcPr>
            <w:tcW w:w="323" w:type="pct"/>
            <w:tcBorders>
              <w:top w:val="nil"/>
              <w:left w:val="nil"/>
              <w:bottom w:val="nil"/>
              <w:right w:val="single" w:sz="4" w:space="0" w:color="5B9BD5"/>
            </w:tcBorders>
            <w:shd w:val="clear" w:color="000000" w:fill="FFFFFF"/>
            <w:noWrap/>
            <w:vAlign w:val="center"/>
            <w:hideMark/>
          </w:tcPr>
          <w:p w:rsidR="004D0865" w:rsidRPr="00CD1518" w:rsidRDefault="004D0865">
            <w:pPr>
              <w:spacing w:line="240" w:lineRule="auto"/>
              <w:jc w:val="right"/>
              <w:rPr>
                <w:color w:val="000000"/>
                <w:sz w:val="12"/>
                <w:lang w:eastAsia="en-AU"/>
              </w:rPr>
            </w:pPr>
            <w:r w:rsidRPr="00CD1518">
              <w:rPr>
                <w:color w:val="000000"/>
                <w:sz w:val="12"/>
                <w:lang w:eastAsia="en-AU"/>
              </w:rPr>
              <w:t>99%</w:t>
            </w:r>
          </w:p>
        </w:tc>
      </w:tr>
      <w:tr w:rsidR="003E3288" w:rsidRPr="004D0865" w:rsidTr="00B53993">
        <w:trPr>
          <w:trHeight w:val="260"/>
        </w:trPr>
        <w:tc>
          <w:tcPr>
            <w:tcW w:w="713" w:type="pct"/>
            <w:tcBorders>
              <w:top w:val="nil"/>
              <w:left w:val="single" w:sz="4" w:space="0" w:color="5B9BD5"/>
              <w:bottom w:val="nil"/>
              <w:right w:val="nil"/>
            </w:tcBorders>
            <w:shd w:val="clear" w:color="000000" w:fill="DDEBF7"/>
            <w:noWrap/>
            <w:vAlign w:val="center"/>
            <w:hideMark/>
          </w:tcPr>
          <w:p w:rsidR="004D0865" w:rsidRPr="00CD1518" w:rsidRDefault="004D0865">
            <w:pPr>
              <w:spacing w:line="240" w:lineRule="auto"/>
              <w:rPr>
                <w:color w:val="000000"/>
                <w:sz w:val="12"/>
                <w:lang w:eastAsia="en-AU"/>
              </w:rPr>
            </w:pPr>
            <w:r w:rsidRPr="00CD1518">
              <w:rPr>
                <w:color w:val="000000"/>
                <w:sz w:val="12"/>
                <w:lang w:eastAsia="en-AU"/>
              </w:rPr>
              <w:t xml:space="preserve">Pathology </w:t>
            </w:r>
          </w:p>
        </w:tc>
        <w:tc>
          <w:tcPr>
            <w:tcW w:w="488"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315,106</w:t>
            </w:r>
          </w:p>
        </w:tc>
        <w:tc>
          <w:tcPr>
            <w:tcW w:w="486" w:type="pct"/>
            <w:tcBorders>
              <w:top w:val="nil"/>
              <w:left w:val="nil"/>
              <w:bottom w:val="nil"/>
              <w:right w:val="nil"/>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315,106</w:t>
            </w:r>
          </w:p>
        </w:tc>
        <w:tc>
          <w:tcPr>
            <w:tcW w:w="242"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nil"/>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243,554</w:t>
            </w:r>
          </w:p>
        </w:tc>
        <w:tc>
          <w:tcPr>
            <w:tcW w:w="469"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43,332</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22,992</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309,878</w:t>
            </w:r>
          </w:p>
        </w:tc>
        <w:tc>
          <w:tcPr>
            <w:tcW w:w="436" w:type="pct"/>
            <w:tcBorders>
              <w:top w:val="nil"/>
              <w:left w:val="nil"/>
              <w:bottom w:val="nil"/>
              <w:right w:val="nil"/>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36"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5,228</w:t>
            </w:r>
          </w:p>
        </w:tc>
        <w:tc>
          <w:tcPr>
            <w:tcW w:w="323" w:type="pct"/>
            <w:tcBorders>
              <w:top w:val="nil"/>
              <w:left w:val="nil"/>
              <w:bottom w:val="nil"/>
              <w:right w:val="single" w:sz="4" w:space="0" w:color="5B9BD5"/>
            </w:tcBorders>
            <w:shd w:val="clear" w:color="000000" w:fill="DDEBF7"/>
            <w:noWrap/>
            <w:vAlign w:val="center"/>
            <w:hideMark/>
          </w:tcPr>
          <w:p w:rsidR="004D0865" w:rsidRPr="00CD1518" w:rsidRDefault="004D0865">
            <w:pPr>
              <w:spacing w:line="240" w:lineRule="auto"/>
              <w:jc w:val="right"/>
              <w:rPr>
                <w:color w:val="000000"/>
                <w:sz w:val="12"/>
                <w:lang w:eastAsia="en-AU"/>
              </w:rPr>
            </w:pPr>
            <w:r w:rsidRPr="00CD1518">
              <w:rPr>
                <w:color w:val="000000"/>
                <w:sz w:val="12"/>
                <w:lang w:eastAsia="en-AU"/>
              </w:rPr>
              <w:t>98%</w:t>
            </w:r>
          </w:p>
        </w:tc>
      </w:tr>
      <w:tr w:rsidR="003E3288" w:rsidRPr="004D0865" w:rsidTr="00B53993">
        <w:trPr>
          <w:trHeight w:val="260"/>
        </w:trPr>
        <w:tc>
          <w:tcPr>
            <w:tcW w:w="713" w:type="pct"/>
            <w:tcBorders>
              <w:top w:val="nil"/>
              <w:left w:val="single" w:sz="4" w:space="0" w:color="5B9BD5"/>
              <w:bottom w:val="nil"/>
              <w:right w:val="nil"/>
            </w:tcBorders>
            <w:shd w:val="clear" w:color="000000" w:fill="FFFFFF"/>
            <w:noWrap/>
            <w:vAlign w:val="center"/>
            <w:hideMark/>
          </w:tcPr>
          <w:p w:rsidR="004D0865" w:rsidRPr="00CD1518" w:rsidRDefault="004D0865">
            <w:pPr>
              <w:spacing w:line="240" w:lineRule="auto"/>
              <w:rPr>
                <w:color w:val="000000"/>
                <w:sz w:val="12"/>
                <w:lang w:eastAsia="en-AU"/>
              </w:rPr>
            </w:pPr>
            <w:r w:rsidRPr="00CD1518">
              <w:rPr>
                <w:color w:val="000000"/>
                <w:sz w:val="12"/>
                <w:lang w:eastAsia="en-AU"/>
              </w:rPr>
              <w:t xml:space="preserve">Pharmacy </w:t>
            </w:r>
          </w:p>
        </w:tc>
        <w:tc>
          <w:tcPr>
            <w:tcW w:w="488" w:type="pct"/>
            <w:tcBorders>
              <w:top w:val="nil"/>
              <w:left w:val="single" w:sz="4" w:space="0" w:color="5B9BD5"/>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821,036</w:t>
            </w:r>
          </w:p>
        </w:tc>
        <w:tc>
          <w:tcPr>
            <w:tcW w:w="486" w:type="pct"/>
            <w:tcBorders>
              <w:top w:val="nil"/>
              <w:left w:val="nil"/>
              <w:bottom w:val="nil"/>
              <w:right w:val="nil"/>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821,036</w:t>
            </w:r>
          </w:p>
        </w:tc>
        <w:tc>
          <w:tcPr>
            <w:tcW w:w="242" w:type="pct"/>
            <w:tcBorders>
              <w:top w:val="nil"/>
              <w:left w:val="single" w:sz="4" w:space="0" w:color="5B9BD5"/>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nil"/>
              <w:right w:val="nil"/>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506,537</w:t>
            </w:r>
          </w:p>
        </w:tc>
        <w:tc>
          <w:tcPr>
            <w:tcW w:w="469" w:type="pct"/>
            <w:tcBorders>
              <w:top w:val="nil"/>
              <w:left w:val="single" w:sz="4" w:space="0" w:color="5B9BD5"/>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1,372</w:t>
            </w:r>
          </w:p>
        </w:tc>
        <w:tc>
          <w:tcPr>
            <w:tcW w:w="469" w:type="pct"/>
            <w:tcBorders>
              <w:top w:val="nil"/>
              <w:left w:val="nil"/>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251,334</w:t>
            </w:r>
          </w:p>
        </w:tc>
        <w:tc>
          <w:tcPr>
            <w:tcW w:w="469" w:type="pct"/>
            <w:tcBorders>
              <w:top w:val="nil"/>
              <w:left w:val="nil"/>
              <w:bottom w:val="nil"/>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759,243</w:t>
            </w:r>
          </w:p>
        </w:tc>
        <w:tc>
          <w:tcPr>
            <w:tcW w:w="436" w:type="pct"/>
            <w:tcBorders>
              <w:top w:val="nil"/>
              <w:left w:val="nil"/>
              <w:bottom w:val="nil"/>
              <w:right w:val="nil"/>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36" w:type="pct"/>
            <w:tcBorders>
              <w:top w:val="nil"/>
              <w:left w:val="single" w:sz="4" w:space="0" w:color="5B9BD5"/>
              <w:bottom w:val="nil"/>
              <w:right w:val="single" w:sz="4" w:space="0" w:color="5B9BD5"/>
            </w:tcBorders>
            <w:shd w:val="clear" w:color="000000" w:fill="FFFFFF"/>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61,793</w:t>
            </w:r>
          </w:p>
        </w:tc>
        <w:tc>
          <w:tcPr>
            <w:tcW w:w="323" w:type="pct"/>
            <w:tcBorders>
              <w:top w:val="nil"/>
              <w:left w:val="nil"/>
              <w:bottom w:val="nil"/>
              <w:right w:val="single" w:sz="4" w:space="0" w:color="5B9BD5"/>
            </w:tcBorders>
            <w:shd w:val="clear" w:color="000000" w:fill="FFFFFF"/>
            <w:noWrap/>
            <w:vAlign w:val="center"/>
            <w:hideMark/>
          </w:tcPr>
          <w:p w:rsidR="004D0865" w:rsidRPr="00CD1518" w:rsidRDefault="004D0865">
            <w:pPr>
              <w:spacing w:line="240" w:lineRule="auto"/>
              <w:jc w:val="right"/>
              <w:rPr>
                <w:color w:val="000000"/>
                <w:sz w:val="12"/>
                <w:lang w:eastAsia="en-AU"/>
              </w:rPr>
            </w:pPr>
            <w:r w:rsidRPr="00CD1518">
              <w:rPr>
                <w:color w:val="000000"/>
                <w:sz w:val="12"/>
                <w:lang w:eastAsia="en-AU"/>
              </w:rPr>
              <w:t>92%</w:t>
            </w:r>
          </w:p>
        </w:tc>
      </w:tr>
      <w:tr w:rsidR="003E3288" w:rsidRPr="004D0865" w:rsidTr="00B53993">
        <w:trPr>
          <w:trHeight w:val="260"/>
        </w:trPr>
        <w:tc>
          <w:tcPr>
            <w:tcW w:w="713" w:type="pct"/>
            <w:tcBorders>
              <w:top w:val="nil"/>
              <w:left w:val="single" w:sz="4" w:space="0" w:color="5B9BD5"/>
              <w:bottom w:val="single" w:sz="4" w:space="0" w:color="5B9BD5"/>
              <w:right w:val="nil"/>
            </w:tcBorders>
            <w:shd w:val="clear" w:color="000000" w:fill="DDEBF7"/>
            <w:noWrap/>
            <w:vAlign w:val="center"/>
            <w:hideMark/>
          </w:tcPr>
          <w:p w:rsidR="004D0865" w:rsidRPr="00CD1518" w:rsidRDefault="004D0865">
            <w:pPr>
              <w:spacing w:line="240" w:lineRule="auto"/>
              <w:rPr>
                <w:color w:val="000000"/>
                <w:sz w:val="12"/>
                <w:lang w:eastAsia="en-AU"/>
              </w:rPr>
            </w:pPr>
            <w:r w:rsidRPr="00CD1518">
              <w:rPr>
                <w:color w:val="000000"/>
                <w:sz w:val="12"/>
                <w:lang w:eastAsia="en-AU"/>
              </w:rPr>
              <w:t xml:space="preserve">Virtual Patient </w:t>
            </w:r>
          </w:p>
        </w:tc>
        <w:tc>
          <w:tcPr>
            <w:tcW w:w="488" w:type="pct"/>
            <w:tcBorders>
              <w:top w:val="nil"/>
              <w:left w:val="single" w:sz="4" w:space="0" w:color="5B9BD5"/>
              <w:bottom w:val="single" w:sz="4" w:space="0" w:color="5B9BD5"/>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2,532</w:t>
            </w:r>
          </w:p>
        </w:tc>
        <w:tc>
          <w:tcPr>
            <w:tcW w:w="486" w:type="pct"/>
            <w:tcBorders>
              <w:top w:val="nil"/>
              <w:left w:val="nil"/>
              <w:bottom w:val="single" w:sz="4" w:space="0" w:color="5B9BD5"/>
              <w:right w:val="nil"/>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2,532</w:t>
            </w:r>
          </w:p>
        </w:tc>
        <w:tc>
          <w:tcPr>
            <w:tcW w:w="242" w:type="pct"/>
            <w:tcBorders>
              <w:top w:val="nil"/>
              <w:left w:val="single" w:sz="4" w:space="0" w:color="5B9BD5"/>
              <w:bottom w:val="single" w:sz="4" w:space="0" w:color="5B9BD5"/>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single" w:sz="4" w:space="0" w:color="5B9BD5"/>
              <w:right w:val="nil"/>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single" w:sz="4" w:space="0" w:color="5B9BD5"/>
              <w:bottom w:val="single" w:sz="4" w:space="0" w:color="5B9BD5"/>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single" w:sz="4" w:space="0" w:color="5B9BD5"/>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69" w:type="pct"/>
            <w:tcBorders>
              <w:top w:val="nil"/>
              <w:left w:val="nil"/>
              <w:bottom w:val="single" w:sz="4" w:space="0" w:color="5B9BD5"/>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36" w:type="pct"/>
            <w:tcBorders>
              <w:top w:val="nil"/>
              <w:left w:val="nil"/>
              <w:bottom w:val="single" w:sz="4" w:space="0" w:color="5B9BD5"/>
              <w:right w:val="nil"/>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w:t>
            </w:r>
          </w:p>
        </w:tc>
        <w:tc>
          <w:tcPr>
            <w:tcW w:w="436" w:type="pct"/>
            <w:tcBorders>
              <w:top w:val="nil"/>
              <w:left w:val="single" w:sz="4" w:space="0" w:color="5B9BD5"/>
              <w:bottom w:val="single" w:sz="4" w:space="0" w:color="5B9BD5"/>
              <w:right w:val="single" w:sz="4" w:space="0" w:color="5B9BD5"/>
            </w:tcBorders>
            <w:shd w:val="clear" w:color="000000" w:fill="DDEBF7"/>
            <w:noWrap/>
            <w:vAlign w:val="center"/>
            <w:hideMark/>
          </w:tcPr>
          <w:p w:rsidR="004D0865" w:rsidRPr="00CD1518" w:rsidRDefault="004D0865" w:rsidP="00CD1518">
            <w:pPr>
              <w:spacing w:line="240" w:lineRule="auto"/>
              <w:jc w:val="right"/>
              <w:rPr>
                <w:color w:val="000000"/>
                <w:sz w:val="12"/>
                <w:lang w:eastAsia="en-AU"/>
              </w:rPr>
            </w:pPr>
            <w:r w:rsidRPr="00CD1518">
              <w:rPr>
                <w:color w:val="000000"/>
                <w:sz w:val="12"/>
                <w:lang w:eastAsia="en-AU"/>
              </w:rPr>
              <w:t>2,532</w:t>
            </w:r>
          </w:p>
        </w:tc>
        <w:tc>
          <w:tcPr>
            <w:tcW w:w="323" w:type="pct"/>
            <w:tcBorders>
              <w:top w:val="nil"/>
              <w:left w:val="nil"/>
              <w:bottom w:val="single" w:sz="4" w:space="0" w:color="5B9BD5"/>
              <w:right w:val="single" w:sz="4" w:space="0" w:color="5B9BD5"/>
            </w:tcBorders>
            <w:shd w:val="clear" w:color="000000" w:fill="DDEBF7"/>
            <w:noWrap/>
            <w:vAlign w:val="center"/>
            <w:hideMark/>
          </w:tcPr>
          <w:p w:rsidR="004D0865" w:rsidRPr="00CD1518" w:rsidRDefault="004D0865">
            <w:pPr>
              <w:spacing w:line="240" w:lineRule="auto"/>
              <w:jc w:val="right"/>
              <w:rPr>
                <w:color w:val="000000"/>
                <w:sz w:val="12"/>
                <w:lang w:eastAsia="en-AU"/>
              </w:rPr>
            </w:pPr>
            <w:r w:rsidRPr="00CD1518">
              <w:rPr>
                <w:color w:val="000000"/>
                <w:sz w:val="12"/>
                <w:lang w:eastAsia="en-AU"/>
              </w:rPr>
              <w:t>0%</w:t>
            </w:r>
          </w:p>
        </w:tc>
      </w:tr>
    </w:tbl>
    <w:p w:rsidR="00273A0D" w:rsidRPr="00975E6B" w:rsidRDefault="00273A0D" w:rsidP="00273A0D">
      <w:pPr>
        <w:rPr>
          <w:bCs/>
          <w:i/>
          <w:sz w:val="16"/>
          <w:szCs w:val="16"/>
        </w:rPr>
      </w:pPr>
      <w:r w:rsidRPr="00975E6B">
        <w:rPr>
          <w:bCs/>
          <w:i/>
          <w:sz w:val="16"/>
          <w:szCs w:val="16"/>
        </w:rPr>
        <w:t>Source: KPMG based on Ipswich Hospital IFR templates</w:t>
      </w:r>
    </w:p>
    <w:p w:rsidR="00273A0D" w:rsidRPr="00975E6B" w:rsidRDefault="00273A0D" w:rsidP="00273A0D">
      <w:pPr>
        <w:pStyle w:val="BodyText"/>
      </w:pPr>
      <w:r w:rsidRPr="00975E6B">
        <w:t>The following should be noted about the activity and feeder data for Ipswich Hospital:</w:t>
      </w:r>
    </w:p>
    <w:p w:rsidR="00273A0D" w:rsidRPr="00975E6B" w:rsidRDefault="00273A0D" w:rsidP="00F26328">
      <w:pPr>
        <w:pStyle w:val="BodyText"/>
        <w:numPr>
          <w:ilvl w:val="0"/>
          <w:numId w:val="35"/>
        </w:numPr>
      </w:pPr>
      <w:r w:rsidRPr="00975E6B">
        <w:lastRenderedPageBreak/>
        <w:t xml:space="preserve">Activity data is cleansed through Talons (a program that links activity) on a monthly basis prior to entry into Transition 2. Only valid records (where there is no </w:t>
      </w:r>
      <w:r w:rsidR="008D56DE" w:rsidRPr="00975E6B">
        <w:t xml:space="preserve">unlinked </w:t>
      </w:r>
      <w:r w:rsidRPr="00975E6B">
        <w:t xml:space="preserve">activity) are loaded to the costing system. This explains why there </w:t>
      </w:r>
      <w:r w:rsidR="000C19A6" w:rsidRPr="00975E6B">
        <w:t>were no variances</w:t>
      </w:r>
      <w:r w:rsidRPr="00975E6B">
        <w:t xml:space="preserve"> between the source activity data and the costing system. </w:t>
      </w:r>
    </w:p>
    <w:p w:rsidR="00C57A2A" w:rsidRPr="00975E6B" w:rsidRDefault="00C57A2A" w:rsidP="00F26328">
      <w:pPr>
        <w:pStyle w:val="BodyText"/>
        <w:numPr>
          <w:ilvl w:val="0"/>
          <w:numId w:val="35"/>
        </w:numPr>
      </w:pPr>
      <w:r w:rsidRPr="00975E6B">
        <w:t>Unlinked records include encounters related to patients that “Failed to Attend” and “Did Not Wait”. These encounters are assigned a Relative Value Unit (RVU).</w:t>
      </w:r>
    </w:p>
    <w:p w:rsidR="00871C58" w:rsidRPr="00975E6B" w:rsidRDefault="00871C58" w:rsidP="00F26328">
      <w:pPr>
        <w:pStyle w:val="BodyText"/>
        <w:numPr>
          <w:ilvl w:val="0"/>
          <w:numId w:val="35"/>
        </w:numPr>
      </w:pPr>
      <w:r w:rsidRPr="00975E6B">
        <w:t xml:space="preserve">Unlinked pharmacy encounters related mostly to zero cost encounters (where a pharmacy drug is returned and offsets the costs allocated to a patient). Other linkage issues occurred where the pharmacy date stamp was recorded after the patient had returned home. </w:t>
      </w:r>
    </w:p>
    <w:p w:rsidR="00273A0D" w:rsidRPr="00975E6B" w:rsidRDefault="00273A0D" w:rsidP="00F26328">
      <w:pPr>
        <w:pStyle w:val="BodyText"/>
        <w:numPr>
          <w:ilvl w:val="0"/>
          <w:numId w:val="35"/>
        </w:numPr>
      </w:pPr>
      <w:r w:rsidRPr="00975E6B">
        <w:t>Once all extracts are recorded, loaded and posted, the data audit process will also assess the cost data outputs for valid activity records and make</w:t>
      </w:r>
      <w:r w:rsidR="0003156E" w:rsidRPr="00975E6B">
        <w:t>s</w:t>
      </w:r>
      <w:r w:rsidRPr="00975E6B">
        <w:t xml:space="preserve"> adjustments for deleted or merged records. All records flagged are reviewed before any decision is made to remove them.</w:t>
      </w:r>
    </w:p>
    <w:p w:rsidR="00273A0D" w:rsidRPr="00975E6B" w:rsidRDefault="00273A0D" w:rsidP="00F26328">
      <w:pPr>
        <w:pStyle w:val="BodyText"/>
        <w:numPr>
          <w:ilvl w:val="0"/>
          <w:numId w:val="35"/>
        </w:numPr>
      </w:pPr>
      <w:r w:rsidRPr="00975E6B">
        <w:t>There are ten feeders reported from hospital source systems</w:t>
      </w:r>
      <w:r w:rsidR="00C57A2A" w:rsidRPr="00975E6B">
        <w:t xml:space="preserve"> and they appear to represent major hospital departments providing resource activity.</w:t>
      </w:r>
    </w:p>
    <w:p w:rsidR="00273A0D" w:rsidRPr="00975E6B" w:rsidRDefault="00273A0D" w:rsidP="00F26328">
      <w:pPr>
        <w:pStyle w:val="BodyText"/>
        <w:numPr>
          <w:ilvl w:val="0"/>
          <w:numId w:val="35"/>
        </w:numPr>
      </w:pPr>
      <w:r w:rsidRPr="00975E6B">
        <w:t>The number of records linked from source to product is significant with all feeders having a greater than 90</w:t>
      </w:r>
      <w:r w:rsidR="00F51504" w:rsidRPr="00975E6B">
        <w:t xml:space="preserve"> percent</w:t>
      </w:r>
      <w:r w:rsidRPr="00975E6B">
        <w:t xml:space="preserve"> link or match (based on Talons linking</w:t>
      </w:r>
      <w:r w:rsidR="00F51504" w:rsidRPr="00975E6B">
        <w:t>)</w:t>
      </w:r>
      <w:r w:rsidRPr="00975E6B">
        <w:t xml:space="preserve">. This </w:t>
      </w:r>
      <w:r w:rsidR="00C57A2A" w:rsidRPr="00975E6B">
        <w:t xml:space="preserve">percentage </w:t>
      </w:r>
      <w:r w:rsidRPr="00975E6B">
        <w:t>does not include the virtual patient feeder system that is not linked to hospital activity.</w:t>
      </w:r>
      <w:r w:rsidR="00C57A2A" w:rsidRPr="00975E6B">
        <w:t xml:space="preserve"> This would suggest that there is robustness in the level of feeder activity reported back to episodes.</w:t>
      </w:r>
    </w:p>
    <w:p w:rsidR="00273A0D" w:rsidRPr="00B464CA" w:rsidRDefault="00B33CC1" w:rsidP="00B464CA">
      <w:pPr>
        <w:spacing w:before="120" w:after="120" w:line="280" w:lineRule="atLeast"/>
        <w:jc w:val="both"/>
        <w:rPr>
          <w:bCs/>
        </w:rPr>
      </w:pPr>
      <w:r w:rsidRPr="00B464CA">
        <w:rPr>
          <w:bCs/>
        </w:rPr>
        <w:fldChar w:fldCharType="begin"/>
      </w:r>
      <w:r w:rsidRPr="00B464CA">
        <w:rPr>
          <w:bCs/>
        </w:rPr>
        <w:instrText xml:space="preserve"> REF _Ref434265013 \h </w:instrText>
      </w:r>
      <w:r w:rsidR="00975E6B" w:rsidRPr="00B464CA">
        <w:rPr>
          <w:bCs/>
        </w:rPr>
        <w:instrText xml:space="preserve"> \* MERGEFORMAT </w:instrText>
      </w:r>
      <w:r w:rsidRPr="00B464CA">
        <w:rPr>
          <w:bCs/>
        </w:rPr>
      </w:r>
      <w:r w:rsidRPr="00B464CA">
        <w:rPr>
          <w:bCs/>
        </w:rPr>
        <w:fldChar w:fldCharType="separate"/>
      </w:r>
      <w:r w:rsidR="00154CF7" w:rsidRPr="00154CF7">
        <w:rPr>
          <w:bCs/>
        </w:rPr>
        <w:t>Table 37</w:t>
      </w:r>
      <w:r w:rsidRPr="00B464CA">
        <w:rPr>
          <w:bCs/>
        </w:rPr>
        <w:fldChar w:fldCharType="end"/>
      </w:r>
      <w:r w:rsidRPr="00B464CA">
        <w:rPr>
          <w:bCs/>
        </w:rPr>
        <w:t xml:space="preserve"> </w:t>
      </w:r>
      <w:r w:rsidR="00273A0D" w:rsidRPr="00B464CA">
        <w:rPr>
          <w:bCs/>
        </w:rPr>
        <w:t xml:space="preserve">highlights the transfer of activity data from Ipswich Hospital to </w:t>
      </w:r>
      <w:r w:rsidR="00CA6430" w:rsidRPr="00B464CA">
        <w:rPr>
          <w:bCs/>
        </w:rPr>
        <w:t>Queensland</w:t>
      </w:r>
      <w:r w:rsidR="00273A0D" w:rsidRPr="00B464CA">
        <w:rPr>
          <w:bCs/>
        </w:rPr>
        <w:t xml:space="preserve"> Health and then through to IHPA submission and finalisation.</w:t>
      </w:r>
    </w:p>
    <w:p w:rsidR="000A6997" w:rsidRPr="00975E6B" w:rsidRDefault="00273A0D" w:rsidP="00CD1518">
      <w:pPr>
        <w:pStyle w:val="Caption"/>
      </w:pPr>
      <w:bookmarkStart w:id="727" w:name="_Ref434265013"/>
      <w:r w:rsidRPr="00975E6B">
        <w:t xml:space="preserve">Table </w:t>
      </w:r>
      <w:r w:rsidR="003E3288">
        <w:rPr>
          <w:bCs w:val="0"/>
          <w:i w:val="0"/>
        </w:rPr>
        <w:fldChar w:fldCharType="begin"/>
      </w:r>
      <w:r w:rsidR="003E3288">
        <w:rPr>
          <w:bCs w:val="0"/>
          <w:i w:val="0"/>
        </w:rPr>
        <w:instrText xml:space="preserve"> SEQ Table \* ARABIC </w:instrText>
      </w:r>
      <w:r w:rsidR="003E3288">
        <w:rPr>
          <w:bCs w:val="0"/>
          <w:i w:val="0"/>
        </w:rPr>
        <w:fldChar w:fldCharType="separate"/>
      </w:r>
      <w:r w:rsidR="00154CF7">
        <w:rPr>
          <w:bCs w:val="0"/>
          <w:i w:val="0"/>
          <w:noProof/>
        </w:rPr>
        <w:t>37</w:t>
      </w:r>
      <w:r w:rsidR="003E3288">
        <w:rPr>
          <w:bCs w:val="0"/>
          <w:i w:val="0"/>
          <w:noProof/>
        </w:rPr>
        <w:fldChar w:fldCharType="end"/>
      </w:r>
      <w:bookmarkEnd w:id="727"/>
      <w:r w:rsidR="00BA3F4B" w:rsidRPr="00975E6B">
        <w:t xml:space="preserve"> </w:t>
      </w:r>
      <w:r w:rsidRPr="00975E6B">
        <w:t>– Activity data submission – Ipswich Hospital</w:t>
      </w:r>
    </w:p>
    <w:tbl>
      <w:tblPr>
        <w:tblW w:w="5000" w:type="pct"/>
        <w:tblLayout w:type="fixed"/>
        <w:tblLook w:val="04A0" w:firstRow="1" w:lastRow="0" w:firstColumn="1" w:lastColumn="0" w:noHBand="0" w:noVBand="1"/>
        <w:tblCaption w:val="Table 37 - Activity submission - Ipswich Hospital"/>
        <w:tblDescription w:val="This table highlights the transfer of activity data from Ipswich Hospital to Queensland Health and then through to IHPA submission and finalisation. There are 8 columns. Column 1 is the NHCDC product type, Column 2 is the activity related to 2013-14 costs, column 3 is the adjustments to Column 2, column 4 is the activity submitted to the jurisdiction, column 5 is the adjustments to column 4, column 6 is the activity submitted to IHPA, column 7 is the adjustments to column 6 and column 8 is the total activity submitted for the Round 18 NHCDC.&#10;"/>
      </w:tblPr>
      <w:tblGrid>
        <w:gridCol w:w="1668"/>
        <w:gridCol w:w="1007"/>
        <w:gridCol w:w="1009"/>
        <w:gridCol w:w="1007"/>
        <w:gridCol w:w="1008"/>
        <w:gridCol w:w="1006"/>
        <w:gridCol w:w="1008"/>
        <w:gridCol w:w="1008"/>
      </w:tblGrid>
      <w:tr w:rsidR="000A6997" w:rsidRPr="000A6997" w:rsidTr="00E14378">
        <w:trPr>
          <w:trHeight w:val="855"/>
        </w:trPr>
        <w:tc>
          <w:tcPr>
            <w:tcW w:w="956"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0A6997" w:rsidRPr="00CD1518" w:rsidRDefault="000A6997" w:rsidP="000A6997">
            <w:pPr>
              <w:spacing w:line="240" w:lineRule="auto"/>
              <w:rPr>
                <w:b/>
                <w:bCs/>
                <w:color w:val="FFFFFF"/>
                <w:sz w:val="14"/>
                <w:szCs w:val="14"/>
                <w:lang w:eastAsia="en-AU"/>
              </w:rPr>
            </w:pPr>
            <w:r w:rsidRPr="00CD1518">
              <w:rPr>
                <w:b/>
                <w:bCs/>
                <w:color w:val="FFFFFF"/>
                <w:sz w:val="14"/>
                <w:szCs w:val="14"/>
                <w:lang w:eastAsia="en-AU"/>
              </w:rPr>
              <w:t>Product</w:t>
            </w:r>
          </w:p>
        </w:tc>
        <w:tc>
          <w:tcPr>
            <w:tcW w:w="577" w:type="pct"/>
            <w:tcBorders>
              <w:top w:val="single" w:sz="4" w:space="0" w:color="5B9BD5"/>
              <w:left w:val="nil"/>
              <w:bottom w:val="single" w:sz="4" w:space="0" w:color="5B9BD5"/>
              <w:right w:val="single" w:sz="4" w:space="0" w:color="5B9BD5"/>
            </w:tcBorders>
            <w:shd w:val="clear" w:color="auto" w:fill="002060"/>
            <w:vAlign w:val="bottom"/>
            <w:hideMark/>
          </w:tcPr>
          <w:p w:rsidR="000A6997" w:rsidRPr="00CD1518" w:rsidRDefault="000A6997" w:rsidP="000A6997">
            <w:pPr>
              <w:spacing w:line="240" w:lineRule="auto"/>
              <w:jc w:val="center"/>
              <w:rPr>
                <w:b/>
                <w:bCs/>
                <w:color w:val="FFFFFF"/>
                <w:sz w:val="14"/>
                <w:szCs w:val="14"/>
                <w:lang w:eastAsia="en-AU"/>
              </w:rPr>
            </w:pPr>
            <w:r w:rsidRPr="00CD1518">
              <w:rPr>
                <w:b/>
                <w:bCs/>
                <w:color w:val="FFFFFF"/>
                <w:sz w:val="14"/>
                <w:szCs w:val="14"/>
                <w:lang w:eastAsia="en-AU"/>
              </w:rPr>
              <w:t>Activity related to 2013-14 Costs</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0A6997" w:rsidRPr="00CD1518" w:rsidRDefault="000A6997" w:rsidP="000A6997">
            <w:pPr>
              <w:spacing w:line="240" w:lineRule="auto"/>
              <w:jc w:val="center"/>
              <w:rPr>
                <w:b/>
                <w:bCs/>
                <w:color w:val="FFFFFF"/>
                <w:sz w:val="12"/>
                <w:szCs w:val="12"/>
                <w:lang w:eastAsia="en-AU"/>
              </w:rPr>
            </w:pPr>
            <w:r w:rsidRPr="00CD1518">
              <w:rPr>
                <w:b/>
                <w:bCs/>
                <w:color w:val="FFFFFF"/>
                <w:sz w:val="12"/>
                <w:szCs w:val="12"/>
                <w:lang w:eastAsia="en-AU"/>
              </w:rPr>
              <w:t>Adjustments</w:t>
            </w:r>
          </w:p>
        </w:tc>
        <w:tc>
          <w:tcPr>
            <w:tcW w:w="577" w:type="pct"/>
            <w:tcBorders>
              <w:top w:val="single" w:sz="4" w:space="0" w:color="5B9BD5"/>
              <w:left w:val="nil"/>
              <w:bottom w:val="single" w:sz="4" w:space="0" w:color="5B9BD5"/>
              <w:right w:val="single" w:sz="4" w:space="0" w:color="5B9BD5"/>
            </w:tcBorders>
            <w:shd w:val="clear" w:color="auto" w:fill="002060"/>
            <w:vAlign w:val="bottom"/>
            <w:hideMark/>
          </w:tcPr>
          <w:p w:rsidR="000A6997" w:rsidRPr="00CD1518" w:rsidRDefault="000A6997" w:rsidP="000A6997">
            <w:pPr>
              <w:spacing w:line="240" w:lineRule="auto"/>
              <w:jc w:val="center"/>
              <w:rPr>
                <w:b/>
                <w:bCs/>
                <w:color w:val="FFFFFF"/>
                <w:sz w:val="14"/>
                <w:szCs w:val="14"/>
                <w:lang w:eastAsia="en-AU"/>
              </w:rPr>
            </w:pPr>
            <w:r w:rsidRPr="00CD1518">
              <w:rPr>
                <w:b/>
                <w:bCs/>
                <w:color w:val="FFFFFF"/>
                <w:sz w:val="14"/>
                <w:szCs w:val="14"/>
                <w:lang w:eastAsia="en-AU"/>
              </w:rPr>
              <w:t>Activity submitted to jurisdiction</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0A6997" w:rsidRPr="00CD1518" w:rsidRDefault="000A6997" w:rsidP="000A6997">
            <w:pPr>
              <w:spacing w:line="240" w:lineRule="auto"/>
              <w:jc w:val="center"/>
              <w:rPr>
                <w:b/>
                <w:bCs/>
                <w:color w:val="FFFFFF"/>
                <w:sz w:val="14"/>
                <w:szCs w:val="14"/>
                <w:lang w:eastAsia="en-AU"/>
              </w:rPr>
            </w:pPr>
            <w:r w:rsidRPr="0036568D">
              <w:rPr>
                <w:b/>
                <w:bCs/>
                <w:color w:val="FFFFFF"/>
                <w:sz w:val="12"/>
                <w:szCs w:val="12"/>
                <w:lang w:eastAsia="en-AU"/>
              </w:rPr>
              <w:t>Adjustments</w:t>
            </w:r>
          </w:p>
        </w:tc>
        <w:tc>
          <w:tcPr>
            <w:tcW w:w="577" w:type="pct"/>
            <w:tcBorders>
              <w:top w:val="single" w:sz="4" w:space="0" w:color="5B9BD5"/>
              <w:left w:val="nil"/>
              <w:bottom w:val="single" w:sz="4" w:space="0" w:color="5B9BD5"/>
              <w:right w:val="single" w:sz="4" w:space="0" w:color="5B9BD5"/>
            </w:tcBorders>
            <w:shd w:val="clear" w:color="auto" w:fill="002060"/>
            <w:vAlign w:val="bottom"/>
            <w:hideMark/>
          </w:tcPr>
          <w:p w:rsidR="000A6997" w:rsidRPr="00CD1518" w:rsidRDefault="000A6997" w:rsidP="000A6997">
            <w:pPr>
              <w:spacing w:line="240" w:lineRule="auto"/>
              <w:jc w:val="center"/>
              <w:rPr>
                <w:b/>
                <w:bCs/>
                <w:color w:val="FFFFFF"/>
                <w:sz w:val="14"/>
                <w:szCs w:val="14"/>
                <w:lang w:eastAsia="en-AU"/>
              </w:rPr>
            </w:pPr>
            <w:r w:rsidRPr="00CD1518">
              <w:rPr>
                <w:b/>
                <w:bCs/>
                <w:color w:val="FFFFFF"/>
                <w:sz w:val="14"/>
                <w:szCs w:val="14"/>
                <w:lang w:eastAsia="en-AU"/>
              </w:rPr>
              <w:t>Activity submitted to IHPA</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0A6997" w:rsidRPr="00CD1518" w:rsidRDefault="000A6997" w:rsidP="000A6997">
            <w:pPr>
              <w:spacing w:line="240" w:lineRule="auto"/>
              <w:jc w:val="center"/>
              <w:rPr>
                <w:b/>
                <w:bCs/>
                <w:color w:val="FFFFFF"/>
                <w:sz w:val="14"/>
                <w:szCs w:val="14"/>
                <w:lang w:eastAsia="en-AU"/>
              </w:rPr>
            </w:pPr>
            <w:r w:rsidRPr="0036568D">
              <w:rPr>
                <w:b/>
                <w:bCs/>
                <w:color w:val="FFFFFF"/>
                <w:sz w:val="12"/>
                <w:szCs w:val="12"/>
                <w:lang w:eastAsia="en-AU"/>
              </w:rPr>
              <w:t>Adjustments</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0A6997" w:rsidRPr="00CD1518" w:rsidRDefault="000A6997" w:rsidP="000A6997">
            <w:pPr>
              <w:spacing w:line="240" w:lineRule="auto"/>
              <w:jc w:val="center"/>
              <w:rPr>
                <w:b/>
                <w:bCs/>
                <w:color w:val="FFFFFF"/>
                <w:sz w:val="14"/>
                <w:szCs w:val="14"/>
                <w:lang w:eastAsia="en-AU"/>
              </w:rPr>
            </w:pPr>
            <w:r w:rsidRPr="00CD1518">
              <w:rPr>
                <w:b/>
                <w:bCs/>
                <w:color w:val="FFFFFF"/>
                <w:sz w:val="14"/>
                <w:szCs w:val="14"/>
                <w:lang w:eastAsia="en-AU"/>
              </w:rPr>
              <w:t>Total Activity submitted for Round 18 NHCDC</w:t>
            </w:r>
          </w:p>
        </w:tc>
      </w:tr>
      <w:tr w:rsidR="000A6997" w:rsidRPr="000A6997" w:rsidTr="00CD1518">
        <w:trPr>
          <w:trHeight w:val="272"/>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0A6997" w:rsidRPr="00CD1518" w:rsidRDefault="000A6997">
            <w:pPr>
              <w:spacing w:line="240" w:lineRule="auto"/>
              <w:rPr>
                <w:color w:val="000000"/>
                <w:sz w:val="14"/>
                <w:szCs w:val="14"/>
                <w:lang w:eastAsia="en-AU"/>
              </w:rPr>
            </w:pPr>
            <w:r w:rsidRPr="00CD1518">
              <w:rPr>
                <w:color w:val="000000"/>
                <w:sz w:val="14"/>
                <w:szCs w:val="14"/>
                <w:lang w:eastAsia="en-AU"/>
              </w:rPr>
              <w:t>Acute</w:t>
            </w:r>
          </w:p>
        </w:tc>
        <w:tc>
          <w:tcPr>
            <w:tcW w:w="577" w:type="pct"/>
            <w:tcBorders>
              <w:top w:val="nil"/>
              <w:left w:val="nil"/>
              <w:bottom w:val="single" w:sz="4" w:space="0" w:color="5B9BD5"/>
              <w:right w:val="single" w:sz="4" w:space="0" w:color="5B9BD5"/>
            </w:tcBorders>
            <w:shd w:val="clear" w:color="000000" w:fill="FFFFFF"/>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39,424</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39,424</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39,424</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39,424</w:t>
            </w:r>
          </w:p>
        </w:tc>
      </w:tr>
      <w:tr w:rsidR="000A6997" w:rsidRPr="000A6997" w:rsidTr="00CD1518">
        <w:trPr>
          <w:trHeight w:val="26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0A6997" w:rsidRPr="00CD1518" w:rsidRDefault="000A6997">
            <w:pPr>
              <w:spacing w:line="240" w:lineRule="auto"/>
              <w:rPr>
                <w:color w:val="000000"/>
                <w:sz w:val="14"/>
                <w:szCs w:val="14"/>
                <w:lang w:eastAsia="en-AU"/>
              </w:rPr>
            </w:pPr>
            <w:r w:rsidRPr="00CD1518">
              <w:rPr>
                <w:color w:val="000000"/>
                <w:sz w:val="14"/>
                <w:szCs w:val="14"/>
                <w:lang w:eastAsia="en-AU"/>
              </w:rPr>
              <w:t>Non-admitted</w:t>
            </w:r>
          </w:p>
        </w:tc>
        <w:tc>
          <w:tcPr>
            <w:tcW w:w="577"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160,684</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160,684</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160,684</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160,684</w:t>
            </w:r>
          </w:p>
        </w:tc>
      </w:tr>
      <w:tr w:rsidR="000A6997" w:rsidRPr="000A6997" w:rsidTr="00CD1518">
        <w:trPr>
          <w:trHeight w:val="26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0A6997" w:rsidRPr="00CD1518" w:rsidRDefault="000A6997">
            <w:pPr>
              <w:spacing w:line="240" w:lineRule="auto"/>
              <w:rPr>
                <w:color w:val="000000"/>
                <w:sz w:val="14"/>
                <w:szCs w:val="14"/>
                <w:lang w:eastAsia="en-AU"/>
              </w:rPr>
            </w:pPr>
            <w:r w:rsidRPr="00CD1518">
              <w:rPr>
                <w:color w:val="000000"/>
                <w:sz w:val="14"/>
                <w:szCs w:val="14"/>
                <w:lang w:eastAsia="en-AU"/>
              </w:rPr>
              <w:t>Emergency</w:t>
            </w:r>
          </w:p>
        </w:tc>
        <w:tc>
          <w:tcPr>
            <w:tcW w:w="577" w:type="pct"/>
            <w:tcBorders>
              <w:top w:val="nil"/>
              <w:left w:val="nil"/>
              <w:bottom w:val="single" w:sz="4" w:space="0" w:color="5B9BD5"/>
              <w:right w:val="single" w:sz="4" w:space="0" w:color="5B9BD5"/>
            </w:tcBorders>
            <w:shd w:val="clear" w:color="000000" w:fill="FFFFFF"/>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54,308</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54,308</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54,308</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54,308</w:t>
            </w:r>
          </w:p>
        </w:tc>
      </w:tr>
      <w:tr w:rsidR="000A6997" w:rsidRPr="000A6997" w:rsidTr="00CD1518">
        <w:trPr>
          <w:trHeight w:val="26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0A6997" w:rsidRPr="00CD1518" w:rsidRDefault="000A6997">
            <w:pPr>
              <w:spacing w:line="240" w:lineRule="auto"/>
              <w:rPr>
                <w:color w:val="000000"/>
                <w:sz w:val="14"/>
                <w:szCs w:val="14"/>
                <w:lang w:eastAsia="en-AU"/>
              </w:rPr>
            </w:pPr>
            <w:proofErr w:type="spellStart"/>
            <w:r w:rsidRPr="00CD1518">
              <w:rPr>
                <w:color w:val="000000"/>
                <w:sz w:val="14"/>
                <w:szCs w:val="14"/>
                <w:lang w:eastAsia="en-AU"/>
              </w:rPr>
              <w:t>Sub Acute</w:t>
            </w:r>
            <w:proofErr w:type="spellEnd"/>
          </w:p>
        </w:tc>
        <w:tc>
          <w:tcPr>
            <w:tcW w:w="577"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1,295</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1,295</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1,295</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1,295</w:t>
            </w:r>
          </w:p>
        </w:tc>
      </w:tr>
      <w:tr w:rsidR="000A6997" w:rsidRPr="000A6997" w:rsidTr="00CD1518">
        <w:trPr>
          <w:trHeight w:val="26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0A6997" w:rsidRPr="00CD1518" w:rsidRDefault="000A6997">
            <w:pPr>
              <w:spacing w:line="240" w:lineRule="auto"/>
              <w:rPr>
                <w:color w:val="000000"/>
                <w:sz w:val="14"/>
                <w:szCs w:val="14"/>
                <w:lang w:eastAsia="en-AU"/>
              </w:rPr>
            </w:pPr>
            <w:r w:rsidRPr="00CD1518">
              <w:rPr>
                <w:color w:val="000000"/>
                <w:sz w:val="14"/>
                <w:szCs w:val="14"/>
                <w:lang w:eastAsia="en-AU"/>
              </w:rPr>
              <w:t>Mental Health</w:t>
            </w:r>
          </w:p>
        </w:tc>
        <w:tc>
          <w:tcPr>
            <w:tcW w:w="577" w:type="pct"/>
            <w:tcBorders>
              <w:top w:val="nil"/>
              <w:left w:val="nil"/>
              <w:bottom w:val="single" w:sz="4" w:space="0" w:color="5B9BD5"/>
              <w:right w:val="single" w:sz="4" w:space="0" w:color="5B9BD5"/>
            </w:tcBorders>
            <w:shd w:val="clear" w:color="000000" w:fill="FFFFFF"/>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r>
      <w:tr w:rsidR="000A6997" w:rsidRPr="000A6997" w:rsidTr="00CD1518">
        <w:trPr>
          <w:trHeight w:val="26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0A6997" w:rsidRPr="00CD1518" w:rsidRDefault="000A6997">
            <w:pPr>
              <w:spacing w:line="240" w:lineRule="auto"/>
              <w:rPr>
                <w:color w:val="000000"/>
                <w:sz w:val="14"/>
                <w:szCs w:val="14"/>
                <w:lang w:eastAsia="en-AU"/>
              </w:rPr>
            </w:pPr>
            <w:r w:rsidRPr="00CD1518">
              <w:rPr>
                <w:color w:val="000000"/>
                <w:sz w:val="14"/>
                <w:szCs w:val="14"/>
                <w:lang w:eastAsia="en-AU"/>
              </w:rPr>
              <w:t>Other</w:t>
            </w:r>
          </w:p>
        </w:tc>
        <w:tc>
          <w:tcPr>
            <w:tcW w:w="577"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7,062</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7,062</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(3,759)</w:t>
            </w:r>
          </w:p>
        </w:tc>
        <w:tc>
          <w:tcPr>
            <w:tcW w:w="577"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3,303</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3,303</w:t>
            </w:r>
          </w:p>
        </w:tc>
      </w:tr>
      <w:tr w:rsidR="000A6997" w:rsidRPr="000A6997" w:rsidTr="00CD1518">
        <w:trPr>
          <w:trHeight w:val="26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0A6997" w:rsidRPr="00CD1518" w:rsidRDefault="000A6997">
            <w:pPr>
              <w:spacing w:line="240" w:lineRule="auto"/>
              <w:rPr>
                <w:color w:val="000000"/>
                <w:sz w:val="14"/>
                <w:szCs w:val="14"/>
                <w:lang w:eastAsia="en-AU"/>
              </w:rPr>
            </w:pPr>
            <w:r w:rsidRPr="00CD1518">
              <w:rPr>
                <w:color w:val="000000"/>
                <w:sz w:val="14"/>
                <w:szCs w:val="14"/>
                <w:lang w:eastAsia="en-AU"/>
              </w:rPr>
              <w:t>Research</w:t>
            </w:r>
          </w:p>
        </w:tc>
        <w:tc>
          <w:tcPr>
            <w:tcW w:w="577" w:type="pct"/>
            <w:tcBorders>
              <w:top w:val="nil"/>
              <w:left w:val="nil"/>
              <w:bottom w:val="single" w:sz="4" w:space="0" w:color="5B9BD5"/>
              <w:right w:val="single" w:sz="4" w:space="0" w:color="5B9BD5"/>
            </w:tcBorders>
            <w:shd w:val="clear" w:color="000000" w:fill="FFFFFF"/>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r>
      <w:tr w:rsidR="000A6997" w:rsidRPr="000A6997" w:rsidTr="00CD1518">
        <w:trPr>
          <w:trHeight w:val="26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0A6997" w:rsidRPr="00CD1518" w:rsidRDefault="000A6997">
            <w:pPr>
              <w:spacing w:line="240" w:lineRule="auto"/>
              <w:rPr>
                <w:color w:val="000000"/>
                <w:sz w:val="14"/>
                <w:szCs w:val="14"/>
                <w:lang w:eastAsia="en-AU"/>
              </w:rPr>
            </w:pPr>
            <w:r w:rsidRPr="00CD1518">
              <w:rPr>
                <w:color w:val="000000"/>
                <w:sz w:val="14"/>
                <w:szCs w:val="14"/>
                <w:lang w:eastAsia="en-AU"/>
              </w:rPr>
              <w:t>Teaching and Training</w:t>
            </w:r>
          </w:p>
        </w:tc>
        <w:tc>
          <w:tcPr>
            <w:tcW w:w="577"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A6997" w:rsidRPr="00CD1518" w:rsidRDefault="000A6997" w:rsidP="00CD1518">
            <w:pPr>
              <w:spacing w:line="240" w:lineRule="auto"/>
              <w:jc w:val="right"/>
              <w:rPr>
                <w:color w:val="000000"/>
                <w:sz w:val="14"/>
                <w:szCs w:val="14"/>
                <w:lang w:eastAsia="en-AU"/>
              </w:rPr>
            </w:pPr>
            <w:r w:rsidRPr="00CD1518">
              <w:rPr>
                <w:color w:val="000000"/>
                <w:sz w:val="14"/>
                <w:szCs w:val="14"/>
                <w:lang w:eastAsia="en-AU"/>
              </w:rPr>
              <w:t>-</w:t>
            </w:r>
          </w:p>
        </w:tc>
      </w:tr>
      <w:tr w:rsidR="000A6997" w:rsidRPr="000A6997" w:rsidTr="00CD1518">
        <w:trPr>
          <w:trHeight w:val="260"/>
        </w:trPr>
        <w:tc>
          <w:tcPr>
            <w:tcW w:w="956" w:type="pct"/>
            <w:tcBorders>
              <w:top w:val="nil"/>
              <w:left w:val="single" w:sz="4" w:space="0" w:color="5B9BD5"/>
              <w:bottom w:val="single" w:sz="4" w:space="0" w:color="5B9BD5"/>
              <w:right w:val="single" w:sz="4" w:space="0" w:color="5B9BD5"/>
            </w:tcBorders>
            <w:shd w:val="clear" w:color="000000" w:fill="D0CECE"/>
            <w:noWrap/>
            <w:vAlign w:val="center"/>
            <w:hideMark/>
          </w:tcPr>
          <w:p w:rsidR="000A6997" w:rsidRPr="00CD1518" w:rsidRDefault="000A6997">
            <w:pPr>
              <w:spacing w:line="240" w:lineRule="auto"/>
              <w:rPr>
                <w:b/>
                <w:bCs/>
                <w:color w:val="000000"/>
                <w:sz w:val="14"/>
                <w:szCs w:val="14"/>
                <w:lang w:eastAsia="en-AU"/>
              </w:rPr>
            </w:pPr>
            <w:r w:rsidRPr="00CD1518">
              <w:rPr>
                <w:b/>
                <w:bCs/>
                <w:color w:val="000000"/>
                <w:sz w:val="14"/>
                <w:szCs w:val="14"/>
                <w:lang w:eastAsia="en-AU"/>
              </w:rPr>
              <w:t>Total</w:t>
            </w:r>
          </w:p>
        </w:tc>
        <w:tc>
          <w:tcPr>
            <w:tcW w:w="577" w:type="pct"/>
            <w:tcBorders>
              <w:top w:val="nil"/>
              <w:left w:val="nil"/>
              <w:bottom w:val="single" w:sz="4" w:space="0" w:color="5B9BD5"/>
              <w:right w:val="single" w:sz="4" w:space="0" w:color="5B9BD5"/>
            </w:tcBorders>
            <w:shd w:val="clear" w:color="000000" w:fill="D0CECE"/>
            <w:noWrap/>
            <w:vAlign w:val="center"/>
            <w:hideMark/>
          </w:tcPr>
          <w:p w:rsidR="000A6997" w:rsidRPr="00CD1518" w:rsidRDefault="000A6997" w:rsidP="00CD1518">
            <w:pPr>
              <w:spacing w:line="240" w:lineRule="auto"/>
              <w:jc w:val="right"/>
              <w:rPr>
                <w:b/>
                <w:bCs/>
                <w:color w:val="000000"/>
                <w:sz w:val="14"/>
                <w:szCs w:val="14"/>
                <w:lang w:eastAsia="en-AU"/>
              </w:rPr>
            </w:pPr>
            <w:r w:rsidRPr="00CD1518">
              <w:rPr>
                <w:b/>
                <w:bCs/>
                <w:color w:val="000000"/>
                <w:sz w:val="14"/>
                <w:szCs w:val="14"/>
                <w:lang w:eastAsia="en-AU"/>
              </w:rPr>
              <w:t>262,773</w:t>
            </w:r>
          </w:p>
        </w:tc>
        <w:tc>
          <w:tcPr>
            <w:tcW w:w="578" w:type="pct"/>
            <w:tcBorders>
              <w:top w:val="nil"/>
              <w:left w:val="nil"/>
              <w:bottom w:val="single" w:sz="4" w:space="0" w:color="5B9BD5"/>
              <w:right w:val="single" w:sz="4" w:space="0" w:color="5B9BD5"/>
            </w:tcBorders>
            <w:shd w:val="clear" w:color="000000" w:fill="D0CECE"/>
            <w:noWrap/>
            <w:vAlign w:val="center"/>
            <w:hideMark/>
          </w:tcPr>
          <w:p w:rsidR="000A6997" w:rsidRPr="00CD1518" w:rsidRDefault="000A6997" w:rsidP="00CD1518">
            <w:pPr>
              <w:spacing w:line="240" w:lineRule="auto"/>
              <w:jc w:val="right"/>
              <w:rPr>
                <w:b/>
                <w:bCs/>
                <w:color w:val="000000"/>
                <w:sz w:val="14"/>
                <w:szCs w:val="14"/>
                <w:lang w:eastAsia="en-AU"/>
              </w:rPr>
            </w:pPr>
            <w:r w:rsidRPr="00CD1518">
              <w:rPr>
                <w:b/>
                <w:bCs/>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0CECE"/>
            <w:noWrap/>
            <w:vAlign w:val="center"/>
            <w:hideMark/>
          </w:tcPr>
          <w:p w:rsidR="000A6997" w:rsidRPr="00CD1518" w:rsidRDefault="000A6997" w:rsidP="00CD1518">
            <w:pPr>
              <w:spacing w:line="240" w:lineRule="auto"/>
              <w:jc w:val="right"/>
              <w:rPr>
                <w:b/>
                <w:bCs/>
                <w:color w:val="000000"/>
                <w:sz w:val="14"/>
                <w:szCs w:val="14"/>
                <w:lang w:eastAsia="en-AU"/>
              </w:rPr>
            </w:pPr>
            <w:r w:rsidRPr="00CD1518">
              <w:rPr>
                <w:b/>
                <w:bCs/>
                <w:color w:val="000000"/>
                <w:sz w:val="14"/>
                <w:szCs w:val="14"/>
                <w:lang w:eastAsia="en-AU"/>
              </w:rPr>
              <w:t>262,773</w:t>
            </w:r>
          </w:p>
        </w:tc>
        <w:tc>
          <w:tcPr>
            <w:tcW w:w="578" w:type="pct"/>
            <w:tcBorders>
              <w:top w:val="nil"/>
              <w:left w:val="nil"/>
              <w:bottom w:val="single" w:sz="4" w:space="0" w:color="5B9BD5"/>
              <w:right w:val="single" w:sz="4" w:space="0" w:color="5B9BD5"/>
            </w:tcBorders>
            <w:shd w:val="clear" w:color="000000" w:fill="D0CECE"/>
            <w:noWrap/>
            <w:vAlign w:val="center"/>
            <w:hideMark/>
          </w:tcPr>
          <w:p w:rsidR="000A6997" w:rsidRPr="00CD1518" w:rsidRDefault="000A6997" w:rsidP="00CD1518">
            <w:pPr>
              <w:spacing w:line="240" w:lineRule="auto"/>
              <w:jc w:val="right"/>
              <w:rPr>
                <w:b/>
                <w:bCs/>
                <w:color w:val="000000"/>
                <w:sz w:val="14"/>
                <w:szCs w:val="14"/>
                <w:lang w:eastAsia="en-AU"/>
              </w:rPr>
            </w:pPr>
            <w:r w:rsidRPr="00CD1518">
              <w:rPr>
                <w:b/>
                <w:bCs/>
                <w:color w:val="000000"/>
                <w:sz w:val="14"/>
                <w:szCs w:val="14"/>
                <w:lang w:eastAsia="en-AU"/>
              </w:rPr>
              <w:t>(3,759)</w:t>
            </w:r>
          </w:p>
        </w:tc>
        <w:tc>
          <w:tcPr>
            <w:tcW w:w="577" w:type="pct"/>
            <w:tcBorders>
              <w:top w:val="nil"/>
              <w:left w:val="nil"/>
              <w:bottom w:val="single" w:sz="4" w:space="0" w:color="5B9BD5"/>
              <w:right w:val="single" w:sz="4" w:space="0" w:color="5B9BD5"/>
            </w:tcBorders>
            <w:shd w:val="clear" w:color="000000" w:fill="D0CECE"/>
            <w:noWrap/>
            <w:vAlign w:val="center"/>
            <w:hideMark/>
          </w:tcPr>
          <w:p w:rsidR="000A6997" w:rsidRPr="00CD1518" w:rsidRDefault="000A6997" w:rsidP="00CD1518">
            <w:pPr>
              <w:spacing w:line="240" w:lineRule="auto"/>
              <w:jc w:val="right"/>
              <w:rPr>
                <w:b/>
                <w:bCs/>
                <w:color w:val="000000"/>
                <w:sz w:val="14"/>
                <w:szCs w:val="14"/>
                <w:lang w:eastAsia="en-AU"/>
              </w:rPr>
            </w:pPr>
            <w:r w:rsidRPr="00CD1518">
              <w:rPr>
                <w:b/>
                <w:bCs/>
                <w:color w:val="000000"/>
                <w:sz w:val="14"/>
                <w:szCs w:val="14"/>
                <w:lang w:eastAsia="en-AU"/>
              </w:rPr>
              <w:t>259,014</w:t>
            </w:r>
          </w:p>
        </w:tc>
        <w:tc>
          <w:tcPr>
            <w:tcW w:w="578" w:type="pct"/>
            <w:tcBorders>
              <w:top w:val="nil"/>
              <w:left w:val="nil"/>
              <w:bottom w:val="single" w:sz="4" w:space="0" w:color="5B9BD5"/>
              <w:right w:val="single" w:sz="4" w:space="0" w:color="5B9BD5"/>
            </w:tcBorders>
            <w:shd w:val="clear" w:color="000000" w:fill="D0CECE"/>
            <w:noWrap/>
            <w:vAlign w:val="center"/>
            <w:hideMark/>
          </w:tcPr>
          <w:p w:rsidR="000A6997" w:rsidRPr="00CD1518" w:rsidRDefault="000A6997" w:rsidP="00CD1518">
            <w:pPr>
              <w:spacing w:line="240" w:lineRule="auto"/>
              <w:jc w:val="right"/>
              <w:rPr>
                <w:b/>
                <w:bCs/>
                <w:color w:val="000000"/>
                <w:sz w:val="14"/>
                <w:szCs w:val="14"/>
                <w:lang w:eastAsia="en-AU"/>
              </w:rPr>
            </w:pPr>
            <w:r w:rsidRPr="00CD1518">
              <w:rPr>
                <w:b/>
                <w:bCs/>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0CECE"/>
            <w:noWrap/>
            <w:vAlign w:val="center"/>
            <w:hideMark/>
          </w:tcPr>
          <w:p w:rsidR="000A6997" w:rsidRPr="00CD1518" w:rsidRDefault="000A6997" w:rsidP="00CD1518">
            <w:pPr>
              <w:spacing w:line="240" w:lineRule="auto"/>
              <w:jc w:val="right"/>
              <w:rPr>
                <w:b/>
                <w:bCs/>
                <w:color w:val="000000"/>
                <w:sz w:val="14"/>
                <w:szCs w:val="14"/>
                <w:lang w:eastAsia="en-AU"/>
              </w:rPr>
            </w:pPr>
            <w:r w:rsidRPr="00CD1518">
              <w:rPr>
                <w:b/>
                <w:bCs/>
                <w:color w:val="000000"/>
                <w:sz w:val="14"/>
                <w:szCs w:val="14"/>
                <w:lang w:eastAsia="en-AU"/>
              </w:rPr>
              <w:t>259,014</w:t>
            </w:r>
          </w:p>
        </w:tc>
      </w:tr>
    </w:tbl>
    <w:p w:rsidR="00273A0D" w:rsidRPr="00975E6B" w:rsidRDefault="00273A0D" w:rsidP="00273A0D">
      <w:pPr>
        <w:pStyle w:val="FootnoteText"/>
        <w:rPr>
          <w:bCs/>
          <w:i/>
          <w:sz w:val="16"/>
          <w:szCs w:val="16"/>
        </w:rPr>
      </w:pPr>
      <w:r w:rsidRPr="00975E6B">
        <w:rPr>
          <w:bCs/>
          <w:i/>
          <w:sz w:val="16"/>
          <w:szCs w:val="16"/>
        </w:rPr>
        <w:t xml:space="preserve">Source: KPMG based on data supplied by Ipswich Hospital, </w:t>
      </w:r>
      <w:r w:rsidR="00CA6430" w:rsidRPr="00975E6B">
        <w:rPr>
          <w:bCs/>
          <w:i/>
          <w:sz w:val="16"/>
          <w:szCs w:val="16"/>
        </w:rPr>
        <w:t>Queensland</w:t>
      </w:r>
      <w:r w:rsidRPr="00975E6B">
        <w:rPr>
          <w:bCs/>
          <w:i/>
          <w:sz w:val="16"/>
          <w:szCs w:val="16"/>
        </w:rPr>
        <w:t xml:space="preserve"> Health and IHPA </w:t>
      </w:r>
    </w:p>
    <w:p w:rsidR="00273A0D" w:rsidRPr="00975E6B" w:rsidRDefault="00273A0D" w:rsidP="00273A0D">
      <w:pPr>
        <w:pStyle w:val="BodyText"/>
      </w:pPr>
      <w:r w:rsidRPr="00975E6B">
        <w:t>The following should be noted about the transfer of activity data for Ipswich Hospital:</w:t>
      </w:r>
    </w:p>
    <w:p w:rsidR="00273A0D" w:rsidRPr="00975E6B" w:rsidRDefault="00273A0D" w:rsidP="00F26328">
      <w:pPr>
        <w:pStyle w:val="BodyText"/>
        <w:numPr>
          <w:ilvl w:val="0"/>
          <w:numId w:val="39"/>
        </w:numPr>
      </w:pPr>
      <w:r w:rsidRPr="00975E6B">
        <w:t xml:space="preserve">The adjustment made by the jurisdiction relates to </w:t>
      </w:r>
      <w:r w:rsidR="00D52AA9" w:rsidRPr="00975E6B">
        <w:t xml:space="preserve">the </w:t>
      </w:r>
      <w:r w:rsidR="00D52AA9">
        <w:t>activity associated with the</w:t>
      </w:r>
      <w:r w:rsidR="00D52AA9" w:rsidRPr="00975E6B" w:rsidDel="00D52AA9">
        <w:t xml:space="preserve"> </w:t>
      </w:r>
      <w:r w:rsidRPr="00975E6B">
        <w:t xml:space="preserve">excluded costs </w:t>
      </w:r>
      <w:r w:rsidR="009E6082" w:rsidRPr="00975E6B">
        <w:t xml:space="preserve">(at </w:t>
      </w:r>
      <w:r w:rsidRPr="00975E6B">
        <w:t>Item G of the financial reconciliation</w:t>
      </w:r>
      <w:r w:rsidR="009E6082" w:rsidRPr="00975E6B">
        <w:t>) such as zero cost encounters, unmapped/mismatched records and the virtual patient feeder data</w:t>
      </w:r>
      <w:r w:rsidR="003D1169" w:rsidRPr="00975E6B">
        <w:t xml:space="preserve">. </w:t>
      </w:r>
    </w:p>
    <w:p w:rsidR="00273A0D" w:rsidRPr="00975E6B" w:rsidRDefault="00273A0D" w:rsidP="00F26328">
      <w:pPr>
        <w:pStyle w:val="BodyText"/>
        <w:numPr>
          <w:ilvl w:val="0"/>
          <w:numId w:val="46"/>
        </w:numPr>
      </w:pPr>
      <w:r w:rsidRPr="00975E6B">
        <w:t xml:space="preserve">The adjustment made by IHPA relating to admitted emergency reallocations </w:t>
      </w:r>
      <w:r w:rsidR="009E6082" w:rsidRPr="00975E6B">
        <w:t xml:space="preserve">for reporting and analysis purposes </w:t>
      </w:r>
      <w:r w:rsidRPr="00975E6B">
        <w:t>(as discussed in Item J of the explanation of reconciliation items) has no impact on the reported activity.</w:t>
      </w:r>
    </w:p>
    <w:p w:rsidR="00273A0D" w:rsidRPr="00975E6B" w:rsidRDefault="00273A0D" w:rsidP="003B387A">
      <w:pPr>
        <w:pStyle w:val="Heading3"/>
        <w:numPr>
          <w:ilvl w:val="2"/>
          <w:numId w:val="77"/>
        </w:numPr>
      </w:pPr>
      <w:r w:rsidRPr="0080753B">
        <w:lastRenderedPageBreak/>
        <w:t>Treatment</w:t>
      </w:r>
      <w:r w:rsidRPr="00975E6B">
        <w:t xml:space="preserve"> of </w:t>
      </w:r>
      <w:r w:rsidR="00DA7807" w:rsidRPr="00975E6B">
        <w:t>WIP</w:t>
      </w:r>
    </w:p>
    <w:p w:rsidR="00664CB0" w:rsidRPr="00B464CA" w:rsidRDefault="00D45D3C" w:rsidP="00B464CA">
      <w:pPr>
        <w:spacing w:before="120" w:after="120" w:line="280" w:lineRule="atLeast"/>
        <w:jc w:val="both"/>
        <w:rPr>
          <w:bCs/>
        </w:rPr>
      </w:pPr>
      <w:r>
        <w:rPr>
          <w:bCs/>
        </w:rPr>
        <w:fldChar w:fldCharType="begin"/>
      </w:r>
      <w:r>
        <w:rPr>
          <w:bCs/>
        </w:rPr>
        <w:instrText xml:space="preserve"> REF _Ref444516306 \h </w:instrText>
      </w:r>
      <w:r>
        <w:rPr>
          <w:bCs/>
        </w:rPr>
      </w:r>
      <w:r>
        <w:rPr>
          <w:bCs/>
        </w:rPr>
        <w:fldChar w:fldCharType="separate"/>
      </w:r>
      <w:r w:rsidR="00154CF7" w:rsidRPr="00975E6B">
        <w:t xml:space="preserve">Table </w:t>
      </w:r>
      <w:r w:rsidR="00154CF7">
        <w:rPr>
          <w:noProof/>
        </w:rPr>
        <w:t>38</w:t>
      </w:r>
      <w:r>
        <w:rPr>
          <w:bCs/>
        </w:rPr>
        <w:fldChar w:fldCharType="end"/>
      </w:r>
      <w:r>
        <w:rPr>
          <w:bCs/>
        </w:rPr>
        <w:t xml:space="preserve"> </w:t>
      </w:r>
      <w:r w:rsidR="00273A0D" w:rsidRPr="00B464CA">
        <w:rPr>
          <w:bCs/>
        </w:rPr>
        <w:t>demonstrates models for WIP and what was included in the Ipswich Hospital Round 18 NHCDC submission.</w:t>
      </w:r>
      <w:bookmarkStart w:id="728" w:name="_Ref434265028"/>
    </w:p>
    <w:p w:rsidR="00273A0D" w:rsidRPr="00975E6B" w:rsidRDefault="00273A0D" w:rsidP="00273A0D">
      <w:pPr>
        <w:pStyle w:val="Caption"/>
      </w:pPr>
      <w:bookmarkStart w:id="729" w:name="_Ref444516306"/>
      <w:r w:rsidRPr="00975E6B">
        <w:t xml:space="preserve">Table </w:t>
      </w:r>
      <w:r w:rsidR="00AC3838">
        <w:fldChar w:fldCharType="begin"/>
      </w:r>
      <w:r w:rsidR="00AC3838">
        <w:instrText xml:space="preserve"> SEQ Table \* ARABIC </w:instrText>
      </w:r>
      <w:r w:rsidR="00AC3838">
        <w:fldChar w:fldCharType="separate"/>
      </w:r>
      <w:proofErr w:type="gramStart"/>
      <w:r w:rsidR="00154CF7">
        <w:rPr>
          <w:noProof/>
        </w:rPr>
        <w:t>38</w:t>
      </w:r>
      <w:r w:rsidR="00AC3838">
        <w:rPr>
          <w:noProof/>
        </w:rPr>
        <w:fldChar w:fldCharType="end"/>
      </w:r>
      <w:bookmarkEnd w:id="728"/>
      <w:bookmarkEnd w:id="729"/>
      <w:r w:rsidRPr="00975E6B">
        <w:t xml:space="preserve"> – </w:t>
      </w:r>
      <w:r w:rsidR="00DA7807" w:rsidRPr="00975E6B">
        <w:t>WIP</w:t>
      </w:r>
      <w:r w:rsidRPr="00975E6B">
        <w:t xml:space="preserve"> – Ipswich Hospital</w:t>
      </w:r>
      <w:proofErr w:type="gramEnd"/>
    </w:p>
    <w:tbl>
      <w:tblPr>
        <w:tblStyle w:val="ListTable4-Accent11"/>
        <w:tblW w:w="5000" w:type="pct"/>
        <w:tblLayout w:type="fixed"/>
        <w:tblLook w:val="0620" w:firstRow="1" w:lastRow="0" w:firstColumn="0" w:lastColumn="0" w:noHBand="1" w:noVBand="1"/>
        <w:tblCaption w:val="Table 38 - Models for Work In Progress - Ipswich Hospital"/>
        <w:tblDescription w:val="This table describes the models for Work In Progress and how that applied to Ispwich Hospital.  The first column is the model number, the second column is the description and the third column is how that model was applied for the relevant hospital.&#10;"/>
      </w:tblPr>
      <w:tblGrid>
        <w:gridCol w:w="870"/>
        <w:gridCol w:w="3928"/>
        <w:gridCol w:w="3923"/>
      </w:tblGrid>
      <w:tr w:rsidR="00273A0D"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99" w:type="pct"/>
            <w:tcBorders>
              <w:right w:val="single" w:sz="4" w:space="0" w:color="548DD4" w:themeColor="text2" w:themeTint="99"/>
            </w:tcBorders>
            <w:shd w:val="clear" w:color="auto" w:fill="002060"/>
            <w:noWrap/>
          </w:tcPr>
          <w:p w:rsidR="00273A0D" w:rsidRPr="00975E6B" w:rsidRDefault="00273A0D" w:rsidP="0029344A">
            <w:r w:rsidRPr="00975E6B">
              <w:t>Model</w:t>
            </w:r>
          </w:p>
        </w:tc>
        <w:tc>
          <w:tcPr>
            <w:tcW w:w="2252" w:type="pct"/>
            <w:tcBorders>
              <w:left w:val="single" w:sz="4" w:space="0" w:color="548DD4" w:themeColor="text2" w:themeTint="99"/>
            </w:tcBorders>
            <w:shd w:val="clear" w:color="auto" w:fill="002060"/>
          </w:tcPr>
          <w:p w:rsidR="00273A0D" w:rsidRPr="00975E6B" w:rsidRDefault="00273A0D" w:rsidP="0029344A">
            <w:r w:rsidRPr="00975E6B">
              <w:t>Description</w:t>
            </w:r>
          </w:p>
        </w:tc>
        <w:tc>
          <w:tcPr>
            <w:tcW w:w="2249" w:type="pct"/>
            <w:tcBorders>
              <w:left w:val="single" w:sz="4" w:space="0" w:color="548DD4" w:themeColor="text2" w:themeTint="99"/>
            </w:tcBorders>
            <w:shd w:val="clear" w:color="auto" w:fill="002060"/>
          </w:tcPr>
          <w:p w:rsidR="00273A0D" w:rsidRPr="00975E6B" w:rsidRDefault="00273A0D" w:rsidP="0029344A">
            <w:pPr>
              <w:jc w:val="center"/>
            </w:pPr>
            <w:r w:rsidRPr="00975E6B">
              <w:t>Submitted to Round 18 NHCDC</w:t>
            </w:r>
          </w:p>
        </w:tc>
      </w:tr>
      <w:tr w:rsidR="00273A0D" w:rsidRPr="00975E6B" w:rsidTr="0029344A">
        <w:tc>
          <w:tcPr>
            <w:tcW w:w="499" w:type="pct"/>
            <w:tcBorders>
              <w:right w:val="single" w:sz="4" w:space="0" w:color="548DD4" w:themeColor="text2" w:themeTint="99"/>
            </w:tcBorders>
            <w:noWrap/>
          </w:tcPr>
          <w:p w:rsidR="00273A0D" w:rsidRPr="00975E6B" w:rsidRDefault="00273A0D" w:rsidP="001140D3">
            <w:pPr>
              <w:jc w:val="center"/>
            </w:pPr>
            <w:r w:rsidRPr="00975E6B">
              <w:t>1</w:t>
            </w:r>
          </w:p>
        </w:tc>
        <w:tc>
          <w:tcPr>
            <w:tcW w:w="2252" w:type="pct"/>
            <w:tcBorders>
              <w:left w:val="single" w:sz="4" w:space="0" w:color="548DD4" w:themeColor="text2" w:themeTint="99"/>
            </w:tcBorders>
          </w:tcPr>
          <w:p w:rsidR="00273A0D" w:rsidRPr="00975E6B" w:rsidRDefault="00273A0D" w:rsidP="0029344A">
            <w:r w:rsidRPr="00975E6B">
              <w:t>Admitted and Discharged Patients in 2013/14 only</w:t>
            </w:r>
          </w:p>
        </w:tc>
        <w:tc>
          <w:tcPr>
            <w:tcW w:w="2249" w:type="pct"/>
            <w:tcBorders>
              <w:left w:val="single" w:sz="4" w:space="0" w:color="548DD4" w:themeColor="text2" w:themeTint="99"/>
            </w:tcBorders>
          </w:tcPr>
          <w:p w:rsidR="00273A0D" w:rsidRPr="00975E6B" w:rsidRDefault="00273A0D" w:rsidP="0029344A">
            <w:pPr>
              <w:jc w:val="center"/>
            </w:pPr>
            <w:r w:rsidRPr="00975E6B">
              <w:t>Submitted to Round 18 of the NHCDC</w:t>
            </w:r>
          </w:p>
        </w:tc>
      </w:tr>
      <w:tr w:rsidR="00273A0D" w:rsidRPr="00975E6B" w:rsidTr="0029344A">
        <w:tc>
          <w:tcPr>
            <w:tcW w:w="499" w:type="pct"/>
            <w:tcBorders>
              <w:right w:val="single" w:sz="4" w:space="0" w:color="548DD4" w:themeColor="text2" w:themeTint="99"/>
            </w:tcBorders>
            <w:noWrap/>
          </w:tcPr>
          <w:p w:rsidR="00273A0D" w:rsidRPr="00975E6B" w:rsidRDefault="00273A0D" w:rsidP="001140D3">
            <w:pPr>
              <w:jc w:val="center"/>
            </w:pPr>
            <w:r w:rsidRPr="00975E6B">
              <w:t>2</w:t>
            </w:r>
          </w:p>
        </w:tc>
        <w:tc>
          <w:tcPr>
            <w:tcW w:w="2252" w:type="pct"/>
            <w:tcBorders>
              <w:left w:val="single" w:sz="4" w:space="0" w:color="548DD4" w:themeColor="text2" w:themeTint="99"/>
            </w:tcBorders>
          </w:tcPr>
          <w:p w:rsidR="00273A0D" w:rsidRPr="00975E6B" w:rsidRDefault="00273A0D" w:rsidP="0029344A">
            <w:r w:rsidRPr="00975E6B">
              <w:t>Costs for patients discharged in 2013/14 but incurred prior to 2013/14</w:t>
            </w:r>
          </w:p>
        </w:tc>
        <w:tc>
          <w:tcPr>
            <w:tcW w:w="2249" w:type="pct"/>
            <w:tcBorders>
              <w:left w:val="single" w:sz="4" w:space="0" w:color="548DD4" w:themeColor="text2" w:themeTint="99"/>
            </w:tcBorders>
          </w:tcPr>
          <w:p w:rsidR="00273A0D" w:rsidRPr="00975E6B" w:rsidRDefault="00273A0D" w:rsidP="0029344A">
            <w:pPr>
              <w:jc w:val="center"/>
            </w:pPr>
            <w:r w:rsidRPr="00975E6B">
              <w:t xml:space="preserve">Submitted to Round 18 of the NHCDC </w:t>
            </w:r>
          </w:p>
        </w:tc>
      </w:tr>
      <w:tr w:rsidR="00273A0D" w:rsidRPr="00975E6B" w:rsidTr="0029344A">
        <w:tc>
          <w:tcPr>
            <w:tcW w:w="499" w:type="pct"/>
            <w:tcBorders>
              <w:right w:val="single" w:sz="4" w:space="0" w:color="548DD4" w:themeColor="text2" w:themeTint="99"/>
            </w:tcBorders>
            <w:noWrap/>
          </w:tcPr>
          <w:p w:rsidR="00273A0D" w:rsidRPr="00975E6B" w:rsidRDefault="00273A0D" w:rsidP="001140D3">
            <w:pPr>
              <w:jc w:val="center"/>
            </w:pPr>
            <w:r w:rsidRPr="00975E6B">
              <w:t>3</w:t>
            </w:r>
          </w:p>
        </w:tc>
        <w:tc>
          <w:tcPr>
            <w:tcW w:w="2252" w:type="pct"/>
            <w:tcBorders>
              <w:left w:val="single" w:sz="4" w:space="0" w:color="548DD4" w:themeColor="text2" w:themeTint="99"/>
            </w:tcBorders>
          </w:tcPr>
          <w:p w:rsidR="00273A0D" w:rsidRPr="00975E6B" w:rsidRDefault="00273A0D" w:rsidP="0029344A">
            <w:r w:rsidRPr="00975E6B">
              <w:t>Costs for patients admitted in 2013/14 and still admitted at 30/06/2014</w:t>
            </w:r>
          </w:p>
        </w:tc>
        <w:tc>
          <w:tcPr>
            <w:tcW w:w="2249" w:type="pct"/>
            <w:tcBorders>
              <w:left w:val="single" w:sz="4" w:space="0" w:color="548DD4" w:themeColor="text2" w:themeTint="99"/>
            </w:tcBorders>
          </w:tcPr>
          <w:p w:rsidR="00273A0D" w:rsidRPr="00975E6B" w:rsidRDefault="00273A0D" w:rsidP="0029344A">
            <w:pPr>
              <w:jc w:val="center"/>
            </w:pPr>
            <w:r w:rsidRPr="00975E6B">
              <w:t>Not submitted to Round 18 of the NHCDC</w:t>
            </w:r>
          </w:p>
        </w:tc>
      </w:tr>
      <w:tr w:rsidR="00273A0D" w:rsidRPr="00975E6B" w:rsidTr="0029344A">
        <w:tc>
          <w:tcPr>
            <w:tcW w:w="499" w:type="pct"/>
            <w:tcBorders>
              <w:right w:val="single" w:sz="4" w:space="0" w:color="548DD4" w:themeColor="text2" w:themeTint="99"/>
            </w:tcBorders>
            <w:noWrap/>
          </w:tcPr>
          <w:p w:rsidR="00273A0D" w:rsidRPr="00975E6B" w:rsidRDefault="00273A0D" w:rsidP="001140D3">
            <w:pPr>
              <w:jc w:val="center"/>
            </w:pPr>
            <w:r w:rsidRPr="00975E6B">
              <w:t>4</w:t>
            </w:r>
          </w:p>
        </w:tc>
        <w:tc>
          <w:tcPr>
            <w:tcW w:w="2252" w:type="pct"/>
            <w:tcBorders>
              <w:left w:val="single" w:sz="4" w:space="0" w:color="548DD4" w:themeColor="text2" w:themeTint="99"/>
            </w:tcBorders>
          </w:tcPr>
          <w:p w:rsidR="00273A0D" w:rsidRPr="00975E6B" w:rsidRDefault="00273A0D" w:rsidP="0029344A">
            <w:r w:rsidRPr="00975E6B">
              <w:t>Costs for patients admitted prior to 2013/14 and still admitted at 30/06/2014</w:t>
            </w:r>
          </w:p>
        </w:tc>
        <w:tc>
          <w:tcPr>
            <w:tcW w:w="2249" w:type="pct"/>
            <w:tcBorders>
              <w:left w:val="single" w:sz="4" w:space="0" w:color="548DD4" w:themeColor="text2" w:themeTint="99"/>
            </w:tcBorders>
          </w:tcPr>
          <w:p w:rsidR="00273A0D" w:rsidRPr="00975E6B" w:rsidRDefault="00273A0D" w:rsidP="0029344A">
            <w:pPr>
              <w:jc w:val="center"/>
            </w:pPr>
            <w:r w:rsidRPr="00975E6B">
              <w:t>Not submitted to Round 18 of the NHCDC</w:t>
            </w:r>
          </w:p>
        </w:tc>
      </w:tr>
    </w:tbl>
    <w:p w:rsidR="00273A0D" w:rsidRPr="00975E6B" w:rsidRDefault="00664CB0" w:rsidP="00273A0D">
      <w:pPr>
        <w:pStyle w:val="FootnoteText"/>
        <w:rPr>
          <w:bCs/>
          <w:i/>
          <w:sz w:val="16"/>
          <w:szCs w:val="16"/>
        </w:rPr>
      </w:pPr>
      <w:r w:rsidRPr="00975E6B">
        <w:rPr>
          <w:bCs/>
          <w:i/>
          <w:sz w:val="16"/>
          <w:szCs w:val="16"/>
        </w:rPr>
        <w:t>S</w:t>
      </w:r>
      <w:r w:rsidR="00273A0D" w:rsidRPr="00975E6B">
        <w:rPr>
          <w:bCs/>
          <w:i/>
          <w:sz w:val="16"/>
          <w:szCs w:val="16"/>
        </w:rPr>
        <w:t>ource: KPMG, based on Ipswich Hospital templates and review discussions</w:t>
      </w:r>
    </w:p>
    <w:p w:rsidR="00273A0D" w:rsidRPr="00975E6B" w:rsidRDefault="00273A0D" w:rsidP="00273A0D">
      <w:pPr>
        <w:pStyle w:val="BodyText"/>
      </w:pPr>
      <w:r w:rsidRPr="00975E6B">
        <w:t xml:space="preserve">In summary, </w:t>
      </w:r>
      <w:r w:rsidR="00CA6430" w:rsidRPr="00975E6B">
        <w:t>Queensland</w:t>
      </w:r>
      <w:r w:rsidRPr="00975E6B">
        <w:t xml:space="preserve"> Health submitted </w:t>
      </w:r>
      <w:r w:rsidR="00B7080E" w:rsidRPr="00975E6B">
        <w:t xml:space="preserve">WIP </w:t>
      </w:r>
      <w:r w:rsidRPr="00975E6B">
        <w:t xml:space="preserve">costs </w:t>
      </w:r>
      <w:r w:rsidR="00F51504" w:rsidRPr="00975E6B">
        <w:t xml:space="preserve">for </w:t>
      </w:r>
      <w:r w:rsidRPr="00975E6B">
        <w:t>Ipswich Hospital for patients admitted and discharged in 2013/14 and the</w:t>
      </w:r>
      <w:r w:rsidR="00B7080E" w:rsidRPr="00975E6B">
        <w:t xml:space="preserve"> WIP</w:t>
      </w:r>
      <w:r w:rsidRPr="00975E6B">
        <w:t xml:space="preserve"> costs for patients discharged in 2013/14 but incurred in prior years.</w:t>
      </w:r>
    </w:p>
    <w:p w:rsidR="00273A0D" w:rsidRPr="00975E6B" w:rsidRDefault="00273A0D" w:rsidP="005D5688">
      <w:pPr>
        <w:pStyle w:val="Heading4"/>
        <w:numPr>
          <w:ilvl w:val="0"/>
          <w:numId w:val="0"/>
        </w:numPr>
        <w:ind w:left="720" w:hanging="720"/>
      </w:pPr>
      <w:r w:rsidRPr="00975E6B">
        <w:t>Escalation factor</w:t>
      </w:r>
    </w:p>
    <w:p w:rsidR="00273A0D" w:rsidRPr="00975E6B" w:rsidRDefault="00273A0D" w:rsidP="00273A0D">
      <w:pPr>
        <w:pStyle w:val="BodyText"/>
      </w:pPr>
      <w:r w:rsidRPr="00975E6B">
        <w:t>No escalation factor to costs incurred prior to 2013/14 was applied to the Ipswich Hospital Round 18 submission to the NHCDC.</w:t>
      </w:r>
    </w:p>
    <w:p w:rsidR="00273A0D" w:rsidRPr="00975E6B" w:rsidRDefault="00273A0D" w:rsidP="003B387A">
      <w:pPr>
        <w:pStyle w:val="Heading3"/>
        <w:numPr>
          <w:ilvl w:val="2"/>
          <w:numId w:val="77"/>
        </w:numPr>
      </w:pPr>
      <w:r w:rsidRPr="0080753B">
        <w:t>Treatment</w:t>
      </w:r>
      <w:r w:rsidRPr="00975E6B">
        <w:t xml:space="preserve"> of other specific cost items</w:t>
      </w:r>
    </w:p>
    <w:p w:rsidR="00273A0D" w:rsidRPr="00975E6B" w:rsidRDefault="00EB4E48" w:rsidP="00273A0D">
      <w:r w:rsidRPr="00975E6B">
        <w:t>The following items were discussed during the reviews to understand their treatment in the costing process. The cost data is used to inform the NEP and specific funding model adjustments for particular patient cohorts</w:t>
      </w:r>
      <w:r w:rsidR="00273A0D" w:rsidRPr="00975E6B">
        <w:t>. Ipswich Hospital’s treatment of each of the items is summarised in</w:t>
      </w:r>
      <w:r w:rsidR="00B33CC1" w:rsidRPr="00975E6B">
        <w:t xml:space="preserve"> </w:t>
      </w:r>
      <w:r w:rsidR="00B33CC1" w:rsidRPr="00975E6B">
        <w:fldChar w:fldCharType="begin"/>
      </w:r>
      <w:r w:rsidR="00B33CC1" w:rsidRPr="00975E6B">
        <w:instrText xml:space="preserve"> REF _Ref434265042 \h </w:instrText>
      </w:r>
      <w:r w:rsidR="00975E6B">
        <w:instrText xml:space="preserve"> \* MERGEFORMAT </w:instrText>
      </w:r>
      <w:r w:rsidR="00B33CC1" w:rsidRPr="00975E6B">
        <w:fldChar w:fldCharType="separate"/>
      </w:r>
      <w:r w:rsidR="00154CF7" w:rsidRPr="00975E6B">
        <w:t xml:space="preserve">Table </w:t>
      </w:r>
      <w:r w:rsidR="00154CF7">
        <w:rPr>
          <w:noProof/>
        </w:rPr>
        <w:t>39</w:t>
      </w:r>
      <w:r w:rsidR="00B33CC1" w:rsidRPr="00975E6B">
        <w:fldChar w:fldCharType="end"/>
      </w:r>
      <w:r w:rsidR="00273A0D" w:rsidRPr="00975E6B">
        <w:t>.</w:t>
      </w:r>
    </w:p>
    <w:p w:rsidR="00273A0D" w:rsidRPr="00975E6B" w:rsidRDefault="00273A0D" w:rsidP="00273A0D">
      <w:pPr>
        <w:pStyle w:val="Caption"/>
      </w:pPr>
      <w:bookmarkStart w:id="730" w:name="_Ref434265042"/>
      <w:r w:rsidRPr="00975E6B">
        <w:t xml:space="preserve">Table </w:t>
      </w:r>
      <w:fldSimple w:instr=" SEQ Table \* ARABIC ">
        <w:r w:rsidR="00154CF7">
          <w:rPr>
            <w:noProof/>
          </w:rPr>
          <w:t>39</w:t>
        </w:r>
      </w:fldSimple>
      <w:bookmarkEnd w:id="730"/>
      <w:r w:rsidRPr="00975E6B">
        <w:t xml:space="preserve"> – Treatment of other specific cost items – Ipswich Hospital</w:t>
      </w:r>
    </w:p>
    <w:tbl>
      <w:tblPr>
        <w:tblStyle w:val="ListTable4-Accent11"/>
        <w:tblW w:w="5000" w:type="pct"/>
        <w:tblLayout w:type="fixed"/>
        <w:tblLook w:val="0620" w:firstRow="1" w:lastRow="0" w:firstColumn="0" w:lastColumn="0" w:noHBand="1" w:noVBand="1"/>
        <w:tblCaption w:val="Table 39 - Treatment of specific items - Ipswich Hospital"/>
        <w:tblDescription w:val="This table describes how Ipswich Hospital treated specific items in their Round 18 NHCDC Submission.  The first column is the item and the second column is the description of the treatment.&#10;&#10;"/>
      </w:tblPr>
      <w:tblGrid>
        <w:gridCol w:w="3342"/>
        <w:gridCol w:w="5379"/>
      </w:tblGrid>
      <w:tr w:rsidR="00273A0D" w:rsidRPr="00975E6B" w:rsidTr="00E14378">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tcPr>
          <w:p w:rsidR="00273A0D" w:rsidRPr="00975E6B" w:rsidRDefault="00273A0D" w:rsidP="0029344A">
            <w:r w:rsidRPr="00975E6B">
              <w:t>Item</w:t>
            </w:r>
          </w:p>
        </w:tc>
        <w:tc>
          <w:tcPr>
            <w:tcW w:w="3084" w:type="pct"/>
            <w:tcBorders>
              <w:left w:val="single" w:sz="4" w:space="0" w:color="548DD4" w:themeColor="text2" w:themeTint="99"/>
            </w:tcBorders>
            <w:shd w:val="clear" w:color="auto" w:fill="002060"/>
          </w:tcPr>
          <w:p w:rsidR="00273A0D" w:rsidRPr="00975E6B" w:rsidRDefault="00273A0D" w:rsidP="0029344A">
            <w:r w:rsidRPr="00975E6B">
              <w:t>Treatment</w:t>
            </w:r>
          </w:p>
        </w:tc>
      </w:tr>
      <w:tr w:rsidR="00273A0D" w:rsidRPr="00975E6B" w:rsidTr="0029344A">
        <w:tc>
          <w:tcPr>
            <w:tcW w:w="1916" w:type="pct"/>
            <w:tcBorders>
              <w:right w:val="single" w:sz="4" w:space="0" w:color="548DD4" w:themeColor="text2" w:themeTint="99"/>
            </w:tcBorders>
            <w:noWrap/>
          </w:tcPr>
          <w:p w:rsidR="00273A0D" w:rsidRPr="00975E6B" w:rsidRDefault="00C57A2A" w:rsidP="0029344A">
            <w:pPr>
              <w:pStyle w:val="BodyText"/>
              <w:jc w:val="left"/>
            </w:pPr>
            <w:r w:rsidRPr="00975E6B">
              <w:t>Teaching, Training and Research</w:t>
            </w:r>
          </w:p>
        </w:tc>
        <w:tc>
          <w:tcPr>
            <w:tcW w:w="3084" w:type="pct"/>
            <w:tcBorders>
              <w:left w:val="single" w:sz="4" w:space="0" w:color="548DD4" w:themeColor="text2" w:themeTint="99"/>
            </w:tcBorders>
          </w:tcPr>
          <w:p w:rsidR="00C57A2A" w:rsidRPr="00975E6B" w:rsidRDefault="00C57A2A">
            <w:pPr>
              <w:pStyle w:val="BodyText"/>
              <w:jc w:val="left"/>
            </w:pPr>
            <w:r w:rsidRPr="00975E6B">
              <w:t xml:space="preserve">Queensland hospitals manage direct TTR by mapping those distinct cost centres to education and research departments. These costs are excluded from final patient costing as per the AHPCS. </w:t>
            </w:r>
          </w:p>
          <w:p w:rsidR="00273A0D" w:rsidRPr="00975E6B" w:rsidRDefault="00C57A2A">
            <w:pPr>
              <w:pStyle w:val="BodyText"/>
              <w:jc w:val="left"/>
            </w:pPr>
            <w:r w:rsidRPr="00975E6B">
              <w:t>Indirect and embedded teaching and training are considered part of the provision of healthcare to patients</w:t>
            </w:r>
            <w:r w:rsidR="005D12ED" w:rsidRPr="00975E6B">
              <w:t xml:space="preserve">. </w:t>
            </w:r>
            <w:r w:rsidRPr="00975E6B">
              <w:t>There are currently no feeder systems available which contain products which could be used for costing these activities and costs in the GL will form part of the salaries and wages component of patient level costs.</w:t>
            </w:r>
          </w:p>
        </w:tc>
      </w:tr>
      <w:tr w:rsidR="00273A0D" w:rsidRPr="00975E6B" w:rsidTr="0029344A">
        <w:tc>
          <w:tcPr>
            <w:tcW w:w="1916" w:type="pct"/>
            <w:tcBorders>
              <w:right w:val="single" w:sz="4" w:space="0" w:color="548DD4" w:themeColor="text2" w:themeTint="99"/>
            </w:tcBorders>
            <w:noWrap/>
          </w:tcPr>
          <w:p w:rsidR="00273A0D" w:rsidRPr="00975E6B" w:rsidRDefault="00273A0D" w:rsidP="0029344A">
            <w:pPr>
              <w:pStyle w:val="BodyText"/>
              <w:jc w:val="left"/>
            </w:pPr>
            <w:r w:rsidRPr="00975E6B">
              <w:t>Shared/Other commercial entities</w:t>
            </w:r>
          </w:p>
        </w:tc>
        <w:tc>
          <w:tcPr>
            <w:tcW w:w="3084" w:type="pct"/>
            <w:tcBorders>
              <w:left w:val="single" w:sz="4" w:space="0" w:color="548DD4" w:themeColor="text2" w:themeTint="99"/>
            </w:tcBorders>
          </w:tcPr>
          <w:p w:rsidR="00273A0D" w:rsidRPr="00975E6B" w:rsidRDefault="00273A0D" w:rsidP="0029344A">
            <w:pPr>
              <w:pStyle w:val="BodyText"/>
              <w:jc w:val="left"/>
            </w:pPr>
            <w:r w:rsidRPr="00975E6B">
              <w:t>Based on discussions during the interview process and a review of source documentation, expenditure is excluded by Ipswich Hospital.</w:t>
            </w:r>
          </w:p>
        </w:tc>
      </w:tr>
      <w:tr w:rsidR="00901115" w:rsidRPr="00975E6B" w:rsidTr="0029344A">
        <w:tc>
          <w:tcPr>
            <w:tcW w:w="1916" w:type="pct"/>
            <w:tcBorders>
              <w:right w:val="single" w:sz="4" w:space="0" w:color="548DD4" w:themeColor="text2" w:themeTint="99"/>
            </w:tcBorders>
            <w:noWrap/>
          </w:tcPr>
          <w:p w:rsidR="00901115" w:rsidRPr="00975E6B" w:rsidRDefault="00901115" w:rsidP="00901115">
            <w:pPr>
              <w:pStyle w:val="BodyText"/>
              <w:jc w:val="left"/>
            </w:pPr>
            <w:r w:rsidRPr="00975E6B">
              <w:t xml:space="preserve">Intensive Care Unit </w:t>
            </w:r>
          </w:p>
        </w:tc>
        <w:tc>
          <w:tcPr>
            <w:tcW w:w="3084" w:type="pct"/>
            <w:tcBorders>
              <w:left w:val="single" w:sz="4" w:space="0" w:color="548DD4" w:themeColor="text2" w:themeTint="99"/>
            </w:tcBorders>
          </w:tcPr>
          <w:p w:rsidR="00901115" w:rsidRPr="00975E6B" w:rsidRDefault="00901115" w:rsidP="00901115">
            <w:pPr>
              <w:pStyle w:val="BodyText"/>
              <w:jc w:val="left"/>
            </w:pPr>
            <w:r w:rsidRPr="00975E6B">
              <w:t xml:space="preserve">No change to the costing methodology. No ICU </w:t>
            </w:r>
            <w:r w:rsidRPr="00975E6B">
              <w:lastRenderedPageBreak/>
              <w:t>adjustments made.</w:t>
            </w:r>
          </w:p>
        </w:tc>
      </w:tr>
      <w:tr w:rsidR="00901115" w:rsidRPr="00975E6B" w:rsidTr="0029344A">
        <w:tc>
          <w:tcPr>
            <w:tcW w:w="1916" w:type="pct"/>
            <w:tcBorders>
              <w:right w:val="single" w:sz="4" w:space="0" w:color="548DD4" w:themeColor="text2" w:themeTint="99"/>
            </w:tcBorders>
            <w:noWrap/>
          </w:tcPr>
          <w:p w:rsidR="00901115" w:rsidRPr="00975E6B" w:rsidRDefault="00EE5E5B" w:rsidP="00901115">
            <w:pPr>
              <w:pStyle w:val="BodyText"/>
              <w:jc w:val="left"/>
            </w:pPr>
            <w:r w:rsidRPr="00975E6B">
              <w:lastRenderedPageBreak/>
              <w:t>Aboriginal and Torres Strait Islander</w:t>
            </w:r>
            <w:r w:rsidR="00901115" w:rsidRPr="00975E6B">
              <w:t xml:space="preserve"> patients</w:t>
            </w:r>
          </w:p>
        </w:tc>
        <w:tc>
          <w:tcPr>
            <w:tcW w:w="3084" w:type="pct"/>
            <w:tcBorders>
              <w:left w:val="single" w:sz="4" w:space="0" w:color="548DD4" w:themeColor="text2" w:themeTint="99"/>
            </w:tcBorders>
          </w:tcPr>
          <w:p w:rsidR="00901115" w:rsidRPr="00975E6B" w:rsidRDefault="00901115" w:rsidP="00901115">
            <w:pPr>
              <w:pStyle w:val="BodyText"/>
              <w:jc w:val="left"/>
            </w:pPr>
            <w:r w:rsidRPr="00975E6B">
              <w:t>No change to the costing methodology. No ATSI weights or adjustments made. Costs based on resources linked.</w:t>
            </w:r>
          </w:p>
        </w:tc>
      </w:tr>
      <w:tr w:rsidR="00901115" w:rsidRPr="00975E6B" w:rsidTr="0029344A">
        <w:trPr>
          <w:trHeight w:val="516"/>
        </w:trPr>
        <w:tc>
          <w:tcPr>
            <w:tcW w:w="1916" w:type="pct"/>
            <w:tcBorders>
              <w:right w:val="single" w:sz="4" w:space="0" w:color="548DD4" w:themeColor="text2" w:themeTint="99"/>
            </w:tcBorders>
            <w:noWrap/>
          </w:tcPr>
          <w:p w:rsidR="00901115" w:rsidRPr="00975E6B" w:rsidRDefault="00901115" w:rsidP="00901115">
            <w:pPr>
              <w:pStyle w:val="BodyText"/>
              <w:jc w:val="left"/>
            </w:pPr>
            <w:r w:rsidRPr="00975E6B">
              <w:t xml:space="preserve">Private Patients </w:t>
            </w:r>
          </w:p>
        </w:tc>
        <w:tc>
          <w:tcPr>
            <w:tcW w:w="3084" w:type="pct"/>
            <w:tcBorders>
              <w:left w:val="single" w:sz="4" w:space="0" w:color="548DD4" w:themeColor="text2" w:themeTint="99"/>
            </w:tcBorders>
          </w:tcPr>
          <w:p w:rsidR="00901115" w:rsidRPr="00975E6B" w:rsidRDefault="00901115" w:rsidP="00901115">
            <w:pPr>
              <w:pStyle w:val="BodyText"/>
              <w:jc w:val="left"/>
            </w:pPr>
            <w:r w:rsidRPr="00975E6B">
              <w:t>No change to the costing methodology. No private patient weights or adjustments made.</w:t>
            </w:r>
          </w:p>
        </w:tc>
      </w:tr>
      <w:tr w:rsidR="00901115" w:rsidRPr="00975E6B" w:rsidTr="0029344A">
        <w:tc>
          <w:tcPr>
            <w:tcW w:w="1916" w:type="pct"/>
            <w:tcBorders>
              <w:right w:val="single" w:sz="4" w:space="0" w:color="548DD4" w:themeColor="text2" w:themeTint="99"/>
            </w:tcBorders>
            <w:noWrap/>
          </w:tcPr>
          <w:p w:rsidR="00901115" w:rsidRPr="00975E6B" w:rsidRDefault="00901115" w:rsidP="00901115">
            <w:pPr>
              <w:pStyle w:val="BodyText"/>
              <w:jc w:val="left"/>
            </w:pPr>
            <w:r w:rsidRPr="00975E6B">
              <w:t>PBS drugs</w:t>
            </w:r>
          </w:p>
        </w:tc>
        <w:tc>
          <w:tcPr>
            <w:tcW w:w="3084" w:type="pct"/>
            <w:tcBorders>
              <w:left w:val="single" w:sz="4" w:space="0" w:color="548DD4" w:themeColor="text2" w:themeTint="99"/>
            </w:tcBorders>
          </w:tcPr>
          <w:p w:rsidR="00901115" w:rsidRPr="00975E6B" w:rsidRDefault="00901115" w:rsidP="00901115">
            <w:pPr>
              <w:pStyle w:val="BodyText"/>
              <w:jc w:val="left"/>
            </w:pPr>
            <w:r w:rsidRPr="00975E6B">
              <w:t>Included in the Round 18 submission, with no offsets undertaken.</w:t>
            </w:r>
          </w:p>
        </w:tc>
      </w:tr>
    </w:tbl>
    <w:p w:rsidR="00273A0D" w:rsidRPr="00975E6B" w:rsidRDefault="00D45D3C" w:rsidP="00273A0D">
      <w:pPr>
        <w:pStyle w:val="FootnoteText"/>
        <w:rPr>
          <w:bCs/>
          <w:i/>
          <w:sz w:val="16"/>
          <w:szCs w:val="16"/>
        </w:rPr>
      </w:pPr>
      <w:r>
        <w:rPr>
          <w:bCs/>
          <w:i/>
          <w:sz w:val="16"/>
          <w:szCs w:val="16"/>
        </w:rPr>
        <w:t>S</w:t>
      </w:r>
      <w:r w:rsidR="00273A0D" w:rsidRPr="00975E6B">
        <w:rPr>
          <w:bCs/>
          <w:i/>
          <w:sz w:val="16"/>
          <w:szCs w:val="16"/>
        </w:rPr>
        <w:t>ource: KPMG</w:t>
      </w:r>
    </w:p>
    <w:p w:rsidR="00273A0D" w:rsidRPr="00975E6B" w:rsidRDefault="00273A0D" w:rsidP="003B387A">
      <w:pPr>
        <w:pStyle w:val="Heading3"/>
        <w:numPr>
          <w:ilvl w:val="2"/>
          <w:numId w:val="77"/>
        </w:numPr>
      </w:pPr>
      <w:r w:rsidRPr="0080753B">
        <w:t>Sample</w:t>
      </w:r>
      <w:r w:rsidRPr="00975E6B">
        <w:t xml:space="preserve"> patient data</w:t>
      </w:r>
    </w:p>
    <w:p w:rsidR="00273A0D" w:rsidRPr="00975E6B" w:rsidRDefault="00273A0D" w:rsidP="001140D3">
      <w:pPr>
        <w:pStyle w:val="BodyText"/>
      </w:pPr>
      <w:r w:rsidRPr="00975E6B">
        <w:t xml:space="preserve">IHPA selected a sample of five patients from Ipswich Hospital for the purposes of testing the data flow from jurisdictions to IHPA at the patient level. </w:t>
      </w:r>
      <w:r w:rsidR="00CA6430" w:rsidRPr="00975E6B">
        <w:t>Queensland</w:t>
      </w:r>
      <w:r w:rsidRPr="00975E6B">
        <w:t xml:space="preserve"> Health provided the patient level costs for all five patients and these reconciled to IHPA records. The results are summarised in</w:t>
      </w:r>
      <w:r w:rsidR="00372387" w:rsidRPr="00975E6B">
        <w:t xml:space="preserve"> </w:t>
      </w:r>
      <w:r w:rsidR="00372387" w:rsidRPr="00975E6B">
        <w:fldChar w:fldCharType="begin"/>
      </w:r>
      <w:r w:rsidR="00372387" w:rsidRPr="00975E6B">
        <w:instrText xml:space="preserve"> REF _Ref434265072 \h </w:instrText>
      </w:r>
      <w:r w:rsidR="00975E6B">
        <w:instrText xml:space="preserve"> \* MERGEFORMAT </w:instrText>
      </w:r>
      <w:r w:rsidR="00372387" w:rsidRPr="00975E6B">
        <w:fldChar w:fldCharType="separate"/>
      </w:r>
      <w:r w:rsidR="00154CF7" w:rsidRPr="00D45D3C">
        <w:t xml:space="preserve">Table </w:t>
      </w:r>
      <w:r w:rsidR="00154CF7" w:rsidRPr="00154CF7">
        <w:rPr>
          <w:noProof/>
        </w:rPr>
        <w:t>40</w:t>
      </w:r>
      <w:r w:rsidR="00372387" w:rsidRPr="00975E6B">
        <w:fldChar w:fldCharType="end"/>
      </w:r>
      <w:r w:rsidRPr="00975E6B">
        <w:t>.</w:t>
      </w:r>
    </w:p>
    <w:p w:rsidR="000A6997" w:rsidRPr="00975E6B" w:rsidRDefault="00273A0D" w:rsidP="00CD1518">
      <w:pPr>
        <w:pStyle w:val="Caption"/>
      </w:pPr>
      <w:bookmarkStart w:id="731" w:name="_Ref434265072"/>
      <w:r w:rsidRPr="00D45D3C">
        <w:t xml:space="preserve">Table </w:t>
      </w:r>
      <w:r w:rsidR="003E3288" w:rsidRPr="00D45D3C">
        <w:rPr>
          <w:bCs w:val="0"/>
        </w:rPr>
        <w:fldChar w:fldCharType="begin"/>
      </w:r>
      <w:r w:rsidR="003E3288" w:rsidRPr="00D45D3C">
        <w:rPr>
          <w:bCs w:val="0"/>
        </w:rPr>
        <w:instrText xml:space="preserve"> SEQ Table \* ARABIC </w:instrText>
      </w:r>
      <w:r w:rsidR="003E3288" w:rsidRPr="00D45D3C">
        <w:rPr>
          <w:bCs w:val="0"/>
        </w:rPr>
        <w:fldChar w:fldCharType="separate"/>
      </w:r>
      <w:r w:rsidR="00154CF7">
        <w:rPr>
          <w:bCs w:val="0"/>
          <w:noProof/>
        </w:rPr>
        <w:t>40</w:t>
      </w:r>
      <w:r w:rsidR="003E3288" w:rsidRPr="00D45D3C">
        <w:rPr>
          <w:bCs w:val="0"/>
          <w:noProof/>
        </w:rPr>
        <w:fldChar w:fldCharType="end"/>
      </w:r>
      <w:bookmarkEnd w:id="731"/>
      <w:r w:rsidRPr="00975E6B">
        <w:t xml:space="preserve"> – Sample patients – Ipswich Hospital</w:t>
      </w:r>
    </w:p>
    <w:tbl>
      <w:tblPr>
        <w:tblW w:w="5000" w:type="pct"/>
        <w:tblLook w:val="04A0" w:firstRow="1" w:lastRow="0" w:firstColumn="1" w:lastColumn="0" w:noHBand="0" w:noVBand="1"/>
        <w:tblCaption w:val="Table 40 - Sample patients - Ipswich Hospital"/>
        <w:tblDescription w:val="This table presents the results of the 5 sample patients tested for the data flow from jurisdictions to IHPA at the patient level for Ipswich Hospital. There are 5 columns.  Column 1 is the sample number, Column 2 is the product type, column 3 is the amount in  jurisdiction records, Column 4 is the amount received by IHPA and Column 5 is the variance between jurisdiction and IHPA.&#10;"/>
      </w:tblPr>
      <w:tblGrid>
        <w:gridCol w:w="509"/>
        <w:gridCol w:w="2274"/>
        <w:gridCol w:w="2274"/>
        <w:gridCol w:w="2274"/>
        <w:gridCol w:w="1390"/>
      </w:tblGrid>
      <w:tr w:rsidR="000A6997" w:rsidRPr="000A6997" w:rsidTr="00E14378">
        <w:trPr>
          <w:trHeight w:val="260"/>
        </w:trPr>
        <w:tc>
          <w:tcPr>
            <w:tcW w:w="291"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0A6997" w:rsidRPr="000A6997" w:rsidRDefault="000A6997" w:rsidP="000A6997">
            <w:pPr>
              <w:spacing w:line="240" w:lineRule="auto"/>
              <w:jc w:val="center"/>
              <w:rPr>
                <w:b/>
                <w:bCs/>
                <w:color w:val="FFFFFF"/>
                <w:lang w:eastAsia="en-AU"/>
              </w:rPr>
            </w:pPr>
            <w:r w:rsidRPr="000A6997">
              <w:rPr>
                <w:b/>
                <w:bCs/>
                <w:color w:val="FFFFFF"/>
                <w:lang w:eastAsia="en-AU"/>
              </w:rPr>
              <w: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0A6997" w:rsidRPr="000A6997" w:rsidRDefault="000A6997" w:rsidP="000A6997">
            <w:pPr>
              <w:spacing w:line="240" w:lineRule="auto"/>
              <w:rPr>
                <w:b/>
                <w:bCs/>
                <w:color w:val="FFFFFF"/>
                <w:lang w:eastAsia="en-AU"/>
              </w:rPr>
            </w:pPr>
            <w:r w:rsidRPr="000A6997">
              <w:rPr>
                <w:b/>
                <w:bCs/>
                <w:color w:val="FFFFFF"/>
                <w:lang w:eastAsia="en-AU"/>
              </w:rPr>
              <w:t>Product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0A6997" w:rsidRPr="000A6997" w:rsidRDefault="000A6997" w:rsidP="000A6997">
            <w:pPr>
              <w:spacing w:line="240" w:lineRule="auto"/>
              <w:jc w:val="center"/>
              <w:rPr>
                <w:b/>
                <w:bCs/>
                <w:color w:val="FFFFFF"/>
                <w:lang w:eastAsia="en-AU"/>
              </w:rPr>
            </w:pPr>
            <w:r w:rsidRPr="000A6997">
              <w:rPr>
                <w:b/>
                <w:bCs/>
                <w:color w:val="FFFFFF"/>
                <w:lang w:eastAsia="en-AU"/>
              </w:rPr>
              <w:t>Jurisdiction records</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0A6997" w:rsidRPr="000A6997" w:rsidRDefault="000A6997" w:rsidP="000A6997">
            <w:pPr>
              <w:spacing w:line="240" w:lineRule="auto"/>
              <w:jc w:val="center"/>
              <w:rPr>
                <w:b/>
                <w:bCs/>
                <w:color w:val="FFFFFF"/>
                <w:lang w:eastAsia="en-AU"/>
              </w:rPr>
            </w:pPr>
            <w:r w:rsidRPr="000A6997">
              <w:rPr>
                <w:b/>
                <w:bCs/>
                <w:color w:val="FFFFFF"/>
                <w:lang w:eastAsia="en-AU"/>
              </w:rPr>
              <w:t>Received by IHPA</w:t>
            </w:r>
          </w:p>
        </w:tc>
        <w:tc>
          <w:tcPr>
            <w:tcW w:w="797" w:type="pct"/>
            <w:tcBorders>
              <w:top w:val="nil"/>
              <w:left w:val="nil"/>
              <w:bottom w:val="nil"/>
              <w:right w:val="single" w:sz="4" w:space="0" w:color="5B9BD5"/>
            </w:tcBorders>
            <w:shd w:val="clear" w:color="auto" w:fill="002060"/>
            <w:vAlign w:val="bottom"/>
            <w:hideMark/>
          </w:tcPr>
          <w:p w:rsidR="000A6997" w:rsidRPr="000A6997" w:rsidRDefault="000A6997" w:rsidP="000A6997">
            <w:pPr>
              <w:spacing w:line="240" w:lineRule="auto"/>
              <w:jc w:val="center"/>
              <w:rPr>
                <w:b/>
                <w:bCs/>
                <w:color w:val="FFFFFF"/>
                <w:lang w:eastAsia="en-AU"/>
              </w:rPr>
            </w:pPr>
            <w:r w:rsidRPr="000A6997">
              <w:rPr>
                <w:b/>
                <w:bCs/>
                <w:color w:val="FFFFFF"/>
                <w:lang w:eastAsia="en-AU"/>
              </w:rPr>
              <w:t>Variance</w:t>
            </w:r>
          </w:p>
        </w:tc>
      </w:tr>
      <w:tr w:rsidR="00CA7B4E" w:rsidRPr="000A6997"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0A6997" w:rsidRDefault="00CA7B4E" w:rsidP="00CA7B4E">
            <w:pPr>
              <w:spacing w:line="240" w:lineRule="auto"/>
              <w:jc w:val="center"/>
              <w:rPr>
                <w:color w:val="000000"/>
                <w:lang w:eastAsia="en-AU"/>
              </w:rPr>
            </w:pPr>
            <w:r w:rsidRPr="000A6997">
              <w:rPr>
                <w:color w:val="000000"/>
                <w:lang w:eastAsia="en-AU"/>
              </w:rPr>
              <w:t>1</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0A6997" w:rsidRDefault="00CA7B4E" w:rsidP="00CA7B4E">
            <w:pPr>
              <w:spacing w:line="240" w:lineRule="auto"/>
              <w:rPr>
                <w:color w:val="000000"/>
                <w:lang w:eastAsia="en-AU"/>
              </w:rPr>
            </w:pPr>
            <w:r w:rsidRPr="000A6997">
              <w:rPr>
                <w:color w:val="000000"/>
                <w:lang w:eastAsia="en-AU"/>
              </w:rPr>
              <w:t xml:space="preserve"> Non-admitted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0A6997" w:rsidRDefault="00CA7B4E" w:rsidP="00CD1518">
            <w:pPr>
              <w:spacing w:line="240" w:lineRule="auto"/>
              <w:jc w:val="right"/>
              <w:rPr>
                <w:color w:val="000000"/>
                <w:lang w:eastAsia="en-AU"/>
              </w:rPr>
            </w:pPr>
            <w:r w:rsidRPr="000A6997">
              <w:rPr>
                <w:color w:val="000000"/>
                <w:lang w:eastAsia="en-AU"/>
              </w:rPr>
              <w:t xml:space="preserve"> $230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0A6997" w:rsidRDefault="00CA7B4E" w:rsidP="00CD1518">
            <w:pPr>
              <w:spacing w:line="240" w:lineRule="auto"/>
              <w:jc w:val="right"/>
              <w:rPr>
                <w:color w:val="000000"/>
                <w:lang w:eastAsia="en-AU"/>
              </w:rPr>
            </w:pPr>
            <w:r w:rsidRPr="000A6997">
              <w:rPr>
                <w:color w:val="000000"/>
                <w:lang w:eastAsia="en-AU"/>
              </w:rPr>
              <w:t xml:space="preserve"> $230 </w:t>
            </w:r>
          </w:p>
        </w:tc>
        <w:tc>
          <w:tcPr>
            <w:tcW w:w="797" w:type="pct"/>
            <w:tcBorders>
              <w:top w:val="single" w:sz="4" w:space="0" w:color="5B9BD5"/>
              <w:left w:val="nil"/>
              <w:bottom w:val="single" w:sz="4" w:space="0" w:color="5B9BD5"/>
              <w:right w:val="single" w:sz="4" w:space="0" w:color="5B9BD5"/>
            </w:tcBorders>
            <w:shd w:val="clear" w:color="000000" w:fill="FFFFFF"/>
            <w:noWrap/>
            <w:vAlign w:val="bottom"/>
            <w:hideMark/>
          </w:tcPr>
          <w:p w:rsidR="00CA7B4E" w:rsidRPr="000A6997" w:rsidRDefault="00CA7B4E" w:rsidP="00CD1518">
            <w:pPr>
              <w:spacing w:line="240" w:lineRule="auto"/>
              <w:jc w:val="right"/>
              <w:rPr>
                <w:color w:val="000000"/>
                <w:lang w:eastAsia="en-AU"/>
              </w:rPr>
            </w:pPr>
            <w:r>
              <w:rPr>
                <w:color w:val="000000"/>
                <w:lang w:eastAsia="en-AU"/>
              </w:rPr>
              <w:t xml:space="preserve"> $</w:t>
            </w:r>
            <w:r w:rsidRPr="000A6997">
              <w:rPr>
                <w:color w:val="000000"/>
                <w:lang w:eastAsia="en-AU"/>
              </w:rPr>
              <w:t xml:space="preserve">-   </w:t>
            </w:r>
          </w:p>
        </w:tc>
      </w:tr>
      <w:tr w:rsidR="00CA7B4E" w:rsidRPr="000A6997" w:rsidTr="00CD1518">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0A6997" w:rsidRDefault="00CA7B4E" w:rsidP="00CA7B4E">
            <w:pPr>
              <w:spacing w:line="240" w:lineRule="auto"/>
              <w:jc w:val="center"/>
              <w:rPr>
                <w:color w:val="000000"/>
                <w:lang w:eastAsia="en-AU"/>
              </w:rPr>
            </w:pPr>
            <w:r w:rsidRPr="000A6997">
              <w:rPr>
                <w:color w:val="000000"/>
                <w:lang w:eastAsia="en-AU"/>
              </w:rPr>
              <w:t>2</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0A6997" w:rsidRDefault="00CA7B4E" w:rsidP="00CA7B4E">
            <w:pPr>
              <w:spacing w:line="240" w:lineRule="auto"/>
              <w:rPr>
                <w:color w:val="000000"/>
                <w:lang w:eastAsia="en-AU"/>
              </w:rPr>
            </w:pPr>
            <w:r w:rsidRPr="000A6997">
              <w:rPr>
                <w:color w:val="000000"/>
                <w:lang w:eastAsia="en-AU"/>
              </w:rPr>
              <w:t xml:space="preserve"> Non-Admitted ED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0A6997" w:rsidRDefault="00CA7B4E" w:rsidP="00CD1518">
            <w:pPr>
              <w:spacing w:line="240" w:lineRule="auto"/>
              <w:jc w:val="right"/>
              <w:rPr>
                <w:color w:val="000000"/>
                <w:lang w:eastAsia="en-AU"/>
              </w:rPr>
            </w:pPr>
            <w:r>
              <w:rPr>
                <w:color w:val="000000"/>
                <w:lang w:eastAsia="en-AU"/>
              </w:rPr>
              <w:t xml:space="preserve"> $</w:t>
            </w:r>
            <w:r w:rsidRPr="000A6997">
              <w:rPr>
                <w:color w:val="000000"/>
                <w:lang w:eastAsia="en-AU"/>
              </w:rPr>
              <w:t xml:space="preserve">481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0A6997" w:rsidRDefault="00CA7B4E" w:rsidP="00CD1518">
            <w:pPr>
              <w:spacing w:line="240" w:lineRule="auto"/>
              <w:jc w:val="right"/>
              <w:rPr>
                <w:color w:val="000000"/>
                <w:lang w:eastAsia="en-AU"/>
              </w:rPr>
            </w:pPr>
            <w:r>
              <w:rPr>
                <w:color w:val="000000"/>
                <w:lang w:eastAsia="en-AU"/>
              </w:rPr>
              <w:t xml:space="preserve"> $</w:t>
            </w:r>
            <w:r w:rsidRPr="000A6997">
              <w:rPr>
                <w:color w:val="000000"/>
                <w:lang w:eastAsia="en-AU"/>
              </w:rPr>
              <w:t xml:space="preserve">481 </w:t>
            </w:r>
          </w:p>
        </w:tc>
        <w:tc>
          <w:tcPr>
            <w:tcW w:w="797" w:type="pct"/>
            <w:tcBorders>
              <w:top w:val="nil"/>
              <w:left w:val="nil"/>
              <w:bottom w:val="single" w:sz="4" w:space="0" w:color="5B9BD5"/>
              <w:right w:val="single" w:sz="4" w:space="0" w:color="5B9BD5"/>
            </w:tcBorders>
            <w:shd w:val="clear" w:color="000000" w:fill="DDEBF7"/>
            <w:noWrap/>
            <w:vAlign w:val="bottom"/>
            <w:hideMark/>
          </w:tcPr>
          <w:p w:rsidR="00CA7B4E" w:rsidRPr="000A6997" w:rsidRDefault="00CA7B4E" w:rsidP="00CD1518">
            <w:pPr>
              <w:spacing w:line="240" w:lineRule="auto"/>
              <w:jc w:val="right"/>
              <w:rPr>
                <w:color w:val="000000"/>
                <w:lang w:eastAsia="en-AU"/>
              </w:rPr>
            </w:pPr>
            <w:r>
              <w:rPr>
                <w:color w:val="000000"/>
                <w:lang w:eastAsia="en-AU"/>
              </w:rPr>
              <w:t xml:space="preserve"> $</w:t>
            </w:r>
            <w:r w:rsidRPr="000A6997">
              <w:rPr>
                <w:color w:val="000000"/>
                <w:lang w:eastAsia="en-AU"/>
              </w:rPr>
              <w:t xml:space="preserve">-   </w:t>
            </w:r>
          </w:p>
        </w:tc>
      </w:tr>
      <w:tr w:rsidR="00CA7B4E" w:rsidRPr="000A6997"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0A6997" w:rsidRDefault="00CA7B4E" w:rsidP="00CA7B4E">
            <w:pPr>
              <w:spacing w:line="240" w:lineRule="auto"/>
              <w:jc w:val="center"/>
              <w:rPr>
                <w:color w:val="000000"/>
                <w:lang w:eastAsia="en-AU"/>
              </w:rPr>
            </w:pPr>
            <w:r w:rsidRPr="000A6997">
              <w:rPr>
                <w:color w:val="000000"/>
                <w:lang w:eastAsia="en-AU"/>
              </w:rPr>
              <w:t>3</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0A6997" w:rsidRDefault="00CA7B4E" w:rsidP="00CA7B4E">
            <w:pPr>
              <w:spacing w:line="240" w:lineRule="auto"/>
              <w:rPr>
                <w:color w:val="000000"/>
                <w:lang w:eastAsia="en-AU"/>
              </w:rPr>
            </w:pPr>
            <w:r w:rsidRPr="000A6997">
              <w:rPr>
                <w:color w:val="000000"/>
                <w:lang w:eastAsia="en-AU"/>
              </w:rPr>
              <w:t xml:space="preserve"> Admitted ED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0A6997" w:rsidRDefault="00CA7B4E" w:rsidP="00CD1518">
            <w:pPr>
              <w:spacing w:line="240" w:lineRule="auto"/>
              <w:jc w:val="right"/>
              <w:rPr>
                <w:color w:val="000000"/>
                <w:lang w:eastAsia="en-AU"/>
              </w:rPr>
            </w:pPr>
            <w:r w:rsidRPr="000A6997">
              <w:rPr>
                <w:color w:val="000000"/>
                <w:lang w:eastAsia="en-AU"/>
              </w:rPr>
              <w:t xml:space="preserve"> $926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0A6997" w:rsidRDefault="00CA7B4E" w:rsidP="00CD1518">
            <w:pPr>
              <w:spacing w:line="240" w:lineRule="auto"/>
              <w:jc w:val="right"/>
              <w:rPr>
                <w:color w:val="000000"/>
                <w:lang w:eastAsia="en-AU"/>
              </w:rPr>
            </w:pPr>
            <w:r w:rsidRPr="000A6997">
              <w:rPr>
                <w:color w:val="000000"/>
                <w:lang w:eastAsia="en-AU"/>
              </w:rPr>
              <w:t xml:space="preserve"> $926 </w:t>
            </w:r>
          </w:p>
        </w:tc>
        <w:tc>
          <w:tcPr>
            <w:tcW w:w="797" w:type="pct"/>
            <w:tcBorders>
              <w:top w:val="nil"/>
              <w:left w:val="nil"/>
              <w:bottom w:val="single" w:sz="4" w:space="0" w:color="5B9BD5"/>
              <w:right w:val="single" w:sz="4" w:space="0" w:color="5B9BD5"/>
            </w:tcBorders>
            <w:shd w:val="clear" w:color="000000" w:fill="FFFFFF"/>
            <w:noWrap/>
            <w:vAlign w:val="bottom"/>
            <w:hideMark/>
          </w:tcPr>
          <w:p w:rsidR="00CA7B4E" w:rsidRPr="000A6997" w:rsidRDefault="00CA7B4E" w:rsidP="00CD1518">
            <w:pPr>
              <w:spacing w:line="240" w:lineRule="auto"/>
              <w:jc w:val="right"/>
              <w:rPr>
                <w:color w:val="000000"/>
                <w:lang w:eastAsia="en-AU"/>
              </w:rPr>
            </w:pPr>
            <w:r>
              <w:rPr>
                <w:color w:val="000000"/>
                <w:lang w:eastAsia="en-AU"/>
              </w:rPr>
              <w:t xml:space="preserve"> $</w:t>
            </w:r>
            <w:r w:rsidRPr="000A6997">
              <w:rPr>
                <w:color w:val="000000"/>
                <w:lang w:eastAsia="en-AU"/>
              </w:rPr>
              <w:t xml:space="preserve">-   </w:t>
            </w:r>
          </w:p>
        </w:tc>
      </w:tr>
      <w:tr w:rsidR="00CA7B4E" w:rsidRPr="000A6997" w:rsidTr="00CD1518">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0A6997" w:rsidRDefault="00CA7B4E" w:rsidP="00CA7B4E">
            <w:pPr>
              <w:spacing w:line="240" w:lineRule="auto"/>
              <w:jc w:val="center"/>
              <w:rPr>
                <w:color w:val="000000"/>
                <w:lang w:eastAsia="en-AU"/>
              </w:rPr>
            </w:pPr>
            <w:r w:rsidRPr="000A6997">
              <w:rPr>
                <w:color w:val="000000"/>
                <w:lang w:eastAsia="en-AU"/>
              </w:rPr>
              <w:t>4</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0A6997" w:rsidRDefault="00CA7B4E" w:rsidP="00CA7B4E">
            <w:pPr>
              <w:spacing w:line="240" w:lineRule="auto"/>
              <w:rPr>
                <w:color w:val="000000"/>
                <w:lang w:eastAsia="en-AU"/>
              </w:rPr>
            </w:pPr>
            <w:r w:rsidRPr="000A6997">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0A6997" w:rsidRDefault="00CA7B4E" w:rsidP="00CD1518">
            <w:pPr>
              <w:spacing w:line="240" w:lineRule="auto"/>
              <w:jc w:val="right"/>
              <w:rPr>
                <w:color w:val="000000"/>
                <w:lang w:eastAsia="en-AU"/>
              </w:rPr>
            </w:pPr>
            <w:r w:rsidRPr="000A6997">
              <w:rPr>
                <w:color w:val="000000"/>
                <w:lang w:eastAsia="en-AU"/>
              </w:rPr>
              <w:t xml:space="preserve"> $7,372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0A6997" w:rsidRDefault="00CA7B4E" w:rsidP="00CD1518">
            <w:pPr>
              <w:spacing w:line="240" w:lineRule="auto"/>
              <w:jc w:val="right"/>
              <w:rPr>
                <w:color w:val="000000"/>
                <w:lang w:eastAsia="en-AU"/>
              </w:rPr>
            </w:pPr>
            <w:r w:rsidRPr="000A6997">
              <w:rPr>
                <w:color w:val="000000"/>
                <w:lang w:eastAsia="en-AU"/>
              </w:rPr>
              <w:t xml:space="preserve"> $7,372 </w:t>
            </w:r>
          </w:p>
        </w:tc>
        <w:tc>
          <w:tcPr>
            <w:tcW w:w="797" w:type="pct"/>
            <w:tcBorders>
              <w:top w:val="nil"/>
              <w:left w:val="nil"/>
              <w:bottom w:val="single" w:sz="4" w:space="0" w:color="5B9BD5"/>
              <w:right w:val="single" w:sz="4" w:space="0" w:color="5B9BD5"/>
            </w:tcBorders>
            <w:shd w:val="clear" w:color="000000" w:fill="DDEBF7"/>
            <w:noWrap/>
            <w:vAlign w:val="bottom"/>
            <w:hideMark/>
          </w:tcPr>
          <w:p w:rsidR="00CA7B4E" w:rsidRPr="000A6997" w:rsidRDefault="00CA7B4E" w:rsidP="00CD1518">
            <w:pPr>
              <w:spacing w:line="240" w:lineRule="auto"/>
              <w:jc w:val="right"/>
              <w:rPr>
                <w:color w:val="000000"/>
                <w:lang w:eastAsia="en-AU"/>
              </w:rPr>
            </w:pPr>
            <w:r>
              <w:rPr>
                <w:color w:val="000000"/>
                <w:lang w:eastAsia="en-AU"/>
              </w:rPr>
              <w:t xml:space="preserve"> $</w:t>
            </w:r>
            <w:r w:rsidRPr="000A6997">
              <w:rPr>
                <w:color w:val="000000"/>
                <w:lang w:eastAsia="en-AU"/>
              </w:rPr>
              <w:t xml:space="preserve">-   </w:t>
            </w:r>
          </w:p>
        </w:tc>
      </w:tr>
      <w:tr w:rsidR="00CA7B4E" w:rsidRPr="000A6997"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0A6997" w:rsidRDefault="00CA7B4E" w:rsidP="00CA7B4E">
            <w:pPr>
              <w:spacing w:line="240" w:lineRule="auto"/>
              <w:jc w:val="center"/>
              <w:rPr>
                <w:color w:val="000000"/>
                <w:lang w:eastAsia="en-AU"/>
              </w:rPr>
            </w:pPr>
            <w:r w:rsidRPr="000A6997">
              <w:rPr>
                <w:color w:val="000000"/>
                <w:lang w:eastAsia="en-AU"/>
              </w:rPr>
              <w:t>5</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0A6997" w:rsidRDefault="00CA7B4E" w:rsidP="00CA7B4E">
            <w:pPr>
              <w:spacing w:line="240" w:lineRule="auto"/>
              <w:rPr>
                <w:color w:val="000000"/>
                <w:lang w:eastAsia="en-AU"/>
              </w:rPr>
            </w:pPr>
            <w:r w:rsidRPr="000A6997">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0A6997" w:rsidRDefault="00CA7B4E" w:rsidP="00CD1518">
            <w:pPr>
              <w:spacing w:line="240" w:lineRule="auto"/>
              <w:jc w:val="right"/>
              <w:rPr>
                <w:color w:val="000000"/>
                <w:lang w:eastAsia="en-AU"/>
              </w:rPr>
            </w:pPr>
            <w:r w:rsidRPr="000A6997">
              <w:rPr>
                <w:color w:val="000000"/>
                <w:lang w:eastAsia="en-AU"/>
              </w:rPr>
              <w:t xml:space="preserve"> $524,557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0A6997" w:rsidRDefault="00CA7B4E" w:rsidP="00CD1518">
            <w:pPr>
              <w:spacing w:line="240" w:lineRule="auto"/>
              <w:jc w:val="right"/>
              <w:rPr>
                <w:color w:val="000000"/>
                <w:lang w:eastAsia="en-AU"/>
              </w:rPr>
            </w:pPr>
            <w:r w:rsidRPr="000A6997">
              <w:rPr>
                <w:color w:val="000000"/>
                <w:lang w:eastAsia="en-AU"/>
              </w:rPr>
              <w:t xml:space="preserve"> $524,557 </w:t>
            </w:r>
          </w:p>
        </w:tc>
        <w:tc>
          <w:tcPr>
            <w:tcW w:w="797" w:type="pct"/>
            <w:tcBorders>
              <w:top w:val="nil"/>
              <w:left w:val="nil"/>
              <w:bottom w:val="single" w:sz="4" w:space="0" w:color="5B9BD5"/>
              <w:right w:val="single" w:sz="4" w:space="0" w:color="5B9BD5"/>
            </w:tcBorders>
            <w:shd w:val="clear" w:color="000000" w:fill="FFFFFF"/>
            <w:noWrap/>
            <w:vAlign w:val="bottom"/>
            <w:hideMark/>
          </w:tcPr>
          <w:p w:rsidR="00CA7B4E" w:rsidRPr="000A6997" w:rsidRDefault="00CA7B4E" w:rsidP="00CD1518">
            <w:pPr>
              <w:spacing w:line="240" w:lineRule="auto"/>
              <w:jc w:val="right"/>
              <w:rPr>
                <w:color w:val="000000"/>
                <w:lang w:eastAsia="en-AU"/>
              </w:rPr>
            </w:pPr>
            <w:r>
              <w:rPr>
                <w:color w:val="000000"/>
                <w:lang w:eastAsia="en-AU"/>
              </w:rPr>
              <w:t xml:space="preserve"> $</w:t>
            </w:r>
            <w:r w:rsidRPr="000A6997">
              <w:rPr>
                <w:color w:val="000000"/>
                <w:lang w:eastAsia="en-AU"/>
              </w:rPr>
              <w:t xml:space="preserve">-   </w:t>
            </w:r>
          </w:p>
        </w:tc>
      </w:tr>
    </w:tbl>
    <w:p w:rsidR="00273A0D" w:rsidRPr="00975E6B" w:rsidRDefault="00273A0D" w:rsidP="00273A0D">
      <w:pPr>
        <w:pStyle w:val="FootnoteText"/>
        <w:rPr>
          <w:bCs/>
          <w:i/>
          <w:sz w:val="16"/>
          <w:szCs w:val="16"/>
        </w:rPr>
      </w:pPr>
      <w:r w:rsidRPr="00975E6B">
        <w:rPr>
          <w:bCs/>
          <w:i/>
          <w:sz w:val="16"/>
          <w:szCs w:val="16"/>
        </w:rPr>
        <w:t>Source: KPMG, based on Ipswich Hospital and IHPA data</w:t>
      </w:r>
    </w:p>
    <w:p w:rsidR="00273A0D" w:rsidRPr="00975E6B" w:rsidRDefault="00273A0D" w:rsidP="00273A0D">
      <w:pPr>
        <w:pStyle w:val="BodyText"/>
        <w:rPr>
          <w:i/>
          <w:color w:val="1F497D" w:themeColor="text2"/>
          <w:sz w:val="22"/>
          <w:szCs w:val="20"/>
        </w:rPr>
      </w:pPr>
    </w:p>
    <w:p w:rsidR="00273A0D" w:rsidRPr="00975E6B" w:rsidRDefault="00273A0D" w:rsidP="00273A0D">
      <w:pPr>
        <w:pStyle w:val="FootnoteText"/>
        <w:rPr>
          <w:bCs/>
          <w:i/>
          <w:sz w:val="16"/>
          <w:szCs w:val="16"/>
        </w:rPr>
        <w:sectPr w:rsidR="00273A0D" w:rsidRPr="00975E6B" w:rsidSect="00274CCD">
          <w:endnotePr>
            <w:numFmt w:val="decimal"/>
          </w:endnotePr>
          <w:pgSz w:w="11907" w:h="16840" w:code="9"/>
          <w:pgMar w:top="1701" w:right="1474" w:bottom="1134" w:left="1474" w:header="958" w:footer="629" w:gutter="454"/>
          <w:cols w:space="720"/>
          <w:docGrid w:linePitch="272"/>
        </w:sectPr>
      </w:pPr>
    </w:p>
    <w:p w:rsidR="00273A0D" w:rsidRPr="00975E6B" w:rsidRDefault="00273A0D" w:rsidP="003B387A">
      <w:pPr>
        <w:pStyle w:val="Heading2"/>
        <w:numPr>
          <w:ilvl w:val="1"/>
          <w:numId w:val="77"/>
        </w:numPr>
      </w:pPr>
      <w:bookmarkStart w:id="732" w:name="_Toc444523664"/>
      <w:r w:rsidRPr="0080753B">
        <w:lastRenderedPageBreak/>
        <w:t>Mackay</w:t>
      </w:r>
      <w:r w:rsidRPr="00975E6B">
        <w:t xml:space="preserve"> Base Hospital</w:t>
      </w:r>
      <w:bookmarkEnd w:id="732"/>
      <w:r w:rsidRPr="00975E6B">
        <w:t xml:space="preserve"> </w:t>
      </w:r>
    </w:p>
    <w:p w:rsidR="00273A0D" w:rsidRPr="00975E6B" w:rsidRDefault="00273A0D" w:rsidP="003B387A">
      <w:pPr>
        <w:pStyle w:val="Heading3"/>
        <w:numPr>
          <w:ilvl w:val="2"/>
          <w:numId w:val="77"/>
        </w:numPr>
      </w:pPr>
      <w:r w:rsidRPr="0080753B">
        <w:t>Overview</w:t>
      </w:r>
    </w:p>
    <w:p w:rsidR="003B017A" w:rsidRPr="00975E6B" w:rsidRDefault="00273A0D" w:rsidP="003B017A">
      <w:pPr>
        <w:pStyle w:val="BodyText"/>
      </w:pPr>
      <w:r w:rsidRPr="00975E6B">
        <w:t>The Mackay Base Hospital (</w:t>
      </w:r>
      <w:r w:rsidR="00901CD9" w:rsidRPr="00975E6B">
        <w:t>Mackay Base</w:t>
      </w:r>
      <w:r w:rsidRPr="00975E6B">
        <w:t>) is a part of the Mackay Hospital and Health Service (M</w:t>
      </w:r>
      <w:r w:rsidR="008B29DB" w:rsidRPr="00975E6B">
        <w:t>ackay</w:t>
      </w:r>
      <w:r w:rsidR="005742CA" w:rsidRPr="00975E6B">
        <w:t> </w:t>
      </w:r>
      <w:r w:rsidRPr="00975E6B">
        <w:t xml:space="preserve">HHS) which is responsible for the delivery of public hospital and health services including medical, surgical, emergency, obstetrics, paediatrics, specialist </w:t>
      </w:r>
      <w:r w:rsidR="00FC6E55" w:rsidRPr="00975E6B">
        <w:t>non-admitted</w:t>
      </w:r>
      <w:r w:rsidRPr="00975E6B">
        <w:t xml:space="preserve"> clinics, mental health, critical care and clinical support services to a population of around 180,424. The serviced population lives in a 90,360 square kilometre area from Bowen in the north to St</w:t>
      </w:r>
      <w:r w:rsidR="005742CA" w:rsidRPr="00975E6B">
        <w:t> </w:t>
      </w:r>
      <w:r w:rsidRPr="00975E6B">
        <w:t xml:space="preserve">Lawrence in the south, west to Clermont and north-west to Collinsville. Proserpine and the Whitsundays are also included in this region. </w:t>
      </w:r>
      <w:r w:rsidR="003B017A" w:rsidRPr="00975E6B">
        <w:t>Mackay Base underwent a $408 million redevelopment which was completed in late 2014. The project included a new acute hospital building together with a new emergency department, increased operating theatres, a dedicated coronary care unit and a larger intensive care unit.</w:t>
      </w:r>
      <w:r w:rsidR="00BA3F4B" w:rsidRPr="00975E6B">
        <w:t xml:space="preserve"> </w:t>
      </w:r>
      <w:r w:rsidR="003B017A" w:rsidRPr="00975E6B">
        <w:t>The redevelopment also included increased mental health services, larger dialysis unit, day oncology, dental services, delivery suites and a staff skill centre.</w:t>
      </w:r>
    </w:p>
    <w:p w:rsidR="00273A0D" w:rsidRPr="00975E6B" w:rsidRDefault="00273A0D" w:rsidP="00273A0D">
      <w:pPr>
        <w:autoSpaceDE w:val="0"/>
        <w:autoSpaceDN w:val="0"/>
        <w:adjustRightInd w:val="0"/>
        <w:spacing w:before="120" w:after="120" w:line="280" w:lineRule="atLeast"/>
        <w:jc w:val="both"/>
        <w:rPr>
          <w:szCs w:val="22"/>
        </w:rPr>
      </w:pPr>
      <w:r w:rsidRPr="00975E6B">
        <w:rPr>
          <w:szCs w:val="22"/>
        </w:rPr>
        <w:t>The health service has 355 beds and bed alternatives which include 35</w:t>
      </w:r>
      <w:r w:rsidR="008B29DB" w:rsidRPr="00975E6B">
        <w:rPr>
          <w:szCs w:val="22"/>
        </w:rPr>
        <w:t> </w:t>
      </w:r>
      <w:r w:rsidRPr="00975E6B">
        <w:rPr>
          <w:szCs w:val="22"/>
        </w:rPr>
        <w:t>aged care beds. As at 30 June 2015, M</w:t>
      </w:r>
      <w:r w:rsidR="008B29DB" w:rsidRPr="00975E6B">
        <w:rPr>
          <w:szCs w:val="22"/>
        </w:rPr>
        <w:t xml:space="preserve">ackay </w:t>
      </w:r>
      <w:r w:rsidRPr="00975E6B">
        <w:rPr>
          <w:szCs w:val="22"/>
        </w:rPr>
        <w:t>HHS employ</w:t>
      </w:r>
      <w:r w:rsidR="00EC7C64" w:rsidRPr="00975E6B">
        <w:rPr>
          <w:szCs w:val="22"/>
        </w:rPr>
        <w:t>ed</w:t>
      </w:r>
      <w:r w:rsidRPr="00975E6B">
        <w:rPr>
          <w:szCs w:val="22"/>
        </w:rPr>
        <w:t xml:space="preserve"> 1,865 employees. </w:t>
      </w:r>
      <w:r w:rsidR="008B29DB" w:rsidRPr="00975E6B">
        <w:rPr>
          <w:szCs w:val="22"/>
        </w:rPr>
        <w:t>Mackay HHS</w:t>
      </w:r>
      <w:r w:rsidRPr="00975E6B">
        <w:rPr>
          <w:szCs w:val="22"/>
        </w:rPr>
        <w:t xml:space="preserve"> provides training and clinical placement opportunities for students in medicine, nursing, midwifery, dental and allied health from universities including James Cook University and C</w:t>
      </w:r>
      <w:r w:rsidR="008B29DB" w:rsidRPr="00975E6B">
        <w:rPr>
          <w:szCs w:val="22"/>
        </w:rPr>
        <w:t xml:space="preserve">entral </w:t>
      </w:r>
      <w:r w:rsidRPr="00975E6B">
        <w:rPr>
          <w:szCs w:val="22"/>
        </w:rPr>
        <w:t>Q</w:t>
      </w:r>
      <w:r w:rsidR="008B29DB" w:rsidRPr="00975E6B">
        <w:rPr>
          <w:szCs w:val="22"/>
        </w:rPr>
        <w:t xml:space="preserve">ueensland </w:t>
      </w:r>
      <w:r w:rsidR="005742CA" w:rsidRPr="00975E6B">
        <w:rPr>
          <w:szCs w:val="22"/>
        </w:rPr>
        <w:t xml:space="preserve">(CQ) </w:t>
      </w:r>
      <w:r w:rsidRPr="00975E6B">
        <w:rPr>
          <w:szCs w:val="22"/>
        </w:rPr>
        <w:t>University</w:t>
      </w:r>
      <w:r w:rsidRPr="00975E6B">
        <w:rPr>
          <w:rStyle w:val="FootnoteReference"/>
        </w:rPr>
        <w:footnoteReference w:id="6"/>
      </w:r>
      <w:r w:rsidRPr="00975E6B">
        <w:t>.</w:t>
      </w:r>
    </w:p>
    <w:p w:rsidR="00273A0D" w:rsidRPr="00975E6B" w:rsidRDefault="00273A0D" w:rsidP="003B387A">
      <w:pPr>
        <w:pStyle w:val="Heading3"/>
        <w:numPr>
          <w:ilvl w:val="2"/>
          <w:numId w:val="77"/>
        </w:numPr>
      </w:pPr>
      <w:r w:rsidRPr="0080753B">
        <w:t>Financial</w:t>
      </w:r>
      <w:r w:rsidRPr="00975E6B">
        <w:t xml:space="preserve"> data</w:t>
      </w:r>
    </w:p>
    <w:p w:rsidR="00273A0D" w:rsidRPr="00975E6B" w:rsidRDefault="00273A0D" w:rsidP="00273A0D">
      <w:pPr>
        <w:pStyle w:val="BodyText"/>
      </w:pPr>
      <w:r w:rsidRPr="00975E6B">
        <w:t xml:space="preserve">For the Round 18 IFR, departmental representatives of </w:t>
      </w:r>
      <w:r w:rsidR="00CA6430" w:rsidRPr="00975E6B">
        <w:t>Queensland</w:t>
      </w:r>
      <w:r w:rsidRPr="00975E6B">
        <w:t xml:space="preserve"> Health completed the relevant IFR templates and participated in consultations during the review. </w:t>
      </w:r>
    </w:p>
    <w:p w:rsidR="00273A0D" w:rsidRPr="00975E6B" w:rsidRDefault="00273A0D" w:rsidP="00273A0D">
      <w:pPr>
        <w:pStyle w:val="BodyText"/>
      </w:pPr>
      <w:r w:rsidRPr="00975E6B">
        <w:fldChar w:fldCharType="begin"/>
      </w:r>
      <w:r w:rsidRPr="00975E6B">
        <w:instrText xml:space="preserve"> REF _Ref433303200 \h </w:instrText>
      </w:r>
      <w:r w:rsidR="00975E6B">
        <w:instrText xml:space="preserve"> \* MERGEFORMAT </w:instrText>
      </w:r>
      <w:r w:rsidRPr="00975E6B">
        <w:fldChar w:fldCharType="separate"/>
      </w:r>
      <w:r w:rsidR="00154CF7" w:rsidRPr="00975E6B">
        <w:t xml:space="preserve">Table </w:t>
      </w:r>
      <w:r w:rsidR="00154CF7">
        <w:rPr>
          <w:noProof/>
        </w:rPr>
        <w:t>41</w:t>
      </w:r>
      <w:r w:rsidRPr="00975E6B">
        <w:fldChar w:fldCharType="end"/>
      </w:r>
      <w:r w:rsidRPr="00975E6B">
        <w:t xml:space="preserve"> presents an overview of the template results for expenditures used for costing (at the hospital level), the jurisdictional process for cost data received and the IHPA process for cost data received.</w:t>
      </w:r>
    </w:p>
    <w:p w:rsidR="00273A0D" w:rsidRPr="00975E6B" w:rsidRDefault="00273A0D" w:rsidP="00273A0D">
      <w:pPr>
        <w:pStyle w:val="BodyText"/>
      </w:pPr>
    </w:p>
    <w:p w:rsidR="00273A0D" w:rsidRPr="00975E6B" w:rsidRDefault="00273A0D" w:rsidP="00273A0D">
      <w:pPr>
        <w:pStyle w:val="Caption"/>
        <w:sectPr w:rsidR="00273A0D" w:rsidRPr="00975E6B" w:rsidSect="00835E8A">
          <w:endnotePr>
            <w:numFmt w:val="decimal"/>
          </w:endnotePr>
          <w:pgSz w:w="11907" w:h="16840" w:code="9"/>
          <w:pgMar w:top="1964" w:right="1474" w:bottom="1588" w:left="1474" w:header="958" w:footer="737" w:gutter="454"/>
          <w:cols w:space="720"/>
          <w:docGrid w:linePitch="272"/>
        </w:sectPr>
      </w:pPr>
    </w:p>
    <w:p w:rsidR="00273A0D" w:rsidRPr="00975E6B" w:rsidRDefault="00273A0D" w:rsidP="00273A0D">
      <w:pPr>
        <w:pStyle w:val="Caption"/>
      </w:pPr>
      <w:bookmarkStart w:id="733" w:name="_Ref433303200"/>
      <w:r w:rsidRPr="00975E6B">
        <w:lastRenderedPageBreak/>
        <w:t xml:space="preserve">Table </w:t>
      </w:r>
      <w:fldSimple w:instr=" SEQ Table \* ARABIC ">
        <w:r w:rsidR="00154CF7">
          <w:rPr>
            <w:noProof/>
          </w:rPr>
          <w:t>41</w:t>
        </w:r>
      </w:fldSimple>
      <w:bookmarkEnd w:id="733"/>
      <w:r w:rsidRPr="00975E6B">
        <w:t xml:space="preserve"> – </w:t>
      </w:r>
      <w:proofErr w:type="gramStart"/>
      <w:r w:rsidRPr="00975E6B">
        <w:t>Round 18 NHCDC Reconciliation – Mackay Base Hospital</w:t>
      </w:r>
      <w:proofErr w:type="gramEnd"/>
    </w:p>
    <w:p w:rsidR="00273A0D" w:rsidRPr="00975E6B" w:rsidRDefault="007939A0" w:rsidP="00273A0D">
      <w:r>
        <w:rPr>
          <w:noProof/>
          <w:lang w:eastAsia="en-AU"/>
        </w:rPr>
        <w:drawing>
          <wp:inline distT="0" distB="0" distL="0" distR="0" wp14:anchorId="36376DA8" wp14:editId="07768B1E">
            <wp:extent cx="8477250" cy="3495675"/>
            <wp:effectExtent l="0" t="0" r="0" b="9525"/>
            <wp:docPr id="44" name="Picture 20" descr="This table presents the financial reconciliation of hospital expenditure for Round 18 for Mackay Base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 title="Table 41 - Round 18 NHCDC Reconciliation - Mackay Base Hospi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This table presents the financial reconciliation of hospital expenditure for Round 18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8477250" cy="3495675"/>
                    </a:xfrm>
                    <a:prstGeom prst="rect">
                      <a:avLst/>
                    </a:prstGeom>
                    <a:noFill/>
                    <a:ln>
                      <a:noFill/>
                    </a:ln>
                  </pic:spPr>
                </pic:pic>
              </a:graphicData>
            </a:graphic>
          </wp:inline>
        </w:drawing>
      </w:r>
    </w:p>
    <w:p w:rsidR="00273A0D" w:rsidRPr="00975E6B" w:rsidRDefault="00273A0D" w:rsidP="00273A0D">
      <w:pPr>
        <w:rPr>
          <w:bCs/>
          <w:i/>
          <w:sz w:val="16"/>
          <w:szCs w:val="16"/>
        </w:rPr>
      </w:pPr>
      <w:r w:rsidRPr="00975E6B">
        <w:rPr>
          <w:bCs/>
          <w:i/>
          <w:sz w:val="16"/>
          <w:szCs w:val="16"/>
        </w:rPr>
        <w:t xml:space="preserve">Source: KPMG based on </w:t>
      </w:r>
      <w:r w:rsidR="00901CD9" w:rsidRPr="00975E6B">
        <w:rPr>
          <w:bCs/>
          <w:i/>
          <w:sz w:val="16"/>
          <w:szCs w:val="16"/>
        </w:rPr>
        <w:t>Mackay Base</w:t>
      </w:r>
      <w:r w:rsidRPr="00975E6B">
        <w:rPr>
          <w:bCs/>
          <w:i/>
          <w:sz w:val="16"/>
          <w:szCs w:val="16"/>
        </w:rPr>
        <w:t xml:space="preserve"> IFR templates</w:t>
      </w:r>
    </w:p>
    <w:p w:rsidR="00273A0D" w:rsidRPr="00975E6B" w:rsidRDefault="00273A0D" w:rsidP="00273A0D">
      <w:pPr>
        <w:rPr>
          <w:bCs/>
          <w:i/>
          <w:sz w:val="16"/>
          <w:szCs w:val="16"/>
        </w:rPr>
      </w:pPr>
      <w:r w:rsidRPr="00975E6B">
        <w:rPr>
          <w:bCs/>
          <w:i/>
          <w:sz w:val="16"/>
          <w:szCs w:val="16"/>
        </w:rPr>
        <w:t>* These figures include admitted emergency costs.</w:t>
      </w:r>
    </w:p>
    <w:p w:rsidR="00273A0D" w:rsidRPr="00975E6B" w:rsidRDefault="00273A0D" w:rsidP="00273A0D">
      <w:pPr>
        <w:rPr>
          <w:bCs/>
          <w:i/>
          <w:sz w:val="16"/>
          <w:szCs w:val="16"/>
        </w:rPr>
      </w:pPr>
    </w:p>
    <w:p w:rsidR="00273A0D" w:rsidRPr="00975E6B" w:rsidRDefault="00273A0D" w:rsidP="00F26328">
      <w:pPr>
        <w:pStyle w:val="Heading4"/>
        <w:numPr>
          <w:ilvl w:val="3"/>
          <w:numId w:val="63"/>
        </w:numPr>
        <w:sectPr w:rsidR="00273A0D" w:rsidRPr="00975E6B" w:rsidSect="00835E8A">
          <w:endnotePr>
            <w:numFmt w:val="decimal"/>
          </w:endnotePr>
          <w:pgSz w:w="16840" w:h="11907" w:orient="landscape" w:code="9"/>
          <w:pgMar w:top="1474" w:right="1964" w:bottom="1474" w:left="1588" w:header="958" w:footer="737" w:gutter="454"/>
          <w:cols w:space="720"/>
          <w:docGrid w:linePitch="272"/>
        </w:sectPr>
      </w:pPr>
    </w:p>
    <w:p w:rsidR="00273A0D" w:rsidRPr="00975E6B" w:rsidRDefault="00273A0D" w:rsidP="0080753B">
      <w:pPr>
        <w:pStyle w:val="Heading4"/>
        <w:numPr>
          <w:ilvl w:val="0"/>
          <w:numId w:val="0"/>
        </w:numPr>
      </w:pPr>
      <w:r w:rsidRPr="00975E6B">
        <w:lastRenderedPageBreak/>
        <w:t>Explanation of reconciliation items</w:t>
      </w:r>
    </w:p>
    <w:p w:rsidR="00273A0D" w:rsidRPr="00975E6B" w:rsidRDefault="00273A0D" w:rsidP="00273A0D">
      <w:pPr>
        <w:pStyle w:val="BodyText"/>
      </w:pPr>
      <w:r w:rsidRPr="00975E6B">
        <w:fldChar w:fldCharType="begin"/>
      </w:r>
      <w:r w:rsidRPr="00975E6B">
        <w:instrText xml:space="preserve"> REF _Ref433303227 \h </w:instrText>
      </w:r>
      <w:r w:rsidR="00975E6B">
        <w:instrText xml:space="preserve"> \* MERGEFORMAT </w:instrText>
      </w:r>
      <w:r w:rsidRPr="00975E6B">
        <w:fldChar w:fldCharType="separate"/>
      </w:r>
      <w:r w:rsidR="00154CF7" w:rsidRPr="00975E6B">
        <w:t xml:space="preserve">Table </w:t>
      </w:r>
      <w:r w:rsidR="00154CF7">
        <w:rPr>
          <w:noProof/>
        </w:rPr>
        <w:t>42</w:t>
      </w:r>
      <w:r w:rsidRPr="00975E6B">
        <w:fldChar w:fldCharType="end"/>
      </w:r>
      <w:r w:rsidRPr="00975E6B">
        <w:t xml:space="preserve"> discusses each of the reconciliation items, including adjustments, inclusions and exclusions to the GL.</w:t>
      </w:r>
    </w:p>
    <w:p w:rsidR="00273A0D" w:rsidRPr="00975E6B" w:rsidRDefault="00273A0D" w:rsidP="00273A0D">
      <w:pPr>
        <w:pStyle w:val="Caption"/>
      </w:pPr>
      <w:bookmarkStart w:id="734" w:name="_Ref433303227"/>
      <w:r w:rsidRPr="00975E6B">
        <w:t xml:space="preserve">Table </w:t>
      </w:r>
      <w:fldSimple w:instr=" SEQ Table \* ARABIC ">
        <w:r w:rsidR="00154CF7">
          <w:rPr>
            <w:noProof/>
          </w:rPr>
          <w:t>42</w:t>
        </w:r>
      </w:fldSimple>
      <w:bookmarkEnd w:id="734"/>
      <w:r w:rsidRPr="00975E6B">
        <w:t xml:space="preserve"> – </w:t>
      </w:r>
      <w:r w:rsidR="00704A46" w:rsidRPr="00975E6B">
        <w:t>Financial Reconciliation, explanation of items</w:t>
      </w:r>
      <w:r w:rsidRPr="00975E6B">
        <w:t xml:space="preserve"> – Mackay Base Hospital</w:t>
      </w:r>
    </w:p>
    <w:tbl>
      <w:tblPr>
        <w:tblStyle w:val="ListTable4-Accent11"/>
        <w:tblW w:w="5000" w:type="pct"/>
        <w:tblLayout w:type="fixed"/>
        <w:tblLook w:val="0620" w:firstRow="1" w:lastRow="0" w:firstColumn="0" w:lastColumn="0" w:noHBand="1" w:noVBand="1"/>
        <w:tblCaption w:val="Table 42 - Financial reconciliation, explanation of items - Mackay Base Hospital"/>
        <w:tblDescription w:val="This table describes the information presented in Table 41.  The first column is the item number (A to K), the second column is the title of the item number and the third column is a description of the financial information included at that item.&#10;"/>
      </w:tblPr>
      <w:tblGrid>
        <w:gridCol w:w="722"/>
        <w:gridCol w:w="2622"/>
        <w:gridCol w:w="5377"/>
      </w:tblGrid>
      <w:tr w:rsidR="00273A0D"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14" w:type="pct"/>
            <w:tcBorders>
              <w:right w:val="single" w:sz="4" w:space="0" w:color="548DD4" w:themeColor="text2" w:themeTint="99"/>
            </w:tcBorders>
            <w:shd w:val="clear" w:color="auto" w:fill="002060"/>
            <w:noWrap/>
          </w:tcPr>
          <w:p w:rsidR="00273A0D" w:rsidRPr="00975E6B" w:rsidRDefault="00273A0D" w:rsidP="0029344A">
            <w:r w:rsidRPr="00975E6B">
              <w:t>Item</w:t>
            </w:r>
          </w:p>
        </w:tc>
        <w:tc>
          <w:tcPr>
            <w:tcW w:w="1503" w:type="pct"/>
            <w:tcBorders>
              <w:left w:val="single" w:sz="4" w:space="0" w:color="548DD4" w:themeColor="text2" w:themeTint="99"/>
            </w:tcBorders>
            <w:shd w:val="clear" w:color="auto" w:fill="002060"/>
          </w:tcPr>
          <w:p w:rsidR="00273A0D" w:rsidRPr="00975E6B" w:rsidRDefault="00273A0D" w:rsidP="0029344A">
            <w:r w:rsidRPr="00975E6B">
              <w:t>Heading</w:t>
            </w:r>
          </w:p>
        </w:tc>
        <w:tc>
          <w:tcPr>
            <w:tcW w:w="3083" w:type="pct"/>
            <w:tcBorders>
              <w:left w:val="single" w:sz="4" w:space="0" w:color="548DD4" w:themeColor="text2" w:themeTint="99"/>
            </w:tcBorders>
            <w:shd w:val="clear" w:color="auto" w:fill="002060"/>
          </w:tcPr>
          <w:p w:rsidR="00273A0D" w:rsidRPr="00975E6B" w:rsidRDefault="00273A0D" w:rsidP="0029344A">
            <w:r w:rsidRPr="00975E6B">
              <w:t>Discussion</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A</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General Ledger</w:t>
            </w:r>
          </w:p>
        </w:tc>
        <w:tc>
          <w:tcPr>
            <w:tcW w:w="3083" w:type="pct"/>
            <w:tcBorders>
              <w:left w:val="single" w:sz="4" w:space="0" w:color="548DD4" w:themeColor="text2" w:themeTint="99"/>
            </w:tcBorders>
          </w:tcPr>
          <w:p w:rsidR="00273A0D" w:rsidRPr="00975E6B" w:rsidRDefault="00273A0D" w:rsidP="00EC75FC">
            <w:pPr>
              <w:pStyle w:val="BodyText"/>
            </w:pPr>
            <w:r w:rsidRPr="00975E6B">
              <w:t>The final GL extracted from the financial systems indicate</w:t>
            </w:r>
            <w:r w:rsidR="00EC7C64" w:rsidRPr="00975E6B">
              <w:t>d</w:t>
            </w:r>
            <w:r w:rsidRPr="00975E6B">
              <w:t xml:space="preserve"> expenditure of $295.1 million.</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B</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Adjustments to the GL</w:t>
            </w:r>
          </w:p>
        </w:tc>
        <w:tc>
          <w:tcPr>
            <w:tcW w:w="3083" w:type="pct"/>
            <w:tcBorders>
              <w:left w:val="single" w:sz="4" w:space="0" w:color="548DD4" w:themeColor="text2" w:themeTint="99"/>
            </w:tcBorders>
          </w:tcPr>
          <w:p w:rsidR="00273A0D" w:rsidRPr="00975E6B" w:rsidRDefault="00273A0D" w:rsidP="0029344A">
            <w:pPr>
              <w:pStyle w:val="BodyText"/>
            </w:pPr>
            <w:r w:rsidRPr="00975E6B">
              <w:t>A number of adjustments are made to the GL. Excluded expenditure totals $83.8 million and comprise</w:t>
            </w:r>
            <w:r w:rsidR="00EC7C64" w:rsidRPr="00975E6B">
              <w:t>d</w:t>
            </w:r>
            <w:r w:rsidRPr="00975E6B">
              <w:t>:</w:t>
            </w:r>
          </w:p>
          <w:p w:rsidR="00273A0D" w:rsidRPr="00975E6B" w:rsidRDefault="00273A0D" w:rsidP="00F26328">
            <w:pPr>
              <w:pStyle w:val="BodyText"/>
              <w:numPr>
                <w:ilvl w:val="0"/>
                <w:numId w:val="44"/>
              </w:numPr>
            </w:pPr>
            <w:r w:rsidRPr="00975E6B">
              <w:t>Other hospital financial data included in the GL totalling $80 million.</w:t>
            </w:r>
          </w:p>
          <w:p w:rsidR="00273A0D" w:rsidRPr="00975E6B" w:rsidRDefault="00273A0D" w:rsidP="00F26328">
            <w:pPr>
              <w:pStyle w:val="BodyText"/>
              <w:numPr>
                <w:ilvl w:val="0"/>
                <w:numId w:val="44"/>
              </w:numPr>
            </w:pPr>
            <w:r w:rsidRPr="00975E6B">
              <w:t xml:space="preserve">Out of scope expenditure such as trust accounts totalling $3.9 million. </w:t>
            </w:r>
          </w:p>
          <w:p w:rsidR="00273A0D" w:rsidRPr="00975E6B" w:rsidRDefault="00273A0D" w:rsidP="0029344A">
            <w:pPr>
              <w:pStyle w:val="BodyText"/>
            </w:pPr>
            <w:r w:rsidRPr="00975E6B">
              <w:t>These adjustments established an expenditure base for costing of $211.3 million. This was approximately 72</w:t>
            </w:r>
            <w:r w:rsidR="00DA7807" w:rsidRPr="00975E6B">
              <w:t> percent</w:t>
            </w:r>
            <w:r w:rsidRPr="00975E6B">
              <w:t xml:space="preserve"> of total expenditure reported in the GL.</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C</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Allocation of Costs</w:t>
            </w:r>
          </w:p>
        </w:tc>
        <w:tc>
          <w:tcPr>
            <w:tcW w:w="3083" w:type="pct"/>
            <w:tcBorders>
              <w:left w:val="single" w:sz="4" w:space="0" w:color="548DD4" w:themeColor="text2" w:themeTint="99"/>
            </w:tcBorders>
          </w:tcPr>
          <w:p w:rsidR="00273A0D" w:rsidRPr="00975E6B" w:rsidRDefault="00273A0D" w:rsidP="0029344A">
            <w:pPr>
              <w:pStyle w:val="BodyText"/>
            </w:pPr>
            <w:r w:rsidRPr="00975E6B">
              <w:t xml:space="preserve">The hospital undertakes a process of reclass/transfers etc. between direct cost centres. In </w:t>
            </w:r>
            <w:r w:rsidR="00CA6430" w:rsidRPr="00975E6B">
              <w:t>Queensland</w:t>
            </w:r>
            <w:r w:rsidRPr="00975E6B">
              <w:t xml:space="preserve"> this process is undertaken through derived accounts. The net effect of these derived accounts </w:t>
            </w:r>
            <w:r w:rsidR="0074117C" w:rsidRPr="00975E6B">
              <w:t xml:space="preserve">was </w:t>
            </w:r>
            <w:r w:rsidRPr="00975E6B">
              <w:t>zero. Reclass/transfers are determined based on discussions with cost centre managers.</w:t>
            </w:r>
          </w:p>
          <w:p w:rsidR="00273A0D" w:rsidRPr="00975E6B" w:rsidRDefault="00273A0D" w:rsidP="00F26328">
            <w:pPr>
              <w:pStyle w:val="BodyText"/>
              <w:numPr>
                <w:ilvl w:val="0"/>
                <w:numId w:val="38"/>
              </w:numPr>
            </w:pPr>
            <w:r w:rsidRPr="00975E6B">
              <w:t>It was observed that a total of $171.6 million direct cost centres were allocated</w:t>
            </w:r>
            <w:r w:rsidR="00EC7C64" w:rsidRPr="00975E6B">
              <w:t>.</w:t>
            </w:r>
          </w:p>
          <w:p w:rsidR="00273A0D" w:rsidRPr="00975E6B" w:rsidRDefault="00273A0D" w:rsidP="00F26328">
            <w:pPr>
              <w:pStyle w:val="BodyText"/>
              <w:numPr>
                <w:ilvl w:val="0"/>
                <w:numId w:val="38"/>
              </w:numPr>
            </w:pPr>
            <w:r w:rsidRPr="00975E6B">
              <w:t>It was observed that overheads of $39.7 million were allocated to direct cost centres pre and post allocation.</w:t>
            </w:r>
          </w:p>
          <w:p w:rsidR="00273A0D" w:rsidRPr="00975E6B" w:rsidRDefault="00273A0D" w:rsidP="0029344A">
            <w:pPr>
              <w:pStyle w:val="BodyText"/>
            </w:pPr>
            <w:r w:rsidRPr="00975E6B">
              <w:t xml:space="preserve">The total direct and overhead post allocation amount was equal to $211.3 million. </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D</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Post Allocation Adjustments</w:t>
            </w:r>
          </w:p>
        </w:tc>
        <w:tc>
          <w:tcPr>
            <w:tcW w:w="3083" w:type="pct"/>
            <w:tcBorders>
              <w:left w:val="single" w:sz="4" w:space="0" w:color="548DD4" w:themeColor="text2" w:themeTint="99"/>
            </w:tcBorders>
          </w:tcPr>
          <w:p w:rsidR="00273A0D" w:rsidRPr="00975E6B" w:rsidRDefault="00273A0D" w:rsidP="0029344A">
            <w:pPr>
              <w:pStyle w:val="BodyText"/>
            </w:pPr>
            <w:r w:rsidRPr="00975E6B">
              <w:t>Costs were adjusted after the allocation of costs in Item C. These amounts comprise</w:t>
            </w:r>
            <w:r w:rsidR="00EC7C64" w:rsidRPr="00975E6B">
              <w:t>d</w:t>
            </w:r>
            <w:r w:rsidRPr="00975E6B">
              <w:t xml:space="preserve">: </w:t>
            </w:r>
          </w:p>
          <w:p w:rsidR="00273A0D" w:rsidRPr="00975E6B" w:rsidRDefault="00273A0D" w:rsidP="00F26328">
            <w:pPr>
              <w:pStyle w:val="BodyText"/>
              <w:numPr>
                <w:ilvl w:val="0"/>
                <w:numId w:val="38"/>
              </w:numPr>
            </w:pPr>
            <w:r w:rsidRPr="00975E6B">
              <w:t>$</w:t>
            </w:r>
            <w:r w:rsidR="00055BBF" w:rsidRPr="00975E6B">
              <w:t>180,618</w:t>
            </w:r>
            <w:r w:rsidRPr="00975E6B">
              <w:t xml:space="preserve"> in mismatched cost records. This amount </w:t>
            </w:r>
            <w:r w:rsidR="0074117C" w:rsidRPr="00975E6B">
              <w:t xml:space="preserve">was </w:t>
            </w:r>
            <w:r w:rsidRPr="00975E6B">
              <w:t xml:space="preserve">related to costs in Transition 2 (the costing software used by </w:t>
            </w:r>
            <w:r w:rsidR="00901CD9" w:rsidRPr="00975E6B">
              <w:t>Mackay Base</w:t>
            </w:r>
            <w:r w:rsidR="00EC7C64" w:rsidRPr="00975E6B">
              <w:t>)</w:t>
            </w:r>
            <w:r w:rsidRPr="00975E6B">
              <w:t xml:space="preserve"> that should be deleted after </w:t>
            </w:r>
            <w:proofErr w:type="spellStart"/>
            <w:r w:rsidRPr="00975E6B">
              <w:t>recosting</w:t>
            </w:r>
            <w:proofErr w:type="spellEnd"/>
            <w:r w:rsidRPr="00975E6B">
              <w:t xml:space="preserve"> by </w:t>
            </w:r>
            <w:r w:rsidR="00901CD9" w:rsidRPr="00975E6B">
              <w:t>Mackay Base</w:t>
            </w:r>
            <w:r w:rsidRPr="00975E6B">
              <w:t xml:space="preserve">. </w:t>
            </w:r>
            <w:r w:rsidR="00901CD9" w:rsidRPr="00975E6B">
              <w:t>Mackay Base</w:t>
            </w:r>
            <w:r w:rsidRPr="00975E6B">
              <w:t xml:space="preserve"> does not delete these records from the system, </w:t>
            </w:r>
            <w:r w:rsidR="00EC7C64" w:rsidRPr="00975E6B">
              <w:t xml:space="preserve">and </w:t>
            </w:r>
            <w:r w:rsidRPr="00975E6B">
              <w:t xml:space="preserve">neither does the </w:t>
            </w:r>
            <w:r w:rsidR="00CA6430" w:rsidRPr="00975E6B">
              <w:t>Queensland</w:t>
            </w:r>
            <w:r w:rsidRPr="00975E6B">
              <w:t xml:space="preserve"> Health for the purposes of the continuing QA process on the cost data. These costs are excluded prior to submission. See Item G </w:t>
            </w:r>
            <w:r w:rsidRPr="00975E6B">
              <w:lastRenderedPageBreak/>
              <w:t>below.</w:t>
            </w:r>
          </w:p>
          <w:p w:rsidR="00273A0D" w:rsidRPr="00975E6B" w:rsidRDefault="00273A0D" w:rsidP="00F26328">
            <w:pPr>
              <w:pStyle w:val="BodyText"/>
              <w:numPr>
                <w:ilvl w:val="0"/>
                <w:numId w:val="38"/>
              </w:numPr>
            </w:pPr>
            <w:r w:rsidRPr="00975E6B">
              <w:t xml:space="preserve">$3 million in WIP from 2012/13 </w:t>
            </w:r>
            <w:r w:rsidR="0074117C" w:rsidRPr="00975E6B">
              <w:t xml:space="preserve">was </w:t>
            </w:r>
            <w:r w:rsidRPr="00975E6B">
              <w:t>included post allocation.</w:t>
            </w:r>
          </w:p>
          <w:p w:rsidR="00273A0D" w:rsidRPr="00975E6B" w:rsidRDefault="00273A0D" w:rsidP="0029344A">
            <w:pPr>
              <w:pStyle w:val="BodyText"/>
            </w:pPr>
            <w:r w:rsidRPr="00975E6B">
              <w:t xml:space="preserve">The total expenditure allocated to patients was $214.5 million. As this amount includes prior year costs (i.e. WIP 2012/13), no percentage of the GL </w:t>
            </w:r>
            <w:r w:rsidR="00EC7C64" w:rsidRPr="00975E6B">
              <w:t>wa</w:t>
            </w:r>
            <w:r w:rsidRPr="00975E6B">
              <w:t>s calculated.</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lastRenderedPageBreak/>
              <w:t>E</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Costed products submitted to jurisdiction</w:t>
            </w:r>
          </w:p>
        </w:tc>
        <w:tc>
          <w:tcPr>
            <w:tcW w:w="3083" w:type="pct"/>
            <w:tcBorders>
              <w:left w:val="single" w:sz="4" w:space="0" w:color="548DD4" w:themeColor="text2" w:themeTint="99"/>
            </w:tcBorders>
          </w:tcPr>
          <w:p w:rsidR="00273A0D" w:rsidRPr="00975E6B" w:rsidRDefault="00273A0D">
            <w:pPr>
              <w:pStyle w:val="BodyText"/>
            </w:pPr>
            <w:r w:rsidRPr="00975E6B">
              <w:t>Costs derived by the hospital and reported at product level reconcile</w:t>
            </w:r>
            <w:r w:rsidR="00EC7C64" w:rsidRPr="00975E6B">
              <w:t>d</w:t>
            </w:r>
            <w:r w:rsidRPr="00975E6B">
              <w:t xml:space="preserve"> to $214.5 million. The hospital included </w:t>
            </w:r>
            <w:r w:rsidR="00D63488" w:rsidRPr="00975E6B">
              <w:t>a</w:t>
            </w:r>
            <w:r w:rsidRPr="00975E6B">
              <w:t xml:space="preserve">cute, </w:t>
            </w:r>
            <w:r w:rsidR="009079A4" w:rsidRPr="00975E6B">
              <w:t>non-admitted</w:t>
            </w:r>
            <w:r w:rsidRPr="00975E6B">
              <w:t xml:space="preserve">, </w:t>
            </w:r>
            <w:r w:rsidR="00D63488" w:rsidRPr="00975E6B">
              <w:t>e</w:t>
            </w:r>
            <w:r w:rsidRPr="00975E6B">
              <w:t xml:space="preserve">mergency, </w:t>
            </w:r>
            <w:r w:rsidR="002A25A7" w:rsidRPr="00975E6B">
              <w:t>subacute</w:t>
            </w:r>
            <w:r w:rsidRPr="00975E6B">
              <w:t xml:space="preserve"> and </w:t>
            </w:r>
            <w:r w:rsidR="00D63488" w:rsidRPr="00975E6B">
              <w:t>o</w:t>
            </w:r>
            <w:r w:rsidRPr="00975E6B">
              <w:t>ther costed products.</w:t>
            </w:r>
          </w:p>
        </w:tc>
      </w:tr>
      <w:tr w:rsidR="00273A0D" w:rsidRPr="00975E6B" w:rsidTr="0029344A">
        <w:trPr>
          <w:trHeight w:val="285"/>
        </w:trPr>
        <w:tc>
          <w:tcPr>
            <w:tcW w:w="414" w:type="pct"/>
            <w:tcBorders>
              <w:right w:val="single" w:sz="4" w:space="0" w:color="548DD4" w:themeColor="text2" w:themeTint="99"/>
            </w:tcBorders>
            <w:noWrap/>
          </w:tcPr>
          <w:p w:rsidR="00273A0D" w:rsidRPr="00975E6B" w:rsidRDefault="00273A0D" w:rsidP="0029344A">
            <w:pPr>
              <w:pStyle w:val="BodyText"/>
            </w:pPr>
            <w:r w:rsidRPr="00975E6B">
              <w:t>F</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Costed Products received by jurisdiction</w:t>
            </w:r>
          </w:p>
        </w:tc>
        <w:tc>
          <w:tcPr>
            <w:tcW w:w="3083" w:type="pct"/>
            <w:tcBorders>
              <w:left w:val="single" w:sz="4" w:space="0" w:color="548DD4" w:themeColor="text2" w:themeTint="99"/>
            </w:tcBorders>
          </w:tcPr>
          <w:p w:rsidR="00273A0D" w:rsidRPr="00975E6B" w:rsidRDefault="00273A0D" w:rsidP="0029344A">
            <w:pPr>
              <w:pStyle w:val="BodyText"/>
            </w:pPr>
            <w:r w:rsidRPr="00975E6B">
              <w:t>No variance was noted between Items E and F.</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G</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Final Adjustments</w:t>
            </w:r>
          </w:p>
        </w:tc>
        <w:tc>
          <w:tcPr>
            <w:tcW w:w="3083" w:type="pct"/>
            <w:tcBorders>
              <w:left w:val="single" w:sz="4" w:space="0" w:color="548DD4" w:themeColor="text2" w:themeTint="99"/>
            </w:tcBorders>
          </w:tcPr>
          <w:p w:rsidR="00273A0D" w:rsidRPr="00975E6B" w:rsidRDefault="00CA6430" w:rsidP="0029344A">
            <w:pPr>
              <w:pStyle w:val="BodyText"/>
            </w:pPr>
            <w:r w:rsidRPr="00975E6B">
              <w:t>Queensland</w:t>
            </w:r>
            <w:r w:rsidR="00273A0D" w:rsidRPr="00975E6B">
              <w:t xml:space="preserve"> Health makes a number of adjustments to the hospital submission. The adjustments made for Round 18 totalled $13.3 million and included:</w:t>
            </w:r>
          </w:p>
          <w:p w:rsidR="00273A0D" w:rsidRPr="00975E6B" w:rsidRDefault="00273A0D" w:rsidP="00F26328">
            <w:pPr>
              <w:pStyle w:val="BodyText"/>
              <w:numPr>
                <w:ilvl w:val="0"/>
                <w:numId w:val="45"/>
              </w:numPr>
            </w:pPr>
            <w:r w:rsidRPr="00975E6B">
              <w:t>Corporate overhead costs included of $2.4 million.</w:t>
            </w:r>
          </w:p>
          <w:p w:rsidR="00273A0D" w:rsidRPr="00975E6B" w:rsidRDefault="00273A0D" w:rsidP="00F26328">
            <w:pPr>
              <w:pStyle w:val="BodyText"/>
              <w:numPr>
                <w:ilvl w:val="0"/>
                <w:numId w:val="45"/>
              </w:numPr>
            </w:pPr>
            <w:r w:rsidRPr="00975E6B">
              <w:t>Cost centres with negative balances removed of $</w:t>
            </w:r>
            <w:r w:rsidR="00683B41" w:rsidRPr="00975E6B">
              <w:t>118,971</w:t>
            </w:r>
            <w:r w:rsidRPr="00975E6B">
              <w:t xml:space="preserve">. Note this has a positive impact on the total </w:t>
            </w:r>
            <w:r w:rsidR="00EF71BF" w:rsidRPr="00975E6B">
              <w:t>costs</w:t>
            </w:r>
            <w:r w:rsidRPr="00975E6B">
              <w:t>.</w:t>
            </w:r>
          </w:p>
          <w:p w:rsidR="00273A0D" w:rsidRPr="00975E6B" w:rsidRDefault="00273A0D" w:rsidP="00F26328">
            <w:pPr>
              <w:pStyle w:val="BodyText"/>
              <w:numPr>
                <w:ilvl w:val="0"/>
                <w:numId w:val="45"/>
              </w:numPr>
            </w:pPr>
            <w:r w:rsidRPr="00975E6B">
              <w:t xml:space="preserve">Excluded </w:t>
            </w:r>
            <w:r w:rsidR="00EF71BF" w:rsidRPr="00975E6B">
              <w:t xml:space="preserve">costs </w:t>
            </w:r>
            <w:r w:rsidRPr="00975E6B">
              <w:t xml:space="preserve">related to admitted </w:t>
            </w:r>
            <w:r w:rsidR="00E80193" w:rsidRPr="00975E6B">
              <w:t>emergency</w:t>
            </w:r>
            <w:r w:rsidRPr="00975E6B">
              <w:t xml:space="preserve"> episodes with no matching </w:t>
            </w:r>
            <w:r w:rsidR="00366F39" w:rsidRPr="00975E6B">
              <w:t>admitted</w:t>
            </w:r>
            <w:r w:rsidR="00846982" w:rsidRPr="00975E6B">
              <w:t xml:space="preserve"> acute</w:t>
            </w:r>
            <w:r w:rsidRPr="00975E6B">
              <w:t xml:space="preserve"> episodes of $</w:t>
            </w:r>
            <w:r w:rsidR="00577560" w:rsidRPr="00975E6B">
              <w:t>89,714</w:t>
            </w:r>
            <w:r w:rsidRPr="00975E6B">
              <w:t>.</w:t>
            </w:r>
          </w:p>
          <w:p w:rsidR="00273A0D" w:rsidRPr="00975E6B" w:rsidRDefault="00273A0D" w:rsidP="00F26328">
            <w:pPr>
              <w:pStyle w:val="BodyText"/>
              <w:numPr>
                <w:ilvl w:val="0"/>
                <w:numId w:val="45"/>
              </w:numPr>
            </w:pPr>
            <w:r w:rsidRPr="00975E6B">
              <w:t xml:space="preserve">Excluded </w:t>
            </w:r>
            <w:r w:rsidR="00EF71BF" w:rsidRPr="00975E6B">
              <w:t xml:space="preserve">costs </w:t>
            </w:r>
            <w:r w:rsidRPr="00975E6B">
              <w:t>related to unlinked records and mismatched records of $</w:t>
            </w:r>
            <w:r w:rsidR="00577560" w:rsidRPr="00975E6B">
              <w:t>11,103</w:t>
            </w:r>
            <w:r w:rsidRPr="00975E6B">
              <w:t>.</w:t>
            </w:r>
          </w:p>
          <w:p w:rsidR="00273A0D" w:rsidRPr="00975E6B" w:rsidRDefault="00273A0D" w:rsidP="00F26328">
            <w:pPr>
              <w:pStyle w:val="BodyText"/>
              <w:numPr>
                <w:ilvl w:val="0"/>
                <w:numId w:val="45"/>
              </w:numPr>
            </w:pPr>
            <w:r w:rsidRPr="00975E6B">
              <w:t xml:space="preserve">Excluded </w:t>
            </w:r>
            <w:r w:rsidR="00EF71BF" w:rsidRPr="00975E6B">
              <w:t xml:space="preserve">costs </w:t>
            </w:r>
            <w:r w:rsidRPr="00975E6B">
              <w:t>of $</w:t>
            </w:r>
            <w:r w:rsidR="00577560" w:rsidRPr="00975E6B">
              <w:t>4,751</w:t>
            </w:r>
            <w:r w:rsidRPr="00975E6B">
              <w:t>.</w:t>
            </w:r>
          </w:p>
          <w:p w:rsidR="00273A0D" w:rsidRPr="00975E6B" w:rsidRDefault="00273A0D" w:rsidP="00F26328">
            <w:pPr>
              <w:pStyle w:val="BodyText"/>
              <w:numPr>
                <w:ilvl w:val="0"/>
                <w:numId w:val="45"/>
              </w:numPr>
            </w:pPr>
            <w:r w:rsidRPr="00975E6B">
              <w:t>Encounters with negative costs excluded of $</w:t>
            </w:r>
            <w:r w:rsidR="00577560" w:rsidRPr="00975E6B">
              <w:t>57,137</w:t>
            </w:r>
            <w:r w:rsidRPr="00975E6B">
              <w:t xml:space="preserve">. Note this has a positive impact on the total </w:t>
            </w:r>
            <w:r w:rsidR="00EF71BF" w:rsidRPr="00975E6B">
              <w:t>costs</w:t>
            </w:r>
            <w:r w:rsidRPr="00975E6B">
              <w:t>.</w:t>
            </w:r>
          </w:p>
          <w:p w:rsidR="00577560" w:rsidRPr="00975E6B" w:rsidRDefault="00577560" w:rsidP="00F26328">
            <w:pPr>
              <w:pStyle w:val="BodyText"/>
              <w:numPr>
                <w:ilvl w:val="0"/>
                <w:numId w:val="45"/>
              </w:numPr>
            </w:pPr>
            <w:r w:rsidRPr="00975E6B">
              <w:t>Excluded costs relating to mismatched cost records of $180,831.</w:t>
            </w:r>
          </w:p>
          <w:p w:rsidR="00273A0D" w:rsidRPr="00975E6B" w:rsidRDefault="00273A0D" w:rsidP="00F26328">
            <w:pPr>
              <w:pStyle w:val="BodyText"/>
              <w:numPr>
                <w:ilvl w:val="0"/>
                <w:numId w:val="45"/>
              </w:numPr>
            </w:pPr>
            <w:r w:rsidRPr="00975E6B">
              <w:t>Virtual Patient feeder data excluded totalling $12.5 million.</w:t>
            </w:r>
          </w:p>
          <w:p w:rsidR="00273A0D" w:rsidRPr="00975E6B" w:rsidRDefault="00273A0D" w:rsidP="00F26328">
            <w:pPr>
              <w:pStyle w:val="BodyText"/>
              <w:numPr>
                <w:ilvl w:val="0"/>
                <w:numId w:val="45"/>
              </w:numPr>
            </w:pPr>
            <w:r w:rsidRPr="00975E6B">
              <w:t>WIP costs of $3.1 million excluded.</w:t>
            </w:r>
            <w:r w:rsidRPr="00975E6B">
              <w:rPr>
                <w:lang w:val="en-US"/>
              </w:rPr>
              <w:t>The WIP costs excluded are for episodes still in treatment i.e. admitted but not yet discharged at 30</w:t>
            </w:r>
            <w:r w:rsidR="00683B41" w:rsidRPr="00975E6B">
              <w:rPr>
                <w:lang w:val="en-US"/>
              </w:rPr>
              <w:t xml:space="preserve"> June </w:t>
            </w:r>
            <w:r w:rsidRPr="00975E6B">
              <w:rPr>
                <w:lang w:val="en-US"/>
              </w:rPr>
              <w:t>2014</w:t>
            </w:r>
            <w:r w:rsidRPr="00975E6B">
              <w:rPr>
                <w:i/>
                <w:color w:val="FF0000"/>
              </w:rPr>
              <w:t>.</w:t>
            </w:r>
          </w:p>
          <w:p w:rsidR="00273A0D" w:rsidRPr="00975E6B" w:rsidRDefault="00273A0D" w:rsidP="0029344A">
            <w:pPr>
              <w:pStyle w:val="BodyText"/>
            </w:pPr>
            <w:r w:rsidRPr="00975E6B">
              <w:t xml:space="preserve">The total NHCDC costs submitted to IHPA by </w:t>
            </w:r>
            <w:r w:rsidR="00CA6430" w:rsidRPr="00975E6B">
              <w:t>Queensland</w:t>
            </w:r>
            <w:r w:rsidRPr="00975E6B">
              <w:t xml:space="preserve"> Health was $201.1 million.</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lastRenderedPageBreak/>
              <w:t>H</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Costed products submitted to IHPA</w:t>
            </w:r>
          </w:p>
        </w:tc>
        <w:tc>
          <w:tcPr>
            <w:tcW w:w="3083" w:type="pct"/>
            <w:tcBorders>
              <w:left w:val="single" w:sz="4" w:space="0" w:color="548DD4" w:themeColor="text2" w:themeTint="99"/>
            </w:tcBorders>
          </w:tcPr>
          <w:p w:rsidR="00273A0D" w:rsidRPr="00975E6B" w:rsidRDefault="00273A0D">
            <w:pPr>
              <w:pStyle w:val="BodyText"/>
            </w:pPr>
            <w:r w:rsidRPr="00975E6B">
              <w:t xml:space="preserve">Costs submitted to IHPA and reported at product level reconcile to $201.1 million. </w:t>
            </w:r>
            <w:r w:rsidR="00CA6430" w:rsidRPr="00975E6B">
              <w:t>Queensland</w:t>
            </w:r>
            <w:r w:rsidRPr="00975E6B">
              <w:t xml:space="preserve"> Health included </w:t>
            </w:r>
            <w:r w:rsidR="008E6DA4" w:rsidRPr="00975E6B">
              <w:t>acute</w:t>
            </w:r>
            <w:r w:rsidRPr="00975E6B">
              <w:t xml:space="preserve">, </w:t>
            </w:r>
            <w:r w:rsidR="008E6DA4" w:rsidRPr="00975E6B">
              <w:t>non</w:t>
            </w:r>
            <w:r w:rsidR="009079A4" w:rsidRPr="00975E6B">
              <w:t>-admitted</w:t>
            </w:r>
            <w:r w:rsidRPr="00975E6B">
              <w:t xml:space="preserve">, </w:t>
            </w:r>
            <w:r w:rsidR="008E6DA4" w:rsidRPr="00975E6B">
              <w:t>emergency</w:t>
            </w:r>
            <w:r w:rsidRPr="00975E6B">
              <w:t xml:space="preserve">, </w:t>
            </w:r>
            <w:r w:rsidR="002A25A7" w:rsidRPr="00975E6B">
              <w:t>subacute</w:t>
            </w:r>
            <w:r w:rsidRPr="00975E6B">
              <w:t xml:space="preserve"> and </w:t>
            </w:r>
            <w:r w:rsidR="008E6DA4" w:rsidRPr="00975E6B">
              <w:t xml:space="preserve">other </w:t>
            </w:r>
            <w:r w:rsidRPr="00975E6B">
              <w:t>costed products. There was a small variance of $7 noted between total costs and product level costs submitted to IHPA.</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I</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Total Products received by IHPA</w:t>
            </w:r>
          </w:p>
        </w:tc>
        <w:tc>
          <w:tcPr>
            <w:tcW w:w="3083" w:type="pct"/>
            <w:tcBorders>
              <w:left w:val="single" w:sz="4" w:space="0" w:color="548DD4" w:themeColor="text2" w:themeTint="99"/>
            </w:tcBorders>
          </w:tcPr>
          <w:p w:rsidR="00273A0D" w:rsidRPr="00975E6B" w:rsidRDefault="00273A0D" w:rsidP="0029344A">
            <w:pPr>
              <w:pStyle w:val="BodyText"/>
            </w:pPr>
            <w:r w:rsidRPr="00975E6B">
              <w:t>Total Costs received by IHPA totalled $201.1 million</w:t>
            </w:r>
            <w:r w:rsidR="00EC7C64" w:rsidRPr="00975E6B">
              <w:t>.</w:t>
            </w:r>
            <w:r w:rsidRPr="00975E6B">
              <w:t xml:space="preserve"> There was a minimal variance of $1 noted between costs submitted by the jurisdiction and costs received by IHPA.</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J</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IHPA Adjustments</w:t>
            </w:r>
          </w:p>
        </w:tc>
        <w:tc>
          <w:tcPr>
            <w:tcW w:w="3083" w:type="pct"/>
            <w:tcBorders>
              <w:left w:val="single" w:sz="4" w:space="0" w:color="548DD4" w:themeColor="text2" w:themeTint="99"/>
            </w:tcBorders>
          </w:tcPr>
          <w:p w:rsidR="00273A0D" w:rsidRPr="00975E6B" w:rsidRDefault="00273A0D" w:rsidP="0029344A">
            <w:pPr>
              <w:pStyle w:val="BodyText"/>
              <w:rPr>
                <w:i/>
              </w:rPr>
            </w:pPr>
            <w:r w:rsidRPr="00975E6B">
              <w:rPr>
                <w:i/>
              </w:rPr>
              <w:t>Admitted Emergency</w:t>
            </w:r>
          </w:p>
          <w:p w:rsidR="00273A0D" w:rsidRPr="00975E6B" w:rsidRDefault="00273A0D">
            <w:pPr>
              <w:pStyle w:val="BodyText"/>
            </w:pPr>
            <w:r w:rsidRPr="00975E6B">
              <w:t xml:space="preserve">Upon receipt of cost data, IHPA allocates the admitted emergency costs back to admitted patients for the purposes of reporting and analysis. Within IHPA’s reconciliation this amount </w:t>
            </w:r>
            <w:r w:rsidR="0074117C" w:rsidRPr="00975E6B">
              <w:t xml:space="preserve">was </w:t>
            </w:r>
            <w:r w:rsidRPr="00975E6B">
              <w:t xml:space="preserve">a duplication of admitted emergency costs and not an additional cost. For </w:t>
            </w:r>
            <w:r w:rsidR="00901CD9" w:rsidRPr="00975E6B">
              <w:t>Mackay Base</w:t>
            </w:r>
            <w:r w:rsidRPr="00975E6B">
              <w:t xml:space="preserve"> this amounted to $7.4 million.</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K</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Final NHCDC Costed Outputs</w:t>
            </w:r>
          </w:p>
        </w:tc>
        <w:tc>
          <w:tcPr>
            <w:tcW w:w="3083" w:type="pct"/>
            <w:tcBorders>
              <w:left w:val="single" w:sz="4" w:space="0" w:color="548DD4" w:themeColor="text2" w:themeTint="99"/>
            </w:tcBorders>
          </w:tcPr>
          <w:p w:rsidR="00273A0D" w:rsidRPr="00975E6B" w:rsidRDefault="00273A0D" w:rsidP="0092790F">
            <w:pPr>
              <w:pStyle w:val="BodyText"/>
            </w:pPr>
            <w:r w:rsidRPr="00975E6B">
              <w:t xml:space="preserve">The final NHCDC costed data for </w:t>
            </w:r>
            <w:r w:rsidR="00901CD9" w:rsidRPr="00975E6B">
              <w:t>Mackay Base</w:t>
            </w:r>
            <w:r w:rsidRPr="00975E6B">
              <w:t xml:space="preserve"> loaded into the National Round 18 cost data set </w:t>
            </w:r>
            <w:r w:rsidR="00EC7C64" w:rsidRPr="00975E6B">
              <w:t>wa</w:t>
            </w:r>
            <w:r w:rsidRPr="00975E6B">
              <w:t>s $208.5</w:t>
            </w:r>
            <w:r w:rsidR="0092790F" w:rsidRPr="00975E6B">
              <w:t> </w:t>
            </w:r>
            <w:r w:rsidRPr="00975E6B">
              <w:t>million which include</w:t>
            </w:r>
            <w:r w:rsidR="00EC7C64" w:rsidRPr="00975E6B">
              <w:t>d</w:t>
            </w:r>
            <w:r w:rsidRPr="00975E6B">
              <w:t xml:space="preserve"> the admitted emergency cost of $7.4 million.</w:t>
            </w:r>
          </w:p>
        </w:tc>
      </w:tr>
    </w:tbl>
    <w:p w:rsidR="00273A0D" w:rsidRPr="00975E6B" w:rsidRDefault="00664CB0" w:rsidP="003D1169">
      <w:pPr>
        <w:rPr>
          <w:bCs/>
          <w:i/>
          <w:sz w:val="16"/>
          <w:szCs w:val="16"/>
        </w:rPr>
      </w:pPr>
      <w:r w:rsidRPr="00975E6B">
        <w:rPr>
          <w:bCs/>
          <w:i/>
          <w:sz w:val="16"/>
          <w:szCs w:val="16"/>
        </w:rPr>
        <w:t>Source: KPMG, based on Mackay Base templates and review discussions</w:t>
      </w:r>
    </w:p>
    <w:p w:rsidR="00273A0D" w:rsidRPr="00975E6B" w:rsidRDefault="00273A0D" w:rsidP="003B387A">
      <w:pPr>
        <w:pStyle w:val="Heading3"/>
        <w:numPr>
          <w:ilvl w:val="2"/>
          <w:numId w:val="77"/>
        </w:numPr>
      </w:pPr>
      <w:r w:rsidRPr="0080753B">
        <w:t>Activity</w:t>
      </w:r>
      <w:r w:rsidRPr="00975E6B">
        <w:t xml:space="preserve"> data</w:t>
      </w:r>
    </w:p>
    <w:p w:rsidR="00273A0D" w:rsidRPr="00B464CA" w:rsidRDefault="00D45D3C" w:rsidP="00B464CA">
      <w:pPr>
        <w:spacing w:before="120" w:after="120" w:line="280" w:lineRule="atLeast"/>
        <w:jc w:val="both"/>
        <w:rPr>
          <w:bCs/>
        </w:rPr>
      </w:pPr>
      <w:r w:rsidRPr="00D45D3C">
        <w:rPr>
          <w:bCs/>
        </w:rPr>
        <w:fldChar w:fldCharType="begin"/>
      </w:r>
      <w:r w:rsidRPr="00D45D3C">
        <w:rPr>
          <w:bCs/>
        </w:rPr>
        <w:instrText xml:space="preserve"> REF _Ref444516356 \h  \* MERGEFORMAT </w:instrText>
      </w:r>
      <w:r w:rsidRPr="00D45D3C">
        <w:rPr>
          <w:bCs/>
        </w:rPr>
      </w:r>
      <w:r w:rsidRPr="00D45D3C">
        <w:rPr>
          <w:bCs/>
        </w:rPr>
        <w:fldChar w:fldCharType="separate"/>
      </w:r>
      <w:r w:rsidR="00154CF7" w:rsidRPr="00D45D3C">
        <w:t xml:space="preserve">Table </w:t>
      </w:r>
      <w:r w:rsidR="00154CF7">
        <w:rPr>
          <w:bCs/>
          <w:noProof/>
        </w:rPr>
        <w:t>43</w:t>
      </w:r>
      <w:r w:rsidRPr="00D45D3C">
        <w:rPr>
          <w:bCs/>
        </w:rPr>
        <w:fldChar w:fldCharType="end"/>
      </w:r>
      <w:r>
        <w:rPr>
          <w:bCs/>
        </w:rPr>
        <w:t xml:space="preserve"> </w:t>
      </w:r>
      <w:r w:rsidR="00273A0D" w:rsidRPr="00B464CA">
        <w:rPr>
          <w:bCs/>
        </w:rPr>
        <w:t xml:space="preserve">presents activity and feeder data for </w:t>
      </w:r>
      <w:r w:rsidR="00901CD9" w:rsidRPr="00B464CA">
        <w:rPr>
          <w:bCs/>
        </w:rPr>
        <w:t>Mackay Base</w:t>
      </w:r>
      <w:r w:rsidR="00273A0D" w:rsidRPr="00B464CA">
        <w:rPr>
          <w:bCs/>
        </w:rPr>
        <w:t>.</w:t>
      </w:r>
    </w:p>
    <w:p w:rsidR="00B53993" w:rsidRDefault="00273A0D" w:rsidP="00D45D3C">
      <w:pPr>
        <w:pStyle w:val="Caption"/>
        <w:pageBreakBefore/>
      </w:pPr>
      <w:bookmarkStart w:id="735" w:name="_Ref433293000"/>
      <w:bookmarkStart w:id="736" w:name="_Ref444516356"/>
      <w:r w:rsidRPr="00D45D3C">
        <w:lastRenderedPageBreak/>
        <w:t xml:space="preserve">Table </w:t>
      </w:r>
      <w:r w:rsidR="00DF43A9" w:rsidRPr="00D45D3C">
        <w:fldChar w:fldCharType="begin"/>
      </w:r>
      <w:r w:rsidR="00DF43A9" w:rsidRPr="00D45D3C">
        <w:rPr>
          <w:bCs w:val="0"/>
        </w:rPr>
        <w:instrText xml:space="preserve"> SEQ Table \* ARABIC </w:instrText>
      </w:r>
      <w:r w:rsidR="00DF43A9" w:rsidRPr="00D45D3C">
        <w:fldChar w:fldCharType="separate"/>
      </w:r>
      <w:r w:rsidR="00154CF7">
        <w:rPr>
          <w:bCs w:val="0"/>
          <w:noProof/>
        </w:rPr>
        <w:t>43</w:t>
      </w:r>
      <w:r w:rsidR="00DF43A9" w:rsidRPr="00D45D3C">
        <w:rPr>
          <w:noProof/>
        </w:rPr>
        <w:fldChar w:fldCharType="end"/>
      </w:r>
      <w:bookmarkEnd w:id="735"/>
      <w:bookmarkEnd w:id="736"/>
      <w:r w:rsidR="00BA3F4B" w:rsidRPr="00D45D3C">
        <w:t xml:space="preserve"> </w:t>
      </w:r>
      <w:r w:rsidRPr="00D45D3C">
        <w:t>– Activity data</w:t>
      </w:r>
      <w:r w:rsidRPr="00975E6B">
        <w:t xml:space="preserve"> – Mackay Base Hospital</w:t>
      </w:r>
    </w:p>
    <w:tbl>
      <w:tblPr>
        <w:tblW w:w="5087" w:type="pct"/>
        <w:tblLayout w:type="fixed"/>
        <w:tblLook w:val="04A0" w:firstRow="1" w:lastRow="0" w:firstColumn="1" w:lastColumn="0" w:noHBand="0" w:noVBand="1"/>
        <w:tblCaption w:val="Table 43 - Activity data - Mackay Base Hospital"/>
        <w:tblDescription w:val="This table presents activity and feeder data for Mackay Base Hospital.  There are 11 columns.  Column 1 is the Data source, Column 2 is the number of records from source, Column 3 is the number of records in costing system, Column 4 is the variance between Column 2 and 3, Column 5 is the number of records linked to acute, column 6 is the number of records linked to emergency, Column 7 is the number of records linked to non-admitted, column 8 is the total linked records, column 9 is the number linked to other, column 10 is the number of unlinked records and column 11 is the % of linked to source.&#10;"/>
      </w:tblPr>
      <w:tblGrid>
        <w:gridCol w:w="1247"/>
        <w:gridCol w:w="853"/>
        <w:gridCol w:w="852"/>
        <w:gridCol w:w="424"/>
        <w:gridCol w:w="822"/>
        <w:gridCol w:w="822"/>
        <w:gridCol w:w="822"/>
        <w:gridCol w:w="822"/>
        <w:gridCol w:w="763"/>
        <w:gridCol w:w="763"/>
        <w:gridCol w:w="683"/>
      </w:tblGrid>
      <w:tr w:rsidR="00C24933" w:rsidRPr="0036568D" w:rsidTr="00E14378">
        <w:trPr>
          <w:cantSplit/>
          <w:trHeight w:val="666"/>
        </w:trPr>
        <w:tc>
          <w:tcPr>
            <w:tcW w:w="703" w:type="pct"/>
            <w:tcBorders>
              <w:top w:val="single" w:sz="4" w:space="0" w:color="5B9BD5"/>
              <w:left w:val="single" w:sz="4" w:space="0" w:color="5B9BD5"/>
              <w:bottom w:val="nil"/>
              <w:right w:val="nil"/>
            </w:tcBorders>
            <w:shd w:val="clear" w:color="auto" w:fill="002060"/>
            <w:vAlign w:val="bottom"/>
            <w:hideMark/>
          </w:tcPr>
          <w:p w:rsidR="00B53993" w:rsidRPr="0036568D" w:rsidRDefault="00B53993" w:rsidP="00056EC6">
            <w:pPr>
              <w:spacing w:line="240" w:lineRule="auto"/>
              <w:rPr>
                <w:b/>
                <w:bCs/>
                <w:color w:val="FFFFFF"/>
                <w:sz w:val="12"/>
                <w:lang w:eastAsia="en-AU"/>
              </w:rPr>
            </w:pPr>
            <w:r w:rsidRPr="0036568D">
              <w:rPr>
                <w:b/>
                <w:bCs/>
                <w:color w:val="FFFFFF"/>
                <w:sz w:val="12"/>
                <w:lang w:eastAsia="en-AU"/>
              </w:rPr>
              <w:t>Data</w:t>
            </w:r>
          </w:p>
        </w:tc>
        <w:tc>
          <w:tcPr>
            <w:tcW w:w="481" w:type="pct"/>
            <w:tcBorders>
              <w:top w:val="single" w:sz="4" w:space="0" w:color="5B9BD5"/>
              <w:left w:val="single" w:sz="4" w:space="0" w:color="5B9BD5"/>
              <w:bottom w:val="nil"/>
              <w:right w:val="single" w:sz="4" w:space="0" w:color="5B9BD5"/>
            </w:tcBorders>
            <w:shd w:val="clear" w:color="auto" w:fill="002060"/>
            <w:vAlign w:val="bottom"/>
            <w:hideMark/>
          </w:tcPr>
          <w:p w:rsidR="00B53993" w:rsidRPr="0036568D" w:rsidRDefault="00B53993" w:rsidP="00056EC6">
            <w:pPr>
              <w:spacing w:line="240" w:lineRule="auto"/>
              <w:jc w:val="center"/>
              <w:rPr>
                <w:b/>
                <w:bCs/>
                <w:color w:val="FFFFFF"/>
                <w:sz w:val="12"/>
                <w:lang w:eastAsia="en-AU"/>
              </w:rPr>
            </w:pPr>
            <w:r w:rsidRPr="0036568D">
              <w:rPr>
                <w:b/>
                <w:bCs/>
                <w:color w:val="FFFFFF"/>
                <w:sz w:val="12"/>
                <w:lang w:eastAsia="en-AU"/>
              </w:rPr>
              <w:t># Records from Source</w:t>
            </w:r>
          </w:p>
        </w:tc>
        <w:tc>
          <w:tcPr>
            <w:tcW w:w="480" w:type="pct"/>
            <w:tcBorders>
              <w:top w:val="single" w:sz="4" w:space="0" w:color="5B9BD5"/>
              <w:left w:val="nil"/>
              <w:bottom w:val="nil"/>
              <w:right w:val="nil"/>
            </w:tcBorders>
            <w:shd w:val="clear" w:color="auto" w:fill="002060"/>
            <w:vAlign w:val="bottom"/>
            <w:hideMark/>
          </w:tcPr>
          <w:p w:rsidR="00B53993" w:rsidRPr="0036568D" w:rsidRDefault="00B53993" w:rsidP="00056EC6">
            <w:pPr>
              <w:spacing w:line="240" w:lineRule="auto"/>
              <w:jc w:val="center"/>
              <w:rPr>
                <w:b/>
                <w:bCs/>
                <w:color w:val="FFFFFF"/>
                <w:sz w:val="12"/>
                <w:lang w:eastAsia="en-AU"/>
              </w:rPr>
            </w:pPr>
            <w:r w:rsidRPr="0036568D">
              <w:rPr>
                <w:b/>
                <w:bCs/>
                <w:color w:val="FFFFFF"/>
                <w:sz w:val="12"/>
                <w:lang w:eastAsia="en-AU"/>
              </w:rPr>
              <w:t># Records in costing system</w:t>
            </w:r>
          </w:p>
        </w:tc>
        <w:tc>
          <w:tcPr>
            <w:tcW w:w="239" w:type="pct"/>
            <w:tcBorders>
              <w:top w:val="single" w:sz="4" w:space="0" w:color="5B9BD5"/>
              <w:left w:val="single" w:sz="4" w:space="0" w:color="5B9BD5"/>
              <w:bottom w:val="nil"/>
              <w:right w:val="single" w:sz="4" w:space="0" w:color="5B9BD5"/>
            </w:tcBorders>
            <w:shd w:val="clear" w:color="auto" w:fill="002060"/>
            <w:textDirection w:val="btLr"/>
            <w:vAlign w:val="center"/>
            <w:hideMark/>
          </w:tcPr>
          <w:p w:rsidR="00B53993" w:rsidRPr="0036568D" w:rsidRDefault="00B53993" w:rsidP="00056EC6">
            <w:pPr>
              <w:spacing w:line="240" w:lineRule="auto"/>
              <w:ind w:left="113" w:right="113"/>
              <w:rPr>
                <w:b/>
                <w:bCs/>
                <w:color w:val="FFFFFF"/>
                <w:sz w:val="12"/>
                <w:lang w:eastAsia="en-AU"/>
              </w:rPr>
            </w:pPr>
            <w:r w:rsidRPr="0036568D">
              <w:rPr>
                <w:b/>
                <w:bCs/>
                <w:color w:val="FFFFFF"/>
                <w:sz w:val="10"/>
                <w:lang w:eastAsia="en-AU"/>
              </w:rPr>
              <w:t>Variance</w:t>
            </w:r>
          </w:p>
        </w:tc>
        <w:tc>
          <w:tcPr>
            <w:tcW w:w="463" w:type="pct"/>
            <w:tcBorders>
              <w:top w:val="single" w:sz="4" w:space="0" w:color="5B9BD5"/>
              <w:left w:val="nil"/>
              <w:bottom w:val="nil"/>
              <w:right w:val="nil"/>
            </w:tcBorders>
            <w:shd w:val="clear" w:color="auto" w:fill="002060"/>
            <w:vAlign w:val="bottom"/>
            <w:hideMark/>
          </w:tcPr>
          <w:p w:rsidR="00B53993" w:rsidRPr="0036568D" w:rsidRDefault="00B53993" w:rsidP="00056EC6">
            <w:pPr>
              <w:spacing w:line="240" w:lineRule="auto"/>
              <w:jc w:val="center"/>
              <w:rPr>
                <w:b/>
                <w:bCs/>
                <w:color w:val="FFFFFF"/>
                <w:sz w:val="12"/>
                <w:lang w:eastAsia="en-AU"/>
              </w:rPr>
            </w:pPr>
            <w:r w:rsidRPr="0036568D">
              <w:rPr>
                <w:b/>
                <w:bCs/>
                <w:color w:val="FFFFFF"/>
                <w:sz w:val="12"/>
                <w:lang w:eastAsia="en-AU"/>
              </w:rPr>
              <w:t># Records linked to Acute</w:t>
            </w:r>
          </w:p>
        </w:tc>
        <w:tc>
          <w:tcPr>
            <w:tcW w:w="463" w:type="pct"/>
            <w:tcBorders>
              <w:top w:val="single" w:sz="4" w:space="0" w:color="5B9BD5"/>
              <w:left w:val="single" w:sz="4" w:space="0" w:color="5B9BD5"/>
              <w:bottom w:val="nil"/>
              <w:right w:val="single" w:sz="4" w:space="0" w:color="5B9BD5"/>
            </w:tcBorders>
            <w:shd w:val="clear" w:color="auto" w:fill="002060"/>
            <w:vAlign w:val="bottom"/>
            <w:hideMark/>
          </w:tcPr>
          <w:p w:rsidR="00B53993" w:rsidRPr="0036568D" w:rsidRDefault="00B53993" w:rsidP="00056EC6">
            <w:pPr>
              <w:spacing w:line="240" w:lineRule="auto"/>
              <w:jc w:val="center"/>
              <w:rPr>
                <w:b/>
                <w:bCs/>
                <w:color w:val="FFFFFF"/>
                <w:sz w:val="12"/>
                <w:lang w:eastAsia="en-AU"/>
              </w:rPr>
            </w:pPr>
            <w:r w:rsidRPr="0036568D">
              <w:rPr>
                <w:b/>
                <w:bCs/>
                <w:color w:val="FFFFFF"/>
                <w:sz w:val="12"/>
                <w:lang w:eastAsia="en-AU"/>
              </w:rPr>
              <w:t xml:space="preserve"># Records linked to </w:t>
            </w:r>
            <w:proofErr w:type="spellStart"/>
            <w:r w:rsidRPr="0036568D">
              <w:rPr>
                <w:b/>
                <w:bCs/>
                <w:color w:val="FFFFFF"/>
                <w:sz w:val="12"/>
                <w:lang w:eastAsia="en-AU"/>
              </w:rPr>
              <w:t>Emerg</w:t>
            </w:r>
            <w:proofErr w:type="spellEnd"/>
            <w:r w:rsidRPr="0036568D">
              <w:rPr>
                <w:b/>
                <w:bCs/>
                <w:color w:val="FFFFFF"/>
                <w:sz w:val="12"/>
                <w:lang w:eastAsia="en-AU"/>
              </w:rPr>
              <w:t>.</w:t>
            </w:r>
          </w:p>
        </w:tc>
        <w:tc>
          <w:tcPr>
            <w:tcW w:w="463" w:type="pct"/>
            <w:tcBorders>
              <w:top w:val="single" w:sz="4" w:space="0" w:color="5B9BD5"/>
              <w:left w:val="nil"/>
              <w:bottom w:val="nil"/>
              <w:right w:val="single" w:sz="4" w:space="0" w:color="5B9BD5"/>
            </w:tcBorders>
            <w:shd w:val="clear" w:color="auto" w:fill="002060"/>
            <w:vAlign w:val="bottom"/>
            <w:hideMark/>
          </w:tcPr>
          <w:p w:rsidR="00B53993" w:rsidRPr="0036568D" w:rsidRDefault="00B53993" w:rsidP="00056EC6">
            <w:pPr>
              <w:spacing w:line="240" w:lineRule="auto"/>
              <w:jc w:val="center"/>
              <w:rPr>
                <w:b/>
                <w:bCs/>
                <w:color w:val="FFFFFF"/>
                <w:sz w:val="12"/>
                <w:lang w:eastAsia="en-AU"/>
              </w:rPr>
            </w:pPr>
            <w:r w:rsidRPr="0036568D">
              <w:rPr>
                <w:b/>
                <w:bCs/>
                <w:color w:val="FFFFFF"/>
                <w:sz w:val="12"/>
                <w:lang w:eastAsia="en-AU"/>
              </w:rPr>
              <w:t># Records linked to Non-admitted</w:t>
            </w:r>
          </w:p>
        </w:tc>
        <w:tc>
          <w:tcPr>
            <w:tcW w:w="463" w:type="pct"/>
            <w:tcBorders>
              <w:top w:val="single" w:sz="4" w:space="0" w:color="5B9BD5"/>
              <w:left w:val="nil"/>
              <w:bottom w:val="nil"/>
              <w:right w:val="single" w:sz="4" w:space="0" w:color="5B9BD5"/>
            </w:tcBorders>
            <w:shd w:val="clear" w:color="auto" w:fill="002060"/>
            <w:vAlign w:val="bottom"/>
            <w:hideMark/>
          </w:tcPr>
          <w:p w:rsidR="00B53993" w:rsidRPr="0036568D" w:rsidRDefault="00B53993" w:rsidP="00056EC6">
            <w:pPr>
              <w:spacing w:line="240" w:lineRule="auto"/>
              <w:jc w:val="center"/>
              <w:rPr>
                <w:b/>
                <w:bCs/>
                <w:color w:val="FFFFFF"/>
                <w:sz w:val="12"/>
                <w:lang w:eastAsia="en-AU"/>
              </w:rPr>
            </w:pPr>
            <w:r w:rsidRPr="0036568D">
              <w:rPr>
                <w:b/>
                <w:bCs/>
                <w:color w:val="FFFFFF"/>
                <w:sz w:val="12"/>
                <w:lang w:eastAsia="en-AU"/>
              </w:rPr>
              <w:t>Total Linking Process</w:t>
            </w:r>
          </w:p>
        </w:tc>
        <w:tc>
          <w:tcPr>
            <w:tcW w:w="430" w:type="pct"/>
            <w:tcBorders>
              <w:top w:val="single" w:sz="4" w:space="0" w:color="5B9BD5"/>
              <w:left w:val="nil"/>
              <w:bottom w:val="nil"/>
              <w:right w:val="nil"/>
            </w:tcBorders>
            <w:shd w:val="clear" w:color="auto" w:fill="002060"/>
            <w:vAlign w:val="bottom"/>
            <w:hideMark/>
          </w:tcPr>
          <w:p w:rsidR="00B53993" w:rsidRPr="0036568D" w:rsidRDefault="00B53993" w:rsidP="00056EC6">
            <w:pPr>
              <w:spacing w:line="240" w:lineRule="auto"/>
              <w:jc w:val="center"/>
              <w:rPr>
                <w:b/>
                <w:bCs/>
                <w:color w:val="FFFFFF"/>
                <w:sz w:val="11"/>
                <w:szCs w:val="11"/>
                <w:lang w:eastAsia="en-AU"/>
              </w:rPr>
            </w:pPr>
            <w:r w:rsidRPr="0036568D">
              <w:rPr>
                <w:b/>
                <w:bCs/>
                <w:color w:val="FFFFFF"/>
                <w:sz w:val="11"/>
                <w:szCs w:val="11"/>
                <w:lang w:eastAsia="en-AU"/>
              </w:rPr>
              <w:t># Records linked to Other</w:t>
            </w:r>
          </w:p>
        </w:tc>
        <w:tc>
          <w:tcPr>
            <w:tcW w:w="430" w:type="pct"/>
            <w:tcBorders>
              <w:top w:val="single" w:sz="4" w:space="0" w:color="5B9BD5"/>
              <w:left w:val="single" w:sz="4" w:space="0" w:color="5B9BD5"/>
              <w:bottom w:val="nil"/>
              <w:right w:val="single" w:sz="4" w:space="0" w:color="5B9BD5"/>
            </w:tcBorders>
            <w:shd w:val="clear" w:color="auto" w:fill="002060"/>
            <w:vAlign w:val="bottom"/>
            <w:hideMark/>
          </w:tcPr>
          <w:p w:rsidR="00B53993" w:rsidRPr="0036568D" w:rsidRDefault="00B53993" w:rsidP="00056EC6">
            <w:pPr>
              <w:spacing w:line="240" w:lineRule="auto"/>
              <w:jc w:val="center"/>
              <w:rPr>
                <w:b/>
                <w:bCs/>
                <w:color w:val="FFFFFF"/>
                <w:sz w:val="11"/>
                <w:szCs w:val="11"/>
                <w:lang w:eastAsia="en-AU"/>
              </w:rPr>
            </w:pPr>
            <w:r w:rsidRPr="0036568D">
              <w:rPr>
                <w:b/>
                <w:bCs/>
                <w:color w:val="FFFFFF"/>
                <w:sz w:val="11"/>
                <w:szCs w:val="11"/>
                <w:lang w:eastAsia="en-AU"/>
              </w:rPr>
              <w:t># Unlinked records</w:t>
            </w:r>
          </w:p>
        </w:tc>
        <w:tc>
          <w:tcPr>
            <w:tcW w:w="385" w:type="pct"/>
            <w:tcBorders>
              <w:top w:val="single" w:sz="4" w:space="0" w:color="5B9BD5"/>
              <w:left w:val="nil"/>
              <w:bottom w:val="nil"/>
              <w:right w:val="single" w:sz="4" w:space="0" w:color="5B9BD5"/>
            </w:tcBorders>
            <w:shd w:val="clear" w:color="auto" w:fill="002060"/>
            <w:vAlign w:val="bottom"/>
            <w:hideMark/>
          </w:tcPr>
          <w:p w:rsidR="00B53993" w:rsidRPr="0036568D" w:rsidRDefault="00B53993" w:rsidP="00056EC6">
            <w:pPr>
              <w:spacing w:line="240" w:lineRule="auto"/>
              <w:jc w:val="center"/>
              <w:rPr>
                <w:b/>
                <w:bCs/>
                <w:color w:val="FFFFFF"/>
                <w:sz w:val="11"/>
                <w:szCs w:val="11"/>
                <w:lang w:eastAsia="en-AU"/>
              </w:rPr>
            </w:pPr>
            <w:r w:rsidRPr="0036568D">
              <w:rPr>
                <w:b/>
                <w:bCs/>
                <w:color w:val="FFFFFF"/>
                <w:sz w:val="11"/>
                <w:szCs w:val="11"/>
                <w:lang w:eastAsia="en-AU"/>
              </w:rPr>
              <w:t>% Linked</w:t>
            </w:r>
          </w:p>
        </w:tc>
      </w:tr>
      <w:tr w:rsidR="00C24933" w:rsidRPr="0036568D" w:rsidTr="00FB2958">
        <w:trPr>
          <w:trHeight w:val="260"/>
        </w:trPr>
        <w:tc>
          <w:tcPr>
            <w:tcW w:w="703" w:type="pct"/>
            <w:tcBorders>
              <w:top w:val="nil"/>
              <w:left w:val="single" w:sz="4" w:space="0" w:color="5B9BD5"/>
              <w:bottom w:val="nil"/>
              <w:right w:val="nil"/>
            </w:tcBorders>
            <w:shd w:val="clear" w:color="000000" w:fill="D0CECE"/>
            <w:noWrap/>
            <w:vAlign w:val="center"/>
            <w:hideMark/>
          </w:tcPr>
          <w:p w:rsidR="00B53993" w:rsidRPr="0036568D" w:rsidRDefault="00B53993" w:rsidP="00056EC6">
            <w:pPr>
              <w:spacing w:line="240" w:lineRule="auto"/>
              <w:rPr>
                <w:b/>
                <w:bCs/>
                <w:color w:val="000000"/>
                <w:sz w:val="12"/>
                <w:lang w:eastAsia="en-AU"/>
              </w:rPr>
            </w:pPr>
            <w:r w:rsidRPr="0036568D">
              <w:rPr>
                <w:b/>
                <w:bCs/>
                <w:color w:val="000000"/>
                <w:sz w:val="12"/>
                <w:lang w:eastAsia="en-AU"/>
              </w:rPr>
              <w:t>Activity Data</w:t>
            </w:r>
          </w:p>
        </w:tc>
        <w:tc>
          <w:tcPr>
            <w:tcW w:w="481" w:type="pct"/>
            <w:tcBorders>
              <w:top w:val="nil"/>
              <w:left w:val="single" w:sz="4" w:space="0" w:color="5B9BD5"/>
              <w:bottom w:val="nil"/>
              <w:right w:val="single" w:sz="4" w:space="0" w:color="5B9BD5"/>
            </w:tcBorders>
            <w:shd w:val="clear" w:color="000000" w:fill="D0CECE"/>
            <w:noWrap/>
            <w:vAlign w:val="center"/>
            <w:hideMark/>
          </w:tcPr>
          <w:p w:rsidR="00B53993" w:rsidRPr="0036568D" w:rsidRDefault="00B53993" w:rsidP="00CD1518">
            <w:pPr>
              <w:spacing w:line="240" w:lineRule="auto"/>
              <w:jc w:val="right"/>
              <w:rPr>
                <w:b/>
                <w:bCs/>
                <w:color w:val="000000"/>
                <w:sz w:val="12"/>
                <w:lang w:eastAsia="en-AU"/>
              </w:rPr>
            </w:pPr>
          </w:p>
        </w:tc>
        <w:tc>
          <w:tcPr>
            <w:tcW w:w="480" w:type="pct"/>
            <w:tcBorders>
              <w:top w:val="nil"/>
              <w:left w:val="nil"/>
              <w:bottom w:val="nil"/>
              <w:right w:val="nil"/>
            </w:tcBorders>
            <w:shd w:val="clear" w:color="000000" w:fill="D0CECE"/>
            <w:noWrap/>
            <w:vAlign w:val="center"/>
            <w:hideMark/>
          </w:tcPr>
          <w:p w:rsidR="00B53993" w:rsidRPr="0036568D" w:rsidRDefault="00B53993" w:rsidP="00CD1518">
            <w:pPr>
              <w:spacing w:line="240" w:lineRule="auto"/>
              <w:jc w:val="right"/>
              <w:rPr>
                <w:b/>
                <w:bCs/>
                <w:color w:val="000000"/>
                <w:sz w:val="12"/>
                <w:lang w:eastAsia="en-AU"/>
              </w:rPr>
            </w:pPr>
          </w:p>
        </w:tc>
        <w:tc>
          <w:tcPr>
            <w:tcW w:w="239" w:type="pct"/>
            <w:tcBorders>
              <w:top w:val="nil"/>
              <w:left w:val="single" w:sz="4" w:space="0" w:color="5B9BD5"/>
              <w:bottom w:val="nil"/>
              <w:right w:val="single" w:sz="4" w:space="0" w:color="5B9BD5"/>
            </w:tcBorders>
            <w:shd w:val="clear" w:color="000000" w:fill="D0CECE"/>
            <w:noWrap/>
            <w:vAlign w:val="center"/>
            <w:hideMark/>
          </w:tcPr>
          <w:p w:rsidR="00B53993" w:rsidRPr="0036568D" w:rsidRDefault="00B53993" w:rsidP="00CD1518">
            <w:pPr>
              <w:spacing w:line="240" w:lineRule="auto"/>
              <w:jc w:val="right"/>
              <w:rPr>
                <w:b/>
                <w:bCs/>
                <w:color w:val="000000"/>
                <w:sz w:val="12"/>
                <w:lang w:eastAsia="en-AU"/>
              </w:rPr>
            </w:pPr>
          </w:p>
        </w:tc>
        <w:tc>
          <w:tcPr>
            <w:tcW w:w="463" w:type="pct"/>
            <w:tcBorders>
              <w:top w:val="nil"/>
              <w:left w:val="nil"/>
              <w:bottom w:val="nil"/>
              <w:right w:val="nil"/>
            </w:tcBorders>
            <w:shd w:val="clear" w:color="000000" w:fill="D0CECE"/>
            <w:noWrap/>
            <w:vAlign w:val="center"/>
            <w:hideMark/>
          </w:tcPr>
          <w:p w:rsidR="00B53993" w:rsidRPr="0036568D" w:rsidRDefault="00B53993" w:rsidP="00CD1518">
            <w:pPr>
              <w:spacing w:line="240" w:lineRule="auto"/>
              <w:jc w:val="right"/>
              <w:rPr>
                <w:b/>
                <w:bCs/>
                <w:color w:val="000000"/>
                <w:sz w:val="12"/>
                <w:lang w:eastAsia="en-AU"/>
              </w:rPr>
            </w:pPr>
          </w:p>
        </w:tc>
        <w:tc>
          <w:tcPr>
            <w:tcW w:w="463" w:type="pct"/>
            <w:tcBorders>
              <w:top w:val="nil"/>
              <w:left w:val="single" w:sz="4" w:space="0" w:color="5B9BD5"/>
              <w:bottom w:val="nil"/>
              <w:right w:val="single" w:sz="4" w:space="0" w:color="5B9BD5"/>
            </w:tcBorders>
            <w:shd w:val="clear" w:color="000000" w:fill="D0CECE"/>
            <w:noWrap/>
            <w:vAlign w:val="center"/>
            <w:hideMark/>
          </w:tcPr>
          <w:p w:rsidR="00B53993" w:rsidRPr="0036568D" w:rsidRDefault="00B53993" w:rsidP="00CD1518">
            <w:pPr>
              <w:spacing w:line="240" w:lineRule="auto"/>
              <w:jc w:val="right"/>
              <w:rPr>
                <w:b/>
                <w:bCs/>
                <w:color w:val="000000"/>
                <w:sz w:val="12"/>
                <w:lang w:eastAsia="en-AU"/>
              </w:rPr>
            </w:pPr>
          </w:p>
        </w:tc>
        <w:tc>
          <w:tcPr>
            <w:tcW w:w="463" w:type="pct"/>
            <w:tcBorders>
              <w:top w:val="nil"/>
              <w:left w:val="nil"/>
              <w:bottom w:val="nil"/>
              <w:right w:val="single" w:sz="4" w:space="0" w:color="5B9BD5"/>
            </w:tcBorders>
            <w:shd w:val="clear" w:color="000000" w:fill="D0CECE"/>
            <w:noWrap/>
            <w:vAlign w:val="center"/>
            <w:hideMark/>
          </w:tcPr>
          <w:p w:rsidR="00B53993" w:rsidRPr="0036568D" w:rsidRDefault="00B53993" w:rsidP="00CD1518">
            <w:pPr>
              <w:spacing w:line="240" w:lineRule="auto"/>
              <w:jc w:val="right"/>
              <w:rPr>
                <w:b/>
                <w:bCs/>
                <w:color w:val="000000"/>
                <w:sz w:val="12"/>
                <w:lang w:eastAsia="en-AU"/>
              </w:rPr>
            </w:pPr>
          </w:p>
        </w:tc>
        <w:tc>
          <w:tcPr>
            <w:tcW w:w="463" w:type="pct"/>
            <w:tcBorders>
              <w:top w:val="nil"/>
              <w:left w:val="nil"/>
              <w:bottom w:val="nil"/>
              <w:right w:val="single" w:sz="4" w:space="0" w:color="5B9BD5"/>
            </w:tcBorders>
            <w:shd w:val="clear" w:color="000000" w:fill="D0CECE"/>
            <w:noWrap/>
            <w:vAlign w:val="center"/>
            <w:hideMark/>
          </w:tcPr>
          <w:p w:rsidR="00B53993" w:rsidRPr="0036568D" w:rsidRDefault="00B53993" w:rsidP="00CD1518">
            <w:pPr>
              <w:spacing w:line="240" w:lineRule="auto"/>
              <w:jc w:val="right"/>
              <w:rPr>
                <w:b/>
                <w:bCs/>
                <w:color w:val="000000"/>
                <w:sz w:val="12"/>
                <w:lang w:eastAsia="en-AU"/>
              </w:rPr>
            </w:pPr>
          </w:p>
        </w:tc>
        <w:tc>
          <w:tcPr>
            <w:tcW w:w="430" w:type="pct"/>
            <w:tcBorders>
              <w:top w:val="nil"/>
              <w:left w:val="nil"/>
              <w:bottom w:val="nil"/>
              <w:right w:val="nil"/>
            </w:tcBorders>
            <w:shd w:val="clear" w:color="000000" w:fill="D0CECE"/>
            <w:noWrap/>
            <w:vAlign w:val="center"/>
            <w:hideMark/>
          </w:tcPr>
          <w:p w:rsidR="00B53993" w:rsidRPr="0036568D" w:rsidRDefault="00B53993" w:rsidP="00CD1518">
            <w:pPr>
              <w:spacing w:line="240" w:lineRule="auto"/>
              <w:jc w:val="right"/>
              <w:rPr>
                <w:b/>
                <w:bCs/>
                <w:color w:val="000000"/>
                <w:sz w:val="12"/>
                <w:lang w:eastAsia="en-AU"/>
              </w:rPr>
            </w:pPr>
          </w:p>
        </w:tc>
        <w:tc>
          <w:tcPr>
            <w:tcW w:w="430" w:type="pct"/>
            <w:tcBorders>
              <w:top w:val="nil"/>
              <w:left w:val="single" w:sz="4" w:space="0" w:color="5B9BD5"/>
              <w:bottom w:val="nil"/>
              <w:right w:val="single" w:sz="4" w:space="0" w:color="5B9BD5"/>
            </w:tcBorders>
            <w:shd w:val="clear" w:color="000000" w:fill="D0CECE"/>
            <w:noWrap/>
            <w:vAlign w:val="center"/>
            <w:hideMark/>
          </w:tcPr>
          <w:p w:rsidR="00B53993" w:rsidRPr="0036568D" w:rsidRDefault="00B53993" w:rsidP="00CD1518">
            <w:pPr>
              <w:spacing w:line="240" w:lineRule="auto"/>
              <w:jc w:val="right"/>
              <w:rPr>
                <w:b/>
                <w:bCs/>
                <w:color w:val="000000"/>
                <w:sz w:val="12"/>
                <w:lang w:eastAsia="en-AU"/>
              </w:rPr>
            </w:pPr>
          </w:p>
        </w:tc>
        <w:tc>
          <w:tcPr>
            <w:tcW w:w="385" w:type="pct"/>
            <w:tcBorders>
              <w:top w:val="nil"/>
              <w:left w:val="nil"/>
              <w:bottom w:val="nil"/>
              <w:right w:val="single" w:sz="4" w:space="0" w:color="5B9BD5"/>
            </w:tcBorders>
            <w:shd w:val="clear" w:color="000000" w:fill="D0CECE"/>
            <w:noWrap/>
            <w:vAlign w:val="center"/>
            <w:hideMark/>
          </w:tcPr>
          <w:p w:rsidR="00B53993" w:rsidRPr="0036568D" w:rsidRDefault="00B53993" w:rsidP="00CD1518">
            <w:pPr>
              <w:spacing w:line="240" w:lineRule="auto"/>
              <w:jc w:val="right"/>
              <w:rPr>
                <w:b/>
                <w:bCs/>
                <w:color w:val="000000"/>
                <w:sz w:val="12"/>
                <w:lang w:eastAsia="en-AU"/>
              </w:rPr>
            </w:pPr>
          </w:p>
        </w:tc>
      </w:tr>
      <w:tr w:rsidR="00C24933" w:rsidRPr="0036568D" w:rsidTr="00FB2958">
        <w:trPr>
          <w:trHeight w:val="260"/>
        </w:trPr>
        <w:tc>
          <w:tcPr>
            <w:tcW w:w="703" w:type="pct"/>
            <w:tcBorders>
              <w:top w:val="nil"/>
              <w:left w:val="single" w:sz="4" w:space="0" w:color="5B9BD5"/>
              <w:bottom w:val="nil"/>
              <w:right w:val="nil"/>
            </w:tcBorders>
            <w:shd w:val="clear" w:color="000000" w:fill="FFFFFF"/>
            <w:noWrap/>
            <w:vAlign w:val="center"/>
            <w:hideMark/>
          </w:tcPr>
          <w:p w:rsidR="00B53993" w:rsidRPr="00B53993" w:rsidRDefault="00B53993">
            <w:pPr>
              <w:spacing w:line="240" w:lineRule="auto"/>
              <w:rPr>
                <w:color w:val="000000"/>
                <w:sz w:val="12"/>
                <w:lang w:eastAsia="en-AU"/>
              </w:rPr>
            </w:pPr>
            <w:r w:rsidRPr="00CD1518">
              <w:rPr>
                <w:color w:val="000000"/>
                <w:sz w:val="12"/>
              </w:rPr>
              <w:t>Emergency</w:t>
            </w:r>
          </w:p>
        </w:tc>
        <w:tc>
          <w:tcPr>
            <w:tcW w:w="481" w:type="pct"/>
            <w:tcBorders>
              <w:top w:val="nil"/>
              <w:left w:val="single" w:sz="4" w:space="0" w:color="5B9BD5"/>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46,683</w:t>
            </w:r>
          </w:p>
        </w:tc>
        <w:tc>
          <w:tcPr>
            <w:tcW w:w="480" w:type="pct"/>
            <w:tcBorders>
              <w:top w:val="nil"/>
              <w:left w:val="nil"/>
              <w:bottom w:val="nil"/>
              <w:right w:val="nil"/>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46,683</w:t>
            </w:r>
          </w:p>
        </w:tc>
        <w:tc>
          <w:tcPr>
            <w:tcW w:w="239"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46,683</w:t>
            </w:r>
          </w:p>
        </w:tc>
        <w:tc>
          <w:tcPr>
            <w:tcW w:w="463"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46,683</w:t>
            </w:r>
          </w:p>
        </w:tc>
        <w:tc>
          <w:tcPr>
            <w:tcW w:w="430"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30"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385"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100%</w:t>
            </w:r>
          </w:p>
        </w:tc>
      </w:tr>
      <w:tr w:rsidR="00C24933" w:rsidRPr="0036568D" w:rsidTr="00FB2958">
        <w:trPr>
          <w:trHeight w:val="260"/>
        </w:trPr>
        <w:tc>
          <w:tcPr>
            <w:tcW w:w="703" w:type="pct"/>
            <w:tcBorders>
              <w:top w:val="nil"/>
              <w:left w:val="single" w:sz="4" w:space="0" w:color="5B9BD5"/>
              <w:bottom w:val="nil"/>
              <w:right w:val="nil"/>
            </w:tcBorders>
            <w:shd w:val="clear" w:color="000000" w:fill="DDEBF7"/>
            <w:noWrap/>
            <w:vAlign w:val="center"/>
            <w:hideMark/>
          </w:tcPr>
          <w:p w:rsidR="00B53993" w:rsidRPr="00B53993" w:rsidRDefault="00B53993">
            <w:pPr>
              <w:spacing w:line="240" w:lineRule="auto"/>
              <w:rPr>
                <w:sz w:val="12"/>
                <w:lang w:eastAsia="en-AU"/>
              </w:rPr>
            </w:pPr>
            <w:r w:rsidRPr="00CD1518">
              <w:rPr>
                <w:sz w:val="12"/>
              </w:rPr>
              <w:t>Acute</w:t>
            </w:r>
          </w:p>
        </w:tc>
        <w:tc>
          <w:tcPr>
            <w:tcW w:w="481"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sz w:val="12"/>
                <w:lang w:eastAsia="en-AU"/>
              </w:rPr>
            </w:pPr>
            <w:r w:rsidRPr="00CD1518">
              <w:rPr>
                <w:sz w:val="12"/>
              </w:rPr>
              <w:t>30,572</w:t>
            </w:r>
          </w:p>
        </w:tc>
        <w:tc>
          <w:tcPr>
            <w:tcW w:w="480" w:type="pct"/>
            <w:tcBorders>
              <w:top w:val="nil"/>
              <w:left w:val="nil"/>
              <w:bottom w:val="nil"/>
              <w:right w:val="nil"/>
            </w:tcBorders>
            <w:shd w:val="clear" w:color="000000" w:fill="DDEBF7"/>
            <w:noWrap/>
            <w:vAlign w:val="center"/>
            <w:hideMark/>
          </w:tcPr>
          <w:p w:rsidR="00B53993" w:rsidRPr="00B53993" w:rsidRDefault="00B53993">
            <w:pPr>
              <w:spacing w:line="240" w:lineRule="auto"/>
              <w:jc w:val="right"/>
              <w:rPr>
                <w:sz w:val="12"/>
                <w:lang w:eastAsia="en-AU"/>
              </w:rPr>
            </w:pPr>
            <w:r w:rsidRPr="00CD1518">
              <w:rPr>
                <w:sz w:val="12"/>
              </w:rPr>
              <w:t>30,572</w:t>
            </w:r>
          </w:p>
        </w:tc>
        <w:tc>
          <w:tcPr>
            <w:tcW w:w="239"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nil"/>
            </w:tcBorders>
            <w:shd w:val="clear" w:color="000000" w:fill="DDEBF7"/>
            <w:noWrap/>
            <w:vAlign w:val="center"/>
            <w:hideMark/>
          </w:tcPr>
          <w:p w:rsidR="00B53993" w:rsidRPr="00B53993" w:rsidRDefault="00B53993">
            <w:pPr>
              <w:spacing w:line="240" w:lineRule="auto"/>
              <w:jc w:val="right"/>
              <w:rPr>
                <w:sz w:val="12"/>
                <w:lang w:eastAsia="en-AU"/>
              </w:rPr>
            </w:pPr>
            <w:r w:rsidRPr="00CD1518">
              <w:rPr>
                <w:sz w:val="12"/>
              </w:rPr>
              <w:t>30,572</w:t>
            </w:r>
          </w:p>
        </w:tc>
        <w:tc>
          <w:tcPr>
            <w:tcW w:w="463"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sz w:val="12"/>
                <w:lang w:eastAsia="en-AU"/>
              </w:rPr>
            </w:pPr>
            <w:r w:rsidRPr="00CD1518">
              <w:rPr>
                <w:sz w:val="12"/>
              </w:rPr>
              <w:t>-</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sz w:val="12"/>
                <w:lang w:eastAsia="en-AU"/>
              </w:rPr>
            </w:pPr>
            <w:r w:rsidRPr="00CD1518">
              <w:rPr>
                <w:sz w:val="12"/>
              </w:rPr>
              <w:t>-</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30,572</w:t>
            </w:r>
          </w:p>
        </w:tc>
        <w:tc>
          <w:tcPr>
            <w:tcW w:w="430" w:type="pct"/>
            <w:tcBorders>
              <w:top w:val="nil"/>
              <w:left w:val="nil"/>
              <w:bottom w:val="nil"/>
              <w:right w:val="nil"/>
            </w:tcBorders>
            <w:shd w:val="clear" w:color="000000" w:fill="DDEBF7"/>
            <w:noWrap/>
            <w:vAlign w:val="center"/>
            <w:hideMark/>
          </w:tcPr>
          <w:p w:rsidR="00B53993" w:rsidRPr="00B53993" w:rsidRDefault="00B53993">
            <w:pPr>
              <w:spacing w:line="240" w:lineRule="auto"/>
              <w:jc w:val="right"/>
              <w:rPr>
                <w:sz w:val="12"/>
                <w:lang w:eastAsia="en-AU"/>
              </w:rPr>
            </w:pPr>
            <w:r w:rsidRPr="00CD1518">
              <w:rPr>
                <w:sz w:val="12"/>
              </w:rPr>
              <w:t>-</w:t>
            </w:r>
          </w:p>
        </w:tc>
        <w:tc>
          <w:tcPr>
            <w:tcW w:w="430"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sz w:val="12"/>
                <w:lang w:eastAsia="en-AU"/>
              </w:rPr>
            </w:pPr>
            <w:r w:rsidRPr="00CD1518">
              <w:rPr>
                <w:sz w:val="12"/>
              </w:rPr>
              <w:t>-</w:t>
            </w:r>
          </w:p>
        </w:tc>
        <w:tc>
          <w:tcPr>
            <w:tcW w:w="385"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sz w:val="12"/>
                <w:lang w:eastAsia="en-AU"/>
              </w:rPr>
            </w:pPr>
            <w:r w:rsidRPr="00CD1518">
              <w:rPr>
                <w:sz w:val="12"/>
              </w:rPr>
              <w:t>100%</w:t>
            </w:r>
          </w:p>
        </w:tc>
      </w:tr>
      <w:tr w:rsidR="00C24933" w:rsidRPr="0036568D" w:rsidTr="00FB2958">
        <w:trPr>
          <w:trHeight w:val="260"/>
        </w:trPr>
        <w:tc>
          <w:tcPr>
            <w:tcW w:w="703" w:type="pct"/>
            <w:tcBorders>
              <w:top w:val="nil"/>
              <w:left w:val="single" w:sz="4" w:space="0" w:color="5B9BD5"/>
              <w:bottom w:val="nil"/>
              <w:right w:val="nil"/>
            </w:tcBorders>
            <w:shd w:val="clear" w:color="000000" w:fill="FFFFFF"/>
            <w:noWrap/>
            <w:vAlign w:val="center"/>
            <w:hideMark/>
          </w:tcPr>
          <w:p w:rsidR="00B53993" w:rsidRPr="00B53993" w:rsidRDefault="00B53993">
            <w:pPr>
              <w:spacing w:line="240" w:lineRule="auto"/>
              <w:rPr>
                <w:color w:val="000000"/>
                <w:sz w:val="12"/>
                <w:lang w:eastAsia="en-AU"/>
              </w:rPr>
            </w:pPr>
            <w:r w:rsidRPr="00CD1518">
              <w:rPr>
                <w:color w:val="000000"/>
                <w:sz w:val="12"/>
              </w:rPr>
              <w:t>Non-admitted</w:t>
            </w:r>
          </w:p>
        </w:tc>
        <w:tc>
          <w:tcPr>
            <w:tcW w:w="481" w:type="pct"/>
            <w:tcBorders>
              <w:top w:val="nil"/>
              <w:left w:val="single" w:sz="4" w:space="0" w:color="5B9BD5"/>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167,548</w:t>
            </w:r>
          </w:p>
        </w:tc>
        <w:tc>
          <w:tcPr>
            <w:tcW w:w="480" w:type="pct"/>
            <w:tcBorders>
              <w:top w:val="nil"/>
              <w:left w:val="nil"/>
              <w:bottom w:val="nil"/>
              <w:right w:val="nil"/>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167,548</w:t>
            </w:r>
          </w:p>
        </w:tc>
        <w:tc>
          <w:tcPr>
            <w:tcW w:w="239"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nil"/>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single" w:sz="4" w:space="0" w:color="5B9BD5"/>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167,548</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167,548</w:t>
            </w:r>
          </w:p>
        </w:tc>
        <w:tc>
          <w:tcPr>
            <w:tcW w:w="430" w:type="pct"/>
            <w:tcBorders>
              <w:top w:val="nil"/>
              <w:left w:val="nil"/>
              <w:bottom w:val="nil"/>
              <w:right w:val="nil"/>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30" w:type="pct"/>
            <w:tcBorders>
              <w:top w:val="nil"/>
              <w:left w:val="single" w:sz="4" w:space="0" w:color="5B9BD5"/>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385"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100%</w:t>
            </w:r>
          </w:p>
        </w:tc>
      </w:tr>
      <w:tr w:rsidR="00C24933" w:rsidRPr="0036568D" w:rsidTr="00FB2958">
        <w:trPr>
          <w:trHeight w:val="260"/>
        </w:trPr>
        <w:tc>
          <w:tcPr>
            <w:tcW w:w="703" w:type="pct"/>
            <w:tcBorders>
              <w:top w:val="nil"/>
              <w:left w:val="single" w:sz="4" w:space="0" w:color="5B9BD5"/>
              <w:bottom w:val="nil"/>
              <w:right w:val="nil"/>
            </w:tcBorders>
            <w:shd w:val="clear" w:color="000000" w:fill="DDEBF7"/>
            <w:noWrap/>
            <w:vAlign w:val="center"/>
            <w:hideMark/>
          </w:tcPr>
          <w:p w:rsidR="00B53993" w:rsidRPr="00B53993" w:rsidRDefault="00B53993">
            <w:pPr>
              <w:spacing w:line="240" w:lineRule="auto"/>
              <w:rPr>
                <w:sz w:val="12"/>
                <w:lang w:eastAsia="en-AU"/>
              </w:rPr>
            </w:pPr>
            <w:r w:rsidRPr="00CD1518">
              <w:rPr>
                <w:sz w:val="12"/>
              </w:rPr>
              <w:t>Unlinked</w:t>
            </w:r>
          </w:p>
        </w:tc>
        <w:tc>
          <w:tcPr>
            <w:tcW w:w="481"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sz w:val="12"/>
                <w:lang w:eastAsia="en-AU"/>
              </w:rPr>
            </w:pPr>
            <w:r w:rsidRPr="00CD1518">
              <w:rPr>
                <w:sz w:val="12"/>
              </w:rPr>
              <w:t>64</w:t>
            </w:r>
          </w:p>
        </w:tc>
        <w:tc>
          <w:tcPr>
            <w:tcW w:w="480" w:type="pct"/>
            <w:tcBorders>
              <w:top w:val="nil"/>
              <w:left w:val="nil"/>
              <w:bottom w:val="nil"/>
              <w:right w:val="nil"/>
            </w:tcBorders>
            <w:shd w:val="clear" w:color="000000" w:fill="DDEBF7"/>
            <w:noWrap/>
            <w:vAlign w:val="center"/>
            <w:hideMark/>
          </w:tcPr>
          <w:p w:rsidR="00B53993" w:rsidRPr="00B53993" w:rsidRDefault="00B53993">
            <w:pPr>
              <w:spacing w:line="240" w:lineRule="auto"/>
              <w:jc w:val="right"/>
              <w:rPr>
                <w:sz w:val="12"/>
                <w:lang w:eastAsia="en-AU"/>
              </w:rPr>
            </w:pPr>
            <w:r w:rsidRPr="00CD1518">
              <w:rPr>
                <w:sz w:val="12"/>
              </w:rPr>
              <w:t>64</w:t>
            </w:r>
          </w:p>
        </w:tc>
        <w:tc>
          <w:tcPr>
            <w:tcW w:w="239"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nil"/>
            </w:tcBorders>
            <w:shd w:val="clear" w:color="000000" w:fill="DDEBF7"/>
            <w:noWrap/>
            <w:vAlign w:val="center"/>
            <w:hideMark/>
          </w:tcPr>
          <w:p w:rsidR="00B53993" w:rsidRPr="00B53993" w:rsidRDefault="00B53993">
            <w:pPr>
              <w:spacing w:line="240" w:lineRule="auto"/>
              <w:jc w:val="right"/>
              <w:rPr>
                <w:sz w:val="12"/>
                <w:lang w:eastAsia="en-AU"/>
              </w:rPr>
            </w:pPr>
            <w:r w:rsidRPr="00CD1518">
              <w:rPr>
                <w:sz w:val="12"/>
              </w:rPr>
              <w:t>-</w:t>
            </w:r>
          </w:p>
        </w:tc>
        <w:tc>
          <w:tcPr>
            <w:tcW w:w="463"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sz w:val="12"/>
                <w:lang w:eastAsia="en-AU"/>
              </w:rPr>
            </w:pPr>
            <w:r w:rsidRPr="00CD1518">
              <w:rPr>
                <w:sz w:val="12"/>
              </w:rPr>
              <w:t>-</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sz w:val="12"/>
                <w:lang w:eastAsia="en-AU"/>
              </w:rPr>
            </w:pPr>
            <w:r w:rsidRPr="00CD1518">
              <w:rPr>
                <w:sz w:val="12"/>
              </w:rPr>
              <w:t>-</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30" w:type="pct"/>
            <w:tcBorders>
              <w:top w:val="nil"/>
              <w:left w:val="nil"/>
              <w:bottom w:val="nil"/>
              <w:right w:val="nil"/>
            </w:tcBorders>
            <w:shd w:val="clear" w:color="000000" w:fill="DDEBF7"/>
            <w:noWrap/>
            <w:vAlign w:val="center"/>
            <w:hideMark/>
          </w:tcPr>
          <w:p w:rsidR="00B53993" w:rsidRPr="00B53993" w:rsidRDefault="00B53993">
            <w:pPr>
              <w:spacing w:line="240" w:lineRule="auto"/>
              <w:jc w:val="right"/>
              <w:rPr>
                <w:sz w:val="12"/>
                <w:lang w:eastAsia="en-AU"/>
              </w:rPr>
            </w:pPr>
            <w:r w:rsidRPr="00CD1518">
              <w:rPr>
                <w:sz w:val="12"/>
              </w:rPr>
              <w:t>-</w:t>
            </w:r>
          </w:p>
        </w:tc>
        <w:tc>
          <w:tcPr>
            <w:tcW w:w="430"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sz w:val="12"/>
                <w:lang w:eastAsia="en-AU"/>
              </w:rPr>
            </w:pPr>
            <w:r w:rsidRPr="00CD1518">
              <w:rPr>
                <w:sz w:val="12"/>
              </w:rPr>
              <w:t>64</w:t>
            </w:r>
          </w:p>
        </w:tc>
        <w:tc>
          <w:tcPr>
            <w:tcW w:w="385"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sz w:val="12"/>
                <w:lang w:eastAsia="en-AU"/>
              </w:rPr>
            </w:pPr>
            <w:r w:rsidRPr="00CD1518">
              <w:rPr>
                <w:sz w:val="12"/>
              </w:rPr>
              <w:t>0%</w:t>
            </w:r>
          </w:p>
        </w:tc>
      </w:tr>
      <w:tr w:rsidR="003A1695" w:rsidRPr="0036568D" w:rsidTr="00FB2958">
        <w:trPr>
          <w:trHeight w:val="260"/>
        </w:trPr>
        <w:tc>
          <w:tcPr>
            <w:tcW w:w="703" w:type="pct"/>
            <w:tcBorders>
              <w:top w:val="nil"/>
              <w:left w:val="single" w:sz="4" w:space="0" w:color="5B9BD5"/>
              <w:bottom w:val="single" w:sz="4" w:space="0" w:color="5B9BD5"/>
              <w:right w:val="nil"/>
            </w:tcBorders>
            <w:shd w:val="clear" w:color="000000" w:fill="FFFFFF"/>
            <w:noWrap/>
            <w:vAlign w:val="center"/>
            <w:hideMark/>
          </w:tcPr>
          <w:p w:rsidR="00B53993" w:rsidRPr="00B53993" w:rsidRDefault="00B53993">
            <w:pPr>
              <w:spacing w:line="240" w:lineRule="auto"/>
              <w:rPr>
                <w:color w:val="000000"/>
                <w:sz w:val="12"/>
                <w:lang w:eastAsia="en-AU"/>
              </w:rPr>
            </w:pPr>
            <w:r w:rsidRPr="00CD1518">
              <w:rPr>
                <w:color w:val="000000"/>
                <w:sz w:val="12"/>
              </w:rPr>
              <w:t>Zero Cost Encounters</w:t>
            </w:r>
          </w:p>
        </w:tc>
        <w:tc>
          <w:tcPr>
            <w:tcW w:w="481" w:type="pct"/>
            <w:tcBorders>
              <w:top w:val="nil"/>
              <w:left w:val="single" w:sz="4" w:space="0" w:color="5B9BD5"/>
              <w:bottom w:val="single" w:sz="4" w:space="0" w:color="5B9BD5"/>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168</w:t>
            </w:r>
          </w:p>
        </w:tc>
        <w:tc>
          <w:tcPr>
            <w:tcW w:w="480" w:type="pct"/>
            <w:tcBorders>
              <w:top w:val="nil"/>
              <w:left w:val="nil"/>
              <w:bottom w:val="single" w:sz="4" w:space="0" w:color="5B9BD5"/>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168</w:t>
            </w:r>
          </w:p>
        </w:tc>
        <w:tc>
          <w:tcPr>
            <w:tcW w:w="239" w:type="pct"/>
            <w:tcBorders>
              <w:top w:val="nil"/>
              <w:left w:val="nil"/>
              <w:bottom w:val="single" w:sz="4" w:space="0" w:color="5B9BD5"/>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single" w:sz="4" w:space="0" w:color="5B9BD5"/>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single" w:sz="4" w:space="0" w:color="5B9BD5"/>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single" w:sz="4" w:space="0" w:color="5B9BD5"/>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single" w:sz="4" w:space="0" w:color="5B9BD5"/>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30" w:type="pct"/>
            <w:tcBorders>
              <w:top w:val="nil"/>
              <w:left w:val="nil"/>
              <w:bottom w:val="single" w:sz="4" w:space="0" w:color="5B9BD5"/>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168</w:t>
            </w:r>
          </w:p>
        </w:tc>
        <w:tc>
          <w:tcPr>
            <w:tcW w:w="430" w:type="pct"/>
            <w:tcBorders>
              <w:top w:val="nil"/>
              <w:left w:val="nil"/>
              <w:bottom w:val="single" w:sz="4" w:space="0" w:color="5B9BD5"/>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385" w:type="pct"/>
            <w:tcBorders>
              <w:top w:val="nil"/>
              <w:left w:val="nil"/>
              <w:bottom w:val="single" w:sz="4" w:space="0" w:color="5B9BD5"/>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r>
      <w:tr w:rsidR="003A1695" w:rsidRPr="0036568D" w:rsidTr="00FB2958">
        <w:trPr>
          <w:trHeight w:val="260"/>
        </w:trPr>
        <w:tc>
          <w:tcPr>
            <w:tcW w:w="703" w:type="pct"/>
            <w:tcBorders>
              <w:top w:val="nil"/>
              <w:left w:val="single" w:sz="4" w:space="0" w:color="5B9BD5"/>
              <w:bottom w:val="nil"/>
              <w:right w:val="nil"/>
            </w:tcBorders>
            <w:shd w:val="clear" w:color="000000" w:fill="DDEBF7"/>
            <w:noWrap/>
            <w:vAlign w:val="center"/>
            <w:hideMark/>
          </w:tcPr>
          <w:p w:rsidR="00B53993" w:rsidRPr="00B53993" w:rsidRDefault="00B53993">
            <w:pPr>
              <w:spacing w:line="240" w:lineRule="auto"/>
              <w:rPr>
                <w:b/>
                <w:bCs/>
                <w:color w:val="000000"/>
                <w:sz w:val="12"/>
                <w:lang w:eastAsia="en-AU"/>
              </w:rPr>
            </w:pPr>
            <w:r w:rsidRPr="00CD1518">
              <w:rPr>
                <w:b/>
                <w:bCs/>
                <w:color w:val="000000"/>
                <w:sz w:val="12"/>
              </w:rPr>
              <w:t>TOTAL</w:t>
            </w:r>
          </w:p>
        </w:tc>
        <w:tc>
          <w:tcPr>
            <w:tcW w:w="481"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b/>
                <w:bCs/>
                <w:color w:val="000000"/>
                <w:sz w:val="12"/>
                <w:lang w:eastAsia="en-AU"/>
              </w:rPr>
            </w:pPr>
            <w:r w:rsidRPr="00CD1518">
              <w:rPr>
                <w:b/>
                <w:bCs/>
                <w:color w:val="000000"/>
                <w:sz w:val="12"/>
              </w:rPr>
              <w:t>245,035</w:t>
            </w:r>
          </w:p>
        </w:tc>
        <w:tc>
          <w:tcPr>
            <w:tcW w:w="480"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b/>
                <w:bCs/>
                <w:color w:val="000000"/>
                <w:sz w:val="12"/>
                <w:lang w:eastAsia="en-AU"/>
              </w:rPr>
            </w:pPr>
            <w:r w:rsidRPr="00CD1518">
              <w:rPr>
                <w:b/>
                <w:bCs/>
                <w:color w:val="000000"/>
                <w:sz w:val="12"/>
              </w:rPr>
              <w:t>245,035</w:t>
            </w:r>
          </w:p>
        </w:tc>
        <w:tc>
          <w:tcPr>
            <w:tcW w:w="239"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b/>
                <w:bCs/>
                <w:color w:val="000000"/>
                <w:sz w:val="12"/>
                <w:lang w:eastAsia="en-AU"/>
              </w:rPr>
            </w:pPr>
            <w:r w:rsidRPr="00CD1518">
              <w:rPr>
                <w:b/>
                <w:bCs/>
                <w:color w:val="000000"/>
                <w:sz w:val="12"/>
              </w:rPr>
              <w:t>-</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b/>
                <w:bCs/>
                <w:color w:val="000000"/>
                <w:sz w:val="12"/>
                <w:lang w:eastAsia="en-AU"/>
              </w:rPr>
            </w:pPr>
            <w:r w:rsidRPr="00CD1518">
              <w:rPr>
                <w:b/>
                <w:bCs/>
                <w:color w:val="000000"/>
                <w:sz w:val="12"/>
              </w:rPr>
              <w:t>30,572</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b/>
                <w:bCs/>
                <w:color w:val="000000"/>
                <w:sz w:val="12"/>
                <w:lang w:eastAsia="en-AU"/>
              </w:rPr>
            </w:pPr>
            <w:r w:rsidRPr="00CD1518">
              <w:rPr>
                <w:b/>
                <w:bCs/>
                <w:color w:val="000000"/>
                <w:sz w:val="12"/>
              </w:rPr>
              <w:t>46,683</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b/>
                <w:bCs/>
                <w:color w:val="000000"/>
                <w:sz w:val="12"/>
                <w:lang w:eastAsia="en-AU"/>
              </w:rPr>
            </w:pPr>
            <w:r w:rsidRPr="00CD1518">
              <w:rPr>
                <w:b/>
                <w:bCs/>
                <w:color w:val="000000"/>
                <w:sz w:val="12"/>
              </w:rPr>
              <w:t>167,548</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b/>
                <w:bCs/>
                <w:color w:val="000000"/>
                <w:sz w:val="12"/>
                <w:lang w:eastAsia="en-AU"/>
              </w:rPr>
            </w:pPr>
            <w:r w:rsidRPr="00CD1518">
              <w:rPr>
                <w:b/>
                <w:bCs/>
                <w:color w:val="000000"/>
                <w:sz w:val="12"/>
              </w:rPr>
              <w:t>244,803</w:t>
            </w:r>
          </w:p>
        </w:tc>
        <w:tc>
          <w:tcPr>
            <w:tcW w:w="430"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b/>
                <w:bCs/>
                <w:color w:val="000000"/>
                <w:sz w:val="12"/>
                <w:lang w:eastAsia="en-AU"/>
              </w:rPr>
            </w:pPr>
            <w:r w:rsidRPr="00CD1518">
              <w:rPr>
                <w:b/>
                <w:bCs/>
                <w:color w:val="000000"/>
                <w:sz w:val="12"/>
              </w:rPr>
              <w:t>168</w:t>
            </w:r>
          </w:p>
        </w:tc>
        <w:tc>
          <w:tcPr>
            <w:tcW w:w="430"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b/>
                <w:bCs/>
                <w:color w:val="000000"/>
                <w:sz w:val="12"/>
                <w:lang w:eastAsia="en-AU"/>
              </w:rPr>
            </w:pPr>
            <w:r w:rsidRPr="00CD1518">
              <w:rPr>
                <w:b/>
                <w:bCs/>
                <w:color w:val="000000"/>
                <w:sz w:val="12"/>
              </w:rPr>
              <w:t>64</w:t>
            </w:r>
          </w:p>
        </w:tc>
        <w:tc>
          <w:tcPr>
            <w:tcW w:w="385"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b/>
                <w:bCs/>
                <w:color w:val="000000"/>
                <w:sz w:val="12"/>
                <w:lang w:eastAsia="en-AU"/>
              </w:rPr>
            </w:pPr>
          </w:p>
        </w:tc>
      </w:tr>
      <w:tr w:rsidR="00C24933" w:rsidRPr="0036568D" w:rsidTr="00FB2958">
        <w:trPr>
          <w:trHeight w:val="260"/>
        </w:trPr>
        <w:tc>
          <w:tcPr>
            <w:tcW w:w="703" w:type="pct"/>
            <w:tcBorders>
              <w:top w:val="nil"/>
              <w:left w:val="single" w:sz="4" w:space="0" w:color="5B9BD5"/>
              <w:bottom w:val="nil"/>
              <w:right w:val="nil"/>
            </w:tcBorders>
            <w:shd w:val="clear" w:color="000000" w:fill="D0CECE"/>
            <w:noWrap/>
            <w:vAlign w:val="center"/>
            <w:hideMark/>
          </w:tcPr>
          <w:p w:rsidR="00B53993" w:rsidRPr="00B53993" w:rsidRDefault="00B53993">
            <w:pPr>
              <w:spacing w:line="240" w:lineRule="auto"/>
              <w:rPr>
                <w:b/>
                <w:bCs/>
                <w:color w:val="000000"/>
                <w:sz w:val="12"/>
                <w:lang w:eastAsia="en-AU"/>
              </w:rPr>
            </w:pPr>
            <w:r w:rsidRPr="00CD1518">
              <w:rPr>
                <w:b/>
                <w:bCs/>
                <w:color w:val="000000"/>
                <w:sz w:val="12"/>
              </w:rPr>
              <w:t>Feeder Data</w:t>
            </w:r>
          </w:p>
        </w:tc>
        <w:tc>
          <w:tcPr>
            <w:tcW w:w="481" w:type="pct"/>
            <w:tcBorders>
              <w:top w:val="nil"/>
              <w:left w:val="single" w:sz="4" w:space="0" w:color="5B9BD5"/>
              <w:bottom w:val="nil"/>
              <w:right w:val="single" w:sz="4" w:space="0" w:color="5B9BD5"/>
            </w:tcBorders>
            <w:shd w:val="clear" w:color="000000" w:fill="D0CECE"/>
            <w:noWrap/>
            <w:vAlign w:val="center"/>
            <w:hideMark/>
          </w:tcPr>
          <w:p w:rsidR="00B53993" w:rsidRPr="00B53993" w:rsidRDefault="00B53993">
            <w:pPr>
              <w:spacing w:line="240" w:lineRule="auto"/>
              <w:jc w:val="right"/>
              <w:rPr>
                <w:b/>
                <w:bCs/>
                <w:color w:val="000000"/>
                <w:sz w:val="12"/>
                <w:lang w:eastAsia="en-AU"/>
              </w:rPr>
            </w:pPr>
          </w:p>
        </w:tc>
        <w:tc>
          <w:tcPr>
            <w:tcW w:w="480" w:type="pct"/>
            <w:tcBorders>
              <w:top w:val="nil"/>
              <w:left w:val="nil"/>
              <w:bottom w:val="nil"/>
              <w:right w:val="nil"/>
            </w:tcBorders>
            <w:shd w:val="clear" w:color="000000" w:fill="D0CECE"/>
            <w:noWrap/>
            <w:vAlign w:val="center"/>
            <w:hideMark/>
          </w:tcPr>
          <w:p w:rsidR="00B53993" w:rsidRPr="00B53993" w:rsidRDefault="00B53993">
            <w:pPr>
              <w:spacing w:line="240" w:lineRule="auto"/>
              <w:jc w:val="right"/>
              <w:rPr>
                <w:b/>
                <w:bCs/>
                <w:color w:val="000000"/>
                <w:sz w:val="12"/>
                <w:lang w:eastAsia="en-AU"/>
              </w:rPr>
            </w:pPr>
          </w:p>
        </w:tc>
        <w:tc>
          <w:tcPr>
            <w:tcW w:w="239" w:type="pct"/>
            <w:tcBorders>
              <w:top w:val="nil"/>
              <w:left w:val="single" w:sz="4" w:space="0" w:color="5B9BD5"/>
              <w:bottom w:val="nil"/>
              <w:right w:val="single" w:sz="4" w:space="0" w:color="5B9BD5"/>
            </w:tcBorders>
            <w:shd w:val="clear" w:color="000000" w:fill="D0CECE"/>
            <w:noWrap/>
            <w:vAlign w:val="center"/>
            <w:hideMark/>
          </w:tcPr>
          <w:p w:rsidR="00B53993" w:rsidRPr="00B53993" w:rsidRDefault="00B53993">
            <w:pPr>
              <w:spacing w:line="240" w:lineRule="auto"/>
              <w:jc w:val="right"/>
              <w:rPr>
                <w:b/>
                <w:bCs/>
                <w:color w:val="000000"/>
                <w:sz w:val="12"/>
                <w:lang w:eastAsia="en-AU"/>
              </w:rPr>
            </w:pPr>
          </w:p>
        </w:tc>
        <w:tc>
          <w:tcPr>
            <w:tcW w:w="463" w:type="pct"/>
            <w:tcBorders>
              <w:top w:val="nil"/>
              <w:left w:val="nil"/>
              <w:bottom w:val="nil"/>
              <w:right w:val="nil"/>
            </w:tcBorders>
            <w:shd w:val="clear" w:color="000000" w:fill="D0CECE"/>
            <w:noWrap/>
            <w:vAlign w:val="center"/>
            <w:hideMark/>
          </w:tcPr>
          <w:p w:rsidR="00B53993" w:rsidRPr="00B53993" w:rsidRDefault="00B53993">
            <w:pPr>
              <w:spacing w:line="240" w:lineRule="auto"/>
              <w:jc w:val="right"/>
              <w:rPr>
                <w:b/>
                <w:bCs/>
                <w:color w:val="000000"/>
                <w:sz w:val="12"/>
                <w:lang w:eastAsia="en-AU"/>
              </w:rPr>
            </w:pPr>
          </w:p>
        </w:tc>
        <w:tc>
          <w:tcPr>
            <w:tcW w:w="463" w:type="pct"/>
            <w:tcBorders>
              <w:top w:val="nil"/>
              <w:left w:val="single" w:sz="4" w:space="0" w:color="5B9BD5"/>
              <w:bottom w:val="nil"/>
              <w:right w:val="single" w:sz="4" w:space="0" w:color="5B9BD5"/>
            </w:tcBorders>
            <w:shd w:val="clear" w:color="000000" w:fill="D0CECE"/>
            <w:noWrap/>
            <w:vAlign w:val="center"/>
            <w:hideMark/>
          </w:tcPr>
          <w:p w:rsidR="00B53993" w:rsidRPr="00B53993" w:rsidRDefault="00B53993">
            <w:pPr>
              <w:spacing w:line="240" w:lineRule="auto"/>
              <w:jc w:val="right"/>
              <w:rPr>
                <w:b/>
                <w:bCs/>
                <w:color w:val="000000"/>
                <w:sz w:val="12"/>
                <w:lang w:eastAsia="en-AU"/>
              </w:rPr>
            </w:pPr>
          </w:p>
        </w:tc>
        <w:tc>
          <w:tcPr>
            <w:tcW w:w="463" w:type="pct"/>
            <w:tcBorders>
              <w:top w:val="nil"/>
              <w:left w:val="nil"/>
              <w:bottom w:val="nil"/>
              <w:right w:val="single" w:sz="4" w:space="0" w:color="5B9BD5"/>
            </w:tcBorders>
            <w:shd w:val="clear" w:color="000000" w:fill="D0CECE"/>
            <w:noWrap/>
            <w:vAlign w:val="center"/>
            <w:hideMark/>
          </w:tcPr>
          <w:p w:rsidR="00B53993" w:rsidRPr="00B53993" w:rsidRDefault="00B53993">
            <w:pPr>
              <w:spacing w:line="240" w:lineRule="auto"/>
              <w:jc w:val="right"/>
              <w:rPr>
                <w:b/>
                <w:bCs/>
                <w:color w:val="000000"/>
                <w:sz w:val="12"/>
                <w:lang w:eastAsia="en-AU"/>
              </w:rPr>
            </w:pPr>
          </w:p>
        </w:tc>
        <w:tc>
          <w:tcPr>
            <w:tcW w:w="463" w:type="pct"/>
            <w:tcBorders>
              <w:top w:val="nil"/>
              <w:left w:val="nil"/>
              <w:bottom w:val="nil"/>
              <w:right w:val="single" w:sz="4" w:space="0" w:color="5B9BD5"/>
            </w:tcBorders>
            <w:shd w:val="clear" w:color="000000" w:fill="D0CECE"/>
            <w:noWrap/>
            <w:vAlign w:val="center"/>
            <w:hideMark/>
          </w:tcPr>
          <w:p w:rsidR="00B53993" w:rsidRPr="00B53993" w:rsidRDefault="00B53993">
            <w:pPr>
              <w:spacing w:line="240" w:lineRule="auto"/>
              <w:jc w:val="right"/>
              <w:rPr>
                <w:b/>
                <w:bCs/>
                <w:color w:val="000000"/>
                <w:sz w:val="12"/>
                <w:lang w:eastAsia="en-AU"/>
              </w:rPr>
            </w:pPr>
          </w:p>
        </w:tc>
        <w:tc>
          <w:tcPr>
            <w:tcW w:w="430" w:type="pct"/>
            <w:tcBorders>
              <w:top w:val="nil"/>
              <w:left w:val="nil"/>
              <w:bottom w:val="nil"/>
              <w:right w:val="nil"/>
            </w:tcBorders>
            <w:shd w:val="clear" w:color="000000" w:fill="D0CECE"/>
            <w:noWrap/>
            <w:vAlign w:val="center"/>
            <w:hideMark/>
          </w:tcPr>
          <w:p w:rsidR="00B53993" w:rsidRPr="00B53993" w:rsidRDefault="00B53993">
            <w:pPr>
              <w:spacing w:line="240" w:lineRule="auto"/>
              <w:jc w:val="right"/>
              <w:rPr>
                <w:b/>
                <w:bCs/>
                <w:color w:val="000000"/>
                <w:sz w:val="12"/>
                <w:lang w:eastAsia="en-AU"/>
              </w:rPr>
            </w:pPr>
          </w:p>
        </w:tc>
        <w:tc>
          <w:tcPr>
            <w:tcW w:w="430" w:type="pct"/>
            <w:tcBorders>
              <w:top w:val="nil"/>
              <w:left w:val="single" w:sz="4" w:space="0" w:color="5B9BD5"/>
              <w:bottom w:val="nil"/>
              <w:right w:val="single" w:sz="4" w:space="0" w:color="5B9BD5"/>
            </w:tcBorders>
            <w:shd w:val="clear" w:color="000000" w:fill="D0CECE"/>
            <w:noWrap/>
            <w:vAlign w:val="center"/>
            <w:hideMark/>
          </w:tcPr>
          <w:p w:rsidR="00B53993" w:rsidRPr="00B53993" w:rsidRDefault="00B53993">
            <w:pPr>
              <w:spacing w:line="240" w:lineRule="auto"/>
              <w:jc w:val="right"/>
              <w:rPr>
                <w:b/>
                <w:bCs/>
                <w:color w:val="000000"/>
                <w:sz w:val="12"/>
                <w:lang w:eastAsia="en-AU"/>
              </w:rPr>
            </w:pPr>
          </w:p>
        </w:tc>
        <w:tc>
          <w:tcPr>
            <w:tcW w:w="385" w:type="pct"/>
            <w:tcBorders>
              <w:top w:val="nil"/>
              <w:left w:val="nil"/>
              <w:bottom w:val="nil"/>
              <w:right w:val="single" w:sz="4" w:space="0" w:color="5B9BD5"/>
            </w:tcBorders>
            <w:shd w:val="clear" w:color="000000" w:fill="D0CECE"/>
            <w:noWrap/>
            <w:vAlign w:val="center"/>
            <w:hideMark/>
          </w:tcPr>
          <w:p w:rsidR="00B53993" w:rsidRPr="00B53993" w:rsidRDefault="00B53993">
            <w:pPr>
              <w:spacing w:line="240" w:lineRule="auto"/>
              <w:jc w:val="right"/>
              <w:rPr>
                <w:b/>
                <w:bCs/>
                <w:color w:val="000000"/>
                <w:sz w:val="12"/>
                <w:lang w:eastAsia="en-AU"/>
              </w:rPr>
            </w:pPr>
          </w:p>
        </w:tc>
      </w:tr>
      <w:tr w:rsidR="003A1695" w:rsidRPr="0036568D" w:rsidTr="00FB2958">
        <w:trPr>
          <w:trHeight w:val="260"/>
        </w:trPr>
        <w:tc>
          <w:tcPr>
            <w:tcW w:w="703" w:type="pct"/>
            <w:tcBorders>
              <w:top w:val="nil"/>
              <w:left w:val="single" w:sz="4" w:space="0" w:color="5B9BD5"/>
              <w:bottom w:val="nil"/>
              <w:right w:val="nil"/>
            </w:tcBorders>
            <w:shd w:val="clear" w:color="000000" w:fill="FFFFFF"/>
            <w:noWrap/>
            <w:vAlign w:val="center"/>
            <w:hideMark/>
          </w:tcPr>
          <w:p w:rsidR="00B53993" w:rsidRPr="00B53993" w:rsidRDefault="00B53993">
            <w:pPr>
              <w:spacing w:line="240" w:lineRule="auto"/>
              <w:rPr>
                <w:color w:val="000000"/>
                <w:sz w:val="12"/>
                <w:lang w:eastAsia="en-AU"/>
              </w:rPr>
            </w:pPr>
            <w:r w:rsidRPr="00CD1518">
              <w:rPr>
                <w:color w:val="000000"/>
                <w:sz w:val="12"/>
              </w:rPr>
              <w:t xml:space="preserve">Appointment Schedule Outpatient </w:t>
            </w:r>
          </w:p>
        </w:tc>
        <w:tc>
          <w:tcPr>
            <w:tcW w:w="481" w:type="pct"/>
            <w:tcBorders>
              <w:top w:val="nil"/>
              <w:left w:val="single" w:sz="4" w:space="0" w:color="5B9BD5"/>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6,787,599</w:t>
            </w:r>
          </w:p>
        </w:tc>
        <w:tc>
          <w:tcPr>
            <w:tcW w:w="480"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6,787,599</w:t>
            </w:r>
          </w:p>
        </w:tc>
        <w:tc>
          <w:tcPr>
            <w:tcW w:w="239"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32,004</w:t>
            </w:r>
          </w:p>
        </w:tc>
        <w:tc>
          <w:tcPr>
            <w:tcW w:w="463"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116,447</w:t>
            </w:r>
          </w:p>
        </w:tc>
        <w:tc>
          <w:tcPr>
            <w:tcW w:w="463"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6,631,653</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6,780,104</w:t>
            </w:r>
          </w:p>
        </w:tc>
        <w:tc>
          <w:tcPr>
            <w:tcW w:w="430"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30"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7,495</w:t>
            </w:r>
          </w:p>
        </w:tc>
        <w:tc>
          <w:tcPr>
            <w:tcW w:w="385"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100%</w:t>
            </w:r>
          </w:p>
        </w:tc>
      </w:tr>
      <w:tr w:rsidR="00C24933" w:rsidRPr="0036568D" w:rsidTr="00FB2958">
        <w:trPr>
          <w:trHeight w:val="260"/>
        </w:trPr>
        <w:tc>
          <w:tcPr>
            <w:tcW w:w="703" w:type="pct"/>
            <w:tcBorders>
              <w:top w:val="nil"/>
              <w:left w:val="single" w:sz="4" w:space="0" w:color="5B9BD5"/>
              <w:bottom w:val="nil"/>
              <w:right w:val="nil"/>
            </w:tcBorders>
            <w:shd w:val="clear" w:color="000000" w:fill="DDEBF7"/>
            <w:noWrap/>
            <w:vAlign w:val="center"/>
            <w:hideMark/>
          </w:tcPr>
          <w:p w:rsidR="00B53993" w:rsidRPr="00B53993" w:rsidRDefault="00B53993">
            <w:pPr>
              <w:spacing w:line="240" w:lineRule="auto"/>
              <w:rPr>
                <w:color w:val="000000"/>
                <w:sz w:val="12"/>
                <w:lang w:eastAsia="en-AU"/>
              </w:rPr>
            </w:pPr>
            <w:r w:rsidRPr="00CD1518">
              <w:rPr>
                <w:sz w:val="12"/>
              </w:rPr>
              <w:t>Delivery (Birthing) Data</w:t>
            </w:r>
          </w:p>
        </w:tc>
        <w:tc>
          <w:tcPr>
            <w:tcW w:w="481"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18</w:t>
            </w:r>
          </w:p>
        </w:tc>
        <w:tc>
          <w:tcPr>
            <w:tcW w:w="480" w:type="pct"/>
            <w:tcBorders>
              <w:top w:val="nil"/>
              <w:left w:val="nil"/>
              <w:bottom w:val="nil"/>
              <w:right w:val="nil"/>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18</w:t>
            </w:r>
          </w:p>
        </w:tc>
        <w:tc>
          <w:tcPr>
            <w:tcW w:w="239"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nil"/>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18</w:t>
            </w:r>
          </w:p>
        </w:tc>
        <w:tc>
          <w:tcPr>
            <w:tcW w:w="463"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18</w:t>
            </w:r>
          </w:p>
        </w:tc>
        <w:tc>
          <w:tcPr>
            <w:tcW w:w="430" w:type="pct"/>
            <w:tcBorders>
              <w:top w:val="nil"/>
              <w:left w:val="nil"/>
              <w:bottom w:val="nil"/>
              <w:right w:val="nil"/>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30"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385"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100%</w:t>
            </w:r>
          </w:p>
        </w:tc>
      </w:tr>
      <w:tr w:rsidR="00C24933" w:rsidRPr="0036568D" w:rsidTr="00FB2958">
        <w:trPr>
          <w:trHeight w:val="260"/>
        </w:trPr>
        <w:tc>
          <w:tcPr>
            <w:tcW w:w="703" w:type="pct"/>
            <w:tcBorders>
              <w:top w:val="nil"/>
              <w:left w:val="single" w:sz="4" w:space="0" w:color="5B9BD5"/>
              <w:bottom w:val="nil"/>
              <w:right w:val="nil"/>
            </w:tcBorders>
            <w:shd w:val="clear" w:color="000000" w:fill="FFFFFF"/>
            <w:noWrap/>
            <w:vAlign w:val="center"/>
            <w:hideMark/>
          </w:tcPr>
          <w:p w:rsidR="00B53993" w:rsidRPr="00B53993" w:rsidRDefault="00B53993">
            <w:pPr>
              <w:spacing w:line="240" w:lineRule="auto"/>
              <w:rPr>
                <w:color w:val="000000"/>
                <w:sz w:val="12"/>
                <w:lang w:eastAsia="en-AU"/>
              </w:rPr>
            </w:pPr>
            <w:r w:rsidRPr="00CD1518">
              <w:rPr>
                <w:color w:val="000000"/>
                <w:sz w:val="12"/>
              </w:rPr>
              <w:t xml:space="preserve">Diagnostic </w:t>
            </w:r>
            <w:r w:rsidR="007B474A" w:rsidRPr="00CD1518">
              <w:rPr>
                <w:color w:val="000000"/>
                <w:sz w:val="12"/>
              </w:rPr>
              <w:t>Imaging</w:t>
            </w:r>
            <w:r w:rsidRPr="00CD1518">
              <w:rPr>
                <w:color w:val="000000"/>
                <w:sz w:val="12"/>
              </w:rPr>
              <w:t xml:space="preserve"> </w:t>
            </w:r>
          </w:p>
        </w:tc>
        <w:tc>
          <w:tcPr>
            <w:tcW w:w="481" w:type="pct"/>
            <w:tcBorders>
              <w:top w:val="nil"/>
              <w:left w:val="single" w:sz="4" w:space="0" w:color="5B9BD5"/>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1,620,678</w:t>
            </w:r>
          </w:p>
        </w:tc>
        <w:tc>
          <w:tcPr>
            <w:tcW w:w="480" w:type="pct"/>
            <w:tcBorders>
              <w:top w:val="nil"/>
              <w:left w:val="nil"/>
              <w:bottom w:val="nil"/>
              <w:right w:val="nil"/>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1,620,678</w:t>
            </w:r>
          </w:p>
        </w:tc>
        <w:tc>
          <w:tcPr>
            <w:tcW w:w="239"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nil"/>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468,505</w:t>
            </w:r>
          </w:p>
        </w:tc>
        <w:tc>
          <w:tcPr>
            <w:tcW w:w="463" w:type="pct"/>
            <w:tcBorders>
              <w:top w:val="nil"/>
              <w:left w:val="single" w:sz="4" w:space="0" w:color="5B9BD5"/>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717,891</w:t>
            </w:r>
          </w:p>
        </w:tc>
        <w:tc>
          <w:tcPr>
            <w:tcW w:w="463"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420,347</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1,606,743</w:t>
            </w:r>
          </w:p>
        </w:tc>
        <w:tc>
          <w:tcPr>
            <w:tcW w:w="430" w:type="pct"/>
            <w:tcBorders>
              <w:top w:val="nil"/>
              <w:left w:val="nil"/>
              <w:bottom w:val="nil"/>
              <w:right w:val="nil"/>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30" w:type="pct"/>
            <w:tcBorders>
              <w:top w:val="nil"/>
              <w:left w:val="single" w:sz="4" w:space="0" w:color="5B9BD5"/>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13,935</w:t>
            </w:r>
          </w:p>
        </w:tc>
        <w:tc>
          <w:tcPr>
            <w:tcW w:w="385"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99%</w:t>
            </w:r>
          </w:p>
        </w:tc>
      </w:tr>
      <w:tr w:rsidR="00C24933" w:rsidRPr="0036568D" w:rsidTr="00FB2958">
        <w:trPr>
          <w:trHeight w:val="260"/>
        </w:trPr>
        <w:tc>
          <w:tcPr>
            <w:tcW w:w="703" w:type="pct"/>
            <w:tcBorders>
              <w:top w:val="nil"/>
              <w:left w:val="single" w:sz="4" w:space="0" w:color="5B9BD5"/>
              <w:bottom w:val="nil"/>
              <w:right w:val="nil"/>
            </w:tcBorders>
            <w:shd w:val="clear" w:color="000000" w:fill="DDEBF7"/>
            <w:noWrap/>
            <w:vAlign w:val="center"/>
            <w:hideMark/>
          </w:tcPr>
          <w:p w:rsidR="00B53993" w:rsidRPr="00B53993" w:rsidRDefault="00B53993">
            <w:pPr>
              <w:spacing w:line="240" w:lineRule="auto"/>
              <w:rPr>
                <w:color w:val="000000"/>
                <w:sz w:val="12"/>
                <w:lang w:eastAsia="en-AU"/>
              </w:rPr>
            </w:pPr>
            <w:r w:rsidRPr="00CD1518">
              <w:rPr>
                <w:sz w:val="12"/>
              </w:rPr>
              <w:t xml:space="preserve">Emergency Presentation </w:t>
            </w:r>
          </w:p>
        </w:tc>
        <w:tc>
          <w:tcPr>
            <w:tcW w:w="481"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1,988,923</w:t>
            </w:r>
          </w:p>
        </w:tc>
        <w:tc>
          <w:tcPr>
            <w:tcW w:w="480" w:type="pct"/>
            <w:tcBorders>
              <w:top w:val="nil"/>
              <w:left w:val="nil"/>
              <w:bottom w:val="nil"/>
              <w:right w:val="nil"/>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1,988,923</w:t>
            </w:r>
          </w:p>
        </w:tc>
        <w:tc>
          <w:tcPr>
            <w:tcW w:w="239"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nil"/>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1,936,665</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1,936,665</w:t>
            </w:r>
          </w:p>
        </w:tc>
        <w:tc>
          <w:tcPr>
            <w:tcW w:w="430" w:type="pct"/>
            <w:tcBorders>
              <w:top w:val="nil"/>
              <w:left w:val="nil"/>
              <w:bottom w:val="nil"/>
              <w:right w:val="nil"/>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30"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52,258</w:t>
            </w:r>
          </w:p>
        </w:tc>
        <w:tc>
          <w:tcPr>
            <w:tcW w:w="385"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97%</w:t>
            </w:r>
          </w:p>
        </w:tc>
      </w:tr>
      <w:tr w:rsidR="00C24933" w:rsidRPr="0036568D" w:rsidTr="00FB2958">
        <w:trPr>
          <w:trHeight w:val="260"/>
        </w:trPr>
        <w:tc>
          <w:tcPr>
            <w:tcW w:w="703" w:type="pct"/>
            <w:tcBorders>
              <w:top w:val="nil"/>
              <w:left w:val="single" w:sz="4" w:space="0" w:color="5B9BD5"/>
              <w:bottom w:val="nil"/>
              <w:right w:val="nil"/>
            </w:tcBorders>
            <w:shd w:val="clear" w:color="000000" w:fill="FFFFFF"/>
            <w:noWrap/>
            <w:vAlign w:val="center"/>
            <w:hideMark/>
          </w:tcPr>
          <w:p w:rsidR="00B53993" w:rsidRPr="00B53993" w:rsidRDefault="00B53993">
            <w:pPr>
              <w:spacing w:line="240" w:lineRule="auto"/>
              <w:rPr>
                <w:color w:val="000000"/>
                <w:sz w:val="12"/>
                <w:lang w:eastAsia="en-AU"/>
              </w:rPr>
            </w:pPr>
            <w:r w:rsidRPr="00CD1518">
              <w:rPr>
                <w:color w:val="000000"/>
                <w:sz w:val="12"/>
              </w:rPr>
              <w:t xml:space="preserve">Local Clinical System </w:t>
            </w:r>
          </w:p>
        </w:tc>
        <w:tc>
          <w:tcPr>
            <w:tcW w:w="481" w:type="pct"/>
            <w:tcBorders>
              <w:top w:val="nil"/>
              <w:left w:val="single" w:sz="4" w:space="0" w:color="5B9BD5"/>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15,982</w:t>
            </w:r>
          </w:p>
        </w:tc>
        <w:tc>
          <w:tcPr>
            <w:tcW w:w="480" w:type="pct"/>
            <w:tcBorders>
              <w:top w:val="nil"/>
              <w:left w:val="nil"/>
              <w:bottom w:val="nil"/>
              <w:right w:val="nil"/>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15,982</w:t>
            </w:r>
          </w:p>
        </w:tc>
        <w:tc>
          <w:tcPr>
            <w:tcW w:w="239"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nil"/>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11,617</w:t>
            </w:r>
          </w:p>
        </w:tc>
        <w:tc>
          <w:tcPr>
            <w:tcW w:w="463" w:type="pct"/>
            <w:tcBorders>
              <w:top w:val="nil"/>
              <w:left w:val="single" w:sz="4" w:space="0" w:color="5B9BD5"/>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3,586</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15,203</w:t>
            </w:r>
          </w:p>
        </w:tc>
        <w:tc>
          <w:tcPr>
            <w:tcW w:w="430" w:type="pct"/>
            <w:tcBorders>
              <w:top w:val="nil"/>
              <w:left w:val="nil"/>
              <w:bottom w:val="nil"/>
              <w:right w:val="nil"/>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30" w:type="pct"/>
            <w:tcBorders>
              <w:top w:val="nil"/>
              <w:left w:val="single" w:sz="4" w:space="0" w:color="5B9BD5"/>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779</w:t>
            </w:r>
          </w:p>
        </w:tc>
        <w:tc>
          <w:tcPr>
            <w:tcW w:w="385"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95%</w:t>
            </w:r>
          </w:p>
        </w:tc>
      </w:tr>
      <w:tr w:rsidR="00C24933" w:rsidRPr="0036568D" w:rsidTr="00FB2958">
        <w:trPr>
          <w:trHeight w:val="260"/>
        </w:trPr>
        <w:tc>
          <w:tcPr>
            <w:tcW w:w="703" w:type="pct"/>
            <w:tcBorders>
              <w:top w:val="nil"/>
              <w:left w:val="single" w:sz="4" w:space="0" w:color="5B9BD5"/>
              <w:bottom w:val="nil"/>
              <w:right w:val="nil"/>
            </w:tcBorders>
            <w:shd w:val="clear" w:color="000000" w:fill="DDEBF7"/>
            <w:noWrap/>
            <w:vAlign w:val="center"/>
            <w:hideMark/>
          </w:tcPr>
          <w:p w:rsidR="00B53993" w:rsidRPr="00B53993" w:rsidRDefault="00B53993">
            <w:pPr>
              <w:spacing w:line="240" w:lineRule="auto"/>
              <w:rPr>
                <w:color w:val="000000"/>
                <w:sz w:val="12"/>
                <w:lang w:eastAsia="en-AU"/>
              </w:rPr>
            </w:pPr>
            <w:r w:rsidRPr="00CD1518">
              <w:rPr>
                <w:sz w:val="12"/>
              </w:rPr>
              <w:t>Medical ATD(</w:t>
            </w:r>
            <w:proofErr w:type="spellStart"/>
            <w:r w:rsidRPr="00CD1518">
              <w:rPr>
                <w:sz w:val="12"/>
              </w:rPr>
              <w:t>Bedday</w:t>
            </w:r>
            <w:proofErr w:type="spellEnd"/>
            <w:r w:rsidRPr="00CD1518">
              <w:rPr>
                <w:sz w:val="12"/>
              </w:rPr>
              <w:t xml:space="preserve">) </w:t>
            </w:r>
          </w:p>
        </w:tc>
        <w:tc>
          <w:tcPr>
            <w:tcW w:w="481"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2,600,734</w:t>
            </w:r>
          </w:p>
        </w:tc>
        <w:tc>
          <w:tcPr>
            <w:tcW w:w="480" w:type="pct"/>
            <w:tcBorders>
              <w:top w:val="nil"/>
              <w:left w:val="nil"/>
              <w:bottom w:val="nil"/>
              <w:right w:val="nil"/>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2,600,734</w:t>
            </w:r>
          </w:p>
        </w:tc>
        <w:tc>
          <w:tcPr>
            <w:tcW w:w="239"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nil"/>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2,553,098</w:t>
            </w:r>
          </w:p>
        </w:tc>
        <w:tc>
          <w:tcPr>
            <w:tcW w:w="463"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2,553,098</w:t>
            </w:r>
          </w:p>
        </w:tc>
        <w:tc>
          <w:tcPr>
            <w:tcW w:w="430" w:type="pct"/>
            <w:tcBorders>
              <w:top w:val="nil"/>
              <w:left w:val="nil"/>
              <w:bottom w:val="nil"/>
              <w:right w:val="nil"/>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30"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47,636</w:t>
            </w:r>
          </w:p>
        </w:tc>
        <w:tc>
          <w:tcPr>
            <w:tcW w:w="385"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98%</w:t>
            </w:r>
          </w:p>
        </w:tc>
      </w:tr>
      <w:tr w:rsidR="00C24933" w:rsidRPr="0036568D" w:rsidTr="00FB2958">
        <w:trPr>
          <w:trHeight w:val="260"/>
        </w:trPr>
        <w:tc>
          <w:tcPr>
            <w:tcW w:w="703" w:type="pct"/>
            <w:tcBorders>
              <w:top w:val="nil"/>
              <w:left w:val="single" w:sz="4" w:space="0" w:color="5B9BD5"/>
              <w:bottom w:val="nil"/>
              <w:right w:val="nil"/>
            </w:tcBorders>
            <w:shd w:val="clear" w:color="000000" w:fill="FFFFFF"/>
            <w:noWrap/>
            <w:vAlign w:val="center"/>
            <w:hideMark/>
          </w:tcPr>
          <w:p w:rsidR="00B53993" w:rsidRPr="00B53993" w:rsidRDefault="00B53993">
            <w:pPr>
              <w:spacing w:line="240" w:lineRule="auto"/>
              <w:rPr>
                <w:color w:val="000000"/>
                <w:sz w:val="12"/>
                <w:lang w:eastAsia="en-AU"/>
              </w:rPr>
            </w:pPr>
            <w:r w:rsidRPr="00CD1518">
              <w:rPr>
                <w:color w:val="000000"/>
                <w:sz w:val="12"/>
              </w:rPr>
              <w:t>Nursing ATD(</w:t>
            </w:r>
            <w:proofErr w:type="spellStart"/>
            <w:r w:rsidRPr="00CD1518">
              <w:rPr>
                <w:color w:val="000000"/>
                <w:sz w:val="12"/>
              </w:rPr>
              <w:t>Bedday</w:t>
            </w:r>
            <w:proofErr w:type="spellEnd"/>
            <w:r w:rsidRPr="00CD1518">
              <w:rPr>
                <w:color w:val="000000"/>
                <w:sz w:val="12"/>
              </w:rPr>
              <w:t xml:space="preserve">) </w:t>
            </w:r>
          </w:p>
        </w:tc>
        <w:tc>
          <w:tcPr>
            <w:tcW w:w="481" w:type="pct"/>
            <w:tcBorders>
              <w:top w:val="nil"/>
              <w:left w:val="single" w:sz="4" w:space="0" w:color="5B9BD5"/>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19,338,309</w:t>
            </w:r>
          </w:p>
        </w:tc>
        <w:tc>
          <w:tcPr>
            <w:tcW w:w="480" w:type="pct"/>
            <w:tcBorders>
              <w:top w:val="nil"/>
              <w:left w:val="nil"/>
              <w:bottom w:val="nil"/>
              <w:right w:val="nil"/>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19,338,309</w:t>
            </w:r>
          </w:p>
        </w:tc>
        <w:tc>
          <w:tcPr>
            <w:tcW w:w="239"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nil"/>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18,966,306</w:t>
            </w:r>
          </w:p>
        </w:tc>
        <w:tc>
          <w:tcPr>
            <w:tcW w:w="463" w:type="pct"/>
            <w:tcBorders>
              <w:top w:val="nil"/>
              <w:left w:val="single" w:sz="4" w:space="0" w:color="5B9BD5"/>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18,966,306</w:t>
            </w:r>
          </w:p>
        </w:tc>
        <w:tc>
          <w:tcPr>
            <w:tcW w:w="430" w:type="pct"/>
            <w:tcBorders>
              <w:top w:val="nil"/>
              <w:left w:val="nil"/>
              <w:bottom w:val="nil"/>
              <w:right w:val="nil"/>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30" w:type="pct"/>
            <w:tcBorders>
              <w:top w:val="nil"/>
              <w:left w:val="single" w:sz="4" w:space="0" w:color="5B9BD5"/>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372,003</w:t>
            </w:r>
          </w:p>
        </w:tc>
        <w:tc>
          <w:tcPr>
            <w:tcW w:w="385"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98%</w:t>
            </w:r>
          </w:p>
        </w:tc>
      </w:tr>
      <w:tr w:rsidR="00C24933" w:rsidRPr="0036568D" w:rsidTr="00FB2958">
        <w:trPr>
          <w:trHeight w:val="260"/>
        </w:trPr>
        <w:tc>
          <w:tcPr>
            <w:tcW w:w="703" w:type="pct"/>
            <w:tcBorders>
              <w:top w:val="nil"/>
              <w:left w:val="single" w:sz="4" w:space="0" w:color="5B9BD5"/>
              <w:bottom w:val="nil"/>
              <w:right w:val="nil"/>
            </w:tcBorders>
            <w:shd w:val="clear" w:color="000000" w:fill="DDEBF7"/>
            <w:noWrap/>
            <w:vAlign w:val="center"/>
            <w:hideMark/>
          </w:tcPr>
          <w:p w:rsidR="00B53993" w:rsidRPr="00B53993" w:rsidRDefault="00B53993">
            <w:pPr>
              <w:spacing w:line="240" w:lineRule="auto"/>
              <w:rPr>
                <w:color w:val="000000"/>
                <w:sz w:val="12"/>
                <w:lang w:eastAsia="en-AU"/>
              </w:rPr>
            </w:pPr>
            <w:r w:rsidRPr="00CD1518">
              <w:rPr>
                <w:sz w:val="12"/>
              </w:rPr>
              <w:t xml:space="preserve">Operating Theatre </w:t>
            </w:r>
          </w:p>
        </w:tc>
        <w:tc>
          <w:tcPr>
            <w:tcW w:w="481"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690,891</w:t>
            </w:r>
          </w:p>
        </w:tc>
        <w:tc>
          <w:tcPr>
            <w:tcW w:w="480" w:type="pct"/>
            <w:tcBorders>
              <w:top w:val="nil"/>
              <w:left w:val="nil"/>
              <w:bottom w:val="nil"/>
              <w:right w:val="nil"/>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690,891</w:t>
            </w:r>
          </w:p>
        </w:tc>
        <w:tc>
          <w:tcPr>
            <w:tcW w:w="239"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nil"/>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687,085</w:t>
            </w:r>
          </w:p>
        </w:tc>
        <w:tc>
          <w:tcPr>
            <w:tcW w:w="463"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31</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687,116</w:t>
            </w:r>
          </w:p>
        </w:tc>
        <w:tc>
          <w:tcPr>
            <w:tcW w:w="430" w:type="pct"/>
            <w:tcBorders>
              <w:top w:val="nil"/>
              <w:left w:val="nil"/>
              <w:bottom w:val="nil"/>
              <w:right w:val="nil"/>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30"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3,775</w:t>
            </w:r>
          </w:p>
        </w:tc>
        <w:tc>
          <w:tcPr>
            <w:tcW w:w="385"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99%</w:t>
            </w:r>
          </w:p>
        </w:tc>
      </w:tr>
      <w:tr w:rsidR="00C24933" w:rsidRPr="0036568D" w:rsidTr="00FB2958">
        <w:trPr>
          <w:trHeight w:val="260"/>
        </w:trPr>
        <w:tc>
          <w:tcPr>
            <w:tcW w:w="703" w:type="pct"/>
            <w:tcBorders>
              <w:top w:val="nil"/>
              <w:left w:val="single" w:sz="4" w:space="0" w:color="5B9BD5"/>
              <w:bottom w:val="nil"/>
              <w:right w:val="nil"/>
            </w:tcBorders>
            <w:shd w:val="clear" w:color="000000" w:fill="FFFFFF"/>
            <w:noWrap/>
            <w:vAlign w:val="center"/>
            <w:hideMark/>
          </w:tcPr>
          <w:p w:rsidR="00B53993" w:rsidRPr="00B53993" w:rsidRDefault="00B53993">
            <w:pPr>
              <w:spacing w:line="240" w:lineRule="auto"/>
              <w:rPr>
                <w:color w:val="000000"/>
                <w:sz w:val="12"/>
                <w:lang w:eastAsia="en-AU"/>
              </w:rPr>
            </w:pPr>
            <w:r w:rsidRPr="00CD1518">
              <w:rPr>
                <w:color w:val="000000"/>
                <w:sz w:val="12"/>
              </w:rPr>
              <w:t xml:space="preserve">Pathology </w:t>
            </w:r>
          </w:p>
        </w:tc>
        <w:tc>
          <w:tcPr>
            <w:tcW w:w="481" w:type="pct"/>
            <w:tcBorders>
              <w:top w:val="nil"/>
              <w:left w:val="single" w:sz="4" w:space="0" w:color="5B9BD5"/>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732,748</w:t>
            </w:r>
          </w:p>
        </w:tc>
        <w:tc>
          <w:tcPr>
            <w:tcW w:w="480" w:type="pct"/>
            <w:tcBorders>
              <w:top w:val="nil"/>
              <w:left w:val="nil"/>
              <w:bottom w:val="nil"/>
              <w:right w:val="nil"/>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732,748</w:t>
            </w:r>
          </w:p>
        </w:tc>
        <w:tc>
          <w:tcPr>
            <w:tcW w:w="239" w:type="pct"/>
            <w:tcBorders>
              <w:top w:val="nil"/>
              <w:left w:val="single" w:sz="4" w:space="0" w:color="5B9BD5"/>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nil"/>
              <w:right w:val="nil"/>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324,464</w:t>
            </w:r>
          </w:p>
        </w:tc>
        <w:tc>
          <w:tcPr>
            <w:tcW w:w="463" w:type="pct"/>
            <w:tcBorders>
              <w:top w:val="nil"/>
              <w:left w:val="single" w:sz="4" w:space="0" w:color="5B9BD5"/>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186,498</w:t>
            </w:r>
          </w:p>
        </w:tc>
        <w:tc>
          <w:tcPr>
            <w:tcW w:w="463"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213,268</w:t>
            </w:r>
          </w:p>
        </w:tc>
        <w:tc>
          <w:tcPr>
            <w:tcW w:w="463" w:type="pct"/>
            <w:tcBorders>
              <w:top w:val="nil"/>
              <w:left w:val="nil"/>
              <w:bottom w:val="nil"/>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724,230</w:t>
            </w:r>
          </w:p>
        </w:tc>
        <w:tc>
          <w:tcPr>
            <w:tcW w:w="430" w:type="pct"/>
            <w:tcBorders>
              <w:top w:val="nil"/>
              <w:left w:val="nil"/>
              <w:bottom w:val="nil"/>
              <w:right w:val="nil"/>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30" w:type="pct"/>
            <w:tcBorders>
              <w:top w:val="nil"/>
              <w:left w:val="single" w:sz="4" w:space="0" w:color="5B9BD5"/>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8,518</w:t>
            </w:r>
          </w:p>
        </w:tc>
        <w:tc>
          <w:tcPr>
            <w:tcW w:w="385" w:type="pct"/>
            <w:tcBorders>
              <w:top w:val="nil"/>
              <w:left w:val="nil"/>
              <w:bottom w:val="nil"/>
              <w:right w:val="single" w:sz="4" w:space="0" w:color="5B9BD5"/>
            </w:tcBorders>
            <w:shd w:val="clear" w:color="000000" w:fill="FFFFFF"/>
            <w:noWrap/>
            <w:vAlign w:val="center"/>
            <w:hideMark/>
          </w:tcPr>
          <w:p w:rsidR="00B53993" w:rsidRPr="00B53993" w:rsidRDefault="00B53993">
            <w:pPr>
              <w:spacing w:line="240" w:lineRule="auto"/>
              <w:jc w:val="right"/>
              <w:rPr>
                <w:color w:val="000000"/>
                <w:sz w:val="12"/>
                <w:lang w:eastAsia="en-AU"/>
              </w:rPr>
            </w:pPr>
            <w:r w:rsidRPr="00CD1518">
              <w:rPr>
                <w:color w:val="000000"/>
                <w:sz w:val="12"/>
              </w:rPr>
              <w:t>99%</w:t>
            </w:r>
          </w:p>
        </w:tc>
      </w:tr>
      <w:tr w:rsidR="00C24933" w:rsidRPr="0036568D" w:rsidTr="00FB2958">
        <w:trPr>
          <w:trHeight w:val="260"/>
        </w:trPr>
        <w:tc>
          <w:tcPr>
            <w:tcW w:w="703" w:type="pct"/>
            <w:tcBorders>
              <w:top w:val="nil"/>
              <w:left w:val="single" w:sz="4" w:space="0" w:color="5B9BD5"/>
              <w:bottom w:val="single" w:sz="4" w:space="0" w:color="5B9BD5"/>
              <w:right w:val="nil"/>
            </w:tcBorders>
            <w:shd w:val="clear" w:color="000000" w:fill="DDEBF7"/>
            <w:noWrap/>
            <w:vAlign w:val="center"/>
            <w:hideMark/>
          </w:tcPr>
          <w:p w:rsidR="00B53993" w:rsidRPr="00B53993" w:rsidRDefault="00B53993">
            <w:pPr>
              <w:spacing w:line="240" w:lineRule="auto"/>
              <w:rPr>
                <w:color w:val="000000"/>
                <w:sz w:val="12"/>
                <w:lang w:eastAsia="en-AU"/>
              </w:rPr>
            </w:pPr>
            <w:r w:rsidRPr="00CD1518">
              <w:rPr>
                <w:sz w:val="12"/>
              </w:rPr>
              <w:t xml:space="preserve">Pharmacy </w:t>
            </w:r>
          </w:p>
        </w:tc>
        <w:tc>
          <w:tcPr>
            <w:tcW w:w="481" w:type="pct"/>
            <w:tcBorders>
              <w:top w:val="nil"/>
              <w:left w:val="single" w:sz="4" w:space="0" w:color="5B9BD5"/>
              <w:bottom w:val="single" w:sz="4" w:space="0" w:color="5B9BD5"/>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644,070</w:t>
            </w:r>
          </w:p>
        </w:tc>
        <w:tc>
          <w:tcPr>
            <w:tcW w:w="480" w:type="pct"/>
            <w:tcBorders>
              <w:top w:val="nil"/>
              <w:left w:val="nil"/>
              <w:bottom w:val="single" w:sz="4" w:space="0" w:color="5B9BD5"/>
              <w:right w:val="nil"/>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644,070</w:t>
            </w:r>
          </w:p>
        </w:tc>
        <w:tc>
          <w:tcPr>
            <w:tcW w:w="239" w:type="pct"/>
            <w:tcBorders>
              <w:top w:val="nil"/>
              <w:left w:val="single" w:sz="4" w:space="0" w:color="5B9BD5"/>
              <w:bottom w:val="single" w:sz="4" w:space="0" w:color="5B9BD5"/>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63" w:type="pct"/>
            <w:tcBorders>
              <w:top w:val="nil"/>
              <w:left w:val="nil"/>
              <w:bottom w:val="single" w:sz="4" w:space="0" w:color="5B9BD5"/>
              <w:right w:val="nil"/>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319,333</w:t>
            </w:r>
          </w:p>
        </w:tc>
        <w:tc>
          <w:tcPr>
            <w:tcW w:w="463" w:type="pct"/>
            <w:tcBorders>
              <w:top w:val="nil"/>
              <w:left w:val="single" w:sz="4" w:space="0" w:color="5B9BD5"/>
              <w:bottom w:val="single" w:sz="4" w:space="0" w:color="5B9BD5"/>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1,968</w:t>
            </w:r>
          </w:p>
        </w:tc>
        <w:tc>
          <w:tcPr>
            <w:tcW w:w="463" w:type="pct"/>
            <w:tcBorders>
              <w:top w:val="nil"/>
              <w:left w:val="nil"/>
              <w:bottom w:val="single" w:sz="4" w:space="0" w:color="5B9BD5"/>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311,267</w:t>
            </w:r>
          </w:p>
        </w:tc>
        <w:tc>
          <w:tcPr>
            <w:tcW w:w="463" w:type="pct"/>
            <w:tcBorders>
              <w:top w:val="nil"/>
              <w:left w:val="nil"/>
              <w:bottom w:val="single" w:sz="4" w:space="0" w:color="5B9BD5"/>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632,568</w:t>
            </w:r>
          </w:p>
        </w:tc>
        <w:tc>
          <w:tcPr>
            <w:tcW w:w="430" w:type="pct"/>
            <w:tcBorders>
              <w:top w:val="nil"/>
              <w:left w:val="nil"/>
              <w:bottom w:val="single" w:sz="4" w:space="0" w:color="5B9BD5"/>
              <w:right w:val="nil"/>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w:t>
            </w:r>
          </w:p>
        </w:tc>
        <w:tc>
          <w:tcPr>
            <w:tcW w:w="430" w:type="pct"/>
            <w:tcBorders>
              <w:top w:val="nil"/>
              <w:left w:val="single" w:sz="4" w:space="0" w:color="5B9BD5"/>
              <w:bottom w:val="single" w:sz="4" w:space="0" w:color="5B9BD5"/>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11,502</w:t>
            </w:r>
          </w:p>
        </w:tc>
        <w:tc>
          <w:tcPr>
            <w:tcW w:w="385" w:type="pct"/>
            <w:tcBorders>
              <w:top w:val="nil"/>
              <w:left w:val="nil"/>
              <w:bottom w:val="single" w:sz="4" w:space="0" w:color="5B9BD5"/>
              <w:right w:val="single" w:sz="4" w:space="0" w:color="5B9BD5"/>
            </w:tcBorders>
            <w:shd w:val="clear" w:color="000000" w:fill="DDEBF7"/>
            <w:noWrap/>
            <w:vAlign w:val="center"/>
            <w:hideMark/>
          </w:tcPr>
          <w:p w:rsidR="00B53993" w:rsidRPr="00B53993" w:rsidRDefault="00B53993">
            <w:pPr>
              <w:spacing w:line="240" w:lineRule="auto"/>
              <w:jc w:val="right"/>
              <w:rPr>
                <w:color w:val="000000"/>
                <w:sz w:val="12"/>
                <w:lang w:eastAsia="en-AU"/>
              </w:rPr>
            </w:pPr>
            <w:r w:rsidRPr="00CD1518">
              <w:rPr>
                <w:color w:val="000000"/>
                <w:sz w:val="12"/>
              </w:rPr>
              <w:t>98%</w:t>
            </w:r>
          </w:p>
        </w:tc>
      </w:tr>
    </w:tbl>
    <w:p w:rsidR="00273A0D" w:rsidRPr="00975E6B" w:rsidRDefault="00273A0D" w:rsidP="00273A0D">
      <w:pPr>
        <w:rPr>
          <w:bCs/>
          <w:i/>
          <w:sz w:val="16"/>
          <w:szCs w:val="16"/>
        </w:rPr>
      </w:pPr>
      <w:r w:rsidRPr="00975E6B">
        <w:rPr>
          <w:bCs/>
          <w:i/>
          <w:sz w:val="16"/>
          <w:szCs w:val="16"/>
        </w:rPr>
        <w:t>Source: KPMG based on Mackay Base Hospital IFR templates</w:t>
      </w:r>
    </w:p>
    <w:p w:rsidR="00273A0D" w:rsidRPr="00975E6B" w:rsidRDefault="00273A0D" w:rsidP="00273A0D">
      <w:pPr>
        <w:pStyle w:val="BodyText"/>
      </w:pPr>
      <w:r w:rsidRPr="00975E6B">
        <w:t xml:space="preserve">The following should be noted about the activity and feeder data for </w:t>
      </w:r>
      <w:r w:rsidR="00901CD9" w:rsidRPr="00975E6B">
        <w:t>Mackay Base</w:t>
      </w:r>
      <w:r w:rsidRPr="00975E6B">
        <w:t>:</w:t>
      </w:r>
    </w:p>
    <w:p w:rsidR="00273A0D" w:rsidRPr="00975E6B" w:rsidRDefault="00273A0D" w:rsidP="00F26328">
      <w:pPr>
        <w:pStyle w:val="BodyText"/>
        <w:numPr>
          <w:ilvl w:val="0"/>
          <w:numId w:val="35"/>
        </w:numPr>
      </w:pPr>
      <w:r w:rsidRPr="00975E6B">
        <w:t xml:space="preserve">Activity data is cleansed through Talons on a monthly basis prior to entry into Transition 2. Only valid records (where there is no activity mismatch) are loaded </w:t>
      </w:r>
      <w:r w:rsidR="00EC7C64" w:rsidRPr="00975E6B">
        <w:t>in</w:t>
      </w:r>
      <w:r w:rsidRPr="00975E6B">
        <w:t>to the costing system. This explains why there are no variances between the source activity data and the costing system.</w:t>
      </w:r>
    </w:p>
    <w:p w:rsidR="00273A0D" w:rsidRPr="00975E6B" w:rsidRDefault="00273A0D" w:rsidP="00F26328">
      <w:pPr>
        <w:pStyle w:val="BodyText"/>
        <w:numPr>
          <w:ilvl w:val="0"/>
          <w:numId w:val="35"/>
        </w:numPr>
      </w:pPr>
      <w:r w:rsidRPr="00975E6B">
        <w:t>Unlinked records include encounters related to patients that “Failed to Attend” and “Did Not Wait”. These encounters are assigned an RVU.</w:t>
      </w:r>
    </w:p>
    <w:p w:rsidR="00871C58" w:rsidRPr="00975E6B" w:rsidRDefault="00871C58" w:rsidP="00F26328">
      <w:pPr>
        <w:pStyle w:val="BodyText"/>
        <w:numPr>
          <w:ilvl w:val="0"/>
          <w:numId w:val="35"/>
        </w:numPr>
      </w:pPr>
      <w:r w:rsidRPr="00975E6B">
        <w:t xml:space="preserve">Unlinked pharmacy encounters related mostly to zero cost encounters (where a pharmacy drug is returned and offsets the costs allocated to a patient). Other linkage issues occurred where the pharmacy date stamp was recorded after the patient had returned home. </w:t>
      </w:r>
    </w:p>
    <w:p w:rsidR="00273A0D" w:rsidRPr="00975E6B" w:rsidRDefault="00273A0D" w:rsidP="00F26328">
      <w:pPr>
        <w:pStyle w:val="BodyText"/>
        <w:numPr>
          <w:ilvl w:val="0"/>
          <w:numId w:val="35"/>
        </w:numPr>
      </w:pPr>
      <w:r w:rsidRPr="00975E6B">
        <w:t>Once all extracts are recorded, loaded and posted, the data audit process will also assess the cost data outputs for valid activity records and make adjustments for deleted or merged records. All records flagged are reviewed before any decision is made to remove them.</w:t>
      </w:r>
    </w:p>
    <w:p w:rsidR="00273A0D" w:rsidRPr="00975E6B" w:rsidRDefault="00273A0D" w:rsidP="00F26328">
      <w:pPr>
        <w:pStyle w:val="BodyText"/>
        <w:numPr>
          <w:ilvl w:val="0"/>
          <w:numId w:val="35"/>
        </w:numPr>
      </w:pPr>
      <w:r w:rsidRPr="00975E6B">
        <w:t>There are 11 feeders reported from hospital source systems</w:t>
      </w:r>
      <w:r w:rsidR="00C57A2A" w:rsidRPr="00975E6B">
        <w:t xml:space="preserve"> and they appear to represent major hospital departments providing resource activity.</w:t>
      </w:r>
    </w:p>
    <w:p w:rsidR="00273A0D" w:rsidRPr="00975E6B" w:rsidRDefault="00273A0D" w:rsidP="00F26328">
      <w:pPr>
        <w:pStyle w:val="BodyText"/>
        <w:numPr>
          <w:ilvl w:val="0"/>
          <w:numId w:val="35"/>
        </w:numPr>
      </w:pPr>
      <w:r w:rsidRPr="00975E6B">
        <w:t xml:space="preserve">The number of records linked from source to product </w:t>
      </w:r>
      <w:r w:rsidR="0074117C" w:rsidRPr="00975E6B">
        <w:t xml:space="preserve">was </w:t>
      </w:r>
      <w:r w:rsidRPr="00975E6B">
        <w:t>significant with all feeders having a greater than 90</w:t>
      </w:r>
      <w:r w:rsidR="00EC7C64" w:rsidRPr="00975E6B">
        <w:t xml:space="preserve"> percent</w:t>
      </w:r>
      <w:r w:rsidRPr="00975E6B">
        <w:t xml:space="preserve"> link or match. This </w:t>
      </w:r>
      <w:r w:rsidR="00C57A2A" w:rsidRPr="00975E6B">
        <w:t xml:space="preserve">percentage </w:t>
      </w:r>
      <w:r w:rsidRPr="00975E6B">
        <w:t xml:space="preserve">does not include the virtual patient feeder system that </w:t>
      </w:r>
      <w:r w:rsidR="0074117C" w:rsidRPr="00975E6B">
        <w:t xml:space="preserve">was </w:t>
      </w:r>
      <w:r w:rsidRPr="00975E6B">
        <w:t>not linked to hospital activity.</w:t>
      </w:r>
      <w:r w:rsidR="00C57A2A" w:rsidRPr="00975E6B">
        <w:t xml:space="preserve"> This would suggest that there is robustness in the level of feeder activity reported back to episodes.</w:t>
      </w:r>
    </w:p>
    <w:p w:rsidR="00273A0D" w:rsidRPr="00975E6B" w:rsidRDefault="00273A0D" w:rsidP="00273A0D">
      <w:pPr>
        <w:pStyle w:val="BodyText"/>
      </w:pPr>
      <w:r w:rsidRPr="00975E6B">
        <w:fldChar w:fldCharType="begin"/>
      </w:r>
      <w:r w:rsidRPr="00975E6B">
        <w:instrText xml:space="preserve"> REF _Ref433303253 \h </w:instrText>
      </w:r>
      <w:r w:rsidR="00975E6B">
        <w:instrText xml:space="preserve"> \* MERGEFORMAT </w:instrText>
      </w:r>
      <w:r w:rsidRPr="00975E6B">
        <w:fldChar w:fldCharType="separate"/>
      </w:r>
      <w:r w:rsidR="00154CF7" w:rsidRPr="00975E6B">
        <w:t xml:space="preserve">Table </w:t>
      </w:r>
      <w:r w:rsidR="00154CF7" w:rsidRPr="00154CF7">
        <w:rPr>
          <w:noProof/>
        </w:rPr>
        <w:t>44</w:t>
      </w:r>
      <w:r w:rsidRPr="00975E6B">
        <w:fldChar w:fldCharType="end"/>
      </w:r>
      <w:r w:rsidRPr="00975E6B">
        <w:t xml:space="preserve"> highlights the transfer of activity data from </w:t>
      </w:r>
      <w:r w:rsidR="00901CD9" w:rsidRPr="00975E6B">
        <w:t>Mackay Base</w:t>
      </w:r>
      <w:r w:rsidRPr="00975E6B">
        <w:t xml:space="preserve"> to </w:t>
      </w:r>
      <w:r w:rsidR="00CA6430" w:rsidRPr="00975E6B">
        <w:t>Queensland</w:t>
      </w:r>
      <w:r w:rsidRPr="00975E6B">
        <w:t xml:space="preserve"> Health and then through to IHPA submission and finalisation.</w:t>
      </w:r>
    </w:p>
    <w:p w:rsidR="00AB73AD" w:rsidRPr="00975E6B" w:rsidRDefault="00273A0D" w:rsidP="00CD1518">
      <w:pPr>
        <w:pStyle w:val="Caption"/>
      </w:pPr>
      <w:bookmarkStart w:id="737" w:name="_Ref433303253"/>
      <w:r w:rsidRPr="00975E6B">
        <w:lastRenderedPageBreak/>
        <w:t xml:space="preserve">Table </w:t>
      </w:r>
      <w:r w:rsidR="003E3288">
        <w:rPr>
          <w:bCs w:val="0"/>
          <w:i w:val="0"/>
        </w:rPr>
        <w:fldChar w:fldCharType="begin"/>
      </w:r>
      <w:r w:rsidR="003E3288">
        <w:rPr>
          <w:bCs w:val="0"/>
          <w:i w:val="0"/>
        </w:rPr>
        <w:instrText xml:space="preserve"> SEQ Table \* ARABIC </w:instrText>
      </w:r>
      <w:r w:rsidR="003E3288">
        <w:rPr>
          <w:bCs w:val="0"/>
          <w:i w:val="0"/>
        </w:rPr>
        <w:fldChar w:fldCharType="separate"/>
      </w:r>
      <w:r w:rsidR="00154CF7">
        <w:rPr>
          <w:bCs w:val="0"/>
          <w:i w:val="0"/>
          <w:noProof/>
        </w:rPr>
        <w:t>44</w:t>
      </w:r>
      <w:r w:rsidR="003E3288">
        <w:rPr>
          <w:bCs w:val="0"/>
          <w:i w:val="0"/>
          <w:noProof/>
        </w:rPr>
        <w:fldChar w:fldCharType="end"/>
      </w:r>
      <w:bookmarkEnd w:id="737"/>
      <w:r w:rsidR="00BA3F4B" w:rsidRPr="00975E6B">
        <w:t xml:space="preserve"> </w:t>
      </w:r>
      <w:r w:rsidRPr="00975E6B">
        <w:t>– Activity data submission – Mackay Base Hospital</w:t>
      </w:r>
    </w:p>
    <w:tbl>
      <w:tblPr>
        <w:tblW w:w="0" w:type="auto"/>
        <w:tblInd w:w="113" w:type="dxa"/>
        <w:tblLayout w:type="fixed"/>
        <w:tblLook w:val="04A0" w:firstRow="1" w:lastRow="0" w:firstColumn="1" w:lastColumn="0" w:noHBand="0" w:noVBand="1"/>
        <w:tblCaption w:val="Table 44 - Activity submission - Mackay Base Hospital"/>
        <w:tblDescription w:val="This table highlights the transfer of activity data from Mackay Base Hospital to Queensland Health and then through to IHPA submission and finalisation. There are 8 columns. Column 1 is the NHCDC product type, Column 2 is the activity related to 2013-14 costs, column 3 is the adjustments to Column 2, column 4 is the activity submitted to the jurisdiction, column 5 is the adjustments to column 4, column 6 is the activity submitted to IHPA, column 7 is the adjustments to column 6 and column 8 is the total activity submitted for the Round 18 NHCDC."/>
      </w:tblPr>
      <w:tblGrid>
        <w:gridCol w:w="1696"/>
        <w:gridCol w:w="987"/>
        <w:gridCol w:w="987"/>
        <w:gridCol w:w="988"/>
        <w:gridCol w:w="987"/>
        <w:gridCol w:w="988"/>
        <w:gridCol w:w="987"/>
        <w:gridCol w:w="988"/>
      </w:tblGrid>
      <w:tr w:rsidR="00AB73AD" w:rsidRPr="00AB73AD" w:rsidTr="00E14378">
        <w:trPr>
          <w:trHeight w:val="1130"/>
        </w:trPr>
        <w:tc>
          <w:tcPr>
            <w:tcW w:w="1696" w:type="dxa"/>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AB73AD" w:rsidRPr="00CD1518" w:rsidRDefault="00AB73AD" w:rsidP="00AB73AD">
            <w:pPr>
              <w:spacing w:line="240" w:lineRule="auto"/>
              <w:rPr>
                <w:b/>
                <w:bCs/>
                <w:color w:val="FFFFFF"/>
                <w:sz w:val="14"/>
                <w:szCs w:val="14"/>
                <w:lang w:eastAsia="en-AU"/>
              </w:rPr>
            </w:pPr>
            <w:r w:rsidRPr="00CD1518">
              <w:rPr>
                <w:b/>
                <w:bCs/>
                <w:color w:val="FFFFFF"/>
                <w:sz w:val="14"/>
                <w:szCs w:val="14"/>
                <w:lang w:eastAsia="en-AU"/>
              </w:rPr>
              <w:t>Product</w:t>
            </w:r>
          </w:p>
        </w:tc>
        <w:tc>
          <w:tcPr>
            <w:tcW w:w="987" w:type="dxa"/>
            <w:tcBorders>
              <w:top w:val="single" w:sz="4" w:space="0" w:color="5B9BD5"/>
              <w:left w:val="nil"/>
              <w:bottom w:val="single" w:sz="4" w:space="0" w:color="5B9BD5"/>
              <w:right w:val="single" w:sz="4" w:space="0" w:color="5B9BD5"/>
            </w:tcBorders>
            <w:shd w:val="clear" w:color="auto" w:fill="002060"/>
            <w:vAlign w:val="bottom"/>
            <w:hideMark/>
          </w:tcPr>
          <w:p w:rsidR="00AB73AD" w:rsidRPr="00CD1518" w:rsidRDefault="00AB73AD" w:rsidP="00AB73AD">
            <w:pPr>
              <w:spacing w:line="240" w:lineRule="auto"/>
              <w:jc w:val="center"/>
              <w:rPr>
                <w:b/>
                <w:bCs/>
                <w:color w:val="FFFFFF"/>
                <w:sz w:val="14"/>
                <w:szCs w:val="14"/>
                <w:lang w:eastAsia="en-AU"/>
              </w:rPr>
            </w:pPr>
            <w:r w:rsidRPr="00CD1518">
              <w:rPr>
                <w:b/>
                <w:bCs/>
                <w:color w:val="FFFFFF"/>
                <w:sz w:val="14"/>
                <w:szCs w:val="14"/>
                <w:lang w:eastAsia="en-AU"/>
              </w:rPr>
              <w:t>Activity related to 2013-14 Costs</w:t>
            </w:r>
          </w:p>
        </w:tc>
        <w:tc>
          <w:tcPr>
            <w:tcW w:w="987" w:type="dxa"/>
            <w:tcBorders>
              <w:top w:val="single" w:sz="4" w:space="0" w:color="5B9BD5"/>
              <w:left w:val="nil"/>
              <w:bottom w:val="single" w:sz="4" w:space="0" w:color="5B9BD5"/>
              <w:right w:val="single" w:sz="4" w:space="0" w:color="5B9BD5"/>
            </w:tcBorders>
            <w:shd w:val="clear" w:color="auto" w:fill="002060"/>
            <w:vAlign w:val="bottom"/>
            <w:hideMark/>
          </w:tcPr>
          <w:p w:rsidR="00AB73AD" w:rsidRPr="00CD1518" w:rsidRDefault="00AB73AD" w:rsidP="00AB73AD">
            <w:pPr>
              <w:spacing w:line="240" w:lineRule="auto"/>
              <w:jc w:val="center"/>
              <w:rPr>
                <w:b/>
                <w:bCs/>
                <w:color w:val="FFFFFF"/>
                <w:sz w:val="12"/>
                <w:szCs w:val="14"/>
                <w:lang w:eastAsia="en-AU"/>
              </w:rPr>
            </w:pPr>
            <w:r w:rsidRPr="00CD1518">
              <w:rPr>
                <w:b/>
                <w:bCs/>
                <w:color w:val="FFFFFF"/>
                <w:sz w:val="12"/>
                <w:szCs w:val="14"/>
                <w:lang w:eastAsia="en-AU"/>
              </w:rPr>
              <w:t>Adjustments</w:t>
            </w:r>
          </w:p>
        </w:tc>
        <w:tc>
          <w:tcPr>
            <w:tcW w:w="988" w:type="dxa"/>
            <w:tcBorders>
              <w:top w:val="single" w:sz="4" w:space="0" w:color="5B9BD5"/>
              <w:left w:val="nil"/>
              <w:bottom w:val="single" w:sz="4" w:space="0" w:color="5B9BD5"/>
              <w:right w:val="single" w:sz="4" w:space="0" w:color="5B9BD5"/>
            </w:tcBorders>
            <w:shd w:val="clear" w:color="auto" w:fill="002060"/>
            <w:vAlign w:val="bottom"/>
            <w:hideMark/>
          </w:tcPr>
          <w:p w:rsidR="00AB73AD" w:rsidRPr="00CD1518" w:rsidRDefault="00AB73AD" w:rsidP="00AB73AD">
            <w:pPr>
              <w:spacing w:line="240" w:lineRule="auto"/>
              <w:jc w:val="center"/>
              <w:rPr>
                <w:b/>
                <w:bCs/>
                <w:color w:val="FFFFFF"/>
                <w:sz w:val="14"/>
                <w:szCs w:val="14"/>
                <w:lang w:eastAsia="en-AU"/>
              </w:rPr>
            </w:pPr>
            <w:r w:rsidRPr="00CD1518">
              <w:rPr>
                <w:b/>
                <w:bCs/>
                <w:color w:val="FFFFFF"/>
                <w:sz w:val="14"/>
                <w:szCs w:val="14"/>
                <w:lang w:eastAsia="en-AU"/>
              </w:rPr>
              <w:t>Activity submitted to jurisdiction</w:t>
            </w:r>
          </w:p>
        </w:tc>
        <w:tc>
          <w:tcPr>
            <w:tcW w:w="987" w:type="dxa"/>
            <w:tcBorders>
              <w:top w:val="single" w:sz="4" w:space="0" w:color="5B9BD5"/>
              <w:left w:val="nil"/>
              <w:bottom w:val="single" w:sz="4" w:space="0" w:color="5B9BD5"/>
              <w:right w:val="single" w:sz="4" w:space="0" w:color="5B9BD5"/>
            </w:tcBorders>
            <w:shd w:val="clear" w:color="auto" w:fill="002060"/>
            <w:vAlign w:val="bottom"/>
            <w:hideMark/>
          </w:tcPr>
          <w:p w:rsidR="00AB73AD" w:rsidRPr="00CD1518" w:rsidRDefault="00AB73AD" w:rsidP="00AB73AD">
            <w:pPr>
              <w:spacing w:line="240" w:lineRule="auto"/>
              <w:jc w:val="center"/>
              <w:rPr>
                <w:b/>
                <w:bCs/>
                <w:color w:val="FFFFFF"/>
                <w:sz w:val="14"/>
                <w:szCs w:val="14"/>
                <w:lang w:eastAsia="en-AU"/>
              </w:rPr>
            </w:pPr>
            <w:r w:rsidRPr="00CD1518">
              <w:rPr>
                <w:b/>
                <w:bCs/>
                <w:color w:val="FFFFFF"/>
                <w:sz w:val="12"/>
                <w:szCs w:val="14"/>
                <w:lang w:eastAsia="en-AU"/>
              </w:rPr>
              <w:t>Adjustments</w:t>
            </w:r>
          </w:p>
        </w:tc>
        <w:tc>
          <w:tcPr>
            <w:tcW w:w="988" w:type="dxa"/>
            <w:tcBorders>
              <w:top w:val="single" w:sz="4" w:space="0" w:color="5B9BD5"/>
              <w:left w:val="nil"/>
              <w:bottom w:val="single" w:sz="4" w:space="0" w:color="5B9BD5"/>
              <w:right w:val="single" w:sz="4" w:space="0" w:color="5B9BD5"/>
            </w:tcBorders>
            <w:shd w:val="clear" w:color="auto" w:fill="002060"/>
            <w:vAlign w:val="bottom"/>
            <w:hideMark/>
          </w:tcPr>
          <w:p w:rsidR="00AB73AD" w:rsidRPr="00CD1518" w:rsidRDefault="00AB73AD" w:rsidP="00AB73AD">
            <w:pPr>
              <w:spacing w:line="240" w:lineRule="auto"/>
              <w:jc w:val="center"/>
              <w:rPr>
                <w:b/>
                <w:bCs/>
                <w:color w:val="FFFFFF"/>
                <w:sz w:val="14"/>
                <w:szCs w:val="14"/>
                <w:lang w:eastAsia="en-AU"/>
              </w:rPr>
            </w:pPr>
            <w:r w:rsidRPr="00CD1518">
              <w:rPr>
                <w:b/>
                <w:bCs/>
                <w:color w:val="FFFFFF"/>
                <w:sz w:val="14"/>
                <w:szCs w:val="14"/>
                <w:lang w:eastAsia="en-AU"/>
              </w:rPr>
              <w:t>Activity submitted to IHPA</w:t>
            </w:r>
          </w:p>
        </w:tc>
        <w:tc>
          <w:tcPr>
            <w:tcW w:w="987" w:type="dxa"/>
            <w:tcBorders>
              <w:top w:val="single" w:sz="4" w:space="0" w:color="5B9BD5"/>
              <w:left w:val="nil"/>
              <w:bottom w:val="single" w:sz="4" w:space="0" w:color="5B9BD5"/>
              <w:right w:val="single" w:sz="4" w:space="0" w:color="5B9BD5"/>
            </w:tcBorders>
            <w:shd w:val="clear" w:color="auto" w:fill="002060"/>
            <w:vAlign w:val="bottom"/>
            <w:hideMark/>
          </w:tcPr>
          <w:p w:rsidR="00AB73AD" w:rsidRPr="00CD1518" w:rsidRDefault="00AB73AD" w:rsidP="00AB73AD">
            <w:pPr>
              <w:spacing w:line="240" w:lineRule="auto"/>
              <w:jc w:val="center"/>
              <w:rPr>
                <w:b/>
                <w:bCs/>
                <w:color w:val="FFFFFF"/>
                <w:sz w:val="14"/>
                <w:szCs w:val="14"/>
                <w:lang w:eastAsia="en-AU"/>
              </w:rPr>
            </w:pPr>
            <w:r w:rsidRPr="00CD1518">
              <w:rPr>
                <w:b/>
                <w:bCs/>
                <w:color w:val="FFFFFF"/>
                <w:sz w:val="12"/>
                <w:szCs w:val="14"/>
                <w:lang w:eastAsia="en-AU"/>
              </w:rPr>
              <w:t>Adjustments</w:t>
            </w:r>
          </w:p>
        </w:tc>
        <w:tc>
          <w:tcPr>
            <w:tcW w:w="988" w:type="dxa"/>
            <w:tcBorders>
              <w:top w:val="single" w:sz="4" w:space="0" w:color="5B9BD5"/>
              <w:left w:val="nil"/>
              <w:bottom w:val="single" w:sz="4" w:space="0" w:color="5B9BD5"/>
              <w:right w:val="single" w:sz="4" w:space="0" w:color="5B9BD5"/>
            </w:tcBorders>
            <w:shd w:val="clear" w:color="auto" w:fill="002060"/>
            <w:vAlign w:val="bottom"/>
            <w:hideMark/>
          </w:tcPr>
          <w:p w:rsidR="00AB73AD" w:rsidRPr="00CD1518" w:rsidRDefault="00AB73AD" w:rsidP="00AB73AD">
            <w:pPr>
              <w:spacing w:line="240" w:lineRule="auto"/>
              <w:jc w:val="center"/>
              <w:rPr>
                <w:b/>
                <w:bCs/>
                <w:color w:val="FFFFFF"/>
                <w:sz w:val="14"/>
                <w:szCs w:val="14"/>
                <w:lang w:eastAsia="en-AU"/>
              </w:rPr>
            </w:pPr>
            <w:r w:rsidRPr="00CD1518">
              <w:rPr>
                <w:b/>
                <w:bCs/>
                <w:color w:val="FFFFFF"/>
                <w:sz w:val="14"/>
                <w:szCs w:val="14"/>
                <w:lang w:eastAsia="en-AU"/>
              </w:rPr>
              <w:t>Total Activity submitted for Round 18 NHCDC</w:t>
            </w:r>
          </w:p>
        </w:tc>
      </w:tr>
      <w:tr w:rsidR="00AB73AD" w:rsidRPr="00AB73AD" w:rsidTr="00CD1518">
        <w:trPr>
          <w:trHeight w:val="260"/>
        </w:trPr>
        <w:tc>
          <w:tcPr>
            <w:tcW w:w="1696" w:type="dxa"/>
            <w:tcBorders>
              <w:top w:val="nil"/>
              <w:left w:val="single" w:sz="4" w:space="0" w:color="5B9BD5"/>
              <w:bottom w:val="single" w:sz="4" w:space="0" w:color="5B9BD5"/>
              <w:right w:val="single" w:sz="4" w:space="0" w:color="5B9BD5"/>
            </w:tcBorders>
            <w:shd w:val="clear" w:color="000000" w:fill="FFFFFF"/>
            <w:noWrap/>
            <w:vAlign w:val="center"/>
            <w:hideMark/>
          </w:tcPr>
          <w:p w:rsidR="00AB73AD" w:rsidRPr="00CD1518" w:rsidRDefault="00AB73AD">
            <w:pPr>
              <w:spacing w:line="240" w:lineRule="auto"/>
              <w:rPr>
                <w:color w:val="000000"/>
                <w:sz w:val="14"/>
                <w:szCs w:val="14"/>
                <w:lang w:eastAsia="en-AU"/>
              </w:rPr>
            </w:pPr>
            <w:r w:rsidRPr="00CD1518">
              <w:rPr>
                <w:color w:val="000000"/>
                <w:sz w:val="14"/>
                <w:szCs w:val="14"/>
                <w:lang w:eastAsia="en-AU"/>
              </w:rPr>
              <w:t>Acute</w:t>
            </w:r>
          </w:p>
        </w:tc>
        <w:tc>
          <w:tcPr>
            <w:tcW w:w="987" w:type="dxa"/>
            <w:tcBorders>
              <w:top w:val="nil"/>
              <w:left w:val="nil"/>
              <w:bottom w:val="single" w:sz="4" w:space="0" w:color="5B9BD5"/>
              <w:right w:val="single" w:sz="4" w:space="0" w:color="5B9BD5"/>
            </w:tcBorders>
            <w:shd w:val="clear" w:color="000000" w:fill="FFFFFF"/>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28,549</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FFFFFF"/>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28,549</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FFFFFF"/>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28,549</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FFFFFF"/>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28,549</w:t>
            </w:r>
          </w:p>
        </w:tc>
      </w:tr>
      <w:tr w:rsidR="00AB73AD" w:rsidRPr="00AB73AD" w:rsidTr="00CD1518">
        <w:trPr>
          <w:trHeight w:val="260"/>
        </w:trPr>
        <w:tc>
          <w:tcPr>
            <w:tcW w:w="1696" w:type="dxa"/>
            <w:tcBorders>
              <w:top w:val="nil"/>
              <w:left w:val="single" w:sz="4" w:space="0" w:color="5B9BD5"/>
              <w:bottom w:val="single" w:sz="4" w:space="0" w:color="5B9BD5"/>
              <w:right w:val="single" w:sz="4" w:space="0" w:color="5B9BD5"/>
            </w:tcBorders>
            <w:shd w:val="clear" w:color="000000" w:fill="DDEBF7"/>
            <w:noWrap/>
            <w:vAlign w:val="center"/>
            <w:hideMark/>
          </w:tcPr>
          <w:p w:rsidR="00AB73AD" w:rsidRPr="00CD1518" w:rsidRDefault="00AB73AD">
            <w:pPr>
              <w:spacing w:line="240" w:lineRule="auto"/>
              <w:rPr>
                <w:color w:val="000000"/>
                <w:sz w:val="14"/>
                <w:szCs w:val="14"/>
                <w:lang w:eastAsia="en-AU"/>
              </w:rPr>
            </w:pPr>
            <w:r w:rsidRPr="00CD1518">
              <w:rPr>
                <w:color w:val="000000"/>
                <w:sz w:val="14"/>
                <w:szCs w:val="14"/>
                <w:lang w:eastAsia="en-AU"/>
              </w:rPr>
              <w:t>Non-admitted</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166,724</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166,724</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166,724</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166,724</w:t>
            </w:r>
          </w:p>
        </w:tc>
      </w:tr>
      <w:tr w:rsidR="00AB73AD" w:rsidRPr="00AB73AD" w:rsidTr="00CD1518">
        <w:trPr>
          <w:trHeight w:val="260"/>
        </w:trPr>
        <w:tc>
          <w:tcPr>
            <w:tcW w:w="1696" w:type="dxa"/>
            <w:tcBorders>
              <w:top w:val="nil"/>
              <w:left w:val="single" w:sz="4" w:space="0" w:color="5B9BD5"/>
              <w:bottom w:val="single" w:sz="4" w:space="0" w:color="5B9BD5"/>
              <w:right w:val="single" w:sz="4" w:space="0" w:color="5B9BD5"/>
            </w:tcBorders>
            <w:shd w:val="clear" w:color="000000" w:fill="FFFFFF"/>
            <w:noWrap/>
            <w:vAlign w:val="center"/>
            <w:hideMark/>
          </w:tcPr>
          <w:p w:rsidR="00AB73AD" w:rsidRPr="00CD1518" w:rsidRDefault="00AB73AD">
            <w:pPr>
              <w:spacing w:line="240" w:lineRule="auto"/>
              <w:rPr>
                <w:color w:val="000000"/>
                <w:sz w:val="14"/>
                <w:szCs w:val="14"/>
                <w:lang w:eastAsia="en-AU"/>
              </w:rPr>
            </w:pPr>
            <w:r w:rsidRPr="00CD1518">
              <w:rPr>
                <w:color w:val="000000"/>
                <w:sz w:val="14"/>
                <w:szCs w:val="14"/>
                <w:lang w:eastAsia="en-AU"/>
              </w:rPr>
              <w:t>Emergency</w:t>
            </w:r>
          </w:p>
        </w:tc>
        <w:tc>
          <w:tcPr>
            <w:tcW w:w="987" w:type="dxa"/>
            <w:tcBorders>
              <w:top w:val="nil"/>
              <w:left w:val="nil"/>
              <w:bottom w:val="single" w:sz="4" w:space="0" w:color="5B9BD5"/>
              <w:right w:val="single" w:sz="4" w:space="0" w:color="5B9BD5"/>
            </w:tcBorders>
            <w:shd w:val="clear" w:color="000000" w:fill="FFFFFF"/>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46,547</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FFFFFF"/>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46,547</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FFFFFF"/>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46,547</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FFFFFF"/>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46,547</w:t>
            </w:r>
          </w:p>
        </w:tc>
      </w:tr>
      <w:tr w:rsidR="00AB73AD" w:rsidRPr="00AB73AD" w:rsidTr="00CD1518">
        <w:trPr>
          <w:trHeight w:val="260"/>
        </w:trPr>
        <w:tc>
          <w:tcPr>
            <w:tcW w:w="1696" w:type="dxa"/>
            <w:tcBorders>
              <w:top w:val="nil"/>
              <w:left w:val="single" w:sz="4" w:space="0" w:color="5B9BD5"/>
              <w:bottom w:val="single" w:sz="4" w:space="0" w:color="5B9BD5"/>
              <w:right w:val="single" w:sz="4" w:space="0" w:color="5B9BD5"/>
            </w:tcBorders>
            <w:shd w:val="clear" w:color="000000" w:fill="DDEBF7"/>
            <w:noWrap/>
            <w:vAlign w:val="center"/>
            <w:hideMark/>
          </w:tcPr>
          <w:p w:rsidR="00AB73AD" w:rsidRPr="00CD1518" w:rsidRDefault="00AB73AD">
            <w:pPr>
              <w:spacing w:line="240" w:lineRule="auto"/>
              <w:rPr>
                <w:color w:val="000000"/>
                <w:sz w:val="14"/>
                <w:szCs w:val="14"/>
                <w:lang w:eastAsia="en-AU"/>
              </w:rPr>
            </w:pPr>
            <w:proofErr w:type="spellStart"/>
            <w:r w:rsidRPr="00CD1518">
              <w:rPr>
                <w:color w:val="000000"/>
                <w:sz w:val="14"/>
                <w:szCs w:val="14"/>
                <w:lang w:eastAsia="en-AU"/>
              </w:rPr>
              <w:t>Sub Acute</w:t>
            </w:r>
            <w:proofErr w:type="spellEnd"/>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506</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506</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506</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506</w:t>
            </w:r>
          </w:p>
        </w:tc>
      </w:tr>
      <w:tr w:rsidR="00AB73AD" w:rsidRPr="00AB73AD" w:rsidTr="00CD1518">
        <w:trPr>
          <w:trHeight w:val="260"/>
        </w:trPr>
        <w:tc>
          <w:tcPr>
            <w:tcW w:w="1696" w:type="dxa"/>
            <w:tcBorders>
              <w:top w:val="nil"/>
              <w:left w:val="single" w:sz="4" w:space="0" w:color="5B9BD5"/>
              <w:bottom w:val="single" w:sz="4" w:space="0" w:color="5B9BD5"/>
              <w:right w:val="single" w:sz="4" w:space="0" w:color="5B9BD5"/>
            </w:tcBorders>
            <w:shd w:val="clear" w:color="000000" w:fill="FFFFFF"/>
            <w:noWrap/>
            <w:vAlign w:val="center"/>
            <w:hideMark/>
          </w:tcPr>
          <w:p w:rsidR="00AB73AD" w:rsidRPr="00CD1518" w:rsidRDefault="00AB73AD">
            <w:pPr>
              <w:spacing w:line="240" w:lineRule="auto"/>
              <w:rPr>
                <w:color w:val="000000"/>
                <w:sz w:val="14"/>
                <w:szCs w:val="14"/>
                <w:lang w:eastAsia="en-AU"/>
              </w:rPr>
            </w:pPr>
            <w:r w:rsidRPr="00CD1518">
              <w:rPr>
                <w:color w:val="000000"/>
                <w:sz w:val="14"/>
                <w:szCs w:val="14"/>
                <w:lang w:eastAsia="en-AU"/>
              </w:rPr>
              <w:t>Mental Health</w:t>
            </w:r>
          </w:p>
        </w:tc>
        <w:tc>
          <w:tcPr>
            <w:tcW w:w="987" w:type="dxa"/>
            <w:tcBorders>
              <w:top w:val="nil"/>
              <w:left w:val="nil"/>
              <w:bottom w:val="single" w:sz="4" w:space="0" w:color="5B9BD5"/>
              <w:right w:val="single" w:sz="4" w:space="0" w:color="5B9BD5"/>
            </w:tcBorders>
            <w:shd w:val="clear" w:color="000000" w:fill="FFFFFF"/>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FFFFFF"/>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FFFFFF"/>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FFFFFF"/>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r>
      <w:tr w:rsidR="00AB73AD" w:rsidRPr="00AB73AD" w:rsidTr="00CD1518">
        <w:trPr>
          <w:trHeight w:val="260"/>
        </w:trPr>
        <w:tc>
          <w:tcPr>
            <w:tcW w:w="1696" w:type="dxa"/>
            <w:tcBorders>
              <w:top w:val="nil"/>
              <w:left w:val="single" w:sz="4" w:space="0" w:color="5B9BD5"/>
              <w:bottom w:val="single" w:sz="4" w:space="0" w:color="5B9BD5"/>
              <w:right w:val="single" w:sz="4" w:space="0" w:color="5B9BD5"/>
            </w:tcBorders>
            <w:shd w:val="clear" w:color="000000" w:fill="DDEBF7"/>
            <w:noWrap/>
            <w:vAlign w:val="center"/>
            <w:hideMark/>
          </w:tcPr>
          <w:p w:rsidR="00AB73AD" w:rsidRPr="00CD1518" w:rsidRDefault="00AB73AD">
            <w:pPr>
              <w:spacing w:line="240" w:lineRule="auto"/>
              <w:rPr>
                <w:color w:val="000000"/>
                <w:sz w:val="14"/>
                <w:szCs w:val="14"/>
                <w:lang w:eastAsia="en-AU"/>
              </w:rPr>
            </w:pPr>
            <w:r w:rsidRPr="00CD1518">
              <w:rPr>
                <w:color w:val="000000"/>
                <w:sz w:val="14"/>
                <w:szCs w:val="14"/>
                <w:lang w:eastAsia="en-AU"/>
              </w:rPr>
              <w:t>Other</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2,709</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2,709</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(1,273)</w:t>
            </w:r>
          </w:p>
        </w:tc>
        <w:tc>
          <w:tcPr>
            <w:tcW w:w="988"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1,436</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1,436</w:t>
            </w:r>
          </w:p>
        </w:tc>
      </w:tr>
      <w:tr w:rsidR="00AB73AD" w:rsidRPr="00AB73AD" w:rsidTr="00CD1518">
        <w:trPr>
          <w:trHeight w:val="260"/>
        </w:trPr>
        <w:tc>
          <w:tcPr>
            <w:tcW w:w="1696" w:type="dxa"/>
            <w:tcBorders>
              <w:top w:val="nil"/>
              <w:left w:val="single" w:sz="4" w:space="0" w:color="5B9BD5"/>
              <w:bottom w:val="single" w:sz="4" w:space="0" w:color="5B9BD5"/>
              <w:right w:val="single" w:sz="4" w:space="0" w:color="5B9BD5"/>
            </w:tcBorders>
            <w:shd w:val="clear" w:color="000000" w:fill="FFFFFF"/>
            <w:noWrap/>
            <w:vAlign w:val="center"/>
            <w:hideMark/>
          </w:tcPr>
          <w:p w:rsidR="00AB73AD" w:rsidRPr="00CD1518" w:rsidRDefault="00AB73AD">
            <w:pPr>
              <w:spacing w:line="240" w:lineRule="auto"/>
              <w:rPr>
                <w:color w:val="000000"/>
                <w:sz w:val="14"/>
                <w:szCs w:val="14"/>
                <w:lang w:eastAsia="en-AU"/>
              </w:rPr>
            </w:pPr>
            <w:r w:rsidRPr="00CD1518">
              <w:rPr>
                <w:color w:val="000000"/>
                <w:sz w:val="14"/>
                <w:szCs w:val="14"/>
                <w:lang w:eastAsia="en-AU"/>
              </w:rPr>
              <w:t>Research</w:t>
            </w:r>
          </w:p>
        </w:tc>
        <w:tc>
          <w:tcPr>
            <w:tcW w:w="987" w:type="dxa"/>
            <w:tcBorders>
              <w:top w:val="nil"/>
              <w:left w:val="nil"/>
              <w:bottom w:val="single" w:sz="4" w:space="0" w:color="5B9BD5"/>
              <w:right w:val="single" w:sz="4" w:space="0" w:color="5B9BD5"/>
            </w:tcBorders>
            <w:shd w:val="clear" w:color="000000" w:fill="FFFFFF"/>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FFFFFF"/>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FFFFFF"/>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FFFFFF"/>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r>
      <w:tr w:rsidR="00AB73AD" w:rsidRPr="00AB73AD" w:rsidTr="00CD1518">
        <w:trPr>
          <w:trHeight w:val="260"/>
        </w:trPr>
        <w:tc>
          <w:tcPr>
            <w:tcW w:w="1696" w:type="dxa"/>
            <w:tcBorders>
              <w:top w:val="nil"/>
              <w:left w:val="single" w:sz="4" w:space="0" w:color="5B9BD5"/>
              <w:bottom w:val="single" w:sz="4" w:space="0" w:color="5B9BD5"/>
              <w:right w:val="single" w:sz="4" w:space="0" w:color="5B9BD5"/>
            </w:tcBorders>
            <w:shd w:val="clear" w:color="000000" w:fill="DDEBF7"/>
            <w:noWrap/>
            <w:vAlign w:val="center"/>
            <w:hideMark/>
          </w:tcPr>
          <w:p w:rsidR="00AB73AD" w:rsidRPr="00CD1518" w:rsidRDefault="00AB73AD">
            <w:pPr>
              <w:spacing w:line="240" w:lineRule="auto"/>
              <w:rPr>
                <w:color w:val="000000"/>
                <w:sz w:val="14"/>
                <w:szCs w:val="14"/>
                <w:lang w:eastAsia="en-AU"/>
              </w:rPr>
            </w:pPr>
            <w:r w:rsidRPr="00CD1518">
              <w:rPr>
                <w:color w:val="000000"/>
                <w:sz w:val="14"/>
                <w:szCs w:val="14"/>
                <w:lang w:eastAsia="en-AU"/>
              </w:rPr>
              <w:t>Teaching and Training</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7"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DDEBF7"/>
            <w:noWrap/>
            <w:vAlign w:val="center"/>
            <w:hideMark/>
          </w:tcPr>
          <w:p w:rsidR="00AB73AD" w:rsidRPr="00CD1518" w:rsidRDefault="00AB73AD" w:rsidP="00CD1518">
            <w:pPr>
              <w:spacing w:line="240" w:lineRule="auto"/>
              <w:jc w:val="right"/>
              <w:rPr>
                <w:color w:val="000000"/>
                <w:sz w:val="14"/>
                <w:szCs w:val="14"/>
                <w:lang w:eastAsia="en-AU"/>
              </w:rPr>
            </w:pPr>
            <w:r w:rsidRPr="00CD1518">
              <w:rPr>
                <w:color w:val="000000"/>
                <w:sz w:val="14"/>
                <w:szCs w:val="14"/>
                <w:lang w:eastAsia="en-AU"/>
              </w:rPr>
              <w:t>-</w:t>
            </w:r>
          </w:p>
        </w:tc>
      </w:tr>
      <w:tr w:rsidR="00AB73AD" w:rsidRPr="00AB73AD" w:rsidTr="00CD1518">
        <w:trPr>
          <w:trHeight w:val="260"/>
        </w:trPr>
        <w:tc>
          <w:tcPr>
            <w:tcW w:w="1696" w:type="dxa"/>
            <w:tcBorders>
              <w:top w:val="nil"/>
              <w:left w:val="single" w:sz="4" w:space="0" w:color="5B9BD5"/>
              <w:bottom w:val="single" w:sz="4" w:space="0" w:color="5B9BD5"/>
              <w:right w:val="single" w:sz="4" w:space="0" w:color="5B9BD5"/>
            </w:tcBorders>
            <w:shd w:val="clear" w:color="000000" w:fill="D0CECE"/>
            <w:noWrap/>
            <w:vAlign w:val="center"/>
            <w:hideMark/>
          </w:tcPr>
          <w:p w:rsidR="00AB73AD" w:rsidRPr="00CD1518" w:rsidRDefault="00AB73AD">
            <w:pPr>
              <w:spacing w:line="240" w:lineRule="auto"/>
              <w:rPr>
                <w:b/>
                <w:bCs/>
                <w:color w:val="000000"/>
                <w:sz w:val="14"/>
                <w:szCs w:val="14"/>
                <w:lang w:eastAsia="en-AU"/>
              </w:rPr>
            </w:pPr>
            <w:r w:rsidRPr="00CD1518">
              <w:rPr>
                <w:b/>
                <w:bCs/>
                <w:color w:val="000000"/>
                <w:sz w:val="14"/>
                <w:szCs w:val="14"/>
                <w:lang w:eastAsia="en-AU"/>
              </w:rPr>
              <w:t>Total</w:t>
            </w:r>
          </w:p>
        </w:tc>
        <w:tc>
          <w:tcPr>
            <w:tcW w:w="987" w:type="dxa"/>
            <w:tcBorders>
              <w:top w:val="nil"/>
              <w:left w:val="nil"/>
              <w:bottom w:val="single" w:sz="4" w:space="0" w:color="5B9BD5"/>
              <w:right w:val="single" w:sz="4" w:space="0" w:color="5B9BD5"/>
            </w:tcBorders>
            <w:shd w:val="clear" w:color="000000" w:fill="D0CECE"/>
            <w:noWrap/>
            <w:vAlign w:val="center"/>
            <w:hideMark/>
          </w:tcPr>
          <w:p w:rsidR="00AB73AD" w:rsidRPr="00CD1518" w:rsidRDefault="00AB73AD" w:rsidP="00CD1518">
            <w:pPr>
              <w:spacing w:line="240" w:lineRule="auto"/>
              <w:jc w:val="right"/>
              <w:rPr>
                <w:b/>
                <w:bCs/>
                <w:color w:val="000000"/>
                <w:sz w:val="14"/>
                <w:szCs w:val="14"/>
                <w:lang w:eastAsia="en-AU"/>
              </w:rPr>
            </w:pPr>
            <w:r w:rsidRPr="00CD1518">
              <w:rPr>
                <w:b/>
                <w:bCs/>
                <w:color w:val="000000"/>
                <w:sz w:val="14"/>
                <w:szCs w:val="14"/>
                <w:lang w:eastAsia="en-AU"/>
              </w:rPr>
              <w:t>245,035</w:t>
            </w:r>
          </w:p>
        </w:tc>
        <w:tc>
          <w:tcPr>
            <w:tcW w:w="987" w:type="dxa"/>
            <w:tcBorders>
              <w:top w:val="nil"/>
              <w:left w:val="nil"/>
              <w:bottom w:val="single" w:sz="4" w:space="0" w:color="5B9BD5"/>
              <w:right w:val="single" w:sz="4" w:space="0" w:color="5B9BD5"/>
            </w:tcBorders>
            <w:shd w:val="clear" w:color="000000" w:fill="D0CECE"/>
            <w:noWrap/>
            <w:vAlign w:val="center"/>
            <w:hideMark/>
          </w:tcPr>
          <w:p w:rsidR="00AB73AD" w:rsidRPr="00CD1518" w:rsidRDefault="00AB73AD" w:rsidP="00CD1518">
            <w:pPr>
              <w:spacing w:line="240" w:lineRule="auto"/>
              <w:jc w:val="right"/>
              <w:rPr>
                <w:b/>
                <w:bCs/>
                <w:color w:val="000000"/>
                <w:sz w:val="14"/>
                <w:szCs w:val="14"/>
                <w:lang w:eastAsia="en-AU"/>
              </w:rPr>
            </w:pPr>
            <w:r w:rsidRPr="00CD1518">
              <w:rPr>
                <w:b/>
                <w:bCs/>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D0CECE"/>
            <w:noWrap/>
            <w:vAlign w:val="center"/>
            <w:hideMark/>
          </w:tcPr>
          <w:p w:rsidR="00AB73AD" w:rsidRPr="00CD1518" w:rsidRDefault="00AB73AD" w:rsidP="00CD1518">
            <w:pPr>
              <w:spacing w:line="240" w:lineRule="auto"/>
              <w:jc w:val="right"/>
              <w:rPr>
                <w:b/>
                <w:bCs/>
                <w:color w:val="000000"/>
                <w:sz w:val="14"/>
                <w:szCs w:val="14"/>
                <w:lang w:eastAsia="en-AU"/>
              </w:rPr>
            </w:pPr>
            <w:r w:rsidRPr="00CD1518">
              <w:rPr>
                <w:b/>
                <w:bCs/>
                <w:color w:val="000000"/>
                <w:sz w:val="14"/>
                <w:szCs w:val="14"/>
                <w:lang w:eastAsia="en-AU"/>
              </w:rPr>
              <w:t>245,035</w:t>
            </w:r>
          </w:p>
        </w:tc>
        <w:tc>
          <w:tcPr>
            <w:tcW w:w="987" w:type="dxa"/>
            <w:tcBorders>
              <w:top w:val="nil"/>
              <w:left w:val="nil"/>
              <w:bottom w:val="single" w:sz="4" w:space="0" w:color="5B9BD5"/>
              <w:right w:val="single" w:sz="4" w:space="0" w:color="5B9BD5"/>
            </w:tcBorders>
            <w:shd w:val="clear" w:color="000000" w:fill="D0CECE"/>
            <w:noWrap/>
            <w:vAlign w:val="center"/>
            <w:hideMark/>
          </w:tcPr>
          <w:p w:rsidR="00AB73AD" w:rsidRPr="00CD1518" w:rsidRDefault="00AB73AD" w:rsidP="00CD1518">
            <w:pPr>
              <w:spacing w:line="240" w:lineRule="auto"/>
              <w:jc w:val="right"/>
              <w:rPr>
                <w:b/>
                <w:bCs/>
                <w:color w:val="000000"/>
                <w:sz w:val="14"/>
                <w:szCs w:val="14"/>
                <w:lang w:eastAsia="en-AU"/>
              </w:rPr>
            </w:pPr>
            <w:r w:rsidRPr="00CD1518">
              <w:rPr>
                <w:b/>
                <w:bCs/>
                <w:color w:val="000000"/>
                <w:sz w:val="14"/>
                <w:szCs w:val="14"/>
                <w:lang w:eastAsia="en-AU"/>
              </w:rPr>
              <w:t>(1,273)</w:t>
            </w:r>
          </w:p>
        </w:tc>
        <w:tc>
          <w:tcPr>
            <w:tcW w:w="988" w:type="dxa"/>
            <w:tcBorders>
              <w:top w:val="nil"/>
              <w:left w:val="nil"/>
              <w:bottom w:val="single" w:sz="4" w:space="0" w:color="5B9BD5"/>
              <w:right w:val="single" w:sz="4" w:space="0" w:color="5B9BD5"/>
            </w:tcBorders>
            <w:shd w:val="clear" w:color="000000" w:fill="D0CECE"/>
            <w:noWrap/>
            <w:vAlign w:val="center"/>
            <w:hideMark/>
          </w:tcPr>
          <w:p w:rsidR="00AB73AD" w:rsidRPr="00CD1518" w:rsidRDefault="00AB73AD" w:rsidP="00CD1518">
            <w:pPr>
              <w:spacing w:line="240" w:lineRule="auto"/>
              <w:jc w:val="right"/>
              <w:rPr>
                <w:b/>
                <w:bCs/>
                <w:color w:val="000000"/>
                <w:sz w:val="14"/>
                <w:szCs w:val="14"/>
                <w:lang w:eastAsia="en-AU"/>
              </w:rPr>
            </w:pPr>
            <w:r w:rsidRPr="00CD1518">
              <w:rPr>
                <w:b/>
                <w:bCs/>
                <w:color w:val="000000"/>
                <w:sz w:val="14"/>
                <w:szCs w:val="14"/>
                <w:lang w:eastAsia="en-AU"/>
              </w:rPr>
              <w:t>243,762</w:t>
            </w:r>
          </w:p>
        </w:tc>
        <w:tc>
          <w:tcPr>
            <w:tcW w:w="987" w:type="dxa"/>
            <w:tcBorders>
              <w:top w:val="nil"/>
              <w:left w:val="nil"/>
              <w:bottom w:val="single" w:sz="4" w:space="0" w:color="5B9BD5"/>
              <w:right w:val="single" w:sz="4" w:space="0" w:color="5B9BD5"/>
            </w:tcBorders>
            <w:shd w:val="clear" w:color="000000" w:fill="D0CECE"/>
            <w:noWrap/>
            <w:vAlign w:val="center"/>
            <w:hideMark/>
          </w:tcPr>
          <w:p w:rsidR="00AB73AD" w:rsidRPr="00CD1518" w:rsidRDefault="00AB73AD" w:rsidP="00CD1518">
            <w:pPr>
              <w:spacing w:line="240" w:lineRule="auto"/>
              <w:jc w:val="right"/>
              <w:rPr>
                <w:b/>
                <w:bCs/>
                <w:color w:val="000000"/>
                <w:sz w:val="14"/>
                <w:szCs w:val="14"/>
                <w:lang w:eastAsia="en-AU"/>
              </w:rPr>
            </w:pPr>
            <w:r w:rsidRPr="00CD1518">
              <w:rPr>
                <w:b/>
                <w:bCs/>
                <w:color w:val="000000"/>
                <w:sz w:val="14"/>
                <w:szCs w:val="14"/>
                <w:lang w:eastAsia="en-AU"/>
              </w:rPr>
              <w:t>-</w:t>
            </w:r>
          </w:p>
        </w:tc>
        <w:tc>
          <w:tcPr>
            <w:tcW w:w="988" w:type="dxa"/>
            <w:tcBorders>
              <w:top w:val="nil"/>
              <w:left w:val="nil"/>
              <w:bottom w:val="single" w:sz="4" w:space="0" w:color="5B9BD5"/>
              <w:right w:val="single" w:sz="4" w:space="0" w:color="5B9BD5"/>
            </w:tcBorders>
            <w:shd w:val="clear" w:color="000000" w:fill="D0CECE"/>
            <w:noWrap/>
            <w:vAlign w:val="center"/>
            <w:hideMark/>
          </w:tcPr>
          <w:p w:rsidR="00AB73AD" w:rsidRPr="00CD1518" w:rsidRDefault="00AB73AD" w:rsidP="00CD1518">
            <w:pPr>
              <w:spacing w:line="240" w:lineRule="auto"/>
              <w:jc w:val="right"/>
              <w:rPr>
                <w:b/>
                <w:bCs/>
                <w:color w:val="000000"/>
                <w:sz w:val="14"/>
                <w:szCs w:val="14"/>
                <w:lang w:eastAsia="en-AU"/>
              </w:rPr>
            </w:pPr>
            <w:r w:rsidRPr="00CD1518">
              <w:rPr>
                <w:b/>
                <w:bCs/>
                <w:color w:val="000000"/>
                <w:sz w:val="14"/>
                <w:szCs w:val="14"/>
                <w:lang w:eastAsia="en-AU"/>
              </w:rPr>
              <w:t>243,762</w:t>
            </w:r>
          </w:p>
        </w:tc>
      </w:tr>
    </w:tbl>
    <w:p w:rsidR="00273A0D" w:rsidRPr="00975E6B" w:rsidRDefault="00273A0D" w:rsidP="00273A0D">
      <w:pPr>
        <w:pStyle w:val="FootnoteText"/>
        <w:rPr>
          <w:bCs/>
          <w:i/>
          <w:sz w:val="16"/>
          <w:szCs w:val="16"/>
        </w:rPr>
      </w:pPr>
      <w:r w:rsidRPr="00975E6B">
        <w:rPr>
          <w:bCs/>
          <w:i/>
          <w:sz w:val="16"/>
          <w:szCs w:val="16"/>
        </w:rPr>
        <w:t xml:space="preserve">Source: KPMG based on data supplied by Mackay Base Hospital, </w:t>
      </w:r>
      <w:r w:rsidR="00CA6430" w:rsidRPr="00975E6B">
        <w:rPr>
          <w:bCs/>
          <w:i/>
          <w:sz w:val="16"/>
          <w:szCs w:val="16"/>
        </w:rPr>
        <w:t>Queensland</w:t>
      </w:r>
      <w:r w:rsidRPr="00975E6B">
        <w:rPr>
          <w:bCs/>
          <w:i/>
          <w:sz w:val="16"/>
          <w:szCs w:val="16"/>
        </w:rPr>
        <w:t xml:space="preserve"> Health and IHPA </w:t>
      </w:r>
    </w:p>
    <w:p w:rsidR="00273A0D" w:rsidRPr="00975E6B" w:rsidRDefault="00273A0D" w:rsidP="00273A0D">
      <w:pPr>
        <w:pStyle w:val="BodyText"/>
      </w:pPr>
      <w:r w:rsidRPr="00975E6B">
        <w:t xml:space="preserve">The following should be noted about the transfer of activity data for </w:t>
      </w:r>
      <w:r w:rsidR="00901CD9" w:rsidRPr="00975E6B">
        <w:t>Mackay Base</w:t>
      </w:r>
      <w:r w:rsidRPr="00975E6B">
        <w:t>:</w:t>
      </w:r>
    </w:p>
    <w:p w:rsidR="00273A0D" w:rsidRPr="00975E6B" w:rsidRDefault="00273A0D" w:rsidP="00F26328">
      <w:pPr>
        <w:pStyle w:val="BodyText"/>
        <w:numPr>
          <w:ilvl w:val="0"/>
          <w:numId w:val="39"/>
        </w:numPr>
      </w:pPr>
      <w:r w:rsidRPr="00975E6B">
        <w:t xml:space="preserve">The adjustment made by the jurisdiction relates to </w:t>
      </w:r>
      <w:r w:rsidR="00D52AA9" w:rsidRPr="00975E6B">
        <w:t xml:space="preserve">the </w:t>
      </w:r>
      <w:r w:rsidR="00D52AA9">
        <w:t>activity associated with the</w:t>
      </w:r>
      <w:r w:rsidR="00D52AA9" w:rsidRPr="00975E6B" w:rsidDel="00D52AA9">
        <w:t xml:space="preserve"> </w:t>
      </w:r>
      <w:r w:rsidRPr="00975E6B">
        <w:t xml:space="preserve">excluded costs </w:t>
      </w:r>
      <w:r w:rsidR="009E6082" w:rsidRPr="00975E6B">
        <w:t>(at Item G of the financial reconciliation) such as zero cost encounters, unmapped/mismatched records and the virtual patient feeder data</w:t>
      </w:r>
      <w:r w:rsidRPr="00975E6B">
        <w:t>.</w:t>
      </w:r>
    </w:p>
    <w:p w:rsidR="00273A0D" w:rsidRPr="00975E6B" w:rsidRDefault="00273A0D" w:rsidP="00F26328">
      <w:pPr>
        <w:pStyle w:val="BodyText"/>
        <w:numPr>
          <w:ilvl w:val="0"/>
          <w:numId w:val="46"/>
        </w:numPr>
      </w:pPr>
      <w:r w:rsidRPr="00975E6B">
        <w:t>The adjustment made by IHPA relating to admitted emergency reallocations</w:t>
      </w:r>
      <w:r w:rsidR="009E6082" w:rsidRPr="00975E6B">
        <w:t xml:space="preserve"> for reporting and analysis purposes</w:t>
      </w:r>
      <w:r w:rsidRPr="00975E6B">
        <w:t xml:space="preserve"> (as discussed in Item J of the explanation of reconciliation items) has no impact on the reported activity.</w:t>
      </w:r>
    </w:p>
    <w:p w:rsidR="00273A0D" w:rsidRPr="00975E6B" w:rsidRDefault="00273A0D" w:rsidP="003B387A">
      <w:pPr>
        <w:pStyle w:val="Heading3"/>
        <w:numPr>
          <w:ilvl w:val="2"/>
          <w:numId w:val="77"/>
        </w:numPr>
      </w:pPr>
      <w:r w:rsidRPr="00975E6B">
        <w:t xml:space="preserve">Treatment </w:t>
      </w:r>
      <w:r w:rsidRPr="0080753B">
        <w:t>of</w:t>
      </w:r>
      <w:r w:rsidRPr="00975E6B">
        <w:t xml:space="preserve"> </w:t>
      </w:r>
      <w:r w:rsidR="00DA7807" w:rsidRPr="00975E6B">
        <w:t>WIP</w:t>
      </w:r>
    </w:p>
    <w:p w:rsidR="00664CB0" w:rsidRPr="00B464CA" w:rsidRDefault="00D45D3C" w:rsidP="00B464CA">
      <w:pPr>
        <w:spacing w:before="120" w:after="120" w:line="280" w:lineRule="atLeast"/>
        <w:jc w:val="both"/>
        <w:rPr>
          <w:bCs/>
        </w:rPr>
      </w:pPr>
      <w:r>
        <w:rPr>
          <w:bCs/>
        </w:rPr>
        <w:fldChar w:fldCharType="begin"/>
      </w:r>
      <w:r>
        <w:rPr>
          <w:bCs/>
        </w:rPr>
        <w:instrText xml:space="preserve"> REF _Ref444516405 \h </w:instrText>
      </w:r>
      <w:r>
        <w:rPr>
          <w:bCs/>
        </w:rPr>
      </w:r>
      <w:r>
        <w:rPr>
          <w:bCs/>
        </w:rPr>
        <w:fldChar w:fldCharType="separate"/>
      </w:r>
      <w:r w:rsidR="00154CF7" w:rsidRPr="00975E6B">
        <w:t xml:space="preserve">Table </w:t>
      </w:r>
      <w:r w:rsidR="00154CF7">
        <w:rPr>
          <w:noProof/>
        </w:rPr>
        <w:t>45</w:t>
      </w:r>
      <w:r>
        <w:rPr>
          <w:bCs/>
        </w:rPr>
        <w:fldChar w:fldCharType="end"/>
      </w:r>
      <w:r>
        <w:rPr>
          <w:bCs/>
        </w:rPr>
        <w:t xml:space="preserve"> </w:t>
      </w:r>
      <w:r w:rsidR="00273A0D" w:rsidRPr="00B464CA">
        <w:rPr>
          <w:bCs/>
        </w:rPr>
        <w:t xml:space="preserve">demonstrates models for WIP and what was included in the </w:t>
      </w:r>
      <w:r w:rsidR="00901CD9" w:rsidRPr="00B464CA">
        <w:rPr>
          <w:bCs/>
        </w:rPr>
        <w:t>Mackay Base</w:t>
      </w:r>
      <w:r w:rsidR="00273A0D" w:rsidRPr="00B464CA">
        <w:rPr>
          <w:bCs/>
        </w:rPr>
        <w:t xml:space="preserve"> Round 18 NHCDC submission.</w:t>
      </w:r>
      <w:bookmarkStart w:id="738" w:name="_Ref433294378"/>
    </w:p>
    <w:p w:rsidR="00273A0D" w:rsidRPr="00975E6B" w:rsidRDefault="00273A0D" w:rsidP="00273A0D">
      <w:pPr>
        <w:pStyle w:val="Caption"/>
      </w:pPr>
      <w:bookmarkStart w:id="739" w:name="_Ref444516405"/>
      <w:r w:rsidRPr="00975E6B">
        <w:t xml:space="preserve">Table </w:t>
      </w:r>
      <w:fldSimple w:instr=" SEQ Table \* ARABIC ">
        <w:r w:rsidR="00154CF7">
          <w:rPr>
            <w:noProof/>
          </w:rPr>
          <w:t>45</w:t>
        </w:r>
      </w:fldSimple>
      <w:bookmarkEnd w:id="738"/>
      <w:bookmarkEnd w:id="739"/>
      <w:r w:rsidRPr="00975E6B">
        <w:t xml:space="preserve"> – </w:t>
      </w:r>
      <w:r w:rsidR="00A31593" w:rsidRPr="00975E6B">
        <w:t>WIP</w:t>
      </w:r>
      <w:r w:rsidRPr="00975E6B">
        <w:t xml:space="preserve"> – Mackay Base Hospital</w:t>
      </w:r>
    </w:p>
    <w:tbl>
      <w:tblPr>
        <w:tblStyle w:val="ListTable4-Accent11"/>
        <w:tblW w:w="5000" w:type="pct"/>
        <w:tblLayout w:type="fixed"/>
        <w:tblLook w:val="0620" w:firstRow="1" w:lastRow="0" w:firstColumn="0" w:lastColumn="0" w:noHBand="1" w:noVBand="1"/>
        <w:tblCaption w:val="Table 45 - Models for Work In Progress - Mackay Base Hospital"/>
        <w:tblDescription w:val="This table describes the models for Work In Progress and how that applied to Mackay Base Hospital.  The first column is the model number, the second column is the description and the third column is how that model was applied for the relevant hospital.&#10;"/>
      </w:tblPr>
      <w:tblGrid>
        <w:gridCol w:w="870"/>
        <w:gridCol w:w="3928"/>
        <w:gridCol w:w="3923"/>
      </w:tblGrid>
      <w:tr w:rsidR="00273A0D"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99" w:type="pct"/>
            <w:tcBorders>
              <w:right w:val="single" w:sz="4" w:space="0" w:color="548DD4" w:themeColor="text2" w:themeTint="99"/>
            </w:tcBorders>
            <w:shd w:val="clear" w:color="auto" w:fill="002060"/>
            <w:noWrap/>
          </w:tcPr>
          <w:p w:rsidR="00273A0D" w:rsidRPr="00975E6B" w:rsidRDefault="00273A0D" w:rsidP="0029344A">
            <w:r w:rsidRPr="00975E6B">
              <w:t>Model</w:t>
            </w:r>
          </w:p>
        </w:tc>
        <w:tc>
          <w:tcPr>
            <w:tcW w:w="2252" w:type="pct"/>
            <w:tcBorders>
              <w:left w:val="single" w:sz="4" w:space="0" w:color="548DD4" w:themeColor="text2" w:themeTint="99"/>
            </w:tcBorders>
            <w:shd w:val="clear" w:color="auto" w:fill="002060"/>
          </w:tcPr>
          <w:p w:rsidR="00273A0D" w:rsidRPr="00975E6B" w:rsidRDefault="00273A0D" w:rsidP="0029344A">
            <w:r w:rsidRPr="00975E6B">
              <w:t>Description</w:t>
            </w:r>
          </w:p>
        </w:tc>
        <w:tc>
          <w:tcPr>
            <w:tcW w:w="2249" w:type="pct"/>
            <w:tcBorders>
              <w:left w:val="single" w:sz="4" w:space="0" w:color="548DD4" w:themeColor="text2" w:themeTint="99"/>
            </w:tcBorders>
            <w:shd w:val="clear" w:color="auto" w:fill="002060"/>
          </w:tcPr>
          <w:p w:rsidR="00273A0D" w:rsidRPr="00975E6B" w:rsidRDefault="00273A0D" w:rsidP="0029344A">
            <w:pPr>
              <w:jc w:val="center"/>
            </w:pPr>
            <w:r w:rsidRPr="00975E6B">
              <w:t>Submitted to Round 18 NHCDC</w:t>
            </w:r>
          </w:p>
        </w:tc>
      </w:tr>
      <w:tr w:rsidR="00273A0D" w:rsidRPr="00975E6B" w:rsidTr="0029344A">
        <w:tc>
          <w:tcPr>
            <w:tcW w:w="499" w:type="pct"/>
            <w:tcBorders>
              <w:right w:val="single" w:sz="4" w:space="0" w:color="548DD4" w:themeColor="text2" w:themeTint="99"/>
            </w:tcBorders>
            <w:noWrap/>
          </w:tcPr>
          <w:p w:rsidR="00273A0D" w:rsidRPr="00975E6B" w:rsidRDefault="00273A0D" w:rsidP="001140D3">
            <w:pPr>
              <w:tabs>
                <w:tab w:val="left" w:pos="7088"/>
              </w:tabs>
              <w:jc w:val="center"/>
            </w:pPr>
            <w:r w:rsidRPr="00975E6B">
              <w:t>1</w:t>
            </w:r>
          </w:p>
        </w:tc>
        <w:tc>
          <w:tcPr>
            <w:tcW w:w="2252" w:type="pct"/>
            <w:tcBorders>
              <w:left w:val="single" w:sz="4" w:space="0" w:color="548DD4" w:themeColor="text2" w:themeTint="99"/>
            </w:tcBorders>
          </w:tcPr>
          <w:p w:rsidR="00273A0D" w:rsidRPr="00975E6B" w:rsidRDefault="00273A0D" w:rsidP="0029344A">
            <w:pPr>
              <w:tabs>
                <w:tab w:val="left" w:pos="7088"/>
              </w:tabs>
            </w:pPr>
            <w:r w:rsidRPr="00975E6B">
              <w:t>Admitted and Discharged Patients in 2013/14 only</w:t>
            </w:r>
          </w:p>
        </w:tc>
        <w:tc>
          <w:tcPr>
            <w:tcW w:w="2249" w:type="pct"/>
            <w:tcBorders>
              <w:left w:val="single" w:sz="4" w:space="0" w:color="548DD4" w:themeColor="text2" w:themeTint="99"/>
            </w:tcBorders>
          </w:tcPr>
          <w:p w:rsidR="00273A0D" w:rsidRPr="00975E6B" w:rsidRDefault="00273A0D" w:rsidP="0029344A">
            <w:pPr>
              <w:tabs>
                <w:tab w:val="left" w:pos="7088"/>
              </w:tabs>
              <w:jc w:val="center"/>
            </w:pPr>
            <w:r w:rsidRPr="00975E6B">
              <w:t>Submitted to Round 18 of the NHCDC</w:t>
            </w:r>
          </w:p>
        </w:tc>
      </w:tr>
      <w:tr w:rsidR="00273A0D" w:rsidRPr="00975E6B" w:rsidTr="0029344A">
        <w:tc>
          <w:tcPr>
            <w:tcW w:w="499" w:type="pct"/>
            <w:tcBorders>
              <w:right w:val="single" w:sz="4" w:space="0" w:color="548DD4" w:themeColor="text2" w:themeTint="99"/>
            </w:tcBorders>
            <w:noWrap/>
          </w:tcPr>
          <w:p w:rsidR="00273A0D" w:rsidRPr="00975E6B" w:rsidRDefault="00273A0D" w:rsidP="001140D3">
            <w:pPr>
              <w:tabs>
                <w:tab w:val="left" w:pos="7088"/>
              </w:tabs>
              <w:jc w:val="center"/>
            </w:pPr>
            <w:r w:rsidRPr="00975E6B">
              <w:t>2</w:t>
            </w:r>
          </w:p>
        </w:tc>
        <w:tc>
          <w:tcPr>
            <w:tcW w:w="2252" w:type="pct"/>
            <w:tcBorders>
              <w:left w:val="single" w:sz="4" w:space="0" w:color="548DD4" w:themeColor="text2" w:themeTint="99"/>
            </w:tcBorders>
          </w:tcPr>
          <w:p w:rsidR="00273A0D" w:rsidRPr="00975E6B" w:rsidRDefault="00273A0D" w:rsidP="0029344A">
            <w:pPr>
              <w:tabs>
                <w:tab w:val="left" w:pos="7088"/>
              </w:tabs>
            </w:pPr>
            <w:r w:rsidRPr="00975E6B">
              <w:t>Costs for patients discharged in 2013/14 but incurred prior to 2013/14</w:t>
            </w:r>
          </w:p>
        </w:tc>
        <w:tc>
          <w:tcPr>
            <w:tcW w:w="2249" w:type="pct"/>
            <w:tcBorders>
              <w:left w:val="single" w:sz="4" w:space="0" w:color="548DD4" w:themeColor="text2" w:themeTint="99"/>
            </w:tcBorders>
          </w:tcPr>
          <w:p w:rsidR="00273A0D" w:rsidRPr="00975E6B" w:rsidRDefault="00273A0D" w:rsidP="0029344A">
            <w:pPr>
              <w:tabs>
                <w:tab w:val="left" w:pos="7088"/>
              </w:tabs>
              <w:jc w:val="center"/>
            </w:pPr>
            <w:r w:rsidRPr="00975E6B">
              <w:t>Submitted to Round 18 of the NHCDC</w:t>
            </w:r>
          </w:p>
        </w:tc>
      </w:tr>
      <w:tr w:rsidR="00273A0D" w:rsidRPr="00975E6B" w:rsidTr="0029344A">
        <w:tc>
          <w:tcPr>
            <w:tcW w:w="499" w:type="pct"/>
            <w:tcBorders>
              <w:right w:val="single" w:sz="4" w:space="0" w:color="548DD4" w:themeColor="text2" w:themeTint="99"/>
            </w:tcBorders>
            <w:noWrap/>
          </w:tcPr>
          <w:p w:rsidR="00273A0D" w:rsidRPr="00975E6B" w:rsidRDefault="00273A0D" w:rsidP="001140D3">
            <w:pPr>
              <w:tabs>
                <w:tab w:val="left" w:pos="7088"/>
              </w:tabs>
              <w:jc w:val="center"/>
            </w:pPr>
            <w:r w:rsidRPr="00975E6B">
              <w:t>3</w:t>
            </w:r>
          </w:p>
        </w:tc>
        <w:tc>
          <w:tcPr>
            <w:tcW w:w="2252" w:type="pct"/>
            <w:tcBorders>
              <w:left w:val="single" w:sz="4" w:space="0" w:color="548DD4" w:themeColor="text2" w:themeTint="99"/>
            </w:tcBorders>
          </w:tcPr>
          <w:p w:rsidR="00273A0D" w:rsidRPr="00975E6B" w:rsidRDefault="00273A0D" w:rsidP="0029344A">
            <w:pPr>
              <w:tabs>
                <w:tab w:val="left" w:pos="7088"/>
              </w:tabs>
            </w:pPr>
            <w:r w:rsidRPr="00975E6B">
              <w:t>Costs for patients admitted in 2013/14 and still admitted at 30/06/2014</w:t>
            </w:r>
          </w:p>
        </w:tc>
        <w:tc>
          <w:tcPr>
            <w:tcW w:w="2249" w:type="pct"/>
            <w:tcBorders>
              <w:left w:val="single" w:sz="4" w:space="0" w:color="548DD4" w:themeColor="text2" w:themeTint="99"/>
            </w:tcBorders>
          </w:tcPr>
          <w:p w:rsidR="00273A0D" w:rsidRPr="00975E6B" w:rsidRDefault="00273A0D" w:rsidP="0029344A">
            <w:pPr>
              <w:tabs>
                <w:tab w:val="left" w:pos="7088"/>
              </w:tabs>
              <w:jc w:val="center"/>
            </w:pPr>
            <w:r w:rsidRPr="00975E6B">
              <w:t>Not submitted to Round 18 of the NHCDC</w:t>
            </w:r>
          </w:p>
        </w:tc>
      </w:tr>
      <w:tr w:rsidR="00273A0D" w:rsidRPr="00975E6B" w:rsidTr="0029344A">
        <w:tc>
          <w:tcPr>
            <w:tcW w:w="499" w:type="pct"/>
            <w:tcBorders>
              <w:right w:val="single" w:sz="4" w:space="0" w:color="548DD4" w:themeColor="text2" w:themeTint="99"/>
            </w:tcBorders>
            <w:noWrap/>
          </w:tcPr>
          <w:p w:rsidR="00273A0D" w:rsidRPr="00975E6B" w:rsidRDefault="00273A0D" w:rsidP="001140D3">
            <w:pPr>
              <w:tabs>
                <w:tab w:val="left" w:pos="7088"/>
              </w:tabs>
              <w:jc w:val="center"/>
            </w:pPr>
            <w:r w:rsidRPr="00975E6B">
              <w:t>4</w:t>
            </w:r>
          </w:p>
        </w:tc>
        <w:tc>
          <w:tcPr>
            <w:tcW w:w="2252" w:type="pct"/>
            <w:tcBorders>
              <w:left w:val="single" w:sz="4" w:space="0" w:color="548DD4" w:themeColor="text2" w:themeTint="99"/>
            </w:tcBorders>
          </w:tcPr>
          <w:p w:rsidR="00273A0D" w:rsidRPr="00975E6B" w:rsidRDefault="00273A0D" w:rsidP="0029344A">
            <w:pPr>
              <w:tabs>
                <w:tab w:val="left" w:pos="7088"/>
              </w:tabs>
            </w:pPr>
            <w:r w:rsidRPr="00975E6B">
              <w:t>Costs for patients admitted prior to 2013/14 and still admitted at 30/06/2014</w:t>
            </w:r>
          </w:p>
        </w:tc>
        <w:tc>
          <w:tcPr>
            <w:tcW w:w="2249" w:type="pct"/>
            <w:tcBorders>
              <w:left w:val="single" w:sz="4" w:space="0" w:color="548DD4" w:themeColor="text2" w:themeTint="99"/>
            </w:tcBorders>
          </w:tcPr>
          <w:p w:rsidR="00273A0D" w:rsidRPr="00975E6B" w:rsidRDefault="00273A0D" w:rsidP="0029344A">
            <w:pPr>
              <w:tabs>
                <w:tab w:val="left" w:pos="7088"/>
              </w:tabs>
              <w:jc w:val="center"/>
            </w:pPr>
            <w:r w:rsidRPr="00975E6B">
              <w:t>Not submitted to Round 18 of the NHCDC</w:t>
            </w:r>
          </w:p>
        </w:tc>
      </w:tr>
    </w:tbl>
    <w:p w:rsidR="00273A0D" w:rsidRPr="00975E6B" w:rsidRDefault="00273A0D" w:rsidP="00273A0D">
      <w:pPr>
        <w:pStyle w:val="FootnoteText"/>
        <w:tabs>
          <w:tab w:val="left" w:pos="7088"/>
        </w:tabs>
        <w:rPr>
          <w:bCs/>
          <w:i/>
          <w:sz w:val="16"/>
          <w:szCs w:val="16"/>
        </w:rPr>
      </w:pPr>
      <w:r w:rsidRPr="00975E6B">
        <w:rPr>
          <w:bCs/>
          <w:i/>
          <w:sz w:val="16"/>
          <w:szCs w:val="16"/>
        </w:rPr>
        <w:t xml:space="preserve">Source: KPMG, based on </w:t>
      </w:r>
      <w:r w:rsidR="00901CD9" w:rsidRPr="00975E6B">
        <w:rPr>
          <w:bCs/>
          <w:i/>
          <w:sz w:val="16"/>
          <w:szCs w:val="16"/>
        </w:rPr>
        <w:t>Mackay Base</w:t>
      </w:r>
      <w:r w:rsidRPr="00975E6B">
        <w:rPr>
          <w:bCs/>
          <w:i/>
          <w:sz w:val="16"/>
          <w:szCs w:val="16"/>
        </w:rPr>
        <w:t xml:space="preserve"> templates and review discussions</w:t>
      </w:r>
    </w:p>
    <w:p w:rsidR="00273A0D" w:rsidRPr="00975E6B" w:rsidRDefault="00273A0D" w:rsidP="00273A0D">
      <w:pPr>
        <w:pStyle w:val="BodyText"/>
        <w:tabs>
          <w:tab w:val="left" w:pos="7088"/>
        </w:tabs>
      </w:pPr>
      <w:r w:rsidRPr="00975E6B">
        <w:t xml:space="preserve">In summary, </w:t>
      </w:r>
      <w:r w:rsidR="00CA6430" w:rsidRPr="00975E6B">
        <w:t>Queensland</w:t>
      </w:r>
      <w:r w:rsidRPr="00975E6B">
        <w:t xml:space="preserve"> Health submitted </w:t>
      </w:r>
      <w:r w:rsidR="00B7080E" w:rsidRPr="00975E6B">
        <w:t xml:space="preserve">WIP </w:t>
      </w:r>
      <w:r w:rsidRPr="00975E6B">
        <w:t xml:space="preserve">costs for </w:t>
      </w:r>
      <w:r w:rsidR="00901CD9" w:rsidRPr="00975E6B">
        <w:t>Mackay Base</w:t>
      </w:r>
      <w:r w:rsidRPr="00975E6B">
        <w:t xml:space="preserve"> patients admitted and discharged in 2013/14 and the </w:t>
      </w:r>
      <w:r w:rsidR="00B7080E" w:rsidRPr="00975E6B">
        <w:t xml:space="preserve">WIP </w:t>
      </w:r>
      <w:r w:rsidRPr="00975E6B">
        <w:t>costs for patients discharged in 2013/14 but incurred in prior years.</w:t>
      </w:r>
    </w:p>
    <w:p w:rsidR="00273A0D" w:rsidRPr="00975E6B" w:rsidRDefault="00273A0D" w:rsidP="0080753B">
      <w:pPr>
        <w:pStyle w:val="Heading4"/>
        <w:numPr>
          <w:ilvl w:val="0"/>
          <w:numId w:val="0"/>
        </w:numPr>
        <w:ind w:left="720" w:hanging="720"/>
      </w:pPr>
      <w:r w:rsidRPr="00975E6B">
        <w:t>Escalation factor</w:t>
      </w:r>
    </w:p>
    <w:p w:rsidR="00273A0D" w:rsidRPr="00975E6B" w:rsidRDefault="00273A0D" w:rsidP="00273A0D">
      <w:pPr>
        <w:pStyle w:val="BodyText"/>
      </w:pPr>
      <w:r w:rsidRPr="00975E6B">
        <w:t xml:space="preserve">No escalation factor to costs incurred prior to 2013/14 was applied to the </w:t>
      </w:r>
      <w:r w:rsidR="00901CD9" w:rsidRPr="00975E6B">
        <w:t>Mackay Base</w:t>
      </w:r>
      <w:r w:rsidRPr="00975E6B">
        <w:t xml:space="preserve"> Round 18 submission to the NHCDC.</w:t>
      </w:r>
    </w:p>
    <w:p w:rsidR="00273A0D" w:rsidRPr="00975E6B" w:rsidRDefault="00273A0D" w:rsidP="003B387A">
      <w:pPr>
        <w:pStyle w:val="Heading3"/>
        <w:numPr>
          <w:ilvl w:val="2"/>
          <w:numId w:val="77"/>
        </w:numPr>
      </w:pPr>
      <w:r w:rsidRPr="00975E6B">
        <w:lastRenderedPageBreak/>
        <w:t>Treatment of other specific cost items</w:t>
      </w:r>
    </w:p>
    <w:p w:rsidR="00273A0D" w:rsidRPr="00975E6B" w:rsidRDefault="00EB4E48" w:rsidP="00273A0D">
      <w:r w:rsidRPr="00975E6B">
        <w:t xml:space="preserve">The following items were discussed during the reviews to understand their treatment in the costing process. The cost data is used to inform the </w:t>
      </w:r>
      <w:r w:rsidR="00875846" w:rsidRPr="00975E6B">
        <w:t>National Efficient Price (</w:t>
      </w:r>
      <w:r w:rsidRPr="00975E6B">
        <w:t>NEP</w:t>
      </w:r>
      <w:r w:rsidR="00875846" w:rsidRPr="00975E6B">
        <w:t>)</w:t>
      </w:r>
      <w:r w:rsidRPr="00975E6B">
        <w:t xml:space="preserve"> and specific funding model adjustments for particular patient cohorts</w:t>
      </w:r>
      <w:r w:rsidR="00273A0D" w:rsidRPr="00975E6B">
        <w:t xml:space="preserve">. </w:t>
      </w:r>
      <w:r w:rsidR="00901CD9" w:rsidRPr="00975E6B">
        <w:t>Mackay Base</w:t>
      </w:r>
      <w:r w:rsidR="00273A0D" w:rsidRPr="00975E6B">
        <w:t xml:space="preserve">’s treatment of each of the items is summarised in </w:t>
      </w:r>
      <w:r w:rsidR="00273A0D" w:rsidRPr="00975E6B">
        <w:fldChar w:fldCharType="begin"/>
      </w:r>
      <w:r w:rsidR="00273A0D" w:rsidRPr="00975E6B">
        <w:instrText xml:space="preserve"> REF _Ref433303281 \h </w:instrText>
      </w:r>
      <w:r w:rsidR="00975E6B">
        <w:instrText xml:space="preserve"> \* MERGEFORMAT </w:instrText>
      </w:r>
      <w:r w:rsidR="00273A0D" w:rsidRPr="00975E6B">
        <w:fldChar w:fldCharType="separate"/>
      </w:r>
      <w:r w:rsidR="00154CF7" w:rsidRPr="00975E6B">
        <w:t xml:space="preserve">Table </w:t>
      </w:r>
      <w:r w:rsidR="00154CF7">
        <w:rPr>
          <w:noProof/>
        </w:rPr>
        <w:t>46</w:t>
      </w:r>
      <w:r w:rsidR="00273A0D" w:rsidRPr="00975E6B">
        <w:fldChar w:fldCharType="end"/>
      </w:r>
      <w:r w:rsidR="00273A0D" w:rsidRPr="00975E6B">
        <w:t>.</w:t>
      </w:r>
    </w:p>
    <w:p w:rsidR="00273A0D" w:rsidRPr="00975E6B" w:rsidRDefault="00273A0D" w:rsidP="00273A0D">
      <w:pPr>
        <w:pStyle w:val="Caption"/>
      </w:pPr>
      <w:bookmarkStart w:id="740" w:name="_Ref433303281"/>
      <w:r w:rsidRPr="00975E6B">
        <w:t xml:space="preserve">Table </w:t>
      </w:r>
      <w:fldSimple w:instr=" SEQ Table \* ARABIC ">
        <w:r w:rsidR="00154CF7">
          <w:rPr>
            <w:noProof/>
          </w:rPr>
          <w:t>46</w:t>
        </w:r>
      </w:fldSimple>
      <w:bookmarkEnd w:id="740"/>
      <w:r w:rsidRPr="00975E6B">
        <w:t xml:space="preserve"> – Treatment of other specific cost items – Mackay Base Hospital</w:t>
      </w:r>
    </w:p>
    <w:tbl>
      <w:tblPr>
        <w:tblStyle w:val="ListTable4-Accent11"/>
        <w:tblW w:w="5000" w:type="pct"/>
        <w:tblLayout w:type="fixed"/>
        <w:tblLook w:val="0620" w:firstRow="1" w:lastRow="0" w:firstColumn="0" w:lastColumn="0" w:noHBand="1" w:noVBand="1"/>
        <w:tblCaption w:val="Table 46 - Treatment of specific items - Mackay Base Hospital"/>
        <w:tblDescription w:val="This table describes how Mackay Base Hospital treated specific items in their Round 18 NHCDC Submission.  The first column is the item and the second column is the description of the treatment.&#10;"/>
      </w:tblPr>
      <w:tblGrid>
        <w:gridCol w:w="3342"/>
        <w:gridCol w:w="5379"/>
      </w:tblGrid>
      <w:tr w:rsidR="00273A0D" w:rsidRPr="00975E6B" w:rsidTr="00E14378">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tcPr>
          <w:p w:rsidR="00273A0D" w:rsidRPr="00975E6B" w:rsidRDefault="00273A0D" w:rsidP="0029344A">
            <w:r w:rsidRPr="00975E6B">
              <w:t>Item</w:t>
            </w:r>
          </w:p>
        </w:tc>
        <w:tc>
          <w:tcPr>
            <w:tcW w:w="3084" w:type="pct"/>
            <w:tcBorders>
              <w:left w:val="single" w:sz="4" w:space="0" w:color="548DD4" w:themeColor="text2" w:themeTint="99"/>
            </w:tcBorders>
            <w:shd w:val="clear" w:color="auto" w:fill="002060"/>
          </w:tcPr>
          <w:p w:rsidR="00273A0D" w:rsidRPr="00975E6B" w:rsidRDefault="00273A0D" w:rsidP="0029344A">
            <w:r w:rsidRPr="00975E6B">
              <w:t>Treatment</w:t>
            </w:r>
          </w:p>
        </w:tc>
      </w:tr>
      <w:tr w:rsidR="00C57A2A" w:rsidRPr="00975E6B" w:rsidTr="0029344A">
        <w:tc>
          <w:tcPr>
            <w:tcW w:w="1916" w:type="pct"/>
            <w:tcBorders>
              <w:right w:val="single" w:sz="4" w:space="0" w:color="548DD4" w:themeColor="text2" w:themeTint="99"/>
            </w:tcBorders>
            <w:noWrap/>
          </w:tcPr>
          <w:p w:rsidR="00C57A2A" w:rsidRPr="00975E6B" w:rsidRDefault="00C57A2A" w:rsidP="00C57A2A">
            <w:pPr>
              <w:pStyle w:val="BodyText"/>
              <w:jc w:val="left"/>
            </w:pPr>
            <w:r w:rsidRPr="00975E6B">
              <w:t>Teaching, Training and Research</w:t>
            </w:r>
          </w:p>
        </w:tc>
        <w:tc>
          <w:tcPr>
            <w:tcW w:w="3084" w:type="pct"/>
            <w:tcBorders>
              <w:left w:val="single" w:sz="4" w:space="0" w:color="548DD4" w:themeColor="text2" w:themeTint="99"/>
            </w:tcBorders>
          </w:tcPr>
          <w:p w:rsidR="00C57A2A" w:rsidRPr="00975E6B" w:rsidRDefault="00C57A2A" w:rsidP="00C57A2A">
            <w:pPr>
              <w:pStyle w:val="BodyText"/>
              <w:jc w:val="left"/>
            </w:pPr>
            <w:r w:rsidRPr="00975E6B">
              <w:t xml:space="preserve">Queensland hospitals manage direct TTR by mapping those distinct cost centres to education and research departments. These costs are excluded from final patient costing as per the AHPCS. </w:t>
            </w:r>
          </w:p>
          <w:p w:rsidR="00C57A2A" w:rsidRPr="00975E6B" w:rsidRDefault="00C57A2A" w:rsidP="00C57A2A">
            <w:pPr>
              <w:pStyle w:val="BodyText"/>
              <w:jc w:val="left"/>
            </w:pPr>
            <w:r w:rsidRPr="00975E6B">
              <w:t>Indirect and embedded teaching and training are considered part of the provision of healthcare to patients</w:t>
            </w:r>
            <w:r w:rsidR="005D12ED" w:rsidRPr="00975E6B">
              <w:t xml:space="preserve">. </w:t>
            </w:r>
            <w:r w:rsidRPr="00975E6B">
              <w:t>There are currently no feeder systems available which contain products which could be used for costing these activities and costs in the GL will form part of the salaries and wages component of patient level costs.</w:t>
            </w:r>
          </w:p>
        </w:tc>
      </w:tr>
      <w:tr w:rsidR="00C57A2A" w:rsidRPr="00975E6B" w:rsidTr="0029344A">
        <w:tc>
          <w:tcPr>
            <w:tcW w:w="1916" w:type="pct"/>
            <w:tcBorders>
              <w:right w:val="single" w:sz="4" w:space="0" w:color="548DD4" w:themeColor="text2" w:themeTint="99"/>
            </w:tcBorders>
            <w:noWrap/>
          </w:tcPr>
          <w:p w:rsidR="00C57A2A" w:rsidRPr="00975E6B" w:rsidRDefault="00C57A2A" w:rsidP="00C57A2A">
            <w:pPr>
              <w:pStyle w:val="BodyText"/>
              <w:jc w:val="left"/>
            </w:pPr>
            <w:r w:rsidRPr="00975E6B">
              <w:t>Shared/Other commercial entities</w:t>
            </w:r>
          </w:p>
        </w:tc>
        <w:tc>
          <w:tcPr>
            <w:tcW w:w="3084" w:type="pct"/>
            <w:tcBorders>
              <w:left w:val="single" w:sz="4" w:space="0" w:color="548DD4" w:themeColor="text2" w:themeTint="99"/>
            </w:tcBorders>
          </w:tcPr>
          <w:p w:rsidR="00C57A2A" w:rsidRPr="00975E6B" w:rsidRDefault="00C57A2A" w:rsidP="00C57A2A">
            <w:pPr>
              <w:pStyle w:val="BodyText"/>
              <w:jc w:val="left"/>
            </w:pPr>
            <w:r w:rsidRPr="00975E6B">
              <w:t>All shared and commercial entities are run by separate legal entities and are therefore not included in the GL.</w:t>
            </w:r>
          </w:p>
        </w:tc>
      </w:tr>
      <w:tr w:rsidR="00C57A2A" w:rsidRPr="00975E6B" w:rsidTr="0029344A">
        <w:tc>
          <w:tcPr>
            <w:tcW w:w="1916" w:type="pct"/>
            <w:tcBorders>
              <w:right w:val="single" w:sz="4" w:space="0" w:color="548DD4" w:themeColor="text2" w:themeTint="99"/>
            </w:tcBorders>
            <w:noWrap/>
          </w:tcPr>
          <w:p w:rsidR="00C57A2A" w:rsidRPr="00975E6B" w:rsidRDefault="00C57A2A" w:rsidP="00C57A2A">
            <w:pPr>
              <w:pStyle w:val="BodyText"/>
              <w:jc w:val="left"/>
            </w:pPr>
            <w:r w:rsidRPr="00975E6B">
              <w:t xml:space="preserve">Intensive Care Unit </w:t>
            </w:r>
          </w:p>
        </w:tc>
        <w:tc>
          <w:tcPr>
            <w:tcW w:w="3084" w:type="pct"/>
            <w:tcBorders>
              <w:left w:val="single" w:sz="4" w:space="0" w:color="548DD4" w:themeColor="text2" w:themeTint="99"/>
            </w:tcBorders>
          </w:tcPr>
          <w:p w:rsidR="00C57A2A" w:rsidRPr="00975E6B" w:rsidRDefault="00C57A2A" w:rsidP="00C57A2A">
            <w:pPr>
              <w:pStyle w:val="BodyText"/>
              <w:jc w:val="left"/>
            </w:pPr>
            <w:r w:rsidRPr="00975E6B">
              <w:t xml:space="preserve">No change to the costing methodology. No ICU weights or adjustments made. </w:t>
            </w:r>
          </w:p>
        </w:tc>
      </w:tr>
      <w:tr w:rsidR="00C57A2A" w:rsidRPr="00975E6B" w:rsidTr="0029344A">
        <w:tc>
          <w:tcPr>
            <w:tcW w:w="1916" w:type="pct"/>
            <w:tcBorders>
              <w:right w:val="single" w:sz="4" w:space="0" w:color="548DD4" w:themeColor="text2" w:themeTint="99"/>
            </w:tcBorders>
            <w:noWrap/>
          </w:tcPr>
          <w:p w:rsidR="00C57A2A" w:rsidRPr="00975E6B" w:rsidRDefault="00C57A2A" w:rsidP="00C57A2A">
            <w:pPr>
              <w:pStyle w:val="BodyText"/>
              <w:jc w:val="left"/>
            </w:pPr>
            <w:r w:rsidRPr="00975E6B">
              <w:t>Aboriginal and Torres Strait Islander patients</w:t>
            </w:r>
          </w:p>
        </w:tc>
        <w:tc>
          <w:tcPr>
            <w:tcW w:w="3084" w:type="pct"/>
            <w:tcBorders>
              <w:left w:val="single" w:sz="4" w:space="0" w:color="548DD4" w:themeColor="text2" w:themeTint="99"/>
            </w:tcBorders>
          </w:tcPr>
          <w:p w:rsidR="00C57A2A" w:rsidRPr="00975E6B" w:rsidRDefault="00C57A2A" w:rsidP="00C57A2A">
            <w:pPr>
              <w:pStyle w:val="BodyText"/>
              <w:jc w:val="left"/>
            </w:pPr>
            <w:r w:rsidRPr="00975E6B">
              <w:t>No change to the costing methodology. No ATSI weights or adjustments made. Costs based on resources linked.</w:t>
            </w:r>
          </w:p>
        </w:tc>
      </w:tr>
      <w:tr w:rsidR="00C57A2A" w:rsidRPr="00975E6B" w:rsidTr="0029344A">
        <w:trPr>
          <w:trHeight w:val="516"/>
        </w:trPr>
        <w:tc>
          <w:tcPr>
            <w:tcW w:w="1916" w:type="pct"/>
            <w:tcBorders>
              <w:right w:val="single" w:sz="4" w:space="0" w:color="548DD4" w:themeColor="text2" w:themeTint="99"/>
            </w:tcBorders>
            <w:noWrap/>
          </w:tcPr>
          <w:p w:rsidR="00C57A2A" w:rsidRPr="00975E6B" w:rsidRDefault="00C57A2A" w:rsidP="00C57A2A">
            <w:pPr>
              <w:pStyle w:val="BodyText"/>
              <w:jc w:val="left"/>
            </w:pPr>
            <w:r w:rsidRPr="00975E6B">
              <w:t xml:space="preserve">Private Patients </w:t>
            </w:r>
          </w:p>
        </w:tc>
        <w:tc>
          <w:tcPr>
            <w:tcW w:w="3084" w:type="pct"/>
            <w:tcBorders>
              <w:left w:val="single" w:sz="4" w:space="0" w:color="548DD4" w:themeColor="text2" w:themeTint="99"/>
            </w:tcBorders>
          </w:tcPr>
          <w:p w:rsidR="00C57A2A" w:rsidRPr="00975E6B" w:rsidRDefault="00C57A2A" w:rsidP="00C57A2A">
            <w:pPr>
              <w:pStyle w:val="BodyText"/>
              <w:jc w:val="left"/>
            </w:pPr>
            <w:r w:rsidRPr="00975E6B">
              <w:t>No change to the costing methodology. Standard RVUs are applied across all patients.</w:t>
            </w:r>
          </w:p>
        </w:tc>
      </w:tr>
      <w:tr w:rsidR="00C57A2A" w:rsidRPr="00975E6B" w:rsidTr="0029344A">
        <w:tc>
          <w:tcPr>
            <w:tcW w:w="1916" w:type="pct"/>
            <w:tcBorders>
              <w:right w:val="single" w:sz="4" w:space="0" w:color="548DD4" w:themeColor="text2" w:themeTint="99"/>
            </w:tcBorders>
            <w:noWrap/>
          </w:tcPr>
          <w:p w:rsidR="00C57A2A" w:rsidRPr="00975E6B" w:rsidRDefault="00C57A2A" w:rsidP="00C57A2A">
            <w:pPr>
              <w:pStyle w:val="BodyText"/>
              <w:jc w:val="left"/>
            </w:pPr>
            <w:r w:rsidRPr="00975E6B">
              <w:t>PBS drugs</w:t>
            </w:r>
          </w:p>
        </w:tc>
        <w:tc>
          <w:tcPr>
            <w:tcW w:w="3084" w:type="pct"/>
            <w:tcBorders>
              <w:left w:val="single" w:sz="4" w:space="0" w:color="548DD4" w:themeColor="text2" w:themeTint="99"/>
            </w:tcBorders>
          </w:tcPr>
          <w:p w:rsidR="00C57A2A" w:rsidRPr="00975E6B" w:rsidRDefault="00C57A2A" w:rsidP="00C57A2A">
            <w:pPr>
              <w:pStyle w:val="BodyText"/>
              <w:jc w:val="left"/>
            </w:pPr>
            <w:r w:rsidRPr="00975E6B">
              <w:t>Included in the Round 18 submission, with no offsets undertaken.</w:t>
            </w:r>
          </w:p>
        </w:tc>
      </w:tr>
    </w:tbl>
    <w:p w:rsidR="00273A0D" w:rsidRPr="00975E6B" w:rsidRDefault="00273A0D" w:rsidP="00273A0D">
      <w:pPr>
        <w:pStyle w:val="FootnoteText"/>
        <w:rPr>
          <w:bCs/>
          <w:i/>
          <w:sz w:val="16"/>
          <w:szCs w:val="16"/>
        </w:rPr>
      </w:pPr>
      <w:r w:rsidRPr="00975E6B">
        <w:rPr>
          <w:bCs/>
          <w:i/>
          <w:sz w:val="16"/>
          <w:szCs w:val="16"/>
        </w:rPr>
        <w:t>Source: KPMG</w:t>
      </w:r>
    </w:p>
    <w:p w:rsidR="00273A0D" w:rsidRPr="00975E6B" w:rsidRDefault="00273A0D" w:rsidP="003B387A">
      <w:pPr>
        <w:pStyle w:val="Heading3"/>
        <w:numPr>
          <w:ilvl w:val="2"/>
          <w:numId w:val="77"/>
        </w:numPr>
      </w:pPr>
      <w:r w:rsidRPr="0080753B">
        <w:t>Sample</w:t>
      </w:r>
      <w:r w:rsidRPr="00975E6B">
        <w:t xml:space="preserve"> patient data</w:t>
      </w:r>
    </w:p>
    <w:p w:rsidR="00273A0D" w:rsidRPr="00975E6B" w:rsidRDefault="00273A0D" w:rsidP="001140D3">
      <w:pPr>
        <w:pStyle w:val="BodyText"/>
      </w:pPr>
      <w:r w:rsidRPr="00975E6B">
        <w:t xml:space="preserve">IHPA selected a sample of five patients from </w:t>
      </w:r>
      <w:r w:rsidR="00901CD9" w:rsidRPr="00975E6B">
        <w:t>Mackay Base</w:t>
      </w:r>
      <w:r w:rsidRPr="00975E6B">
        <w:t xml:space="preserve"> for the purposes of testing the data flow from jurisdictions to IHPA at the patient level. </w:t>
      </w:r>
      <w:r w:rsidR="00CA6430" w:rsidRPr="00975E6B">
        <w:t>Queensland</w:t>
      </w:r>
      <w:r w:rsidRPr="00975E6B">
        <w:t xml:space="preserve"> Health provided the patient level costs for all five patients and these reconciled to IHPA records. The results are summarised in </w:t>
      </w:r>
      <w:r w:rsidRPr="00975E6B">
        <w:fldChar w:fldCharType="begin"/>
      </w:r>
      <w:r w:rsidRPr="00975E6B">
        <w:instrText xml:space="preserve"> REF _Ref434048624 \h  \* MERGEFORMAT </w:instrText>
      </w:r>
      <w:r w:rsidRPr="00975E6B">
        <w:fldChar w:fldCharType="separate"/>
      </w:r>
      <w:r w:rsidR="00154CF7" w:rsidRPr="00975E6B">
        <w:t xml:space="preserve">Table </w:t>
      </w:r>
      <w:r w:rsidR="00154CF7" w:rsidRPr="00154CF7">
        <w:t>47</w:t>
      </w:r>
      <w:r w:rsidRPr="00975E6B">
        <w:fldChar w:fldCharType="end"/>
      </w:r>
      <w:r w:rsidRPr="00975E6B">
        <w:t>.</w:t>
      </w:r>
    </w:p>
    <w:p w:rsidR="00B320FF" w:rsidRDefault="00B320FF">
      <w:pPr>
        <w:spacing w:line="240" w:lineRule="auto"/>
        <w:rPr>
          <w:bCs/>
          <w:i/>
        </w:rPr>
      </w:pPr>
      <w:bookmarkStart w:id="741" w:name="_Ref434048624"/>
      <w:r>
        <w:br w:type="page"/>
      </w:r>
    </w:p>
    <w:p w:rsidR="00AB73AD" w:rsidRPr="00975E6B" w:rsidRDefault="00273A0D" w:rsidP="00CD1518">
      <w:pPr>
        <w:pStyle w:val="Caption"/>
      </w:pPr>
      <w:r w:rsidRPr="00975E6B">
        <w:lastRenderedPageBreak/>
        <w:t xml:space="preserve">Table </w:t>
      </w:r>
      <w:r w:rsidR="003E3288">
        <w:rPr>
          <w:bCs w:val="0"/>
          <w:i w:val="0"/>
        </w:rPr>
        <w:fldChar w:fldCharType="begin"/>
      </w:r>
      <w:r w:rsidR="003E3288">
        <w:rPr>
          <w:bCs w:val="0"/>
          <w:i w:val="0"/>
        </w:rPr>
        <w:instrText xml:space="preserve"> SEQ Table \* ARABIC </w:instrText>
      </w:r>
      <w:r w:rsidR="003E3288">
        <w:rPr>
          <w:bCs w:val="0"/>
          <w:i w:val="0"/>
        </w:rPr>
        <w:fldChar w:fldCharType="separate"/>
      </w:r>
      <w:r w:rsidR="00154CF7">
        <w:rPr>
          <w:bCs w:val="0"/>
          <w:i w:val="0"/>
          <w:noProof/>
        </w:rPr>
        <w:t>47</w:t>
      </w:r>
      <w:r w:rsidR="003E3288">
        <w:rPr>
          <w:bCs w:val="0"/>
          <w:i w:val="0"/>
          <w:noProof/>
        </w:rPr>
        <w:fldChar w:fldCharType="end"/>
      </w:r>
      <w:bookmarkEnd w:id="741"/>
      <w:r w:rsidRPr="00975E6B">
        <w:t xml:space="preserve"> – Sample patients – Mackay Base Hospital</w:t>
      </w:r>
    </w:p>
    <w:tbl>
      <w:tblPr>
        <w:tblW w:w="5000" w:type="pct"/>
        <w:tblLook w:val="04A0" w:firstRow="1" w:lastRow="0" w:firstColumn="1" w:lastColumn="0" w:noHBand="0" w:noVBand="1"/>
        <w:tblCaption w:val="Table 47 - Sample patients - Mackay Base Hospital"/>
        <w:tblDescription w:val="This table presents the results of the 5 sample patients tested for the data flow from jurisdictions to IHPA at the patient level for Mackay Base Hospital. There are 5 columns.  Column 1 is the sample number, Column 2 is the product type, column 3 is the amount in  jurisdiction records, Column 4 is the amount received by IHPA and Column 5 is the variance between jurisdiction and IHPA.&#10;"/>
      </w:tblPr>
      <w:tblGrid>
        <w:gridCol w:w="509"/>
        <w:gridCol w:w="2274"/>
        <w:gridCol w:w="2274"/>
        <w:gridCol w:w="2274"/>
        <w:gridCol w:w="1390"/>
      </w:tblGrid>
      <w:tr w:rsidR="00AB73AD" w:rsidRPr="00AB73AD" w:rsidTr="00E14378">
        <w:trPr>
          <w:trHeight w:val="260"/>
        </w:trPr>
        <w:tc>
          <w:tcPr>
            <w:tcW w:w="291"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AB73AD" w:rsidRPr="00AB73AD" w:rsidRDefault="00AB73AD" w:rsidP="00AB73AD">
            <w:pPr>
              <w:spacing w:line="240" w:lineRule="auto"/>
              <w:jc w:val="center"/>
              <w:rPr>
                <w:b/>
                <w:bCs/>
                <w:color w:val="FFFFFF"/>
                <w:lang w:eastAsia="en-AU"/>
              </w:rPr>
            </w:pPr>
            <w:r w:rsidRPr="00AB73AD">
              <w:rPr>
                <w:b/>
                <w:bCs/>
                <w:color w:val="FFFFFF"/>
                <w:lang w:eastAsia="en-AU"/>
              </w:rPr>
              <w: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AB73AD" w:rsidRPr="00AB73AD" w:rsidRDefault="00AB73AD" w:rsidP="00AB73AD">
            <w:pPr>
              <w:spacing w:line="240" w:lineRule="auto"/>
              <w:rPr>
                <w:b/>
                <w:bCs/>
                <w:color w:val="FFFFFF"/>
                <w:lang w:eastAsia="en-AU"/>
              </w:rPr>
            </w:pPr>
            <w:r w:rsidRPr="00AB73AD">
              <w:rPr>
                <w:b/>
                <w:bCs/>
                <w:color w:val="FFFFFF"/>
                <w:lang w:eastAsia="en-AU"/>
              </w:rPr>
              <w:t>Product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AB73AD" w:rsidRPr="00AB73AD" w:rsidRDefault="00AB73AD" w:rsidP="00AB73AD">
            <w:pPr>
              <w:spacing w:line="240" w:lineRule="auto"/>
              <w:jc w:val="center"/>
              <w:rPr>
                <w:b/>
                <w:bCs/>
                <w:color w:val="FFFFFF"/>
                <w:lang w:eastAsia="en-AU"/>
              </w:rPr>
            </w:pPr>
            <w:r w:rsidRPr="00AB73AD">
              <w:rPr>
                <w:b/>
                <w:bCs/>
                <w:color w:val="FFFFFF"/>
                <w:lang w:eastAsia="en-AU"/>
              </w:rPr>
              <w:t>Jurisdiction records</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AB73AD" w:rsidRPr="00AB73AD" w:rsidRDefault="00AB73AD" w:rsidP="00AB73AD">
            <w:pPr>
              <w:spacing w:line="240" w:lineRule="auto"/>
              <w:jc w:val="center"/>
              <w:rPr>
                <w:b/>
                <w:bCs/>
                <w:color w:val="FFFFFF"/>
                <w:lang w:eastAsia="en-AU"/>
              </w:rPr>
            </w:pPr>
            <w:r w:rsidRPr="00AB73AD">
              <w:rPr>
                <w:b/>
                <w:bCs/>
                <w:color w:val="FFFFFF"/>
                <w:lang w:eastAsia="en-AU"/>
              </w:rPr>
              <w:t>Received by IHPA</w:t>
            </w:r>
          </w:p>
        </w:tc>
        <w:tc>
          <w:tcPr>
            <w:tcW w:w="797" w:type="pct"/>
            <w:tcBorders>
              <w:top w:val="nil"/>
              <w:left w:val="nil"/>
              <w:bottom w:val="nil"/>
              <w:right w:val="single" w:sz="4" w:space="0" w:color="5B9BD5"/>
            </w:tcBorders>
            <w:shd w:val="clear" w:color="auto" w:fill="002060"/>
            <w:vAlign w:val="bottom"/>
            <w:hideMark/>
          </w:tcPr>
          <w:p w:rsidR="00AB73AD" w:rsidRPr="00AB73AD" w:rsidRDefault="00AB73AD" w:rsidP="00AB73AD">
            <w:pPr>
              <w:spacing w:line="240" w:lineRule="auto"/>
              <w:jc w:val="center"/>
              <w:rPr>
                <w:b/>
                <w:bCs/>
                <w:color w:val="FFFFFF"/>
                <w:lang w:eastAsia="en-AU"/>
              </w:rPr>
            </w:pPr>
            <w:r w:rsidRPr="00AB73AD">
              <w:rPr>
                <w:b/>
                <w:bCs/>
                <w:color w:val="FFFFFF"/>
                <w:lang w:eastAsia="en-AU"/>
              </w:rPr>
              <w:t>Variance</w:t>
            </w:r>
          </w:p>
        </w:tc>
      </w:tr>
      <w:tr w:rsidR="00CA7B4E" w:rsidRPr="00AB73AD"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AB73AD" w:rsidRDefault="00CA7B4E" w:rsidP="00CA7B4E">
            <w:pPr>
              <w:spacing w:line="240" w:lineRule="auto"/>
              <w:jc w:val="center"/>
              <w:rPr>
                <w:color w:val="000000"/>
                <w:lang w:eastAsia="en-AU"/>
              </w:rPr>
            </w:pPr>
            <w:r w:rsidRPr="00AB73AD">
              <w:rPr>
                <w:color w:val="000000"/>
                <w:lang w:eastAsia="en-AU"/>
              </w:rPr>
              <w:t>1</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AB73AD" w:rsidRDefault="00CA7B4E" w:rsidP="00CA7B4E">
            <w:pPr>
              <w:spacing w:line="240" w:lineRule="auto"/>
              <w:rPr>
                <w:color w:val="000000"/>
                <w:lang w:eastAsia="en-AU"/>
              </w:rPr>
            </w:pPr>
            <w:r w:rsidRPr="00AB73AD">
              <w:rPr>
                <w:color w:val="000000"/>
                <w:lang w:eastAsia="en-AU"/>
              </w:rPr>
              <w:t xml:space="preserve"> Non-admitted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AB73AD" w:rsidRDefault="00CA7B4E" w:rsidP="00CD1518">
            <w:pPr>
              <w:spacing w:line="240" w:lineRule="auto"/>
              <w:jc w:val="right"/>
              <w:rPr>
                <w:color w:val="000000"/>
                <w:lang w:eastAsia="en-AU"/>
              </w:rPr>
            </w:pPr>
            <w:r w:rsidRPr="00AB73AD">
              <w:rPr>
                <w:color w:val="000000"/>
                <w:lang w:eastAsia="en-AU"/>
              </w:rPr>
              <w:t xml:space="preserve"> $196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AB73AD" w:rsidRDefault="00CA7B4E" w:rsidP="00CD1518">
            <w:pPr>
              <w:spacing w:line="240" w:lineRule="auto"/>
              <w:jc w:val="right"/>
              <w:rPr>
                <w:color w:val="000000"/>
                <w:lang w:eastAsia="en-AU"/>
              </w:rPr>
            </w:pPr>
            <w:r w:rsidRPr="00AB73AD">
              <w:rPr>
                <w:color w:val="000000"/>
                <w:lang w:eastAsia="en-AU"/>
              </w:rPr>
              <w:t xml:space="preserve"> $196 </w:t>
            </w:r>
          </w:p>
        </w:tc>
        <w:tc>
          <w:tcPr>
            <w:tcW w:w="797" w:type="pct"/>
            <w:tcBorders>
              <w:top w:val="single" w:sz="4" w:space="0" w:color="5B9BD5"/>
              <w:left w:val="nil"/>
              <w:bottom w:val="single" w:sz="4" w:space="0" w:color="5B9BD5"/>
              <w:right w:val="single" w:sz="4" w:space="0" w:color="5B9BD5"/>
            </w:tcBorders>
            <w:shd w:val="clear" w:color="000000" w:fill="FFFFFF"/>
            <w:noWrap/>
            <w:vAlign w:val="bottom"/>
            <w:hideMark/>
          </w:tcPr>
          <w:p w:rsidR="00CA7B4E" w:rsidRPr="00AB73AD" w:rsidRDefault="00CA7B4E" w:rsidP="00CD1518">
            <w:pPr>
              <w:spacing w:line="240" w:lineRule="auto"/>
              <w:jc w:val="right"/>
              <w:rPr>
                <w:color w:val="000000"/>
                <w:lang w:eastAsia="en-AU"/>
              </w:rPr>
            </w:pPr>
            <w:r w:rsidRPr="00AB73AD">
              <w:rPr>
                <w:color w:val="000000"/>
                <w:lang w:eastAsia="en-AU"/>
              </w:rPr>
              <w:t xml:space="preserve"> $-   </w:t>
            </w:r>
          </w:p>
        </w:tc>
      </w:tr>
      <w:tr w:rsidR="00CA7B4E" w:rsidRPr="00AB73AD" w:rsidTr="00CD1518">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AB73AD" w:rsidRDefault="00CA7B4E" w:rsidP="00CA7B4E">
            <w:pPr>
              <w:spacing w:line="240" w:lineRule="auto"/>
              <w:jc w:val="center"/>
              <w:rPr>
                <w:color w:val="000000"/>
                <w:lang w:eastAsia="en-AU"/>
              </w:rPr>
            </w:pPr>
            <w:r w:rsidRPr="00AB73AD">
              <w:rPr>
                <w:color w:val="000000"/>
                <w:lang w:eastAsia="en-AU"/>
              </w:rPr>
              <w:t>2</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AB73AD" w:rsidRDefault="00CA7B4E" w:rsidP="00CA7B4E">
            <w:pPr>
              <w:spacing w:line="240" w:lineRule="auto"/>
              <w:rPr>
                <w:color w:val="000000"/>
                <w:lang w:eastAsia="en-AU"/>
              </w:rPr>
            </w:pPr>
            <w:r w:rsidRPr="00AB73AD">
              <w:rPr>
                <w:color w:val="000000"/>
                <w:lang w:eastAsia="en-AU"/>
              </w:rPr>
              <w:t xml:space="preserve"> Admitted ED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AB73AD" w:rsidRDefault="00CA7B4E" w:rsidP="00CD1518">
            <w:pPr>
              <w:spacing w:line="240" w:lineRule="auto"/>
              <w:jc w:val="right"/>
              <w:rPr>
                <w:color w:val="000000"/>
                <w:lang w:eastAsia="en-AU"/>
              </w:rPr>
            </w:pPr>
            <w:r w:rsidRPr="00AB73AD">
              <w:rPr>
                <w:color w:val="000000"/>
                <w:lang w:eastAsia="en-AU"/>
              </w:rPr>
              <w:t xml:space="preserve"> $802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AB73AD" w:rsidRDefault="00CA7B4E" w:rsidP="00CD1518">
            <w:pPr>
              <w:spacing w:line="240" w:lineRule="auto"/>
              <w:jc w:val="right"/>
              <w:rPr>
                <w:color w:val="000000"/>
                <w:lang w:eastAsia="en-AU"/>
              </w:rPr>
            </w:pPr>
            <w:r w:rsidRPr="00AB73AD">
              <w:rPr>
                <w:color w:val="000000"/>
                <w:lang w:eastAsia="en-AU"/>
              </w:rPr>
              <w:t xml:space="preserve"> $802 </w:t>
            </w:r>
          </w:p>
        </w:tc>
        <w:tc>
          <w:tcPr>
            <w:tcW w:w="797" w:type="pct"/>
            <w:tcBorders>
              <w:top w:val="nil"/>
              <w:left w:val="nil"/>
              <w:bottom w:val="single" w:sz="4" w:space="0" w:color="5B9BD5"/>
              <w:right w:val="single" w:sz="4" w:space="0" w:color="5B9BD5"/>
            </w:tcBorders>
            <w:shd w:val="clear" w:color="000000" w:fill="DDEBF7"/>
            <w:noWrap/>
            <w:vAlign w:val="bottom"/>
            <w:hideMark/>
          </w:tcPr>
          <w:p w:rsidR="00CA7B4E" w:rsidRPr="00AB73AD" w:rsidRDefault="00CA7B4E" w:rsidP="00CD1518">
            <w:pPr>
              <w:spacing w:line="240" w:lineRule="auto"/>
              <w:jc w:val="right"/>
              <w:rPr>
                <w:color w:val="000000"/>
                <w:lang w:eastAsia="en-AU"/>
              </w:rPr>
            </w:pPr>
            <w:r w:rsidRPr="00AB73AD">
              <w:rPr>
                <w:color w:val="000000"/>
                <w:lang w:eastAsia="en-AU"/>
              </w:rPr>
              <w:t xml:space="preserve"> $-   </w:t>
            </w:r>
          </w:p>
        </w:tc>
      </w:tr>
      <w:tr w:rsidR="00CA7B4E" w:rsidRPr="00AB73AD"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AB73AD" w:rsidRDefault="00CA7B4E" w:rsidP="00CA7B4E">
            <w:pPr>
              <w:spacing w:line="240" w:lineRule="auto"/>
              <w:jc w:val="center"/>
              <w:rPr>
                <w:color w:val="000000"/>
                <w:lang w:eastAsia="en-AU"/>
              </w:rPr>
            </w:pPr>
            <w:r w:rsidRPr="00AB73AD">
              <w:rPr>
                <w:color w:val="000000"/>
                <w:lang w:eastAsia="en-AU"/>
              </w:rPr>
              <w:t>3</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AB73AD" w:rsidRDefault="00CA7B4E" w:rsidP="00CA7B4E">
            <w:pPr>
              <w:spacing w:line="240" w:lineRule="auto"/>
              <w:rPr>
                <w:color w:val="000000"/>
                <w:lang w:eastAsia="en-AU"/>
              </w:rPr>
            </w:pPr>
            <w:r w:rsidRPr="00AB73AD">
              <w:rPr>
                <w:color w:val="000000"/>
                <w:lang w:eastAsia="en-AU"/>
              </w:rPr>
              <w:t xml:space="preserve"> Non-admitted ED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AB73AD" w:rsidRDefault="00CA7B4E" w:rsidP="00CD1518">
            <w:pPr>
              <w:spacing w:line="240" w:lineRule="auto"/>
              <w:jc w:val="right"/>
              <w:rPr>
                <w:color w:val="000000"/>
                <w:lang w:eastAsia="en-AU"/>
              </w:rPr>
            </w:pPr>
            <w:r w:rsidRPr="00AB73AD">
              <w:rPr>
                <w:color w:val="000000"/>
                <w:lang w:eastAsia="en-AU"/>
              </w:rPr>
              <w:t xml:space="preserve"> $178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AB73AD" w:rsidRDefault="00CA7B4E" w:rsidP="00CD1518">
            <w:pPr>
              <w:spacing w:line="240" w:lineRule="auto"/>
              <w:jc w:val="right"/>
              <w:rPr>
                <w:color w:val="000000"/>
                <w:lang w:eastAsia="en-AU"/>
              </w:rPr>
            </w:pPr>
            <w:r w:rsidRPr="00AB73AD">
              <w:rPr>
                <w:color w:val="000000"/>
                <w:lang w:eastAsia="en-AU"/>
              </w:rPr>
              <w:t xml:space="preserve"> $178 </w:t>
            </w:r>
          </w:p>
        </w:tc>
        <w:tc>
          <w:tcPr>
            <w:tcW w:w="797" w:type="pct"/>
            <w:tcBorders>
              <w:top w:val="nil"/>
              <w:left w:val="nil"/>
              <w:bottom w:val="single" w:sz="4" w:space="0" w:color="5B9BD5"/>
              <w:right w:val="single" w:sz="4" w:space="0" w:color="5B9BD5"/>
            </w:tcBorders>
            <w:shd w:val="clear" w:color="000000" w:fill="FFFFFF"/>
            <w:noWrap/>
            <w:vAlign w:val="bottom"/>
            <w:hideMark/>
          </w:tcPr>
          <w:p w:rsidR="00CA7B4E" w:rsidRPr="00AB73AD" w:rsidRDefault="00CA7B4E" w:rsidP="00CD1518">
            <w:pPr>
              <w:spacing w:line="240" w:lineRule="auto"/>
              <w:jc w:val="right"/>
              <w:rPr>
                <w:color w:val="000000"/>
                <w:lang w:eastAsia="en-AU"/>
              </w:rPr>
            </w:pPr>
            <w:r w:rsidRPr="00AB73AD">
              <w:rPr>
                <w:color w:val="000000"/>
                <w:lang w:eastAsia="en-AU"/>
              </w:rPr>
              <w:t xml:space="preserve"> $-   </w:t>
            </w:r>
          </w:p>
        </w:tc>
      </w:tr>
      <w:tr w:rsidR="00CA7B4E" w:rsidRPr="00AB73AD" w:rsidTr="00CD1518">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AB73AD" w:rsidRDefault="00CA7B4E" w:rsidP="00CA7B4E">
            <w:pPr>
              <w:spacing w:line="240" w:lineRule="auto"/>
              <w:jc w:val="center"/>
              <w:rPr>
                <w:color w:val="000000"/>
                <w:lang w:eastAsia="en-AU"/>
              </w:rPr>
            </w:pPr>
            <w:r w:rsidRPr="00AB73AD">
              <w:rPr>
                <w:color w:val="000000"/>
                <w:lang w:eastAsia="en-AU"/>
              </w:rPr>
              <w:t>4</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AB73AD" w:rsidRDefault="00CA7B4E" w:rsidP="00CA7B4E">
            <w:pPr>
              <w:spacing w:line="240" w:lineRule="auto"/>
              <w:rPr>
                <w:color w:val="000000"/>
                <w:lang w:eastAsia="en-AU"/>
              </w:rPr>
            </w:pPr>
            <w:r w:rsidRPr="00AB73AD">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AB73AD" w:rsidRDefault="00CA7B4E" w:rsidP="00CD1518">
            <w:pPr>
              <w:spacing w:line="240" w:lineRule="auto"/>
              <w:jc w:val="right"/>
              <w:rPr>
                <w:color w:val="000000"/>
                <w:lang w:eastAsia="en-AU"/>
              </w:rPr>
            </w:pPr>
            <w:r w:rsidRPr="00AB73AD">
              <w:rPr>
                <w:color w:val="000000"/>
                <w:lang w:eastAsia="en-AU"/>
              </w:rPr>
              <w:t xml:space="preserve"> $9,100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AB73AD" w:rsidRDefault="00CA7B4E" w:rsidP="00CD1518">
            <w:pPr>
              <w:spacing w:line="240" w:lineRule="auto"/>
              <w:jc w:val="right"/>
              <w:rPr>
                <w:color w:val="000000"/>
                <w:lang w:eastAsia="en-AU"/>
              </w:rPr>
            </w:pPr>
            <w:r w:rsidRPr="00AB73AD">
              <w:rPr>
                <w:color w:val="000000"/>
                <w:lang w:eastAsia="en-AU"/>
              </w:rPr>
              <w:t xml:space="preserve"> $9,100 </w:t>
            </w:r>
          </w:p>
        </w:tc>
        <w:tc>
          <w:tcPr>
            <w:tcW w:w="797" w:type="pct"/>
            <w:tcBorders>
              <w:top w:val="nil"/>
              <w:left w:val="nil"/>
              <w:bottom w:val="single" w:sz="4" w:space="0" w:color="5B9BD5"/>
              <w:right w:val="single" w:sz="4" w:space="0" w:color="5B9BD5"/>
            </w:tcBorders>
            <w:shd w:val="clear" w:color="000000" w:fill="DDEBF7"/>
            <w:noWrap/>
            <w:vAlign w:val="bottom"/>
            <w:hideMark/>
          </w:tcPr>
          <w:p w:rsidR="00CA7B4E" w:rsidRPr="00AB73AD" w:rsidRDefault="00CA7B4E" w:rsidP="00CD1518">
            <w:pPr>
              <w:spacing w:line="240" w:lineRule="auto"/>
              <w:jc w:val="right"/>
              <w:rPr>
                <w:color w:val="000000"/>
                <w:lang w:eastAsia="en-AU"/>
              </w:rPr>
            </w:pPr>
            <w:r w:rsidRPr="00AB73AD">
              <w:rPr>
                <w:color w:val="000000"/>
                <w:lang w:eastAsia="en-AU"/>
              </w:rPr>
              <w:t xml:space="preserve"> $-   </w:t>
            </w:r>
          </w:p>
        </w:tc>
      </w:tr>
      <w:tr w:rsidR="00CA7B4E" w:rsidRPr="00AB73AD"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AB73AD" w:rsidRDefault="00CA7B4E" w:rsidP="00CA7B4E">
            <w:pPr>
              <w:spacing w:line="240" w:lineRule="auto"/>
              <w:jc w:val="center"/>
              <w:rPr>
                <w:color w:val="000000"/>
                <w:lang w:eastAsia="en-AU"/>
              </w:rPr>
            </w:pPr>
            <w:r w:rsidRPr="00AB73AD">
              <w:rPr>
                <w:color w:val="000000"/>
                <w:lang w:eastAsia="en-AU"/>
              </w:rPr>
              <w:t>5</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AB73AD" w:rsidRDefault="00CA7B4E" w:rsidP="00CA7B4E">
            <w:pPr>
              <w:spacing w:line="240" w:lineRule="auto"/>
              <w:rPr>
                <w:color w:val="000000"/>
                <w:lang w:eastAsia="en-AU"/>
              </w:rPr>
            </w:pPr>
            <w:r w:rsidRPr="00AB73AD">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AB73AD" w:rsidRDefault="00CA7B4E" w:rsidP="00CD1518">
            <w:pPr>
              <w:spacing w:line="240" w:lineRule="auto"/>
              <w:jc w:val="right"/>
              <w:rPr>
                <w:color w:val="000000"/>
                <w:lang w:eastAsia="en-AU"/>
              </w:rPr>
            </w:pPr>
            <w:r w:rsidRPr="00AB73AD">
              <w:rPr>
                <w:color w:val="000000"/>
                <w:lang w:eastAsia="en-AU"/>
              </w:rPr>
              <w:t xml:space="preserve"> $645,528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AB73AD" w:rsidRDefault="00CA7B4E" w:rsidP="00CD1518">
            <w:pPr>
              <w:spacing w:line="240" w:lineRule="auto"/>
              <w:jc w:val="right"/>
              <w:rPr>
                <w:color w:val="000000"/>
                <w:lang w:eastAsia="en-AU"/>
              </w:rPr>
            </w:pPr>
            <w:r w:rsidRPr="00AB73AD">
              <w:rPr>
                <w:color w:val="000000"/>
                <w:lang w:eastAsia="en-AU"/>
              </w:rPr>
              <w:t xml:space="preserve"> $645,528 </w:t>
            </w:r>
          </w:p>
        </w:tc>
        <w:tc>
          <w:tcPr>
            <w:tcW w:w="797" w:type="pct"/>
            <w:tcBorders>
              <w:top w:val="nil"/>
              <w:left w:val="nil"/>
              <w:bottom w:val="single" w:sz="4" w:space="0" w:color="5B9BD5"/>
              <w:right w:val="single" w:sz="4" w:space="0" w:color="5B9BD5"/>
            </w:tcBorders>
            <w:shd w:val="clear" w:color="000000" w:fill="FFFFFF"/>
            <w:noWrap/>
            <w:vAlign w:val="bottom"/>
            <w:hideMark/>
          </w:tcPr>
          <w:p w:rsidR="00CA7B4E" w:rsidRPr="00AB73AD" w:rsidRDefault="00CA7B4E" w:rsidP="00CD1518">
            <w:pPr>
              <w:spacing w:line="240" w:lineRule="auto"/>
              <w:jc w:val="right"/>
              <w:rPr>
                <w:color w:val="000000"/>
                <w:lang w:eastAsia="en-AU"/>
              </w:rPr>
            </w:pPr>
            <w:r w:rsidRPr="00AB73AD">
              <w:rPr>
                <w:color w:val="000000"/>
                <w:lang w:eastAsia="en-AU"/>
              </w:rPr>
              <w:t xml:space="preserve"> $-   </w:t>
            </w:r>
          </w:p>
        </w:tc>
      </w:tr>
    </w:tbl>
    <w:p w:rsidR="00273A0D" w:rsidRPr="00975E6B" w:rsidRDefault="00273A0D" w:rsidP="00273A0D">
      <w:pPr>
        <w:pStyle w:val="FootnoteText"/>
        <w:rPr>
          <w:bCs/>
          <w:i/>
          <w:sz w:val="16"/>
          <w:szCs w:val="16"/>
        </w:rPr>
      </w:pPr>
      <w:r w:rsidRPr="00975E6B">
        <w:rPr>
          <w:bCs/>
          <w:i/>
          <w:sz w:val="16"/>
          <w:szCs w:val="16"/>
        </w:rPr>
        <w:t xml:space="preserve">Source: KPMG, based on </w:t>
      </w:r>
      <w:r w:rsidR="00901CD9" w:rsidRPr="00975E6B">
        <w:rPr>
          <w:bCs/>
          <w:i/>
          <w:sz w:val="16"/>
          <w:szCs w:val="16"/>
        </w:rPr>
        <w:t>Mackay Base</w:t>
      </w:r>
      <w:r w:rsidRPr="00975E6B">
        <w:rPr>
          <w:bCs/>
          <w:i/>
          <w:sz w:val="16"/>
          <w:szCs w:val="16"/>
        </w:rPr>
        <w:t xml:space="preserve"> and IHPA data</w:t>
      </w:r>
    </w:p>
    <w:p w:rsidR="00711600" w:rsidRPr="00975E6B" w:rsidRDefault="00711600">
      <w:pPr>
        <w:spacing w:line="240" w:lineRule="auto"/>
        <w:rPr>
          <w:b/>
          <w:bCs/>
          <w:color w:val="1F497D" w:themeColor="text2"/>
          <w:sz w:val="28"/>
          <w:szCs w:val="24"/>
        </w:rPr>
      </w:pPr>
      <w:r w:rsidRPr="00975E6B">
        <w:br w:type="page"/>
      </w:r>
    </w:p>
    <w:p w:rsidR="00273A0D" w:rsidRPr="00975E6B" w:rsidRDefault="00273A0D" w:rsidP="003B387A">
      <w:pPr>
        <w:pStyle w:val="Heading2"/>
        <w:numPr>
          <w:ilvl w:val="1"/>
          <w:numId w:val="77"/>
        </w:numPr>
      </w:pPr>
      <w:bookmarkStart w:id="742" w:name="_Toc444523665"/>
      <w:r w:rsidRPr="0080753B">
        <w:lastRenderedPageBreak/>
        <w:t>The</w:t>
      </w:r>
      <w:r w:rsidRPr="00975E6B">
        <w:t xml:space="preserve"> Prince Charles Hospital</w:t>
      </w:r>
      <w:bookmarkEnd w:id="742"/>
      <w:r w:rsidRPr="00975E6B">
        <w:t xml:space="preserve"> </w:t>
      </w:r>
    </w:p>
    <w:p w:rsidR="00273A0D" w:rsidRPr="00975E6B" w:rsidRDefault="00273A0D" w:rsidP="003B387A">
      <w:pPr>
        <w:pStyle w:val="Heading3"/>
        <w:numPr>
          <w:ilvl w:val="2"/>
          <w:numId w:val="77"/>
        </w:numPr>
      </w:pPr>
      <w:r w:rsidRPr="0080753B">
        <w:t>Overview</w:t>
      </w:r>
    </w:p>
    <w:p w:rsidR="00273A0D" w:rsidRPr="00975E6B" w:rsidRDefault="00273A0D" w:rsidP="00273A0D">
      <w:pPr>
        <w:pStyle w:val="BodyText"/>
      </w:pPr>
      <w:r w:rsidRPr="00975E6B">
        <w:t>The Prince Charles Hospital (</w:t>
      </w:r>
      <w:r w:rsidR="003F167A" w:rsidRPr="00975E6B">
        <w:t>Prince Charles</w:t>
      </w:r>
      <w:r w:rsidRPr="00975E6B">
        <w:t>) is a 630 bed major tertiary referral hospital located at Chermside within the Metro North Hospital and Health Service (</w:t>
      </w:r>
      <w:r w:rsidR="00875846" w:rsidRPr="00975E6B">
        <w:t>Metro North HHS</w:t>
      </w:r>
      <w:r w:rsidRPr="00975E6B">
        <w:t xml:space="preserve">). The </w:t>
      </w:r>
      <w:r w:rsidR="003F167A" w:rsidRPr="00975E6B">
        <w:t>Prince Charles</w:t>
      </w:r>
      <w:r w:rsidRPr="00975E6B">
        <w:t xml:space="preserve"> is located ten ki</w:t>
      </w:r>
      <w:r w:rsidR="000D4FFB" w:rsidRPr="00975E6B">
        <w:t>lometres north of the Brisbane central business district</w:t>
      </w:r>
      <w:r w:rsidRPr="00975E6B">
        <w:t xml:space="preserve">. The hospital employs about 3,500 staff and has the premier cardiac service for </w:t>
      </w:r>
      <w:r w:rsidR="00CA6430" w:rsidRPr="00975E6B">
        <w:t>Queensland</w:t>
      </w:r>
      <w:r w:rsidRPr="00975E6B">
        <w:t xml:space="preserve"> and northern N</w:t>
      </w:r>
      <w:r w:rsidR="00875846" w:rsidRPr="00975E6B">
        <w:t xml:space="preserve">ew </w:t>
      </w:r>
      <w:r w:rsidRPr="00975E6B">
        <w:t>S</w:t>
      </w:r>
      <w:r w:rsidR="00875846" w:rsidRPr="00975E6B">
        <w:t xml:space="preserve">outh </w:t>
      </w:r>
      <w:r w:rsidRPr="00975E6B">
        <w:t>W</w:t>
      </w:r>
      <w:r w:rsidR="00875846" w:rsidRPr="00975E6B">
        <w:t>ales,</w:t>
      </w:r>
      <w:r w:rsidRPr="00975E6B">
        <w:t xml:space="preserve"> providing specialised services in complex interventional cardiology, structural heart disease, and cardiac electrophysiology. The </w:t>
      </w:r>
      <w:r w:rsidR="003F167A" w:rsidRPr="00975E6B">
        <w:t>Prince Charles</w:t>
      </w:r>
      <w:r w:rsidRPr="00975E6B">
        <w:t xml:space="preserve"> also provides care over a broad range of specialties including:</w:t>
      </w:r>
    </w:p>
    <w:p w:rsidR="00273A0D" w:rsidRPr="00975E6B" w:rsidRDefault="00273A0D" w:rsidP="00F26328">
      <w:pPr>
        <w:pStyle w:val="BodyText"/>
        <w:numPr>
          <w:ilvl w:val="0"/>
          <w:numId w:val="47"/>
        </w:numPr>
      </w:pPr>
      <w:r w:rsidRPr="00975E6B">
        <w:t>Cardiac and thoracic medicine and surger</w:t>
      </w:r>
      <w:r w:rsidR="004C3D61" w:rsidRPr="00975E6B">
        <w:t>y</w:t>
      </w:r>
    </w:p>
    <w:p w:rsidR="00273A0D" w:rsidRPr="00975E6B" w:rsidRDefault="00273A0D" w:rsidP="00F26328">
      <w:pPr>
        <w:pStyle w:val="BodyText"/>
        <w:numPr>
          <w:ilvl w:val="0"/>
          <w:numId w:val="47"/>
        </w:numPr>
      </w:pPr>
      <w:r w:rsidRPr="00975E6B">
        <w:t>Emergency medicine – adults and childre</w:t>
      </w:r>
      <w:r w:rsidR="004C3D61" w:rsidRPr="00975E6B">
        <w:t>n</w:t>
      </w:r>
    </w:p>
    <w:p w:rsidR="00273A0D" w:rsidRPr="00975E6B" w:rsidRDefault="00273A0D" w:rsidP="00F26328">
      <w:pPr>
        <w:pStyle w:val="BodyText"/>
        <w:numPr>
          <w:ilvl w:val="0"/>
          <w:numId w:val="47"/>
        </w:numPr>
      </w:pPr>
      <w:r w:rsidRPr="00975E6B">
        <w:t>General medical and general surgical services</w:t>
      </w:r>
    </w:p>
    <w:p w:rsidR="00273A0D" w:rsidRPr="00975E6B" w:rsidRDefault="00273A0D" w:rsidP="00F26328">
      <w:pPr>
        <w:pStyle w:val="BodyText"/>
        <w:numPr>
          <w:ilvl w:val="0"/>
          <w:numId w:val="47"/>
        </w:numPr>
      </w:pPr>
      <w:r w:rsidRPr="00975E6B">
        <w:t>Orthopaedic joint surgery (elective)</w:t>
      </w:r>
    </w:p>
    <w:p w:rsidR="00273A0D" w:rsidRPr="00975E6B" w:rsidRDefault="00273A0D" w:rsidP="00F26328">
      <w:pPr>
        <w:pStyle w:val="BodyText"/>
        <w:numPr>
          <w:ilvl w:val="0"/>
          <w:numId w:val="47"/>
        </w:numPr>
      </w:pPr>
      <w:r w:rsidRPr="00975E6B">
        <w:t>Acute geriatrics and rehabilitative medicine</w:t>
      </w:r>
    </w:p>
    <w:p w:rsidR="00273A0D" w:rsidRPr="00975E6B" w:rsidRDefault="00273A0D" w:rsidP="00F26328">
      <w:pPr>
        <w:pStyle w:val="BodyText"/>
        <w:numPr>
          <w:ilvl w:val="0"/>
          <w:numId w:val="47"/>
        </w:numPr>
      </w:pPr>
      <w:r w:rsidRPr="00975E6B">
        <w:t xml:space="preserve">Children’s inpatient and </w:t>
      </w:r>
      <w:r w:rsidR="00FC6E55" w:rsidRPr="00975E6B">
        <w:t>non-admitted</w:t>
      </w:r>
      <w:r w:rsidRPr="00975E6B">
        <w:t xml:space="preserve"> services</w:t>
      </w:r>
    </w:p>
    <w:p w:rsidR="00273A0D" w:rsidRPr="00975E6B" w:rsidRDefault="00273A0D" w:rsidP="00F26328">
      <w:pPr>
        <w:pStyle w:val="BodyText"/>
        <w:numPr>
          <w:ilvl w:val="0"/>
          <w:numId w:val="47"/>
        </w:numPr>
      </w:pPr>
      <w:r w:rsidRPr="00975E6B">
        <w:t>Comprehensive and integrated mental health services</w:t>
      </w:r>
    </w:p>
    <w:p w:rsidR="00273A0D" w:rsidRPr="00975E6B" w:rsidRDefault="00273A0D" w:rsidP="00F26328">
      <w:pPr>
        <w:pStyle w:val="BodyText"/>
        <w:numPr>
          <w:ilvl w:val="0"/>
          <w:numId w:val="47"/>
        </w:numPr>
      </w:pPr>
      <w:r w:rsidRPr="00975E6B">
        <w:t>Palliative care.</w:t>
      </w:r>
    </w:p>
    <w:p w:rsidR="00273A0D" w:rsidRPr="00975E6B" w:rsidRDefault="003F167A" w:rsidP="00273A0D">
      <w:pPr>
        <w:pStyle w:val="BodyText"/>
      </w:pPr>
      <w:r w:rsidRPr="00975E6B">
        <w:t>Prince Charles</w:t>
      </w:r>
      <w:r w:rsidR="00273A0D" w:rsidRPr="00975E6B">
        <w:t xml:space="preserve"> is an active centre for education and research and is involved in numerous national and international research trials and projects. The </w:t>
      </w:r>
      <w:proofErr w:type="spellStart"/>
      <w:r w:rsidR="00273A0D" w:rsidRPr="00975E6B">
        <w:t>Northside</w:t>
      </w:r>
      <w:proofErr w:type="spellEnd"/>
      <w:r w:rsidR="00273A0D" w:rsidRPr="00975E6B">
        <w:t xml:space="preserve"> Medical School campus of the University of Queensland is located at </w:t>
      </w:r>
      <w:r w:rsidRPr="00975E6B">
        <w:t>Prince Charles</w:t>
      </w:r>
      <w:r w:rsidR="00273A0D" w:rsidRPr="00975E6B">
        <w:t xml:space="preserve"> along with the Queensland University of Technology Mechanical and Biological Engineering Facility. The site is a major training site for cardiothoracic sub specialties.</w:t>
      </w:r>
      <w:r w:rsidR="00273A0D" w:rsidRPr="00975E6B">
        <w:rPr>
          <w:rStyle w:val="FootnoteReference"/>
        </w:rPr>
        <w:footnoteReference w:id="7"/>
      </w:r>
    </w:p>
    <w:p w:rsidR="00273A0D" w:rsidRPr="00975E6B" w:rsidRDefault="00875846" w:rsidP="00273A0D">
      <w:pPr>
        <w:autoSpaceDE w:val="0"/>
        <w:autoSpaceDN w:val="0"/>
        <w:adjustRightInd w:val="0"/>
        <w:spacing w:before="120" w:after="120" w:line="280" w:lineRule="atLeast"/>
        <w:rPr>
          <w:szCs w:val="22"/>
        </w:rPr>
      </w:pPr>
      <w:r w:rsidRPr="00975E6B">
        <w:t>Metro North HHS</w:t>
      </w:r>
      <w:r w:rsidR="00273A0D" w:rsidRPr="00975E6B">
        <w:t xml:space="preserve"> has a centralised costing team who undertake costing for the entire </w:t>
      </w:r>
      <w:r w:rsidRPr="00975E6B">
        <w:t>Metro North service area</w:t>
      </w:r>
      <w:r w:rsidR="00273A0D" w:rsidRPr="00975E6B">
        <w:t>.</w:t>
      </w:r>
    </w:p>
    <w:p w:rsidR="00273A0D" w:rsidRPr="00975E6B" w:rsidRDefault="00273A0D" w:rsidP="003B387A">
      <w:pPr>
        <w:pStyle w:val="Heading3"/>
        <w:numPr>
          <w:ilvl w:val="2"/>
          <w:numId w:val="77"/>
        </w:numPr>
      </w:pPr>
      <w:r w:rsidRPr="00D1343E">
        <w:t>Financial</w:t>
      </w:r>
      <w:r w:rsidRPr="00975E6B">
        <w:t xml:space="preserve"> data</w:t>
      </w:r>
    </w:p>
    <w:p w:rsidR="00273A0D" w:rsidRPr="00975E6B" w:rsidRDefault="00273A0D" w:rsidP="00273A0D">
      <w:pPr>
        <w:pStyle w:val="BodyText"/>
      </w:pPr>
      <w:r w:rsidRPr="00975E6B">
        <w:t xml:space="preserve">For the Round 18 IFR, departmental representatives of </w:t>
      </w:r>
      <w:r w:rsidR="00CA6430" w:rsidRPr="00975E6B">
        <w:t>Queensland</w:t>
      </w:r>
      <w:r w:rsidRPr="00975E6B">
        <w:t xml:space="preserve"> Health completed the relevant IFR templates and participated in consultations during the review. </w:t>
      </w:r>
    </w:p>
    <w:p w:rsidR="00273A0D" w:rsidRPr="00975E6B" w:rsidRDefault="00273A0D" w:rsidP="00273A0D">
      <w:pPr>
        <w:pStyle w:val="BodyText"/>
      </w:pPr>
      <w:r w:rsidRPr="00975E6B">
        <w:fldChar w:fldCharType="begin"/>
      </w:r>
      <w:r w:rsidRPr="00975E6B">
        <w:instrText xml:space="preserve"> REF _Ref433303317 \h </w:instrText>
      </w:r>
      <w:r w:rsidR="00975E6B">
        <w:instrText xml:space="preserve"> \* MERGEFORMAT </w:instrText>
      </w:r>
      <w:r w:rsidRPr="00975E6B">
        <w:fldChar w:fldCharType="separate"/>
      </w:r>
      <w:r w:rsidR="00154CF7" w:rsidRPr="00975E6B">
        <w:t xml:space="preserve">Table </w:t>
      </w:r>
      <w:r w:rsidR="00154CF7">
        <w:rPr>
          <w:noProof/>
        </w:rPr>
        <w:t>48</w:t>
      </w:r>
      <w:r w:rsidRPr="00975E6B">
        <w:fldChar w:fldCharType="end"/>
      </w:r>
      <w:r w:rsidRPr="00975E6B">
        <w:t xml:space="preserve"> presents an overview of the template results for expenditures used for costing (at the hospital level), the jurisdictional process for cost data received and the IHPA process for cost data received.</w:t>
      </w:r>
    </w:p>
    <w:p w:rsidR="00273A0D" w:rsidRPr="00975E6B" w:rsidRDefault="00273A0D" w:rsidP="00273A0D">
      <w:pPr>
        <w:pStyle w:val="BodyText"/>
      </w:pPr>
    </w:p>
    <w:p w:rsidR="00273A0D" w:rsidRPr="00975E6B" w:rsidRDefault="00273A0D" w:rsidP="00273A0D">
      <w:pPr>
        <w:pStyle w:val="Caption"/>
        <w:sectPr w:rsidR="00273A0D" w:rsidRPr="00975E6B" w:rsidSect="00835E8A">
          <w:endnotePr>
            <w:numFmt w:val="decimal"/>
          </w:endnotePr>
          <w:pgSz w:w="11907" w:h="16840" w:code="9"/>
          <w:pgMar w:top="1964" w:right="1474" w:bottom="1588" w:left="1474" w:header="958" w:footer="737" w:gutter="454"/>
          <w:cols w:space="720"/>
          <w:docGrid w:linePitch="272"/>
        </w:sectPr>
      </w:pPr>
    </w:p>
    <w:p w:rsidR="00273A0D" w:rsidRPr="00975E6B" w:rsidRDefault="00273A0D" w:rsidP="00273A0D">
      <w:pPr>
        <w:pStyle w:val="Caption"/>
      </w:pPr>
      <w:bookmarkStart w:id="743" w:name="_Ref433303317"/>
      <w:r w:rsidRPr="00975E6B">
        <w:lastRenderedPageBreak/>
        <w:t xml:space="preserve">Table </w:t>
      </w:r>
      <w:fldSimple w:instr=" SEQ Table \* ARABIC ">
        <w:r w:rsidR="00154CF7">
          <w:rPr>
            <w:noProof/>
          </w:rPr>
          <w:t>48</w:t>
        </w:r>
      </w:fldSimple>
      <w:bookmarkEnd w:id="743"/>
      <w:r w:rsidRPr="00975E6B">
        <w:t xml:space="preserve"> </w:t>
      </w:r>
      <w:proofErr w:type="gramStart"/>
      <w:r w:rsidRPr="00975E6B">
        <w:t>– Round 18 NHCDC Reconciliation –</w:t>
      </w:r>
      <w:proofErr w:type="gramEnd"/>
      <w:r w:rsidRPr="00975E6B">
        <w:t xml:space="preserve"> The Prince Charles Hospital</w:t>
      </w:r>
    </w:p>
    <w:p w:rsidR="00273A0D" w:rsidRPr="00975E6B" w:rsidRDefault="007939A0" w:rsidP="00273A0D">
      <w:r>
        <w:rPr>
          <w:noProof/>
          <w:lang w:eastAsia="en-AU"/>
        </w:rPr>
        <w:drawing>
          <wp:inline distT="0" distB="0" distL="0" distR="0" wp14:anchorId="69C3C381" wp14:editId="16302241">
            <wp:extent cx="8543925" cy="3381375"/>
            <wp:effectExtent l="0" t="0" r="9525" b="9525"/>
            <wp:docPr id="28" name="Picture 24" descr="This table presents the financial reconciliation of hospital expenditure for Round 18 for The Prince Charles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 title="Table 48 - Round 18 NHCDC Reconciliation - The Prince Charles Hospi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This table presents the financial reconciliation of hospital expenditure for Round 18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8543925" cy="3381375"/>
                    </a:xfrm>
                    <a:prstGeom prst="rect">
                      <a:avLst/>
                    </a:prstGeom>
                    <a:noFill/>
                    <a:ln>
                      <a:noFill/>
                    </a:ln>
                  </pic:spPr>
                </pic:pic>
              </a:graphicData>
            </a:graphic>
          </wp:inline>
        </w:drawing>
      </w:r>
    </w:p>
    <w:p w:rsidR="00273A0D" w:rsidRPr="00975E6B" w:rsidRDefault="00273A0D" w:rsidP="00273A0D">
      <w:pPr>
        <w:rPr>
          <w:bCs/>
          <w:i/>
          <w:sz w:val="16"/>
          <w:szCs w:val="16"/>
        </w:rPr>
      </w:pPr>
      <w:r w:rsidRPr="00975E6B">
        <w:rPr>
          <w:bCs/>
          <w:i/>
          <w:sz w:val="16"/>
          <w:szCs w:val="16"/>
        </w:rPr>
        <w:t xml:space="preserve">Source: KPMG based on </w:t>
      </w:r>
      <w:r w:rsidR="003F167A" w:rsidRPr="00975E6B">
        <w:rPr>
          <w:bCs/>
          <w:i/>
          <w:sz w:val="16"/>
          <w:szCs w:val="16"/>
        </w:rPr>
        <w:t>Prince Charles</w:t>
      </w:r>
      <w:r w:rsidRPr="00975E6B">
        <w:rPr>
          <w:bCs/>
          <w:i/>
          <w:sz w:val="16"/>
          <w:szCs w:val="16"/>
        </w:rPr>
        <w:t xml:space="preserve"> IFR templates</w:t>
      </w:r>
    </w:p>
    <w:p w:rsidR="00273A0D" w:rsidRPr="00975E6B" w:rsidRDefault="00273A0D" w:rsidP="00273A0D">
      <w:pPr>
        <w:rPr>
          <w:bCs/>
          <w:i/>
          <w:sz w:val="16"/>
          <w:szCs w:val="16"/>
        </w:rPr>
      </w:pPr>
      <w:r w:rsidRPr="00975E6B">
        <w:rPr>
          <w:bCs/>
          <w:i/>
          <w:sz w:val="16"/>
          <w:szCs w:val="16"/>
        </w:rPr>
        <w:t>* These figures include admitted emergency costs.</w:t>
      </w:r>
    </w:p>
    <w:p w:rsidR="00273A0D" w:rsidRPr="00975E6B" w:rsidRDefault="00273A0D" w:rsidP="00273A0D">
      <w:pPr>
        <w:rPr>
          <w:bCs/>
          <w:i/>
          <w:sz w:val="16"/>
          <w:szCs w:val="16"/>
        </w:rPr>
      </w:pPr>
    </w:p>
    <w:p w:rsidR="00273A0D" w:rsidRPr="00975E6B" w:rsidRDefault="00273A0D" w:rsidP="00F26328">
      <w:pPr>
        <w:pStyle w:val="Heading4"/>
        <w:numPr>
          <w:ilvl w:val="3"/>
          <w:numId w:val="63"/>
        </w:numPr>
        <w:sectPr w:rsidR="00273A0D" w:rsidRPr="00975E6B" w:rsidSect="00835E8A">
          <w:endnotePr>
            <w:numFmt w:val="decimal"/>
          </w:endnotePr>
          <w:pgSz w:w="16840" w:h="11907" w:orient="landscape" w:code="9"/>
          <w:pgMar w:top="1474" w:right="1964" w:bottom="1474" w:left="1588" w:header="958" w:footer="737" w:gutter="454"/>
          <w:cols w:space="720"/>
          <w:docGrid w:linePitch="272"/>
        </w:sectPr>
      </w:pPr>
    </w:p>
    <w:p w:rsidR="00273A0D" w:rsidRPr="00975E6B" w:rsidRDefault="00273A0D" w:rsidP="00D1343E">
      <w:pPr>
        <w:pStyle w:val="Heading4"/>
        <w:numPr>
          <w:ilvl w:val="0"/>
          <w:numId w:val="0"/>
        </w:numPr>
      </w:pPr>
      <w:r w:rsidRPr="00975E6B">
        <w:lastRenderedPageBreak/>
        <w:t>Explanation of reconciliation items</w:t>
      </w:r>
    </w:p>
    <w:p w:rsidR="00273A0D" w:rsidRPr="00975E6B" w:rsidRDefault="00273A0D" w:rsidP="00273A0D">
      <w:pPr>
        <w:pStyle w:val="BodyText"/>
      </w:pPr>
      <w:r w:rsidRPr="00975E6B">
        <w:fldChar w:fldCharType="begin"/>
      </w:r>
      <w:r w:rsidRPr="00975E6B">
        <w:instrText xml:space="preserve"> REF _Ref433303335 \h </w:instrText>
      </w:r>
      <w:r w:rsidR="00975E6B">
        <w:instrText xml:space="preserve"> \* MERGEFORMAT </w:instrText>
      </w:r>
      <w:r w:rsidRPr="00975E6B">
        <w:fldChar w:fldCharType="separate"/>
      </w:r>
      <w:r w:rsidR="00154CF7" w:rsidRPr="00975E6B">
        <w:t xml:space="preserve">Table </w:t>
      </w:r>
      <w:r w:rsidR="00154CF7">
        <w:rPr>
          <w:noProof/>
        </w:rPr>
        <w:t>49</w:t>
      </w:r>
      <w:r w:rsidRPr="00975E6B">
        <w:fldChar w:fldCharType="end"/>
      </w:r>
      <w:r w:rsidRPr="00975E6B">
        <w:t xml:space="preserve"> discusses each of the reconciliation items, including adjustments, inclusions and exclusions to the GL.</w:t>
      </w:r>
    </w:p>
    <w:p w:rsidR="00273A0D" w:rsidRPr="00975E6B" w:rsidRDefault="00273A0D" w:rsidP="00273A0D">
      <w:pPr>
        <w:pStyle w:val="Caption"/>
      </w:pPr>
      <w:bookmarkStart w:id="744" w:name="_Ref433303335"/>
      <w:r w:rsidRPr="00975E6B">
        <w:t xml:space="preserve">Table </w:t>
      </w:r>
      <w:fldSimple w:instr=" SEQ Table \* ARABIC ">
        <w:r w:rsidR="00154CF7">
          <w:rPr>
            <w:noProof/>
          </w:rPr>
          <w:t>49</w:t>
        </w:r>
      </w:fldSimple>
      <w:bookmarkEnd w:id="744"/>
      <w:r w:rsidRPr="00975E6B">
        <w:t xml:space="preserve"> – </w:t>
      </w:r>
      <w:r w:rsidR="00704A46" w:rsidRPr="00975E6B">
        <w:t>Financial Reconciliation, explanation of items</w:t>
      </w:r>
      <w:r w:rsidRPr="00975E6B">
        <w:t xml:space="preserve"> – The Prince Charles Hospital</w:t>
      </w:r>
    </w:p>
    <w:tbl>
      <w:tblPr>
        <w:tblStyle w:val="ListTable4-Accent11"/>
        <w:tblW w:w="5000" w:type="pct"/>
        <w:tblLayout w:type="fixed"/>
        <w:tblLook w:val="0620" w:firstRow="1" w:lastRow="0" w:firstColumn="0" w:lastColumn="0" w:noHBand="1" w:noVBand="1"/>
        <w:tblCaption w:val="Table 49 - Financial reconciliation, explanation of items - The Prince Charles Hospital"/>
        <w:tblDescription w:val="This table describes the information presented in Table 48.  The first column is the item number (A to K), the second column is the title of the item number and the third column is a description of the financial information included at that item.&#10;"/>
      </w:tblPr>
      <w:tblGrid>
        <w:gridCol w:w="722"/>
        <w:gridCol w:w="2622"/>
        <w:gridCol w:w="5377"/>
      </w:tblGrid>
      <w:tr w:rsidR="00273A0D"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14" w:type="pct"/>
            <w:tcBorders>
              <w:right w:val="single" w:sz="4" w:space="0" w:color="548DD4" w:themeColor="text2" w:themeTint="99"/>
            </w:tcBorders>
            <w:shd w:val="clear" w:color="auto" w:fill="002060"/>
            <w:noWrap/>
          </w:tcPr>
          <w:p w:rsidR="00273A0D" w:rsidRPr="00975E6B" w:rsidRDefault="00273A0D" w:rsidP="0029344A">
            <w:r w:rsidRPr="00975E6B">
              <w:t>Item</w:t>
            </w:r>
          </w:p>
        </w:tc>
        <w:tc>
          <w:tcPr>
            <w:tcW w:w="1503" w:type="pct"/>
            <w:tcBorders>
              <w:left w:val="single" w:sz="4" w:space="0" w:color="548DD4" w:themeColor="text2" w:themeTint="99"/>
            </w:tcBorders>
            <w:shd w:val="clear" w:color="auto" w:fill="002060"/>
          </w:tcPr>
          <w:p w:rsidR="00273A0D" w:rsidRPr="00975E6B" w:rsidRDefault="00273A0D" w:rsidP="0029344A">
            <w:r w:rsidRPr="00975E6B">
              <w:t>Heading</w:t>
            </w:r>
          </w:p>
        </w:tc>
        <w:tc>
          <w:tcPr>
            <w:tcW w:w="3083" w:type="pct"/>
            <w:tcBorders>
              <w:left w:val="single" w:sz="4" w:space="0" w:color="548DD4" w:themeColor="text2" w:themeTint="99"/>
            </w:tcBorders>
            <w:shd w:val="clear" w:color="auto" w:fill="002060"/>
          </w:tcPr>
          <w:p w:rsidR="00273A0D" w:rsidRPr="00975E6B" w:rsidRDefault="00273A0D" w:rsidP="0029344A">
            <w:r w:rsidRPr="00975E6B">
              <w:t>Discussion</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A</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General Ledger</w:t>
            </w:r>
          </w:p>
        </w:tc>
        <w:tc>
          <w:tcPr>
            <w:tcW w:w="3083" w:type="pct"/>
            <w:tcBorders>
              <w:left w:val="single" w:sz="4" w:space="0" w:color="548DD4" w:themeColor="text2" w:themeTint="99"/>
            </w:tcBorders>
          </w:tcPr>
          <w:p w:rsidR="00273A0D" w:rsidRPr="00975E6B" w:rsidRDefault="00273A0D" w:rsidP="00EC75FC">
            <w:pPr>
              <w:pStyle w:val="BodyText"/>
            </w:pPr>
            <w:r w:rsidRPr="00975E6B">
              <w:t>The final GL extracted from the financial systems indicate</w:t>
            </w:r>
            <w:r w:rsidR="00A31593" w:rsidRPr="00975E6B">
              <w:t>d</w:t>
            </w:r>
            <w:r w:rsidRPr="00975E6B">
              <w:t xml:space="preserve"> expenditure of $2.1 billion. This GL include</w:t>
            </w:r>
            <w:r w:rsidR="00A31593" w:rsidRPr="00975E6B">
              <w:t>d</w:t>
            </w:r>
            <w:r w:rsidRPr="00975E6B">
              <w:t xml:space="preserve"> all expenditure for the </w:t>
            </w:r>
            <w:r w:rsidR="00875846" w:rsidRPr="00975E6B">
              <w:t>Metro North HHS</w:t>
            </w:r>
            <w:r w:rsidRPr="00975E6B">
              <w:t>.</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B</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Adjustments to the GL</w:t>
            </w:r>
          </w:p>
        </w:tc>
        <w:tc>
          <w:tcPr>
            <w:tcW w:w="3083" w:type="pct"/>
            <w:tcBorders>
              <w:left w:val="single" w:sz="4" w:space="0" w:color="548DD4" w:themeColor="text2" w:themeTint="99"/>
            </w:tcBorders>
          </w:tcPr>
          <w:p w:rsidR="00273A0D" w:rsidRPr="00975E6B" w:rsidRDefault="00273A0D" w:rsidP="0029344A">
            <w:pPr>
              <w:pStyle w:val="BodyText"/>
            </w:pPr>
            <w:r w:rsidRPr="00975E6B">
              <w:t>A number of adjustments are made to the GL. Excluded expenditure totals $1.51 billion and comprise</w:t>
            </w:r>
            <w:r w:rsidR="00A31593" w:rsidRPr="00975E6B">
              <w:t>d</w:t>
            </w:r>
            <w:r w:rsidRPr="00975E6B">
              <w:t>:</w:t>
            </w:r>
          </w:p>
          <w:p w:rsidR="00273A0D" w:rsidRPr="00975E6B" w:rsidRDefault="00273A0D" w:rsidP="00F26328">
            <w:pPr>
              <w:pStyle w:val="BodyText"/>
              <w:numPr>
                <w:ilvl w:val="0"/>
                <w:numId w:val="44"/>
              </w:numPr>
            </w:pPr>
            <w:r w:rsidRPr="00975E6B">
              <w:t>Other hospital and health service financial data included in the GL totalling $1.5 billion</w:t>
            </w:r>
            <w:r w:rsidR="004C3D61" w:rsidRPr="00975E6B">
              <w:t>.</w:t>
            </w:r>
          </w:p>
          <w:p w:rsidR="00273A0D" w:rsidRPr="00975E6B" w:rsidRDefault="00273A0D" w:rsidP="00F26328">
            <w:pPr>
              <w:pStyle w:val="BodyText"/>
              <w:numPr>
                <w:ilvl w:val="0"/>
                <w:numId w:val="44"/>
              </w:numPr>
              <w:rPr>
                <w:i/>
              </w:rPr>
            </w:pPr>
            <w:r w:rsidRPr="00975E6B">
              <w:t xml:space="preserve">Out of scope expenditure including commercial entities, and trust accounts totalling $16.6 million. </w:t>
            </w:r>
          </w:p>
          <w:p w:rsidR="00273A0D" w:rsidRPr="00975E6B" w:rsidRDefault="00273A0D">
            <w:pPr>
              <w:pStyle w:val="BodyText"/>
            </w:pPr>
            <w:r w:rsidRPr="00975E6B">
              <w:t>These adjustments established an expenditure base for costing of $592.9 million. This was approximately 28</w:t>
            </w:r>
            <w:r w:rsidR="00DA7807" w:rsidRPr="00975E6B">
              <w:t> percent</w:t>
            </w:r>
            <w:r w:rsidRPr="00975E6B">
              <w:t xml:space="preserve"> of total expenditure reported in the </w:t>
            </w:r>
            <w:r w:rsidR="00E82391" w:rsidRPr="00975E6B">
              <w:t xml:space="preserve">Metro North HHS </w:t>
            </w:r>
            <w:r w:rsidRPr="00975E6B">
              <w:t>GL.</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C</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Allocation of Costs</w:t>
            </w:r>
          </w:p>
        </w:tc>
        <w:tc>
          <w:tcPr>
            <w:tcW w:w="3083" w:type="pct"/>
            <w:tcBorders>
              <w:left w:val="single" w:sz="4" w:space="0" w:color="548DD4" w:themeColor="text2" w:themeTint="99"/>
            </w:tcBorders>
          </w:tcPr>
          <w:p w:rsidR="00273A0D" w:rsidRPr="00975E6B" w:rsidRDefault="00273A0D" w:rsidP="0029344A">
            <w:pPr>
              <w:pStyle w:val="BodyText"/>
            </w:pPr>
            <w:r w:rsidRPr="00975E6B">
              <w:t xml:space="preserve">The hospital undertakes a process of reclass/transfers etc. between direct cost centres. In </w:t>
            </w:r>
            <w:r w:rsidR="00CA6430" w:rsidRPr="00975E6B">
              <w:t>Queensland</w:t>
            </w:r>
            <w:r w:rsidRPr="00975E6B">
              <w:t xml:space="preserve"> this process is undertaken through derived accounts. The net effect of these derived accounts </w:t>
            </w:r>
            <w:r w:rsidR="0074117C" w:rsidRPr="00975E6B">
              <w:t xml:space="preserve">was </w:t>
            </w:r>
            <w:r w:rsidRPr="00975E6B">
              <w:t>zero. Reclass/transfers are determined based on discussions with cost centre managers.</w:t>
            </w:r>
          </w:p>
          <w:p w:rsidR="00273A0D" w:rsidRPr="00975E6B" w:rsidRDefault="00273A0D" w:rsidP="00F26328">
            <w:pPr>
              <w:pStyle w:val="BodyText"/>
              <w:numPr>
                <w:ilvl w:val="0"/>
                <w:numId w:val="38"/>
              </w:numPr>
            </w:pPr>
            <w:r w:rsidRPr="00975E6B">
              <w:t>It was observed that a total of $516.3 million direct cost centres were allocated pre and post allocation.</w:t>
            </w:r>
          </w:p>
          <w:p w:rsidR="00273A0D" w:rsidRPr="00975E6B" w:rsidRDefault="00273A0D" w:rsidP="00F26328">
            <w:pPr>
              <w:pStyle w:val="BodyText"/>
              <w:numPr>
                <w:ilvl w:val="0"/>
                <w:numId w:val="38"/>
              </w:numPr>
            </w:pPr>
            <w:r w:rsidRPr="00975E6B">
              <w:t>It was observed that overheads of $76.6 million were allocated to direct cost centres pre and post allocation.</w:t>
            </w:r>
          </w:p>
          <w:p w:rsidR="00273A0D" w:rsidRPr="00975E6B" w:rsidRDefault="00273A0D" w:rsidP="0029344A">
            <w:pPr>
              <w:pStyle w:val="BodyText"/>
            </w:pPr>
            <w:r w:rsidRPr="00975E6B">
              <w:t xml:space="preserve">The total direct and overhead post allocation amount was equal to $592.9 million. </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D</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Post Allocation Adjustments</w:t>
            </w:r>
          </w:p>
        </w:tc>
        <w:tc>
          <w:tcPr>
            <w:tcW w:w="3083" w:type="pct"/>
            <w:tcBorders>
              <w:left w:val="single" w:sz="4" w:space="0" w:color="548DD4" w:themeColor="text2" w:themeTint="99"/>
            </w:tcBorders>
          </w:tcPr>
          <w:p w:rsidR="00273A0D" w:rsidRPr="00975E6B" w:rsidRDefault="00273A0D" w:rsidP="0029344A">
            <w:pPr>
              <w:pStyle w:val="BodyText"/>
            </w:pPr>
            <w:r w:rsidRPr="00975E6B">
              <w:t>Costs were adjusted after the allocation of costs in Item C. These amounts comprise</w:t>
            </w:r>
            <w:r w:rsidR="00A31593" w:rsidRPr="00975E6B">
              <w:t>d</w:t>
            </w:r>
            <w:r w:rsidRPr="00975E6B">
              <w:t xml:space="preserve">: </w:t>
            </w:r>
          </w:p>
          <w:p w:rsidR="00273A0D" w:rsidRPr="00975E6B" w:rsidRDefault="00273A0D" w:rsidP="00F26328">
            <w:pPr>
              <w:pStyle w:val="BodyText"/>
              <w:numPr>
                <w:ilvl w:val="0"/>
                <w:numId w:val="38"/>
              </w:numPr>
            </w:pPr>
            <w:r w:rsidRPr="00975E6B">
              <w:t xml:space="preserve">$10.2 million in mismatched cost records. This amount </w:t>
            </w:r>
            <w:r w:rsidR="0074117C" w:rsidRPr="00975E6B">
              <w:t xml:space="preserve">was </w:t>
            </w:r>
            <w:r w:rsidRPr="00975E6B">
              <w:t xml:space="preserve">related to costs in Transition 2 (the costing software used by </w:t>
            </w:r>
            <w:r w:rsidR="00875846" w:rsidRPr="00975E6B">
              <w:t>Metro North HHS</w:t>
            </w:r>
            <w:r w:rsidRPr="00975E6B">
              <w:t xml:space="preserve">) that should be deleted after </w:t>
            </w:r>
            <w:proofErr w:type="spellStart"/>
            <w:r w:rsidRPr="00975E6B">
              <w:t>recosting</w:t>
            </w:r>
            <w:proofErr w:type="spellEnd"/>
            <w:r w:rsidRPr="00975E6B">
              <w:t xml:space="preserve"> for </w:t>
            </w:r>
            <w:r w:rsidR="003F167A" w:rsidRPr="00975E6B">
              <w:t>Prince Charles</w:t>
            </w:r>
            <w:r w:rsidRPr="00975E6B">
              <w:t xml:space="preserve">. </w:t>
            </w:r>
            <w:r w:rsidR="00875846" w:rsidRPr="00975E6B">
              <w:t>Metro North HHS</w:t>
            </w:r>
            <w:r w:rsidRPr="00975E6B">
              <w:t xml:space="preserve"> does not delete these records from the system, </w:t>
            </w:r>
            <w:r w:rsidR="00A31593" w:rsidRPr="00975E6B">
              <w:t xml:space="preserve">and </w:t>
            </w:r>
            <w:r w:rsidRPr="00975E6B">
              <w:t xml:space="preserve">neither does the </w:t>
            </w:r>
            <w:r w:rsidR="00CA6430" w:rsidRPr="00975E6B">
              <w:t>Queensland</w:t>
            </w:r>
            <w:r w:rsidRPr="00975E6B">
              <w:t xml:space="preserve"> Health </w:t>
            </w:r>
            <w:r w:rsidRPr="00975E6B">
              <w:lastRenderedPageBreak/>
              <w:t xml:space="preserve">for the purposes of the continuing </w:t>
            </w:r>
            <w:r w:rsidR="00875846" w:rsidRPr="00975E6B">
              <w:t xml:space="preserve">quality assurance </w:t>
            </w:r>
            <w:r w:rsidRPr="00975E6B">
              <w:t>process on the cost data. These costs are excluded prior to submission. See Item G below.</w:t>
            </w:r>
          </w:p>
          <w:p w:rsidR="00273A0D" w:rsidRPr="00975E6B" w:rsidRDefault="00273A0D" w:rsidP="00F26328">
            <w:pPr>
              <w:pStyle w:val="BodyText"/>
              <w:numPr>
                <w:ilvl w:val="0"/>
                <w:numId w:val="38"/>
              </w:numPr>
            </w:pPr>
            <w:r w:rsidRPr="00975E6B">
              <w:t xml:space="preserve">$15.7 million in WIP from 2012/13 </w:t>
            </w:r>
            <w:r w:rsidR="0074117C" w:rsidRPr="00975E6B">
              <w:t xml:space="preserve">was </w:t>
            </w:r>
            <w:r w:rsidRPr="00975E6B">
              <w:t>included post allocation.</w:t>
            </w:r>
          </w:p>
          <w:p w:rsidR="00273A0D" w:rsidRPr="00975E6B" w:rsidRDefault="00273A0D" w:rsidP="00EC75FC">
            <w:pPr>
              <w:pStyle w:val="BodyText"/>
            </w:pPr>
            <w:r w:rsidRPr="00975E6B">
              <w:t>The total expenditure allocated to patients was $618.8 million. As this amount include</w:t>
            </w:r>
            <w:r w:rsidR="00A31593" w:rsidRPr="00975E6B">
              <w:t>d</w:t>
            </w:r>
            <w:r w:rsidRPr="00975E6B">
              <w:t xml:space="preserve"> prior year costs (i.e. WIP 2012/13), no percentage of the GL </w:t>
            </w:r>
            <w:r w:rsidR="00A31593" w:rsidRPr="00975E6B">
              <w:t>wa</w:t>
            </w:r>
            <w:r w:rsidRPr="00975E6B">
              <w:t>s calculated.</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lastRenderedPageBreak/>
              <w:t>E</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Costed products submitted to jurisdiction</w:t>
            </w:r>
          </w:p>
        </w:tc>
        <w:tc>
          <w:tcPr>
            <w:tcW w:w="3083" w:type="pct"/>
            <w:tcBorders>
              <w:left w:val="single" w:sz="4" w:space="0" w:color="548DD4" w:themeColor="text2" w:themeTint="99"/>
            </w:tcBorders>
          </w:tcPr>
          <w:p w:rsidR="00273A0D" w:rsidRPr="00975E6B" w:rsidRDefault="00273A0D">
            <w:pPr>
              <w:pStyle w:val="BodyText"/>
            </w:pPr>
            <w:r w:rsidRPr="00975E6B">
              <w:t>Costs derived by the hospital and reported at product level reconcile</w:t>
            </w:r>
            <w:r w:rsidR="00A31593" w:rsidRPr="00975E6B">
              <w:t>d</w:t>
            </w:r>
            <w:r w:rsidRPr="00975E6B">
              <w:t xml:space="preserve"> to $618.8 million. The hospital included </w:t>
            </w:r>
            <w:r w:rsidR="008E6DA4" w:rsidRPr="00975E6B">
              <w:t>a</w:t>
            </w:r>
            <w:r w:rsidRPr="00975E6B">
              <w:t xml:space="preserve">cute, </w:t>
            </w:r>
            <w:r w:rsidR="008E6DA4" w:rsidRPr="00975E6B">
              <w:t>non</w:t>
            </w:r>
            <w:r w:rsidR="00366F39" w:rsidRPr="00975E6B">
              <w:t>-admitted</w:t>
            </w:r>
            <w:r w:rsidRPr="00975E6B">
              <w:t xml:space="preserve">, </w:t>
            </w:r>
            <w:r w:rsidR="008E6DA4" w:rsidRPr="00975E6B">
              <w:t>emergency</w:t>
            </w:r>
            <w:r w:rsidRPr="00975E6B">
              <w:t xml:space="preserve">, </w:t>
            </w:r>
            <w:r w:rsidR="002A25A7" w:rsidRPr="00975E6B">
              <w:t>subacute</w:t>
            </w:r>
            <w:r w:rsidRPr="00975E6B">
              <w:t xml:space="preserve"> and </w:t>
            </w:r>
            <w:r w:rsidR="008E6DA4" w:rsidRPr="00975E6B">
              <w:t xml:space="preserve">other </w:t>
            </w:r>
            <w:r w:rsidRPr="00975E6B">
              <w:t>costed products.</w:t>
            </w:r>
          </w:p>
        </w:tc>
      </w:tr>
      <w:tr w:rsidR="00273A0D" w:rsidRPr="00975E6B" w:rsidTr="0029344A">
        <w:trPr>
          <w:trHeight w:val="285"/>
        </w:trPr>
        <w:tc>
          <w:tcPr>
            <w:tcW w:w="414" w:type="pct"/>
            <w:tcBorders>
              <w:right w:val="single" w:sz="4" w:space="0" w:color="548DD4" w:themeColor="text2" w:themeTint="99"/>
            </w:tcBorders>
            <w:noWrap/>
          </w:tcPr>
          <w:p w:rsidR="00273A0D" w:rsidRPr="00975E6B" w:rsidRDefault="00273A0D" w:rsidP="0029344A">
            <w:pPr>
              <w:pStyle w:val="BodyText"/>
            </w:pPr>
            <w:r w:rsidRPr="00975E6B">
              <w:t>F</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Costed Products received by jurisdiction</w:t>
            </w:r>
          </w:p>
        </w:tc>
        <w:tc>
          <w:tcPr>
            <w:tcW w:w="3083" w:type="pct"/>
            <w:tcBorders>
              <w:left w:val="single" w:sz="4" w:space="0" w:color="548DD4" w:themeColor="text2" w:themeTint="99"/>
            </w:tcBorders>
          </w:tcPr>
          <w:p w:rsidR="00273A0D" w:rsidRPr="00975E6B" w:rsidRDefault="00273A0D" w:rsidP="0029344A">
            <w:pPr>
              <w:pStyle w:val="BodyText"/>
            </w:pPr>
            <w:r w:rsidRPr="00975E6B">
              <w:t>No variance was noted between Items E and F.</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G</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Final Adjustments</w:t>
            </w:r>
          </w:p>
        </w:tc>
        <w:tc>
          <w:tcPr>
            <w:tcW w:w="3083" w:type="pct"/>
            <w:tcBorders>
              <w:left w:val="single" w:sz="4" w:space="0" w:color="548DD4" w:themeColor="text2" w:themeTint="99"/>
            </w:tcBorders>
          </w:tcPr>
          <w:p w:rsidR="00273A0D" w:rsidRPr="00975E6B" w:rsidRDefault="00CA6430" w:rsidP="0029344A">
            <w:pPr>
              <w:pStyle w:val="BodyText"/>
            </w:pPr>
            <w:r w:rsidRPr="00975E6B">
              <w:t>Queensland</w:t>
            </w:r>
            <w:r w:rsidR="00273A0D" w:rsidRPr="00975E6B">
              <w:t xml:space="preserve"> Health makes a number of adjustments to the hospital submission. The adjustments made for Round</w:t>
            </w:r>
            <w:r w:rsidR="00875846" w:rsidRPr="00975E6B">
              <w:t> </w:t>
            </w:r>
            <w:r w:rsidR="00273A0D" w:rsidRPr="00975E6B">
              <w:t>18 totalled $138.7 million and included:</w:t>
            </w:r>
          </w:p>
          <w:p w:rsidR="00273A0D" w:rsidRPr="00975E6B" w:rsidRDefault="00273A0D" w:rsidP="00F26328">
            <w:pPr>
              <w:pStyle w:val="BodyText"/>
              <w:numPr>
                <w:ilvl w:val="0"/>
                <w:numId w:val="45"/>
              </w:numPr>
            </w:pPr>
            <w:r w:rsidRPr="00975E6B">
              <w:t>Corporate overhead costs included of $3.3 million.</w:t>
            </w:r>
          </w:p>
          <w:p w:rsidR="00273A0D" w:rsidRPr="00975E6B" w:rsidRDefault="00273A0D" w:rsidP="00F26328">
            <w:pPr>
              <w:pStyle w:val="BodyText"/>
              <w:numPr>
                <w:ilvl w:val="0"/>
                <w:numId w:val="45"/>
              </w:numPr>
            </w:pPr>
            <w:r w:rsidRPr="00975E6B">
              <w:t xml:space="preserve">Cost centres with negative balances removed of $4.2 million. Note this has a positive impact on the total </w:t>
            </w:r>
            <w:r w:rsidR="00EF71BF" w:rsidRPr="00975E6B">
              <w:t>costs</w:t>
            </w:r>
            <w:r w:rsidRPr="00975E6B">
              <w:t>.</w:t>
            </w:r>
          </w:p>
          <w:p w:rsidR="00273A0D" w:rsidRPr="00975E6B" w:rsidRDefault="00273A0D" w:rsidP="00F26328">
            <w:pPr>
              <w:pStyle w:val="BodyText"/>
              <w:numPr>
                <w:ilvl w:val="0"/>
                <w:numId w:val="45"/>
              </w:numPr>
            </w:pPr>
            <w:r w:rsidRPr="00975E6B">
              <w:t xml:space="preserve">Excluded </w:t>
            </w:r>
            <w:r w:rsidR="00EF71BF" w:rsidRPr="00975E6B">
              <w:t xml:space="preserve">costs </w:t>
            </w:r>
            <w:r w:rsidRPr="00975E6B">
              <w:t xml:space="preserve">related to admitted </w:t>
            </w:r>
            <w:r w:rsidR="00E80193" w:rsidRPr="00975E6B">
              <w:t>emergency</w:t>
            </w:r>
            <w:r w:rsidRPr="00975E6B">
              <w:t xml:space="preserve"> episodes with no matching </w:t>
            </w:r>
            <w:r w:rsidR="00366F39" w:rsidRPr="00975E6B">
              <w:t>admitted</w:t>
            </w:r>
            <w:r w:rsidR="00846982" w:rsidRPr="00975E6B">
              <w:t xml:space="preserve"> acute</w:t>
            </w:r>
            <w:r w:rsidRPr="00975E6B">
              <w:t xml:space="preserve"> episodes of $</w:t>
            </w:r>
            <w:r w:rsidR="009141CB" w:rsidRPr="00975E6B">
              <w:t>318,381</w:t>
            </w:r>
            <w:r w:rsidRPr="00975E6B">
              <w:t>.</w:t>
            </w:r>
          </w:p>
          <w:p w:rsidR="00273A0D" w:rsidRPr="00975E6B" w:rsidRDefault="00273A0D" w:rsidP="00F26328">
            <w:pPr>
              <w:pStyle w:val="BodyText"/>
              <w:numPr>
                <w:ilvl w:val="0"/>
                <w:numId w:val="45"/>
              </w:numPr>
            </w:pPr>
            <w:r w:rsidRPr="00975E6B">
              <w:t xml:space="preserve">Excluded </w:t>
            </w:r>
            <w:r w:rsidR="00EF71BF" w:rsidRPr="00975E6B">
              <w:t xml:space="preserve">costs </w:t>
            </w:r>
            <w:r w:rsidRPr="00975E6B">
              <w:t>related to unlinked records and mismatched records of $13.4 million. This included $10.2 million in mismatched records discussed in Item</w:t>
            </w:r>
            <w:r w:rsidR="009141CB" w:rsidRPr="00975E6B">
              <w:t> </w:t>
            </w:r>
            <w:r w:rsidRPr="00975E6B">
              <w:t>D.</w:t>
            </w:r>
          </w:p>
          <w:p w:rsidR="00273A0D" w:rsidRPr="00975E6B" w:rsidRDefault="00273A0D" w:rsidP="00F26328">
            <w:pPr>
              <w:pStyle w:val="BodyText"/>
              <w:numPr>
                <w:ilvl w:val="0"/>
                <w:numId w:val="45"/>
              </w:numPr>
            </w:pPr>
            <w:r w:rsidRPr="00975E6B">
              <w:t xml:space="preserve">Excluded </w:t>
            </w:r>
            <w:r w:rsidR="00EF71BF" w:rsidRPr="00975E6B">
              <w:t xml:space="preserve">costs </w:t>
            </w:r>
            <w:r w:rsidRPr="00975E6B">
              <w:t>of $25,207.</w:t>
            </w:r>
          </w:p>
          <w:p w:rsidR="00273A0D" w:rsidRPr="00975E6B" w:rsidRDefault="00273A0D" w:rsidP="00F26328">
            <w:pPr>
              <w:pStyle w:val="BodyText"/>
              <w:numPr>
                <w:ilvl w:val="0"/>
                <w:numId w:val="45"/>
              </w:numPr>
            </w:pPr>
            <w:r w:rsidRPr="00975E6B">
              <w:t>Encounters with negative costs excluded of $</w:t>
            </w:r>
            <w:r w:rsidR="009141CB" w:rsidRPr="00975E6B">
              <w:t>162,846</w:t>
            </w:r>
            <w:r w:rsidRPr="00975E6B">
              <w:t xml:space="preserve">. Note this has a positive impact on the total </w:t>
            </w:r>
            <w:r w:rsidR="00EF71BF" w:rsidRPr="00975E6B">
              <w:t>costs</w:t>
            </w:r>
            <w:r w:rsidRPr="00975E6B">
              <w:t>.</w:t>
            </w:r>
          </w:p>
          <w:p w:rsidR="00273A0D" w:rsidRPr="00975E6B" w:rsidRDefault="00273A0D" w:rsidP="00F26328">
            <w:pPr>
              <w:pStyle w:val="BodyText"/>
              <w:numPr>
                <w:ilvl w:val="0"/>
                <w:numId w:val="45"/>
              </w:numPr>
            </w:pPr>
            <w:r w:rsidRPr="00975E6B">
              <w:t>Virtual Patient feeder data excluded totalling $111.6 million.</w:t>
            </w:r>
          </w:p>
          <w:p w:rsidR="00273A0D" w:rsidRPr="00975E6B" w:rsidRDefault="00B83F07" w:rsidP="00F26328">
            <w:pPr>
              <w:pStyle w:val="BodyText"/>
              <w:numPr>
                <w:ilvl w:val="0"/>
                <w:numId w:val="45"/>
              </w:numPr>
            </w:pPr>
            <w:r w:rsidRPr="00975E6B">
              <w:t>WIP</w:t>
            </w:r>
            <w:r w:rsidR="00273A0D" w:rsidRPr="00975E6B">
              <w:t xml:space="preserve"> costs of $21.1 million for those patients not discharged in 2013/14. </w:t>
            </w:r>
            <w:r w:rsidR="00273A0D" w:rsidRPr="00975E6B">
              <w:rPr>
                <w:lang w:val="en-US"/>
              </w:rPr>
              <w:t>The WIP costs excluded are for episodes still in treatment i.e. admitted but not yet discharged (at 30</w:t>
            </w:r>
            <w:r w:rsidR="009141CB" w:rsidRPr="00975E6B">
              <w:rPr>
                <w:lang w:val="en-US"/>
              </w:rPr>
              <w:t xml:space="preserve"> June </w:t>
            </w:r>
            <w:r w:rsidR="00273A0D" w:rsidRPr="00975E6B">
              <w:rPr>
                <w:lang w:val="en-US"/>
              </w:rPr>
              <w:t>2014).</w:t>
            </w:r>
            <w:r w:rsidR="00273A0D" w:rsidRPr="00975E6B">
              <w:rPr>
                <w:i/>
                <w:color w:val="FF0000"/>
              </w:rPr>
              <w:t xml:space="preserve"> </w:t>
            </w:r>
          </w:p>
          <w:p w:rsidR="00273A0D" w:rsidRPr="00975E6B" w:rsidRDefault="00273A0D" w:rsidP="0029344A">
            <w:pPr>
              <w:pStyle w:val="BodyText"/>
            </w:pPr>
            <w:r w:rsidRPr="00975E6B">
              <w:lastRenderedPageBreak/>
              <w:t xml:space="preserve">The total NHCDC costs submitted to IHPA by </w:t>
            </w:r>
            <w:r w:rsidR="00CA6430" w:rsidRPr="00975E6B">
              <w:t>Queensland</w:t>
            </w:r>
            <w:r w:rsidRPr="00975E6B">
              <w:t xml:space="preserve"> Health was $480.1 million.</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lastRenderedPageBreak/>
              <w:t>H</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Costed products submitted to IHPA</w:t>
            </w:r>
          </w:p>
        </w:tc>
        <w:tc>
          <w:tcPr>
            <w:tcW w:w="3083" w:type="pct"/>
            <w:tcBorders>
              <w:left w:val="single" w:sz="4" w:space="0" w:color="548DD4" w:themeColor="text2" w:themeTint="99"/>
            </w:tcBorders>
          </w:tcPr>
          <w:p w:rsidR="00273A0D" w:rsidRPr="00975E6B" w:rsidRDefault="00273A0D">
            <w:pPr>
              <w:pStyle w:val="BodyText"/>
            </w:pPr>
            <w:r w:rsidRPr="00975E6B">
              <w:t>Costs submitted to IHPA and reported at product level reconcile</w:t>
            </w:r>
            <w:r w:rsidR="00A31593" w:rsidRPr="00975E6B">
              <w:t>d</w:t>
            </w:r>
            <w:r w:rsidRPr="00975E6B">
              <w:t xml:space="preserve"> to $480.1 million. </w:t>
            </w:r>
            <w:r w:rsidR="00CA6430" w:rsidRPr="00975E6B">
              <w:t>Queensland</w:t>
            </w:r>
            <w:r w:rsidRPr="00975E6B">
              <w:t xml:space="preserve"> Health included </w:t>
            </w:r>
            <w:r w:rsidR="008E6DA4" w:rsidRPr="00975E6B">
              <w:t>acute</w:t>
            </w:r>
            <w:r w:rsidRPr="00975E6B">
              <w:t xml:space="preserve">, </w:t>
            </w:r>
            <w:r w:rsidR="008E6DA4" w:rsidRPr="00975E6B">
              <w:t>non</w:t>
            </w:r>
            <w:r w:rsidR="00366F39" w:rsidRPr="00975E6B">
              <w:t>-admitted</w:t>
            </w:r>
            <w:r w:rsidRPr="00975E6B">
              <w:t xml:space="preserve">, </w:t>
            </w:r>
            <w:r w:rsidR="008E6DA4" w:rsidRPr="00975E6B">
              <w:t>emergency</w:t>
            </w:r>
            <w:r w:rsidRPr="00975E6B">
              <w:t xml:space="preserve">, </w:t>
            </w:r>
            <w:r w:rsidR="002A25A7" w:rsidRPr="00975E6B">
              <w:t>subacute</w:t>
            </w:r>
            <w:r w:rsidRPr="00975E6B">
              <w:t xml:space="preserve"> and </w:t>
            </w:r>
            <w:r w:rsidR="008E6DA4" w:rsidRPr="00975E6B">
              <w:t xml:space="preserve">other </w:t>
            </w:r>
            <w:r w:rsidRPr="00975E6B">
              <w:t xml:space="preserve">costed products. </w:t>
            </w:r>
            <w:r w:rsidR="00A31593" w:rsidRPr="00975E6B">
              <w:t>A</w:t>
            </w:r>
            <w:r w:rsidRPr="00975E6B">
              <w:t xml:space="preserve"> small variance of $3 </w:t>
            </w:r>
            <w:r w:rsidR="00A31593" w:rsidRPr="00975E6B">
              <w:t xml:space="preserve">was </w:t>
            </w:r>
            <w:r w:rsidRPr="00975E6B">
              <w:t>noted between total costs and product level costs submitted to IHPA.</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I</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Total Products received by IHPA</w:t>
            </w:r>
          </w:p>
        </w:tc>
        <w:tc>
          <w:tcPr>
            <w:tcW w:w="3083" w:type="pct"/>
            <w:tcBorders>
              <w:left w:val="single" w:sz="4" w:space="0" w:color="548DD4" w:themeColor="text2" w:themeTint="99"/>
            </w:tcBorders>
          </w:tcPr>
          <w:p w:rsidR="00273A0D" w:rsidRPr="00975E6B" w:rsidRDefault="00273A0D" w:rsidP="0029344A">
            <w:pPr>
              <w:pStyle w:val="BodyText"/>
            </w:pPr>
            <w:r w:rsidRPr="00975E6B">
              <w:t>Total Costs received by IHPA totalled $480.1 million. There was a minimal variance of $1 noted between costs submitted by the jurisdiction and costs received by IHPA.</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J</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IHPA Adjustments</w:t>
            </w:r>
          </w:p>
        </w:tc>
        <w:tc>
          <w:tcPr>
            <w:tcW w:w="3083" w:type="pct"/>
            <w:tcBorders>
              <w:left w:val="single" w:sz="4" w:space="0" w:color="548DD4" w:themeColor="text2" w:themeTint="99"/>
            </w:tcBorders>
          </w:tcPr>
          <w:p w:rsidR="00273A0D" w:rsidRPr="00975E6B" w:rsidRDefault="00273A0D" w:rsidP="0029344A">
            <w:pPr>
              <w:pStyle w:val="BodyText"/>
              <w:keepNext/>
              <w:rPr>
                <w:i/>
              </w:rPr>
            </w:pPr>
            <w:r w:rsidRPr="00975E6B">
              <w:rPr>
                <w:i/>
              </w:rPr>
              <w:t>Admitted Emergency</w:t>
            </w:r>
          </w:p>
          <w:p w:rsidR="00273A0D" w:rsidRPr="00975E6B" w:rsidRDefault="00273A0D">
            <w:pPr>
              <w:pStyle w:val="BodyText"/>
            </w:pPr>
            <w:r w:rsidRPr="00975E6B">
              <w:t xml:space="preserve">Upon receipt of cost data, IHPA allocates the admitted emergency costs back to admitted patients for the purposes of reporting and analysis. Within IHPA’s reconciliation this amount </w:t>
            </w:r>
            <w:r w:rsidR="0074117C" w:rsidRPr="00975E6B">
              <w:t xml:space="preserve">was </w:t>
            </w:r>
            <w:r w:rsidRPr="00975E6B">
              <w:t xml:space="preserve">a duplication of admitted emergency costs and not an additional cost. For </w:t>
            </w:r>
            <w:r w:rsidR="003F167A" w:rsidRPr="00975E6B">
              <w:t>Prince Charles</w:t>
            </w:r>
            <w:r w:rsidRPr="00975E6B">
              <w:t xml:space="preserve"> this amounted to $22.6 million.</w:t>
            </w:r>
          </w:p>
        </w:tc>
      </w:tr>
      <w:tr w:rsidR="00273A0D" w:rsidRPr="00975E6B" w:rsidTr="0029344A">
        <w:tc>
          <w:tcPr>
            <w:tcW w:w="414" w:type="pct"/>
            <w:tcBorders>
              <w:right w:val="single" w:sz="4" w:space="0" w:color="548DD4" w:themeColor="text2" w:themeTint="99"/>
            </w:tcBorders>
            <w:noWrap/>
          </w:tcPr>
          <w:p w:rsidR="00273A0D" w:rsidRPr="00975E6B" w:rsidRDefault="00273A0D" w:rsidP="0029344A">
            <w:pPr>
              <w:pStyle w:val="BodyText"/>
            </w:pPr>
            <w:r w:rsidRPr="00975E6B">
              <w:t>K</w:t>
            </w:r>
          </w:p>
        </w:tc>
        <w:tc>
          <w:tcPr>
            <w:tcW w:w="1503" w:type="pct"/>
            <w:tcBorders>
              <w:left w:val="single" w:sz="4" w:space="0" w:color="548DD4" w:themeColor="text2" w:themeTint="99"/>
            </w:tcBorders>
          </w:tcPr>
          <w:p w:rsidR="00273A0D" w:rsidRPr="00975E6B" w:rsidRDefault="00273A0D" w:rsidP="0029344A">
            <w:pPr>
              <w:pStyle w:val="BodyText"/>
              <w:jc w:val="left"/>
            </w:pPr>
            <w:r w:rsidRPr="00975E6B">
              <w:t>Final NHCDC Costed Outputs</w:t>
            </w:r>
          </w:p>
        </w:tc>
        <w:tc>
          <w:tcPr>
            <w:tcW w:w="3083" w:type="pct"/>
            <w:tcBorders>
              <w:left w:val="single" w:sz="4" w:space="0" w:color="548DD4" w:themeColor="text2" w:themeTint="99"/>
            </w:tcBorders>
          </w:tcPr>
          <w:p w:rsidR="00273A0D" w:rsidRPr="00975E6B" w:rsidRDefault="00273A0D">
            <w:pPr>
              <w:pStyle w:val="BodyText"/>
            </w:pPr>
            <w:r w:rsidRPr="00975E6B">
              <w:t xml:space="preserve">The final NHCDC costed data for </w:t>
            </w:r>
            <w:r w:rsidR="003F167A" w:rsidRPr="00975E6B">
              <w:t>Prince Charles</w:t>
            </w:r>
            <w:r w:rsidRPr="00975E6B">
              <w:t xml:space="preserve"> that was loaded into the National Round 18 cost data set </w:t>
            </w:r>
            <w:r w:rsidR="0074117C" w:rsidRPr="00975E6B">
              <w:t xml:space="preserve">was </w:t>
            </w:r>
            <w:r w:rsidRPr="00975E6B">
              <w:t>$502.7 million which includes the admitted emergency cost of $22.6 million. There was a minimal variance of $1 noted between total costs and product level NHCDC costs processed by IHPA.</w:t>
            </w:r>
          </w:p>
        </w:tc>
      </w:tr>
    </w:tbl>
    <w:p w:rsidR="00273A0D" w:rsidRPr="00975E6B" w:rsidRDefault="00664CB0" w:rsidP="003D1169">
      <w:pPr>
        <w:rPr>
          <w:bCs/>
          <w:i/>
          <w:sz w:val="16"/>
          <w:szCs w:val="16"/>
        </w:rPr>
      </w:pPr>
      <w:r w:rsidRPr="00975E6B">
        <w:rPr>
          <w:bCs/>
          <w:i/>
          <w:sz w:val="16"/>
          <w:szCs w:val="16"/>
        </w:rPr>
        <w:t>Source: KPMG, based on Prince Charles templates and review discussions</w:t>
      </w:r>
      <w:r w:rsidR="00273A0D" w:rsidRPr="00975E6B">
        <w:rPr>
          <w:bCs/>
          <w:i/>
          <w:sz w:val="16"/>
          <w:szCs w:val="16"/>
        </w:rPr>
        <w:t xml:space="preserve"> </w:t>
      </w:r>
    </w:p>
    <w:p w:rsidR="00273A0D" w:rsidRPr="00975E6B" w:rsidRDefault="00273A0D" w:rsidP="003B387A">
      <w:pPr>
        <w:pStyle w:val="Heading3"/>
        <w:numPr>
          <w:ilvl w:val="2"/>
          <w:numId w:val="77"/>
        </w:numPr>
      </w:pPr>
      <w:r w:rsidRPr="00D1343E">
        <w:t>Activity</w:t>
      </w:r>
      <w:r w:rsidRPr="00975E6B">
        <w:t xml:space="preserve"> data</w:t>
      </w:r>
    </w:p>
    <w:p w:rsidR="00273A0D" w:rsidRPr="00B464CA" w:rsidRDefault="00A25E45" w:rsidP="00B464CA">
      <w:pPr>
        <w:spacing w:before="120" w:after="120" w:line="280" w:lineRule="atLeast"/>
        <w:jc w:val="both"/>
        <w:rPr>
          <w:bCs/>
        </w:rPr>
      </w:pPr>
      <w:r w:rsidRPr="00A25E45">
        <w:rPr>
          <w:bCs/>
        </w:rPr>
        <w:fldChar w:fldCharType="begin"/>
      </w:r>
      <w:r w:rsidRPr="00A25E45">
        <w:rPr>
          <w:bCs/>
        </w:rPr>
        <w:instrText xml:space="preserve"> REF _Ref444516543 \h  \* MERGEFORMAT </w:instrText>
      </w:r>
      <w:r w:rsidRPr="00A25E45">
        <w:rPr>
          <w:bCs/>
        </w:rPr>
      </w:r>
      <w:r w:rsidRPr="00A25E45">
        <w:rPr>
          <w:bCs/>
        </w:rPr>
        <w:fldChar w:fldCharType="separate"/>
      </w:r>
      <w:r w:rsidR="00154CF7" w:rsidRPr="00975E6B">
        <w:t xml:space="preserve">Table </w:t>
      </w:r>
      <w:r w:rsidR="00154CF7" w:rsidRPr="00154CF7">
        <w:rPr>
          <w:bCs/>
          <w:noProof/>
        </w:rPr>
        <w:t>50</w:t>
      </w:r>
      <w:r w:rsidRPr="00A25E45">
        <w:rPr>
          <w:bCs/>
        </w:rPr>
        <w:fldChar w:fldCharType="end"/>
      </w:r>
      <w:r>
        <w:rPr>
          <w:bCs/>
        </w:rPr>
        <w:t xml:space="preserve"> </w:t>
      </w:r>
      <w:r w:rsidR="00273A0D" w:rsidRPr="00B464CA">
        <w:rPr>
          <w:bCs/>
        </w:rPr>
        <w:t xml:space="preserve">presents activity and feeder data for </w:t>
      </w:r>
      <w:r w:rsidR="003F167A" w:rsidRPr="00B464CA">
        <w:rPr>
          <w:bCs/>
        </w:rPr>
        <w:t>Prince Charles</w:t>
      </w:r>
      <w:r w:rsidR="00273A0D" w:rsidRPr="00B464CA">
        <w:rPr>
          <w:bCs/>
        </w:rPr>
        <w:t>.</w:t>
      </w:r>
    </w:p>
    <w:p w:rsidR="00056EC6" w:rsidRPr="00975E6B" w:rsidRDefault="00273A0D" w:rsidP="00A25E45">
      <w:pPr>
        <w:pStyle w:val="Caption"/>
        <w:pageBreakBefore/>
      </w:pPr>
      <w:bookmarkStart w:id="745" w:name="_Ref433301643"/>
      <w:bookmarkStart w:id="746" w:name="_Ref444516543"/>
      <w:r w:rsidRPr="00975E6B">
        <w:lastRenderedPageBreak/>
        <w:t xml:space="preserve">Table </w:t>
      </w:r>
      <w:r w:rsidR="003E3288">
        <w:rPr>
          <w:bCs w:val="0"/>
          <w:i w:val="0"/>
        </w:rPr>
        <w:fldChar w:fldCharType="begin"/>
      </w:r>
      <w:r w:rsidR="003E3288">
        <w:rPr>
          <w:bCs w:val="0"/>
          <w:i w:val="0"/>
        </w:rPr>
        <w:instrText xml:space="preserve"> SEQ Table \* ARABIC </w:instrText>
      </w:r>
      <w:r w:rsidR="003E3288">
        <w:rPr>
          <w:bCs w:val="0"/>
          <w:i w:val="0"/>
        </w:rPr>
        <w:fldChar w:fldCharType="separate"/>
      </w:r>
      <w:r w:rsidR="00154CF7">
        <w:rPr>
          <w:bCs w:val="0"/>
          <w:i w:val="0"/>
          <w:noProof/>
        </w:rPr>
        <w:t>50</w:t>
      </w:r>
      <w:r w:rsidR="003E3288">
        <w:rPr>
          <w:bCs w:val="0"/>
          <w:i w:val="0"/>
          <w:noProof/>
        </w:rPr>
        <w:fldChar w:fldCharType="end"/>
      </w:r>
      <w:bookmarkEnd w:id="745"/>
      <w:bookmarkEnd w:id="746"/>
      <w:r w:rsidR="00BA3F4B" w:rsidRPr="00975E6B">
        <w:t xml:space="preserve"> </w:t>
      </w:r>
      <w:r w:rsidRPr="00975E6B">
        <w:t>– Activity data – The Prince Charles Hospital</w:t>
      </w:r>
    </w:p>
    <w:tbl>
      <w:tblPr>
        <w:tblW w:w="5182" w:type="pct"/>
        <w:tblLayout w:type="fixed"/>
        <w:tblLook w:val="04A0" w:firstRow="1" w:lastRow="0" w:firstColumn="1" w:lastColumn="0" w:noHBand="0" w:noVBand="1"/>
        <w:tblCaption w:val="Table 50 - Activity data - The Prince Charles Hospital"/>
        <w:tblDescription w:val="This table presents activity and feeder data for The Prince Charles Hospital.  There are 11 columns.  Column 1 is the Data source, Column 2 is the number of records from source, Column 3 is the number of records in costing system, Column 4 is the variance between Column 2 and 3, Column 5 is the number of records linked to acute, column 6 is the number of records linked to emergency, Column 7 is the number of records linked to non-admitted, column 8 is the total linked records, column 9 is the number linked to other, column 10 is the number of unlinked records and column 11 is the % of linked to source.&#10;"/>
      </w:tblPr>
      <w:tblGrid>
        <w:gridCol w:w="1380"/>
        <w:gridCol w:w="851"/>
        <w:gridCol w:w="851"/>
        <w:gridCol w:w="427"/>
        <w:gridCol w:w="850"/>
        <w:gridCol w:w="851"/>
        <w:gridCol w:w="851"/>
        <w:gridCol w:w="850"/>
        <w:gridCol w:w="709"/>
        <w:gridCol w:w="709"/>
        <w:gridCol w:w="709"/>
      </w:tblGrid>
      <w:tr w:rsidR="003E3288" w:rsidRPr="00056EC6" w:rsidTr="00E14378">
        <w:trPr>
          <w:cantSplit/>
          <w:trHeight w:val="747"/>
        </w:trPr>
        <w:tc>
          <w:tcPr>
            <w:tcW w:w="763" w:type="pct"/>
            <w:tcBorders>
              <w:top w:val="single" w:sz="4" w:space="0" w:color="5B9BD5"/>
              <w:left w:val="single" w:sz="4" w:space="0" w:color="5B9BD5"/>
              <w:bottom w:val="nil"/>
              <w:right w:val="nil"/>
            </w:tcBorders>
            <w:shd w:val="clear" w:color="auto" w:fill="002060"/>
            <w:vAlign w:val="bottom"/>
            <w:hideMark/>
          </w:tcPr>
          <w:p w:rsidR="00056EC6" w:rsidRPr="00CD1518" w:rsidRDefault="00056EC6" w:rsidP="00056EC6">
            <w:pPr>
              <w:spacing w:line="240" w:lineRule="auto"/>
              <w:rPr>
                <w:b/>
                <w:bCs/>
                <w:color w:val="FFFFFF"/>
                <w:sz w:val="12"/>
                <w:szCs w:val="12"/>
                <w:lang w:eastAsia="en-AU"/>
              </w:rPr>
            </w:pPr>
            <w:r w:rsidRPr="00CD1518">
              <w:rPr>
                <w:b/>
                <w:bCs/>
                <w:color w:val="FFFFFF"/>
                <w:sz w:val="12"/>
                <w:szCs w:val="12"/>
                <w:lang w:eastAsia="en-AU"/>
              </w:rPr>
              <w:t>Data</w:t>
            </w:r>
          </w:p>
        </w:tc>
        <w:tc>
          <w:tcPr>
            <w:tcW w:w="471" w:type="pct"/>
            <w:tcBorders>
              <w:top w:val="single" w:sz="4" w:space="0" w:color="5B9BD5"/>
              <w:left w:val="single" w:sz="4" w:space="0" w:color="5B9BD5"/>
              <w:bottom w:val="nil"/>
              <w:right w:val="single" w:sz="4" w:space="0" w:color="5B9BD5"/>
            </w:tcBorders>
            <w:shd w:val="clear" w:color="auto" w:fill="002060"/>
            <w:vAlign w:val="bottom"/>
            <w:hideMark/>
          </w:tcPr>
          <w:p w:rsidR="00056EC6" w:rsidRPr="00CD1518" w:rsidRDefault="00056EC6" w:rsidP="00056EC6">
            <w:pPr>
              <w:spacing w:line="240" w:lineRule="auto"/>
              <w:jc w:val="center"/>
              <w:rPr>
                <w:b/>
                <w:bCs/>
                <w:color w:val="FFFFFF"/>
                <w:sz w:val="12"/>
                <w:szCs w:val="12"/>
                <w:lang w:eastAsia="en-AU"/>
              </w:rPr>
            </w:pPr>
            <w:r w:rsidRPr="00CD1518">
              <w:rPr>
                <w:b/>
                <w:bCs/>
                <w:color w:val="FFFFFF"/>
                <w:sz w:val="12"/>
                <w:szCs w:val="12"/>
                <w:lang w:eastAsia="en-AU"/>
              </w:rPr>
              <w:t># Records from Source</w:t>
            </w:r>
          </w:p>
        </w:tc>
        <w:tc>
          <w:tcPr>
            <w:tcW w:w="471" w:type="pct"/>
            <w:tcBorders>
              <w:top w:val="single" w:sz="4" w:space="0" w:color="5B9BD5"/>
              <w:left w:val="nil"/>
              <w:bottom w:val="nil"/>
              <w:right w:val="nil"/>
            </w:tcBorders>
            <w:shd w:val="clear" w:color="auto" w:fill="002060"/>
            <w:vAlign w:val="bottom"/>
            <w:hideMark/>
          </w:tcPr>
          <w:p w:rsidR="00056EC6" w:rsidRPr="00CD1518" w:rsidRDefault="00056EC6" w:rsidP="00056EC6">
            <w:pPr>
              <w:spacing w:line="240" w:lineRule="auto"/>
              <w:jc w:val="center"/>
              <w:rPr>
                <w:b/>
                <w:bCs/>
                <w:color w:val="FFFFFF"/>
                <w:sz w:val="12"/>
                <w:szCs w:val="12"/>
                <w:lang w:eastAsia="en-AU"/>
              </w:rPr>
            </w:pPr>
            <w:r w:rsidRPr="00CD1518">
              <w:rPr>
                <w:b/>
                <w:bCs/>
                <w:color w:val="FFFFFF"/>
                <w:sz w:val="12"/>
                <w:szCs w:val="12"/>
                <w:lang w:eastAsia="en-AU"/>
              </w:rPr>
              <w:t># Records in costing system</w:t>
            </w:r>
          </w:p>
        </w:tc>
        <w:tc>
          <w:tcPr>
            <w:tcW w:w="236" w:type="pct"/>
            <w:tcBorders>
              <w:top w:val="single" w:sz="4" w:space="0" w:color="5B9BD5"/>
              <w:left w:val="single" w:sz="4" w:space="0" w:color="5B9BD5"/>
              <w:bottom w:val="nil"/>
              <w:right w:val="single" w:sz="4" w:space="0" w:color="5B9BD5"/>
            </w:tcBorders>
            <w:shd w:val="clear" w:color="auto" w:fill="002060"/>
            <w:textDirection w:val="btLr"/>
            <w:vAlign w:val="bottom"/>
            <w:hideMark/>
          </w:tcPr>
          <w:p w:rsidR="00056EC6" w:rsidRPr="00CD1518" w:rsidRDefault="00056EC6" w:rsidP="00CD1518">
            <w:pPr>
              <w:spacing w:line="240" w:lineRule="auto"/>
              <w:ind w:left="113" w:right="113"/>
              <w:jc w:val="center"/>
              <w:rPr>
                <w:b/>
                <w:bCs/>
                <w:color w:val="FFFFFF"/>
                <w:sz w:val="12"/>
                <w:szCs w:val="12"/>
                <w:lang w:eastAsia="en-AU"/>
              </w:rPr>
            </w:pPr>
            <w:r w:rsidRPr="00CD1518">
              <w:rPr>
                <w:b/>
                <w:bCs/>
                <w:color w:val="FFFFFF"/>
                <w:sz w:val="12"/>
                <w:lang w:eastAsia="en-AU"/>
              </w:rPr>
              <w:t>Varianc</w:t>
            </w:r>
            <w:r w:rsidRPr="0036568D">
              <w:rPr>
                <w:b/>
                <w:bCs/>
                <w:color w:val="FFFFFF"/>
                <w:sz w:val="10"/>
                <w:lang w:eastAsia="en-AU"/>
              </w:rPr>
              <w:t>e</w:t>
            </w:r>
          </w:p>
        </w:tc>
        <w:tc>
          <w:tcPr>
            <w:tcW w:w="470" w:type="pct"/>
            <w:tcBorders>
              <w:top w:val="single" w:sz="4" w:space="0" w:color="5B9BD5"/>
              <w:left w:val="nil"/>
              <w:bottom w:val="nil"/>
              <w:right w:val="nil"/>
            </w:tcBorders>
            <w:shd w:val="clear" w:color="auto" w:fill="002060"/>
            <w:vAlign w:val="bottom"/>
            <w:hideMark/>
          </w:tcPr>
          <w:p w:rsidR="00056EC6" w:rsidRPr="00CD1518" w:rsidRDefault="00056EC6" w:rsidP="00056EC6">
            <w:pPr>
              <w:spacing w:line="240" w:lineRule="auto"/>
              <w:jc w:val="center"/>
              <w:rPr>
                <w:b/>
                <w:bCs/>
                <w:color w:val="FFFFFF"/>
                <w:sz w:val="12"/>
                <w:szCs w:val="12"/>
                <w:lang w:eastAsia="en-AU"/>
              </w:rPr>
            </w:pPr>
            <w:r w:rsidRPr="00CD1518">
              <w:rPr>
                <w:b/>
                <w:bCs/>
                <w:color w:val="FFFFFF"/>
                <w:sz w:val="12"/>
                <w:szCs w:val="12"/>
                <w:lang w:eastAsia="en-AU"/>
              </w:rPr>
              <w:t># Records linked to Acute</w:t>
            </w:r>
          </w:p>
        </w:tc>
        <w:tc>
          <w:tcPr>
            <w:tcW w:w="471" w:type="pct"/>
            <w:tcBorders>
              <w:top w:val="single" w:sz="4" w:space="0" w:color="5B9BD5"/>
              <w:left w:val="single" w:sz="4" w:space="0" w:color="5B9BD5"/>
              <w:bottom w:val="nil"/>
              <w:right w:val="single" w:sz="4" w:space="0" w:color="5B9BD5"/>
            </w:tcBorders>
            <w:shd w:val="clear" w:color="auto" w:fill="002060"/>
            <w:vAlign w:val="bottom"/>
            <w:hideMark/>
          </w:tcPr>
          <w:p w:rsidR="00056EC6" w:rsidRPr="00CD1518" w:rsidRDefault="00056EC6">
            <w:pPr>
              <w:spacing w:line="240" w:lineRule="auto"/>
              <w:jc w:val="center"/>
              <w:rPr>
                <w:b/>
                <w:bCs/>
                <w:color w:val="FFFFFF"/>
                <w:sz w:val="12"/>
                <w:szCs w:val="12"/>
                <w:lang w:eastAsia="en-AU"/>
              </w:rPr>
            </w:pPr>
            <w:r w:rsidRPr="00CD1518">
              <w:rPr>
                <w:b/>
                <w:bCs/>
                <w:color w:val="FFFFFF"/>
                <w:sz w:val="12"/>
                <w:szCs w:val="12"/>
                <w:lang w:eastAsia="en-AU"/>
              </w:rPr>
              <w:t xml:space="preserve"># Records linked to </w:t>
            </w:r>
            <w:proofErr w:type="spellStart"/>
            <w:r w:rsidRPr="00CD1518">
              <w:rPr>
                <w:b/>
                <w:bCs/>
                <w:color w:val="FFFFFF"/>
                <w:sz w:val="12"/>
                <w:szCs w:val="12"/>
                <w:lang w:eastAsia="en-AU"/>
              </w:rPr>
              <w:t>Emerg</w:t>
            </w:r>
            <w:proofErr w:type="spellEnd"/>
            <w:r>
              <w:rPr>
                <w:b/>
                <w:bCs/>
                <w:color w:val="FFFFFF"/>
                <w:sz w:val="12"/>
                <w:szCs w:val="12"/>
                <w:lang w:eastAsia="en-AU"/>
              </w:rPr>
              <w:t>.</w:t>
            </w:r>
          </w:p>
        </w:tc>
        <w:tc>
          <w:tcPr>
            <w:tcW w:w="471" w:type="pct"/>
            <w:tcBorders>
              <w:top w:val="single" w:sz="4" w:space="0" w:color="5B9BD5"/>
              <w:left w:val="nil"/>
              <w:bottom w:val="nil"/>
              <w:right w:val="single" w:sz="4" w:space="0" w:color="5B9BD5"/>
            </w:tcBorders>
            <w:shd w:val="clear" w:color="auto" w:fill="002060"/>
            <w:vAlign w:val="bottom"/>
            <w:hideMark/>
          </w:tcPr>
          <w:p w:rsidR="00056EC6" w:rsidRPr="00CD1518" w:rsidRDefault="00056EC6" w:rsidP="00056EC6">
            <w:pPr>
              <w:spacing w:line="240" w:lineRule="auto"/>
              <w:jc w:val="center"/>
              <w:rPr>
                <w:b/>
                <w:bCs/>
                <w:color w:val="FFFFFF"/>
                <w:sz w:val="12"/>
                <w:szCs w:val="12"/>
                <w:lang w:eastAsia="en-AU"/>
              </w:rPr>
            </w:pPr>
            <w:r w:rsidRPr="00CD1518">
              <w:rPr>
                <w:b/>
                <w:bCs/>
                <w:color w:val="FFFFFF"/>
                <w:sz w:val="12"/>
                <w:szCs w:val="12"/>
                <w:lang w:eastAsia="en-AU"/>
              </w:rPr>
              <w:t># Records linked to Non-admitted</w:t>
            </w:r>
          </w:p>
        </w:tc>
        <w:tc>
          <w:tcPr>
            <w:tcW w:w="470" w:type="pct"/>
            <w:tcBorders>
              <w:top w:val="single" w:sz="4" w:space="0" w:color="5B9BD5"/>
              <w:left w:val="nil"/>
              <w:bottom w:val="nil"/>
              <w:right w:val="single" w:sz="4" w:space="0" w:color="5B9BD5"/>
            </w:tcBorders>
            <w:shd w:val="clear" w:color="auto" w:fill="002060"/>
            <w:vAlign w:val="bottom"/>
            <w:hideMark/>
          </w:tcPr>
          <w:p w:rsidR="00056EC6" w:rsidRPr="00CD1518" w:rsidRDefault="00056EC6" w:rsidP="00056EC6">
            <w:pPr>
              <w:spacing w:line="240" w:lineRule="auto"/>
              <w:jc w:val="center"/>
              <w:rPr>
                <w:b/>
                <w:bCs/>
                <w:color w:val="FFFFFF"/>
                <w:sz w:val="12"/>
                <w:szCs w:val="12"/>
                <w:lang w:eastAsia="en-AU"/>
              </w:rPr>
            </w:pPr>
            <w:r w:rsidRPr="00CD1518">
              <w:rPr>
                <w:b/>
                <w:bCs/>
                <w:color w:val="FFFFFF"/>
                <w:sz w:val="12"/>
                <w:szCs w:val="12"/>
                <w:lang w:eastAsia="en-AU"/>
              </w:rPr>
              <w:t>Total Linking Process</w:t>
            </w:r>
          </w:p>
        </w:tc>
        <w:tc>
          <w:tcPr>
            <w:tcW w:w="392" w:type="pct"/>
            <w:tcBorders>
              <w:top w:val="single" w:sz="4" w:space="0" w:color="5B9BD5"/>
              <w:left w:val="nil"/>
              <w:bottom w:val="nil"/>
              <w:right w:val="nil"/>
            </w:tcBorders>
            <w:shd w:val="clear" w:color="auto" w:fill="002060"/>
            <w:vAlign w:val="bottom"/>
            <w:hideMark/>
          </w:tcPr>
          <w:p w:rsidR="00056EC6" w:rsidRPr="00CD1518" w:rsidRDefault="00056EC6" w:rsidP="00056EC6">
            <w:pPr>
              <w:spacing w:line="240" w:lineRule="auto"/>
              <w:jc w:val="center"/>
              <w:rPr>
                <w:b/>
                <w:bCs/>
                <w:color w:val="FFFFFF"/>
                <w:sz w:val="12"/>
                <w:szCs w:val="12"/>
                <w:lang w:eastAsia="en-AU"/>
              </w:rPr>
            </w:pPr>
            <w:r w:rsidRPr="00CD1518">
              <w:rPr>
                <w:b/>
                <w:bCs/>
                <w:color w:val="FFFFFF"/>
                <w:sz w:val="12"/>
                <w:szCs w:val="12"/>
                <w:lang w:eastAsia="en-AU"/>
              </w:rPr>
              <w:t># Records linked to Other</w:t>
            </w:r>
          </w:p>
        </w:tc>
        <w:tc>
          <w:tcPr>
            <w:tcW w:w="392" w:type="pct"/>
            <w:tcBorders>
              <w:top w:val="single" w:sz="4" w:space="0" w:color="5B9BD5"/>
              <w:left w:val="single" w:sz="4" w:space="0" w:color="5B9BD5"/>
              <w:bottom w:val="nil"/>
              <w:right w:val="single" w:sz="4" w:space="0" w:color="5B9BD5"/>
            </w:tcBorders>
            <w:shd w:val="clear" w:color="auto" w:fill="002060"/>
            <w:vAlign w:val="bottom"/>
            <w:hideMark/>
          </w:tcPr>
          <w:p w:rsidR="00056EC6" w:rsidRPr="00CD1518" w:rsidRDefault="00056EC6" w:rsidP="00056EC6">
            <w:pPr>
              <w:spacing w:line="240" w:lineRule="auto"/>
              <w:jc w:val="center"/>
              <w:rPr>
                <w:b/>
                <w:bCs/>
                <w:color w:val="FFFFFF"/>
                <w:sz w:val="12"/>
                <w:szCs w:val="12"/>
                <w:lang w:eastAsia="en-AU"/>
              </w:rPr>
            </w:pPr>
            <w:r w:rsidRPr="00CD1518">
              <w:rPr>
                <w:b/>
                <w:bCs/>
                <w:color w:val="FFFFFF"/>
                <w:sz w:val="12"/>
                <w:szCs w:val="12"/>
                <w:lang w:eastAsia="en-AU"/>
              </w:rPr>
              <w:t xml:space="preserve"># </w:t>
            </w:r>
            <w:r w:rsidRPr="00CD1518">
              <w:rPr>
                <w:b/>
                <w:bCs/>
                <w:color w:val="FFFFFF"/>
                <w:sz w:val="11"/>
                <w:szCs w:val="11"/>
                <w:lang w:eastAsia="en-AU"/>
              </w:rPr>
              <w:t xml:space="preserve">Unlinked </w:t>
            </w:r>
            <w:r w:rsidRPr="00CD1518">
              <w:rPr>
                <w:b/>
                <w:bCs/>
                <w:color w:val="FFFFFF"/>
                <w:sz w:val="12"/>
                <w:szCs w:val="12"/>
                <w:lang w:eastAsia="en-AU"/>
              </w:rPr>
              <w:t>records</w:t>
            </w:r>
          </w:p>
        </w:tc>
        <w:tc>
          <w:tcPr>
            <w:tcW w:w="392" w:type="pct"/>
            <w:tcBorders>
              <w:top w:val="single" w:sz="4" w:space="0" w:color="5B9BD5"/>
              <w:left w:val="nil"/>
              <w:bottom w:val="nil"/>
              <w:right w:val="single" w:sz="4" w:space="0" w:color="5B9BD5"/>
            </w:tcBorders>
            <w:shd w:val="clear" w:color="auto" w:fill="002060"/>
            <w:vAlign w:val="bottom"/>
            <w:hideMark/>
          </w:tcPr>
          <w:p w:rsidR="00056EC6" w:rsidRPr="00CD1518" w:rsidRDefault="00056EC6" w:rsidP="00056EC6">
            <w:pPr>
              <w:spacing w:line="240" w:lineRule="auto"/>
              <w:jc w:val="center"/>
              <w:rPr>
                <w:b/>
                <w:bCs/>
                <w:color w:val="FFFFFF"/>
                <w:sz w:val="12"/>
                <w:szCs w:val="12"/>
                <w:lang w:eastAsia="en-AU"/>
              </w:rPr>
            </w:pPr>
            <w:r w:rsidRPr="00CD1518">
              <w:rPr>
                <w:b/>
                <w:bCs/>
                <w:color w:val="FFFFFF"/>
                <w:sz w:val="12"/>
                <w:szCs w:val="12"/>
                <w:lang w:eastAsia="en-AU"/>
              </w:rPr>
              <w:t>% Linked</w:t>
            </w:r>
          </w:p>
        </w:tc>
      </w:tr>
      <w:tr w:rsidR="003E3288" w:rsidRPr="00056EC6" w:rsidTr="00056EC6">
        <w:trPr>
          <w:trHeight w:val="260"/>
        </w:trPr>
        <w:tc>
          <w:tcPr>
            <w:tcW w:w="763" w:type="pct"/>
            <w:tcBorders>
              <w:top w:val="nil"/>
              <w:left w:val="single" w:sz="4" w:space="0" w:color="5B9BD5"/>
              <w:bottom w:val="nil"/>
              <w:right w:val="nil"/>
            </w:tcBorders>
            <w:shd w:val="clear" w:color="000000" w:fill="D0CECE"/>
            <w:noWrap/>
            <w:vAlign w:val="bottom"/>
            <w:hideMark/>
          </w:tcPr>
          <w:p w:rsidR="00056EC6" w:rsidRPr="00CD1518" w:rsidRDefault="00056EC6" w:rsidP="00056EC6">
            <w:pPr>
              <w:spacing w:line="240" w:lineRule="auto"/>
              <w:rPr>
                <w:b/>
                <w:bCs/>
                <w:color w:val="000000"/>
                <w:sz w:val="12"/>
                <w:szCs w:val="12"/>
                <w:lang w:eastAsia="en-AU"/>
              </w:rPr>
            </w:pPr>
            <w:r w:rsidRPr="00CD1518">
              <w:rPr>
                <w:b/>
                <w:bCs/>
                <w:color w:val="000000"/>
                <w:sz w:val="12"/>
                <w:szCs w:val="12"/>
                <w:lang w:eastAsia="en-AU"/>
              </w:rPr>
              <w:t>Activity Data</w:t>
            </w:r>
          </w:p>
        </w:tc>
        <w:tc>
          <w:tcPr>
            <w:tcW w:w="471" w:type="pct"/>
            <w:tcBorders>
              <w:top w:val="nil"/>
              <w:left w:val="single" w:sz="4" w:space="0" w:color="5B9BD5"/>
              <w:bottom w:val="nil"/>
              <w:right w:val="single" w:sz="4" w:space="0" w:color="5B9BD5"/>
            </w:tcBorders>
            <w:shd w:val="clear" w:color="000000" w:fill="D0CECE"/>
            <w:noWrap/>
            <w:vAlign w:val="bottom"/>
            <w:hideMark/>
          </w:tcPr>
          <w:p w:rsidR="00056EC6" w:rsidRPr="00CD1518" w:rsidRDefault="00056EC6" w:rsidP="00056EC6">
            <w:pPr>
              <w:spacing w:line="240" w:lineRule="auto"/>
              <w:rPr>
                <w:b/>
                <w:bCs/>
                <w:color w:val="000000"/>
                <w:sz w:val="12"/>
                <w:szCs w:val="12"/>
                <w:lang w:eastAsia="en-AU"/>
              </w:rPr>
            </w:pPr>
            <w:r w:rsidRPr="00CD1518">
              <w:rPr>
                <w:b/>
                <w:bCs/>
                <w:color w:val="000000"/>
                <w:sz w:val="12"/>
                <w:szCs w:val="12"/>
                <w:lang w:eastAsia="en-AU"/>
              </w:rPr>
              <w:t> </w:t>
            </w:r>
          </w:p>
        </w:tc>
        <w:tc>
          <w:tcPr>
            <w:tcW w:w="471" w:type="pct"/>
            <w:tcBorders>
              <w:top w:val="nil"/>
              <w:left w:val="nil"/>
              <w:bottom w:val="nil"/>
              <w:right w:val="nil"/>
            </w:tcBorders>
            <w:shd w:val="clear" w:color="000000" w:fill="D0CECE"/>
            <w:noWrap/>
            <w:vAlign w:val="bottom"/>
            <w:hideMark/>
          </w:tcPr>
          <w:p w:rsidR="00056EC6" w:rsidRPr="00CD1518" w:rsidRDefault="00056EC6" w:rsidP="00056EC6">
            <w:pPr>
              <w:spacing w:line="240" w:lineRule="auto"/>
              <w:rPr>
                <w:b/>
                <w:bCs/>
                <w:color w:val="000000"/>
                <w:sz w:val="12"/>
                <w:szCs w:val="12"/>
                <w:lang w:eastAsia="en-AU"/>
              </w:rPr>
            </w:pPr>
            <w:r w:rsidRPr="00CD1518">
              <w:rPr>
                <w:b/>
                <w:bCs/>
                <w:color w:val="000000"/>
                <w:sz w:val="12"/>
                <w:szCs w:val="12"/>
                <w:lang w:eastAsia="en-AU"/>
              </w:rPr>
              <w:t> </w:t>
            </w:r>
          </w:p>
        </w:tc>
        <w:tc>
          <w:tcPr>
            <w:tcW w:w="236" w:type="pct"/>
            <w:tcBorders>
              <w:top w:val="nil"/>
              <w:left w:val="single" w:sz="4" w:space="0" w:color="5B9BD5"/>
              <w:bottom w:val="nil"/>
              <w:right w:val="single" w:sz="4" w:space="0" w:color="5B9BD5"/>
            </w:tcBorders>
            <w:shd w:val="clear" w:color="000000" w:fill="D0CECE"/>
            <w:noWrap/>
            <w:vAlign w:val="bottom"/>
            <w:hideMark/>
          </w:tcPr>
          <w:p w:rsidR="00056EC6" w:rsidRPr="00CD1518" w:rsidRDefault="00056EC6" w:rsidP="00056EC6">
            <w:pPr>
              <w:spacing w:line="240" w:lineRule="auto"/>
              <w:rPr>
                <w:b/>
                <w:bCs/>
                <w:color w:val="000000"/>
                <w:sz w:val="12"/>
                <w:szCs w:val="12"/>
                <w:lang w:eastAsia="en-AU"/>
              </w:rPr>
            </w:pPr>
            <w:r w:rsidRPr="00CD1518">
              <w:rPr>
                <w:b/>
                <w:bCs/>
                <w:color w:val="000000"/>
                <w:sz w:val="12"/>
                <w:szCs w:val="12"/>
                <w:lang w:eastAsia="en-AU"/>
              </w:rPr>
              <w:t> </w:t>
            </w:r>
          </w:p>
        </w:tc>
        <w:tc>
          <w:tcPr>
            <w:tcW w:w="470" w:type="pct"/>
            <w:tcBorders>
              <w:top w:val="nil"/>
              <w:left w:val="nil"/>
              <w:bottom w:val="nil"/>
              <w:right w:val="nil"/>
            </w:tcBorders>
            <w:shd w:val="clear" w:color="000000" w:fill="D0CECE"/>
            <w:noWrap/>
            <w:vAlign w:val="bottom"/>
            <w:hideMark/>
          </w:tcPr>
          <w:p w:rsidR="00056EC6" w:rsidRPr="00CD1518" w:rsidRDefault="00056EC6" w:rsidP="00056EC6">
            <w:pPr>
              <w:spacing w:line="240" w:lineRule="auto"/>
              <w:rPr>
                <w:b/>
                <w:bCs/>
                <w:color w:val="000000"/>
                <w:sz w:val="12"/>
                <w:szCs w:val="12"/>
                <w:lang w:eastAsia="en-AU"/>
              </w:rPr>
            </w:pPr>
            <w:r w:rsidRPr="00CD1518">
              <w:rPr>
                <w:b/>
                <w:bCs/>
                <w:color w:val="000000"/>
                <w:sz w:val="12"/>
                <w:szCs w:val="12"/>
                <w:lang w:eastAsia="en-AU"/>
              </w:rPr>
              <w:t> </w:t>
            </w:r>
          </w:p>
        </w:tc>
        <w:tc>
          <w:tcPr>
            <w:tcW w:w="471" w:type="pct"/>
            <w:tcBorders>
              <w:top w:val="nil"/>
              <w:left w:val="single" w:sz="4" w:space="0" w:color="5B9BD5"/>
              <w:bottom w:val="nil"/>
              <w:right w:val="single" w:sz="4" w:space="0" w:color="5B9BD5"/>
            </w:tcBorders>
            <w:shd w:val="clear" w:color="000000" w:fill="D0CECE"/>
            <w:noWrap/>
            <w:vAlign w:val="bottom"/>
            <w:hideMark/>
          </w:tcPr>
          <w:p w:rsidR="00056EC6" w:rsidRPr="00CD1518" w:rsidRDefault="00056EC6" w:rsidP="00056EC6">
            <w:pPr>
              <w:spacing w:line="240" w:lineRule="auto"/>
              <w:rPr>
                <w:b/>
                <w:bCs/>
                <w:color w:val="000000"/>
                <w:sz w:val="12"/>
                <w:szCs w:val="12"/>
                <w:lang w:eastAsia="en-AU"/>
              </w:rPr>
            </w:pPr>
            <w:r w:rsidRPr="00CD1518">
              <w:rPr>
                <w:b/>
                <w:bCs/>
                <w:color w:val="000000"/>
                <w:sz w:val="12"/>
                <w:szCs w:val="12"/>
                <w:lang w:eastAsia="en-AU"/>
              </w:rPr>
              <w:t> </w:t>
            </w:r>
          </w:p>
        </w:tc>
        <w:tc>
          <w:tcPr>
            <w:tcW w:w="471" w:type="pct"/>
            <w:tcBorders>
              <w:top w:val="nil"/>
              <w:left w:val="nil"/>
              <w:bottom w:val="nil"/>
              <w:right w:val="single" w:sz="4" w:space="0" w:color="5B9BD5"/>
            </w:tcBorders>
            <w:shd w:val="clear" w:color="000000" w:fill="D0CECE"/>
            <w:noWrap/>
            <w:vAlign w:val="bottom"/>
            <w:hideMark/>
          </w:tcPr>
          <w:p w:rsidR="00056EC6" w:rsidRPr="00CD1518" w:rsidRDefault="00056EC6" w:rsidP="00056EC6">
            <w:pPr>
              <w:spacing w:line="240" w:lineRule="auto"/>
              <w:rPr>
                <w:b/>
                <w:bCs/>
                <w:color w:val="000000"/>
                <w:sz w:val="12"/>
                <w:szCs w:val="12"/>
                <w:lang w:eastAsia="en-AU"/>
              </w:rPr>
            </w:pPr>
            <w:r w:rsidRPr="00CD1518">
              <w:rPr>
                <w:b/>
                <w:bCs/>
                <w:color w:val="000000"/>
                <w:sz w:val="12"/>
                <w:szCs w:val="12"/>
                <w:lang w:eastAsia="en-AU"/>
              </w:rPr>
              <w:t> </w:t>
            </w:r>
          </w:p>
        </w:tc>
        <w:tc>
          <w:tcPr>
            <w:tcW w:w="470" w:type="pct"/>
            <w:tcBorders>
              <w:top w:val="nil"/>
              <w:left w:val="nil"/>
              <w:bottom w:val="nil"/>
              <w:right w:val="single" w:sz="4" w:space="0" w:color="5B9BD5"/>
            </w:tcBorders>
            <w:shd w:val="clear" w:color="000000" w:fill="D0CECE"/>
            <w:noWrap/>
            <w:vAlign w:val="bottom"/>
            <w:hideMark/>
          </w:tcPr>
          <w:p w:rsidR="00056EC6" w:rsidRPr="00CD1518" w:rsidRDefault="00056EC6" w:rsidP="00056EC6">
            <w:pPr>
              <w:spacing w:line="240" w:lineRule="auto"/>
              <w:rPr>
                <w:b/>
                <w:bCs/>
                <w:color w:val="000000"/>
                <w:sz w:val="12"/>
                <w:szCs w:val="12"/>
                <w:lang w:eastAsia="en-AU"/>
              </w:rPr>
            </w:pPr>
            <w:r w:rsidRPr="00CD1518">
              <w:rPr>
                <w:b/>
                <w:bCs/>
                <w:color w:val="000000"/>
                <w:sz w:val="12"/>
                <w:szCs w:val="12"/>
                <w:lang w:eastAsia="en-AU"/>
              </w:rPr>
              <w:t> </w:t>
            </w:r>
          </w:p>
        </w:tc>
        <w:tc>
          <w:tcPr>
            <w:tcW w:w="392" w:type="pct"/>
            <w:tcBorders>
              <w:top w:val="nil"/>
              <w:left w:val="nil"/>
              <w:bottom w:val="nil"/>
              <w:right w:val="nil"/>
            </w:tcBorders>
            <w:shd w:val="clear" w:color="000000" w:fill="D0CECE"/>
            <w:noWrap/>
            <w:vAlign w:val="bottom"/>
            <w:hideMark/>
          </w:tcPr>
          <w:p w:rsidR="00056EC6" w:rsidRPr="00CD1518" w:rsidRDefault="00056EC6" w:rsidP="00056EC6">
            <w:pPr>
              <w:spacing w:line="240" w:lineRule="auto"/>
              <w:rPr>
                <w:b/>
                <w:bCs/>
                <w:color w:val="000000"/>
                <w:sz w:val="12"/>
                <w:szCs w:val="12"/>
                <w:lang w:eastAsia="en-AU"/>
              </w:rPr>
            </w:pPr>
            <w:r w:rsidRPr="00CD1518">
              <w:rPr>
                <w:b/>
                <w:bCs/>
                <w:color w:val="000000"/>
                <w:sz w:val="12"/>
                <w:szCs w:val="12"/>
                <w:lang w:eastAsia="en-AU"/>
              </w:rPr>
              <w:t> </w:t>
            </w:r>
          </w:p>
        </w:tc>
        <w:tc>
          <w:tcPr>
            <w:tcW w:w="392" w:type="pct"/>
            <w:tcBorders>
              <w:top w:val="nil"/>
              <w:left w:val="single" w:sz="4" w:space="0" w:color="5B9BD5"/>
              <w:bottom w:val="nil"/>
              <w:right w:val="single" w:sz="4" w:space="0" w:color="5B9BD5"/>
            </w:tcBorders>
            <w:shd w:val="clear" w:color="000000" w:fill="D0CECE"/>
            <w:noWrap/>
            <w:vAlign w:val="bottom"/>
            <w:hideMark/>
          </w:tcPr>
          <w:p w:rsidR="00056EC6" w:rsidRPr="00CD1518" w:rsidRDefault="00056EC6" w:rsidP="00056EC6">
            <w:pPr>
              <w:spacing w:line="240" w:lineRule="auto"/>
              <w:rPr>
                <w:b/>
                <w:bCs/>
                <w:color w:val="000000"/>
                <w:sz w:val="12"/>
                <w:szCs w:val="12"/>
                <w:lang w:eastAsia="en-AU"/>
              </w:rPr>
            </w:pPr>
            <w:r w:rsidRPr="00CD1518">
              <w:rPr>
                <w:b/>
                <w:bCs/>
                <w:color w:val="000000"/>
                <w:sz w:val="12"/>
                <w:szCs w:val="12"/>
                <w:lang w:eastAsia="en-AU"/>
              </w:rPr>
              <w:t> </w:t>
            </w:r>
          </w:p>
        </w:tc>
        <w:tc>
          <w:tcPr>
            <w:tcW w:w="392" w:type="pct"/>
            <w:tcBorders>
              <w:top w:val="nil"/>
              <w:left w:val="nil"/>
              <w:bottom w:val="nil"/>
              <w:right w:val="single" w:sz="4" w:space="0" w:color="5B9BD5"/>
            </w:tcBorders>
            <w:shd w:val="clear" w:color="000000" w:fill="D0CECE"/>
            <w:noWrap/>
            <w:vAlign w:val="bottom"/>
            <w:hideMark/>
          </w:tcPr>
          <w:p w:rsidR="00056EC6" w:rsidRPr="00CD1518" w:rsidRDefault="00056EC6" w:rsidP="00056EC6">
            <w:pPr>
              <w:spacing w:line="240" w:lineRule="auto"/>
              <w:rPr>
                <w:b/>
                <w:bCs/>
                <w:color w:val="000000"/>
                <w:sz w:val="12"/>
                <w:szCs w:val="12"/>
                <w:lang w:eastAsia="en-AU"/>
              </w:rPr>
            </w:pPr>
            <w:r w:rsidRPr="00CD1518">
              <w:rPr>
                <w:b/>
                <w:bCs/>
                <w:color w:val="000000"/>
                <w:sz w:val="12"/>
                <w:szCs w:val="12"/>
                <w:lang w:eastAsia="en-AU"/>
              </w:rPr>
              <w:t> </w:t>
            </w:r>
          </w:p>
        </w:tc>
      </w:tr>
      <w:tr w:rsidR="003E3288" w:rsidRPr="00056EC6" w:rsidTr="00056EC6">
        <w:trPr>
          <w:trHeight w:val="260"/>
        </w:trPr>
        <w:tc>
          <w:tcPr>
            <w:tcW w:w="763" w:type="pct"/>
            <w:tcBorders>
              <w:top w:val="nil"/>
              <w:left w:val="single" w:sz="4" w:space="0" w:color="5B9BD5"/>
              <w:bottom w:val="nil"/>
              <w:right w:val="nil"/>
            </w:tcBorders>
            <w:shd w:val="clear" w:color="000000" w:fill="FFFFFF"/>
            <w:noWrap/>
            <w:vAlign w:val="center"/>
            <w:hideMark/>
          </w:tcPr>
          <w:p w:rsidR="00056EC6" w:rsidRPr="00CD1518" w:rsidRDefault="00056EC6">
            <w:pPr>
              <w:spacing w:line="240" w:lineRule="auto"/>
              <w:rPr>
                <w:color w:val="000000"/>
                <w:sz w:val="12"/>
                <w:szCs w:val="12"/>
                <w:lang w:eastAsia="en-AU"/>
              </w:rPr>
            </w:pPr>
            <w:r>
              <w:rPr>
                <w:color w:val="000000"/>
                <w:sz w:val="12"/>
                <w:szCs w:val="12"/>
                <w:lang w:eastAsia="en-AU"/>
              </w:rPr>
              <w:t>PAS</w:t>
            </w:r>
          </w:p>
        </w:tc>
        <w:tc>
          <w:tcPr>
            <w:tcW w:w="471"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52,156</w:t>
            </w:r>
          </w:p>
        </w:tc>
        <w:tc>
          <w:tcPr>
            <w:tcW w:w="471" w:type="pct"/>
            <w:tcBorders>
              <w:top w:val="nil"/>
              <w:left w:val="nil"/>
              <w:bottom w:val="nil"/>
              <w:right w:val="nil"/>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52,156</w:t>
            </w:r>
          </w:p>
        </w:tc>
        <w:tc>
          <w:tcPr>
            <w:tcW w:w="236"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52,156</w:t>
            </w:r>
          </w:p>
        </w:tc>
        <w:tc>
          <w:tcPr>
            <w:tcW w:w="471" w:type="pct"/>
            <w:tcBorders>
              <w:top w:val="nil"/>
              <w:left w:val="nil"/>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1" w:type="pct"/>
            <w:tcBorders>
              <w:top w:val="nil"/>
              <w:left w:val="nil"/>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52,156</w:t>
            </w:r>
          </w:p>
        </w:tc>
        <w:tc>
          <w:tcPr>
            <w:tcW w:w="392" w:type="pct"/>
            <w:tcBorders>
              <w:top w:val="nil"/>
              <w:left w:val="nil"/>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392" w:type="pct"/>
            <w:tcBorders>
              <w:top w:val="nil"/>
              <w:left w:val="nil"/>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392" w:type="pct"/>
            <w:tcBorders>
              <w:top w:val="nil"/>
              <w:left w:val="nil"/>
              <w:bottom w:val="nil"/>
              <w:right w:val="single" w:sz="4" w:space="0" w:color="5B9BD5"/>
            </w:tcBorders>
            <w:shd w:val="clear" w:color="000000" w:fill="FFFFFF"/>
            <w:noWrap/>
            <w:vAlign w:val="center"/>
            <w:hideMark/>
          </w:tcPr>
          <w:p w:rsidR="00056EC6" w:rsidRPr="00CD1518" w:rsidRDefault="00056EC6">
            <w:pPr>
              <w:spacing w:line="240" w:lineRule="auto"/>
              <w:jc w:val="right"/>
              <w:rPr>
                <w:color w:val="000000"/>
                <w:sz w:val="12"/>
                <w:szCs w:val="12"/>
                <w:lang w:eastAsia="en-AU"/>
              </w:rPr>
            </w:pPr>
            <w:r w:rsidRPr="00CD1518">
              <w:rPr>
                <w:color w:val="000000"/>
                <w:sz w:val="12"/>
                <w:szCs w:val="12"/>
                <w:lang w:eastAsia="en-AU"/>
              </w:rPr>
              <w:t>100%</w:t>
            </w:r>
          </w:p>
        </w:tc>
      </w:tr>
      <w:tr w:rsidR="003E3288" w:rsidRPr="00056EC6" w:rsidTr="00056EC6">
        <w:trPr>
          <w:trHeight w:val="260"/>
        </w:trPr>
        <w:tc>
          <w:tcPr>
            <w:tcW w:w="763" w:type="pct"/>
            <w:tcBorders>
              <w:top w:val="nil"/>
              <w:left w:val="single" w:sz="4" w:space="0" w:color="5B9BD5"/>
              <w:bottom w:val="nil"/>
              <w:right w:val="nil"/>
            </w:tcBorders>
            <w:shd w:val="clear" w:color="000000" w:fill="DDEBF7"/>
            <w:noWrap/>
            <w:vAlign w:val="center"/>
            <w:hideMark/>
          </w:tcPr>
          <w:p w:rsidR="00056EC6" w:rsidRPr="00CD1518" w:rsidRDefault="00056EC6">
            <w:pPr>
              <w:spacing w:line="240" w:lineRule="auto"/>
              <w:rPr>
                <w:sz w:val="12"/>
                <w:szCs w:val="12"/>
                <w:lang w:eastAsia="en-AU"/>
              </w:rPr>
            </w:pPr>
            <w:r w:rsidRPr="00CD1518">
              <w:rPr>
                <w:sz w:val="12"/>
                <w:szCs w:val="12"/>
                <w:lang w:eastAsia="en-AU"/>
              </w:rPr>
              <w:t>Emergency</w:t>
            </w:r>
          </w:p>
        </w:tc>
        <w:tc>
          <w:tcPr>
            <w:tcW w:w="471"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sz w:val="12"/>
                <w:szCs w:val="12"/>
                <w:lang w:eastAsia="en-AU"/>
              </w:rPr>
            </w:pPr>
            <w:r w:rsidRPr="00CD1518">
              <w:rPr>
                <w:sz w:val="12"/>
                <w:szCs w:val="12"/>
                <w:lang w:eastAsia="en-AU"/>
              </w:rPr>
              <w:t>69,533</w:t>
            </w:r>
          </w:p>
        </w:tc>
        <w:tc>
          <w:tcPr>
            <w:tcW w:w="471" w:type="pct"/>
            <w:tcBorders>
              <w:top w:val="nil"/>
              <w:left w:val="nil"/>
              <w:bottom w:val="nil"/>
              <w:right w:val="nil"/>
            </w:tcBorders>
            <w:shd w:val="clear" w:color="000000" w:fill="DDEBF7"/>
            <w:noWrap/>
            <w:vAlign w:val="center"/>
            <w:hideMark/>
          </w:tcPr>
          <w:p w:rsidR="00056EC6" w:rsidRPr="00CD1518" w:rsidRDefault="00056EC6" w:rsidP="00CD1518">
            <w:pPr>
              <w:spacing w:line="240" w:lineRule="auto"/>
              <w:jc w:val="right"/>
              <w:rPr>
                <w:sz w:val="12"/>
                <w:szCs w:val="12"/>
                <w:lang w:eastAsia="en-AU"/>
              </w:rPr>
            </w:pPr>
            <w:r w:rsidRPr="00CD1518">
              <w:rPr>
                <w:sz w:val="12"/>
                <w:szCs w:val="12"/>
                <w:lang w:eastAsia="en-AU"/>
              </w:rPr>
              <w:t>69,533</w:t>
            </w:r>
          </w:p>
        </w:tc>
        <w:tc>
          <w:tcPr>
            <w:tcW w:w="236"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nil"/>
            </w:tcBorders>
            <w:shd w:val="clear" w:color="000000" w:fill="DDEBF7"/>
            <w:noWrap/>
            <w:vAlign w:val="center"/>
            <w:hideMark/>
          </w:tcPr>
          <w:p w:rsidR="00056EC6" w:rsidRPr="00CD1518" w:rsidRDefault="00056EC6" w:rsidP="00CD1518">
            <w:pPr>
              <w:spacing w:line="240" w:lineRule="auto"/>
              <w:jc w:val="right"/>
              <w:rPr>
                <w:sz w:val="12"/>
                <w:szCs w:val="12"/>
                <w:lang w:eastAsia="en-AU"/>
              </w:rPr>
            </w:pPr>
            <w:r w:rsidRPr="00CD1518">
              <w:rPr>
                <w:sz w:val="12"/>
                <w:szCs w:val="12"/>
                <w:lang w:eastAsia="en-AU"/>
              </w:rPr>
              <w:t>-</w:t>
            </w:r>
          </w:p>
        </w:tc>
        <w:tc>
          <w:tcPr>
            <w:tcW w:w="471"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sz w:val="12"/>
                <w:szCs w:val="12"/>
                <w:lang w:eastAsia="en-AU"/>
              </w:rPr>
            </w:pPr>
            <w:r w:rsidRPr="00CD1518">
              <w:rPr>
                <w:sz w:val="12"/>
                <w:szCs w:val="12"/>
                <w:lang w:eastAsia="en-AU"/>
              </w:rPr>
              <w:t>69,533</w:t>
            </w:r>
          </w:p>
        </w:tc>
        <w:tc>
          <w:tcPr>
            <w:tcW w:w="471"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sz w:val="12"/>
                <w:szCs w:val="12"/>
                <w:lang w:eastAsia="en-AU"/>
              </w:rPr>
            </w:pPr>
            <w:r w:rsidRPr="00CD1518">
              <w:rPr>
                <w:sz w:val="12"/>
                <w:szCs w:val="12"/>
                <w:lang w:eastAsia="en-AU"/>
              </w:rPr>
              <w:t>-</w:t>
            </w:r>
          </w:p>
        </w:tc>
        <w:tc>
          <w:tcPr>
            <w:tcW w:w="470"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69,533</w:t>
            </w:r>
          </w:p>
        </w:tc>
        <w:tc>
          <w:tcPr>
            <w:tcW w:w="392" w:type="pct"/>
            <w:tcBorders>
              <w:top w:val="nil"/>
              <w:left w:val="nil"/>
              <w:bottom w:val="nil"/>
              <w:right w:val="nil"/>
            </w:tcBorders>
            <w:shd w:val="clear" w:color="000000" w:fill="DDEBF7"/>
            <w:noWrap/>
            <w:vAlign w:val="center"/>
            <w:hideMark/>
          </w:tcPr>
          <w:p w:rsidR="00056EC6" w:rsidRPr="00CD1518" w:rsidRDefault="00056EC6" w:rsidP="00CD1518">
            <w:pPr>
              <w:spacing w:line="240" w:lineRule="auto"/>
              <w:jc w:val="right"/>
              <w:rPr>
                <w:sz w:val="12"/>
                <w:szCs w:val="12"/>
                <w:lang w:eastAsia="en-AU"/>
              </w:rPr>
            </w:pPr>
            <w:r w:rsidRPr="00CD1518">
              <w:rPr>
                <w:sz w:val="12"/>
                <w:szCs w:val="12"/>
                <w:lang w:eastAsia="en-AU"/>
              </w:rPr>
              <w:t>-</w:t>
            </w:r>
          </w:p>
        </w:tc>
        <w:tc>
          <w:tcPr>
            <w:tcW w:w="392"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sz w:val="12"/>
                <w:szCs w:val="12"/>
                <w:lang w:eastAsia="en-AU"/>
              </w:rPr>
            </w:pPr>
            <w:r w:rsidRPr="00CD1518">
              <w:rPr>
                <w:sz w:val="12"/>
                <w:szCs w:val="12"/>
                <w:lang w:eastAsia="en-AU"/>
              </w:rPr>
              <w:t>-</w:t>
            </w:r>
          </w:p>
        </w:tc>
        <w:tc>
          <w:tcPr>
            <w:tcW w:w="392" w:type="pct"/>
            <w:tcBorders>
              <w:top w:val="nil"/>
              <w:left w:val="nil"/>
              <w:bottom w:val="nil"/>
              <w:right w:val="single" w:sz="4" w:space="0" w:color="5B9BD5"/>
            </w:tcBorders>
            <w:shd w:val="clear" w:color="000000" w:fill="DDEBF7"/>
            <w:noWrap/>
            <w:vAlign w:val="center"/>
            <w:hideMark/>
          </w:tcPr>
          <w:p w:rsidR="00056EC6" w:rsidRPr="00CD1518" w:rsidRDefault="00056EC6">
            <w:pPr>
              <w:spacing w:line="240" w:lineRule="auto"/>
              <w:jc w:val="right"/>
              <w:rPr>
                <w:sz w:val="12"/>
                <w:szCs w:val="12"/>
                <w:lang w:eastAsia="en-AU"/>
              </w:rPr>
            </w:pPr>
            <w:r w:rsidRPr="00CD1518">
              <w:rPr>
                <w:sz w:val="12"/>
                <w:szCs w:val="12"/>
                <w:lang w:eastAsia="en-AU"/>
              </w:rPr>
              <w:t>100%</w:t>
            </w:r>
          </w:p>
        </w:tc>
      </w:tr>
      <w:tr w:rsidR="003E3288" w:rsidRPr="00056EC6" w:rsidTr="00056EC6">
        <w:trPr>
          <w:trHeight w:val="260"/>
        </w:trPr>
        <w:tc>
          <w:tcPr>
            <w:tcW w:w="763" w:type="pct"/>
            <w:tcBorders>
              <w:top w:val="nil"/>
              <w:left w:val="single" w:sz="4" w:space="0" w:color="5B9BD5"/>
              <w:bottom w:val="nil"/>
              <w:right w:val="nil"/>
            </w:tcBorders>
            <w:shd w:val="clear" w:color="000000" w:fill="FFFFFF"/>
            <w:noWrap/>
            <w:vAlign w:val="center"/>
            <w:hideMark/>
          </w:tcPr>
          <w:p w:rsidR="00056EC6" w:rsidRPr="00CD1518" w:rsidRDefault="00056EC6">
            <w:pPr>
              <w:spacing w:line="240" w:lineRule="auto"/>
              <w:rPr>
                <w:color w:val="000000"/>
                <w:sz w:val="12"/>
                <w:szCs w:val="12"/>
                <w:lang w:eastAsia="en-AU"/>
              </w:rPr>
            </w:pPr>
            <w:r w:rsidRPr="00CD1518">
              <w:rPr>
                <w:color w:val="000000"/>
                <w:sz w:val="12"/>
                <w:szCs w:val="12"/>
                <w:lang w:eastAsia="en-AU"/>
              </w:rPr>
              <w:t>Non-admitted</w:t>
            </w:r>
          </w:p>
        </w:tc>
        <w:tc>
          <w:tcPr>
            <w:tcW w:w="471"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188,568</w:t>
            </w:r>
          </w:p>
        </w:tc>
        <w:tc>
          <w:tcPr>
            <w:tcW w:w="471" w:type="pct"/>
            <w:tcBorders>
              <w:top w:val="nil"/>
              <w:left w:val="nil"/>
              <w:bottom w:val="nil"/>
              <w:right w:val="nil"/>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188,568</w:t>
            </w:r>
          </w:p>
        </w:tc>
        <w:tc>
          <w:tcPr>
            <w:tcW w:w="236"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nil"/>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1"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1" w:type="pct"/>
            <w:tcBorders>
              <w:top w:val="nil"/>
              <w:left w:val="nil"/>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188,568</w:t>
            </w:r>
          </w:p>
        </w:tc>
        <w:tc>
          <w:tcPr>
            <w:tcW w:w="470"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188,568</w:t>
            </w:r>
          </w:p>
        </w:tc>
        <w:tc>
          <w:tcPr>
            <w:tcW w:w="392" w:type="pct"/>
            <w:tcBorders>
              <w:top w:val="nil"/>
              <w:left w:val="nil"/>
              <w:bottom w:val="nil"/>
              <w:right w:val="nil"/>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392"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392" w:type="pct"/>
            <w:tcBorders>
              <w:top w:val="nil"/>
              <w:left w:val="nil"/>
              <w:bottom w:val="nil"/>
              <w:right w:val="single" w:sz="4" w:space="0" w:color="5B9BD5"/>
            </w:tcBorders>
            <w:shd w:val="clear" w:color="000000" w:fill="FFFFFF"/>
            <w:noWrap/>
            <w:vAlign w:val="center"/>
            <w:hideMark/>
          </w:tcPr>
          <w:p w:rsidR="00056EC6" w:rsidRPr="00CD1518" w:rsidRDefault="00056EC6">
            <w:pPr>
              <w:spacing w:line="240" w:lineRule="auto"/>
              <w:jc w:val="right"/>
              <w:rPr>
                <w:color w:val="000000"/>
                <w:sz w:val="12"/>
                <w:szCs w:val="12"/>
                <w:lang w:eastAsia="en-AU"/>
              </w:rPr>
            </w:pPr>
            <w:r w:rsidRPr="00CD1518">
              <w:rPr>
                <w:color w:val="000000"/>
                <w:sz w:val="12"/>
                <w:szCs w:val="12"/>
                <w:lang w:eastAsia="en-AU"/>
              </w:rPr>
              <w:t>100%</w:t>
            </w:r>
          </w:p>
        </w:tc>
      </w:tr>
      <w:tr w:rsidR="003E3288" w:rsidRPr="00056EC6" w:rsidTr="00056EC6">
        <w:trPr>
          <w:trHeight w:val="260"/>
        </w:trPr>
        <w:tc>
          <w:tcPr>
            <w:tcW w:w="763" w:type="pct"/>
            <w:tcBorders>
              <w:top w:val="nil"/>
              <w:left w:val="single" w:sz="4" w:space="0" w:color="5B9BD5"/>
              <w:bottom w:val="single" w:sz="4" w:space="0" w:color="5B9BD5"/>
              <w:right w:val="nil"/>
            </w:tcBorders>
            <w:shd w:val="clear" w:color="000000" w:fill="DDEBF7"/>
            <w:noWrap/>
            <w:vAlign w:val="center"/>
            <w:hideMark/>
          </w:tcPr>
          <w:p w:rsidR="00056EC6" w:rsidRPr="00CD1518" w:rsidRDefault="00056EC6">
            <w:pPr>
              <w:spacing w:line="240" w:lineRule="auto"/>
              <w:rPr>
                <w:sz w:val="12"/>
                <w:szCs w:val="12"/>
                <w:lang w:eastAsia="en-AU"/>
              </w:rPr>
            </w:pPr>
            <w:r w:rsidRPr="00CD1518">
              <w:rPr>
                <w:sz w:val="12"/>
                <w:szCs w:val="12"/>
                <w:lang w:eastAsia="en-AU"/>
              </w:rPr>
              <w:t>Unlinked</w:t>
            </w:r>
          </w:p>
        </w:tc>
        <w:tc>
          <w:tcPr>
            <w:tcW w:w="471" w:type="pct"/>
            <w:tcBorders>
              <w:top w:val="nil"/>
              <w:left w:val="single" w:sz="4" w:space="0" w:color="5B9BD5"/>
              <w:bottom w:val="single" w:sz="4" w:space="0" w:color="5B9BD5"/>
              <w:right w:val="single" w:sz="4" w:space="0" w:color="5B9BD5"/>
            </w:tcBorders>
            <w:shd w:val="clear" w:color="000000" w:fill="DDEBF7"/>
            <w:noWrap/>
            <w:vAlign w:val="center"/>
            <w:hideMark/>
          </w:tcPr>
          <w:p w:rsidR="00056EC6" w:rsidRPr="00CD1518" w:rsidRDefault="00056EC6" w:rsidP="00CD1518">
            <w:pPr>
              <w:spacing w:line="240" w:lineRule="auto"/>
              <w:jc w:val="right"/>
              <w:rPr>
                <w:sz w:val="12"/>
                <w:szCs w:val="12"/>
                <w:lang w:eastAsia="en-AU"/>
              </w:rPr>
            </w:pPr>
            <w:r w:rsidRPr="00CD1518">
              <w:rPr>
                <w:sz w:val="12"/>
                <w:szCs w:val="12"/>
                <w:lang w:eastAsia="en-AU"/>
              </w:rPr>
              <w:t>5,068</w:t>
            </w:r>
          </w:p>
        </w:tc>
        <w:tc>
          <w:tcPr>
            <w:tcW w:w="471" w:type="pct"/>
            <w:tcBorders>
              <w:top w:val="nil"/>
              <w:left w:val="nil"/>
              <w:bottom w:val="single" w:sz="4" w:space="0" w:color="5B9BD5"/>
              <w:right w:val="nil"/>
            </w:tcBorders>
            <w:shd w:val="clear" w:color="000000" w:fill="DDEBF7"/>
            <w:noWrap/>
            <w:vAlign w:val="center"/>
            <w:hideMark/>
          </w:tcPr>
          <w:p w:rsidR="00056EC6" w:rsidRPr="00CD1518" w:rsidRDefault="00056EC6" w:rsidP="00CD1518">
            <w:pPr>
              <w:spacing w:line="240" w:lineRule="auto"/>
              <w:jc w:val="right"/>
              <w:rPr>
                <w:sz w:val="12"/>
                <w:szCs w:val="12"/>
                <w:lang w:eastAsia="en-AU"/>
              </w:rPr>
            </w:pPr>
            <w:r w:rsidRPr="00CD1518">
              <w:rPr>
                <w:sz w:val="12"/>
                <w:szCs w:val="12"/>
                <w:lang w:eastAsia="en-AU"/>
              </w:rPr>
              <w:t>5,068</w:t>
            </w:r>
          </w:p>
        </w:tc>
        <w:tc>
          <w:tcPr>
            <w:tcW w:w="236" w:type="pct"/>
            <w:tcBorders>
              <w:top w:val="nil"/>
              <w:left w:val="single" w:sz="4" w:space="0" w:color="5B9BD5"/>
              <w:bottom w:val="single" w:sz="4" w:space="0" w:color="5B9BD5"/>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single" w:sz="4" w:space="0" w:color="5B9BD5"/>
              <w:right w:val="nil"/>
            </w:tcBorders>
            <w:shd w:val="clear" w:color="000000" w:fill="DDEBF7"/>
            <w:noWrap/>
            <w:vAlign w:val="center"/>
            <w:hideMark/>
          </w:tcPr>
          <w:p w:rsidR="00056EC6" w:rsidRPr="00CD1518" w:rsidRDefault="00056EC6" w:rsidP="00CD1518">
            <w:pPr>
              <w:spacing w:line="240" w:lineRule="auto"/>
              <w:jc w:val="right"/>
              <w:rPr>
                <w:sz w:val="12"/>
                <w:szCs w:val="12"/>
                <w:lang w:eastAsia="en-AU"/>
              </w:rPr>
            </w:pPr>
            <w:r w:rsidRPr="00CD1518">
              <w:rPr>
                <w:sz w:val="12"/>
                <w:szCs w:val="12"/>
                <w:lang w:eastAsia="en-AU"/>
              </w:rPr>
              <w:t>-</w:t>
            </w:r>
          </w:p>
        </w:tc>
        <w:tc>
          <w:tcPr>
            <w:tcW w:w="471" w:type="pct"/>
            <w:tcBorders>
              <w:top w:val="nil"/>
              <w:left w:val="single" w:sz="4" w:space="0" w:color="5B9BD5"/>
              <w:bottom w:val="single" w:sz="4" w:space="0" w:color="5B9BD5"/>
              <w:right w:val="single" w:sz="4" w:space="0" w:color="5B9BD5"/>
            </w:tcBorders>
            <w:shd w:val="clear" w:color="000000" w:fill="DDEBF7"/>
            <w:noWrap/>
            <w:vAlign w:val="center"/>
            <w:hideMark/>
          </w:tcPr>
          <w:p w:rsidR="00056EC6" w:rsidRPr="00CD1518" w:rsidRDefault="00056EC6" w:rsidP="00CD1518">
            <w:pPr>
              <w:spacing w:line="240" w:lineRule="auto"/>
              <w:jc w:val="right"/>
              <w:rPr>
                <w:sz w:val="12"/>
                <w:szCs w:val="12"/>
                <w:lang w:eastAsia="en-AU"/>
              </w:rPr>
            </w:pPr>
            <w:r w:rsidRPr="00CD1518">
              <w:rPr>
                <w:sz w:val="12"/>
                <w:szCs w:val="12"/>
                <w:lang w:eastAsia="en-AU"/>
              </w:rPr>
              <w:t>-</w:t>
            </w:r>
          </w:p>
        </w:tc>
        <w:tc>
          <w:tcPr>
            <w:tcW w:w="471" w:type="pct"/>
            <w:tcBorders>
              <w:top w:val="nil"/>
              <w:left w:val="nil"/>
              <w:bottom w:val="single" w:sz="4" w:space="0" w:color="5B9BD5"/>
              <w:right w:val="single" w:sz="4" w:space="0" w:color="5B9BD5"/>
            </w:tcBorders>
            <w:shd w:val="clear" w:color="000000" w:fill="DDEBF7"/>
            <w:noWrap/>
            <w:vAlign w:val="center"/>
            <w:hideMark/>
          </w:tcPr>
          <w:p w:rsidR="00056EC6" w:rsidRPr="00CD1518" w:rsidRDefault="00056EC6" w:rsidP="00CD1518">
            <w:pPr>
              <w:spacing w:line="240" w:lineRule="auto"/>
              <w:jc w:val="right"/>
              <w:rPr>
                <w:sz w:val="12"/>
                <w:szCs w:val="12"/>
                <w:lang w:eastAsia="en-AU"/>
              </w:rPr>
            </w:pPr>
            <w:r w:rsidRPr="00CD1518">
              <w:rPr>
                <w:sz w:val="12"/>
                <w:szCs w:val="12"/>
                <w:lang w:eastAsia="en-AU"/>
              </w:rPr>
              <w:t>-</w:t>
            </w:r>
          </w:p>
        </w:tc>
        <w:tc>
          <w:tcPr>
            <w:tcW w:w="470" w:type="pct"/>
            <w:tcBorders>
              <w:top w:val="nil"/>
              <w:left w:val="nil"/>
              <w:bottom w:val="single" w:sz="4" w:space="0" w:color="5B9BD5"/>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392" w:type="pct"/>
            <w:tcBorders>
              <w:top w:val="nil"/>
              <w:left w:val="nil"/>
              <w:bottom w:val="single" w:sz="4" w:space="0" w:color="5B9BD5"/>
              <w:right w:val="nil"/>
            </w:tcBorders>
            <w:shd w:val="clear" w:color="000000" w:fill="DDEBF7"/>
            <w:noWrap/>
            <w:vAlign w:val="center"/>
            <w:hideMark/>
          </w:tcPr>
          <w:p w:rsidR="00056EC6" w:rsidRPr="00CD1518" w:rsidRDefault="00056EC6" w:rsidP="00CD1518">
            <w:pPr>
              <w:spacing w:line="240" w:lineRule="auto"/>
              <w:jc w:val="right"/>
              <w:rPr>
                <w:sz w:val="12"/>
                <w:szCs w:val="12"/>
                <w:lang w:eastAsia="en-AU"/>
              </w:rPr>
            </w:pPr>
            <w:r w:rsidRPr="00CD1518">
              <w:rPr>
                <w:sz w:val="12"/>
                <w:szCs w:val="12"/>
                <w:lang w:eastAsia="en-AU"/>
              </w:rPr>
              <w:t>-</w:t>
            </w:r>
          </w:p>
        </w:tc>
        <w:tc>
          <w:tcPr>
            <w:tcW w:w="392" w:type="pct"/>
            <w:tcBorders>
              <w:top w:val="nil"/>
              <w:left w:val="single" w:sz="4" w:space="0" w:color="5B9BD5"/>
              <w:bottom w:val="single" w:sz="4" w:space="0" w:color="5B9BD5"/>
              <w:right w:val="single" w:sz="4" w:space="0" w:color="5B9BD5"/>
            </w:tcBorders>
            <w:shd w:val="clear" w:color="000000" w:fill="DDEBF7"/>
            <w:noWrap/>
            <w:vAlign w:val="center"/>
            <w:hideMark/>
          </w:tcPr>
          <w:p w:rsidR="00056EC6" w:rsidRPr="00CD1518" w:rsidRDefault="00056EC6" w:rsidP="00CD1518">
            <w:pPr>
              <w:spacing w:line="240" w:lineRule="auto"/>
              <w:jc w:val="right"/>
              <w:rPr>
                <w:sz w:val="12"/>
                <w:szCs w:val="12"/>
                <w:lang w:eastAsia="en-AU"/>
              </w:rPr>
            </w:pPr>
            <w:r w:rsidRPr="00CD1518">
              <w:rPr>
                <w:sz w:val="12"/>
                <w:szCs w:val="12"/>
                <w:lang w:eastAsia="en-AU"/>
              </w:rPr>
              <w:t>5,068</w:t>
            </w:r>
          </w:p>
        </w:tc>
        <w:tc>
          <w:tcPr>
            <w:tcW w:w="392" w:type="pct"/>
            <w:tcBorders>
              <w:top w:val="nil"/>
              <w:left w:val="nil"/>
              <w:bottom w:val="single" w:sz="4" w:space="0" w:color="5B9BD5"/>
              <w:right w:val="single" w:sz="4" w:space="0" w:color="5B9BD5"/>
            </w:tcBorders>
            <w:shd w:val="clear" w:color="000000" w:fill="DDEBF7"/>
            <w:noWrap/>
            <w:vAlign w:val="center"/>
            <w:hideMark/>
          </w:tcPr>
          <w:p w:rsidR="00056EC6" w:rsidRPr="00CD1518" w:rsidRDefault="00056EC6">
            <w:pPr>
              <w:spacing w:line="240" w:lineRule="auto"/>
              <w:jc w:val="right"/>
              <w:rPr>
                <w:sz w:val="12"/>
                <w:szCs w:val="12"/>
                <w:lang w:eastAsia="en-AU"/>
              </w:rPr>
            </w:pPr>
            <w:r w:rsidRPr="00CD1518">
              <w:rPr>
                <w:sz w:val="12"/>
                <w:szCs w:val="12"/>
                <w:lang w:eastAsia="en-AU"/>
              </w:rPr>
              <w:t>0%</w:t>
            </w:r>
          </w:p>
        </w:tc>
      </w:tr>
      <w:tr w:rsidR="003A1695" w:rsidRPr="00056EC6" w:rsidTr="00056EC6">
        <w:trPr>
          <w:trHeight w:val="260"/>
        </w:trPr>
        <w:tc>
          <w:tcPr>
            <w:tcW w:w="763" w:type="pct"/>
            <w:tcBorders>
              <w:top w:val="nil"/>
              <w:left w:val="single" w:sz="4" w:space="0" w:color="5B9BD5"/>
              <w:bottom w:val="nil"/>
              <w:right w:val="nil"/>
            </w:tcBorders>
            <w:shd w:val="clear" w:color="000000" w:fill="DDEBF7"/>
            <w:noWrap/>
            <w:vAlign w:val="center"/>
            <w:hideMark/>
          </w:tcPr>
          <w:p w:rsidR="00056EC6" w:rsidRPr="00CD1518" w:rsidRDefault="00056EC6">
            <w:pPr>
              <w:spacing w:line="240" w:lineRule="auto"/>
              <w:rPr>
                <w:b/>
                <w:bCs/>
                <w:color w:val="000000"/>
                <w:sz w:val="12"/>
                <w:szCs w:val="12"/>
                <w:lang w:eastAsia="en-AU"/>
              </w:rPr>
            </w:pPr>
            <w:r w:rsidRPr="00CD1518">
              <w:rPr>
                <w:b/>
                <w:bCs/>
                <w:color w:val="000000"/>
                <w:sz w:val="12"/>
                <w:szCs w:val="12"/>
                <w:lang w:eastAsia="en-AU"/>
              </w:rPr>
              <w:t>TOTAL</w:t>
            </w:r>
          </w:p>
        </w:tc>
        <w:tc>
          <w:tcPr>
            <w:tcW w:w="471"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b/>
                <w:bCs/>
                <w:color w:val="000000"/>
                <w:sz w:val="12"/>
                <w:szCs w:val="12"/>
                <w:lang w:eastAsia="en-AU"/>
              </w:rPr>
            </w:pPr>
            <w:r w:rsidRPr="00CD1518">
              <w:rPr>
                <w:b/>
                <w:bCs/>
                <w:color w:val="000000"/>
                <w:sz w:val="12"/>
                <w:szCs w:val="12"/>
                <w:lang w:eastAsia="en-AU"/>
              </w:rPr>
              <w:t>315,325</w:t>
            </w:r>
          </w:p>
        </w:tc>
        <w:tc>
          <w:tcPr>
            <w:tcW w:w="471"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b/>
                <w:bCs/>
                <w:color w:val="000000"/>
                <w:sz w:val="12"/>
                <w:szCs w:val="12"/>
                <w:lang w:eastAsia="en-AU"/>
              </w:rPr>
            </w:pPr>
            <w:r w:rsidRPr="00CD1518">
              <w:rPr>
                <w:b/>
                <w:bCs/>
                <w:color w:val="000000"/>
                <w:sz w:val="12"/>
                <w:szCs w:val="12"/>
                <w:lang w:eastAsia="en-AU"/>
              </w:rPr>
              <w:t>315,325</w:t>
            </w:r>
          </w:p>
        </w:tc>
        <w:tc>
          <w:tcPr>
            <w:tcW w:w="236"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470"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b/>
                <w:bCs/>
                <w:color w:val="000000"/>
                <w:sz w:val="12"/>
                <w:szCs w:val="12"/>
                <w:lang w:eastAsia="en-AU"/>
              </w:rPr>
            </w:pPr>
            <w:r w:rsidRPr="00CD1518">
              <w:rPr>
                <w:b/>
                <w:bCs/>
                <w:color w:val="000000"/>
                <w:sz w:val="12"/>
                <w:szCs w:val="12"/>
                <w:lang w:eastAsia="en-AU"/>
              </w:rPr>
              <w:t>52,156</w:t>
            </w:r>
          </w:p>
        </w:tc>
        <w:tc>
          <w:tcPr>
            <w:tcW w:w="471"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b/>
                <w:bCs/>
                <w:color w:val="000000"/>
                <w:sz w:val="12"/>
                <w:szCs w:val="12"/>
                <w:lang w:eastAsia="en-AU"/>
              </w:rPr>
            </w:pPr>
            <w:r w:rsidRPr="00CD1518">
              <w:rPr>
                <w:b/>
                <w:bCs/>
                <w:color w:val="000000"/>
                <w:sz w:val="12"/>
                <w:szCs w:val="12"/>
                <w:lang w:eastAsia="en-AU"/>
              </w:rPr>
              <w:t>69,533</w:t>
            </w:r>
          </w:p>
        </w:tc>
        <w:tc>
          <w:tcPr>
            <w:tcW w:w="471"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b/>
                <w:bCs/>
                <w:color w:val="000000"/>
                <w:sz w:val="12"/>
                <w:szCs w:val="12"/>
                <w:lang w:eastAsia="en-AU"/>
              </w:rPr>
            </w:pPr>
            <w:r w:rsidRPr="00CD1518">
              <w:rPr>
                <w:b/>
                <w:bCs/>
                <w:color w:val="000000"/>
                <w:sz w:val="12"/>
                <w:szCs w:val="12"/>
                <w:lang w:eastAsia="en-AU"/>
              </w:rPr>
              <w:t>188,568</w:t>
            </w:r>
          </w:p>
        </w:tc>
        <w:tc>
          <w:tcPr>
            <w:tcW w:w="470"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b/>
                <w:bCs/>
                <w:color w:val="000000"/>
                <w:sz w:val="12"/>
                <w:szCs w:val="12"/>
                <w:lang w:eastAsia="en-AU"/>
              </w:rPr>
            </w:pPr>
            <w:r w:rsidRPr="00CD1518">
              <w:rPr>
                <w:b/>
                <w:bCs/>
                <w:color w:val="000000"/>
                <w:sz w:val="12"/>
                <w:szCs w:val="12"/>
                <w:lang w:eastAsia="en-AU"/>
              </w:rPr>
              <w:t>310,257</w:t>
            </w:r>
          </w:p>
        </w:tc>
        <w:tc>
          <w:tcPr>
            <w:tcW w:w="392"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392"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b/>
                <w:bCs/>
                <w:color w:val="000000"/>
                <w:sz w:val="12"/>
                <w:szCs w:val="12"/>
                <w:lang w:eastAsia="en-AU"/>
              </w:rPr>
            </w:pPr>
            <w:r w:rsidRPr="00CD1518">
              <w:rPr>
                <w:b/>
                <w:bCs/>
                <w:color w:val="000000"/>
                <w:sz w:val="12"/>
                <w:szCs w:val="12"/>
                <w:lang w:eastAsia="en-AU"/>
              </w:rPr>
              <w:t>5,068</w:t>
            </w:r>
          </w:p>
        </w:tc>
        <w:tc>
          <w:tcPr>
            <w:tcW w:w="392"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b/>
                <w:bCs/>
                <w:color w:val="000000"/>
                <w:sz w:val="12"/>
                <w:szCs w:val="12"/>
                <w:lang w:eastAsia="en-AU"/>
              </w:rPr>
            </w:pPr>
          </w:p>
        </w:tc>
      </w:tr>
      <w:tr w:rsidR="003E3288" w:rsidRPr="00056EC6" w:rsidTr="00056EC6">
        <w:trPr>
          <w:trHeight w:val="260"/>
        </w:trPr>
        <w:tc>
          <w:tcPr>
            <w:tcW w:w="763" w:type="pct"/>
            <w:tcBorders>
              <w:top w:val="nil"/>
              <w:left w:val="single" w:sz="4" w:space="0" w:color="5B9BD5"/>
              <w:bottom w:val="nil"/>
              <w:right w:val="nil"/>
            </w:tcBorders>
            <w:shd w:val="clear" w:color="000000" w:fill="D0CECE"/>
            <w:noWrap/>
            <w:vAlign w:val="center"/>
            <w:hideMark/>
          </w:tcPr>
          <w:p w:rsidR="00056EC6" w:rsidRPr="00CD1518" w:rsidRDefault="00056EC6">
            <w:pPr>
              <w:spacing w:line="240" w:lineRule="auto"/>
              <w:rPr>
                <w:b/>
                <w:bCs/>
                <w:color w:val="000000"/>
                <w:sz w:val="12"/>
                <w:szCs w:val="12"/>
                <w:lang w:eastAsia="en-AU"/>
              </w:rPr>
            </w:pPr>
            <w:r w:rsidRPr="00CD1518">
              <w:rPr>
                <w:b/>
                <w:bCs/>
                <w:color w:val="000000"/>
                <w:sz w:val="12"/>
                <w:szCs w:val="12"/>
                <w:lang w:eastAsia="en-AU"/>
              </w:rPr>
              <w:t>Feeder Data</w:t>
            </w:r>
          </w:p>
        </w:tc>
        <w:tc>
          <w:tcPr>
            <w:tcW w:w="471" w:type="pct"/>
            <w:tcBorders>
              <w:top w:val="nil"/>
              <w:left w:val="single" w:sz="4" w:space="0" w:color="5B9BD5"/>
              <w:bottom w:val="nil"/>
              <w:right w:val="single" w:sz="4" w:space="0" w:color="5B9BD5"/>
            </w:tcBorders>
            <w:shd w:val="clear" w:color="000000" w:fill="D0CECE"/>
            <w:noWrap/>
            <w:vAlign w:val="center"/>
            <w:hideMark/>
          </w:tcPr>
          <w:p w:rsidR="00056EC6" w:rsidRPr="00CD1518" w:rsidRDefault="00056EC6" w:rsidP="00CD1518">
            <w:pPr>
              <w:spacing w:line="240" w:lineRule="auto"/>
              <w:jc w:val="right"/>
              <w:rPr>
                <w:b/>
                <w:bCs/>
                <w:color w:val="000000"/>
                <w:sz w:val="12"/>
                <w:szCs w:val="12"/>
                <w:lang w:eastAsia="en-AU"/>
              </w:rPr>
            </w:pPr>
          </w:p>
        </w:tc>
        <w:tc>
          <w:tcPr>
            <w:tcW w:w="471" w:type="pct"/>
            <w:tcBorders>
              <w:top w:val="nil"/>
              <w:left w:val="nil"/>
              <w:bottom w:val="nil"/>
              <w:right w:val="nil"/>
            </w:tcBorders>
            <w:shd w:val="clear" w:color="000000" w:fill="D0CECE"/>
            <w:noWrap/>
            <w:vAlign w:val="center"/>
            <w:hideMark/>
          </w:tcPr>
          <w:p w:rsidR="00056EC6" w:rsidRPr="00CD1518" w:rsidRDefault="00056EC6" w:rsidP="00CD1518">
            <w:pPr>
              <w:spacing w:line="240" w:lineRule="auto"/>
              <w:jc w:val="right"/>
              <w:rPr>
                <w:b/>
                <w:bCs/>
                <w:color w:val="000000"/>
                <w:sz w:val="12"/>
                <w:szCs w:val="12"/>
                <w:lang w:eastAsia="en-AU"/>
              </w:rPr>
            </w:pPr>
          </w:p>
        </w:tc>
        <w:tc>
          <w:tcPr>
            <w:tcW w:w="236" w:type="pct"/>
            <w:tcBorders>
              <w:top w:val="nil"/>
              <w:left w:val="single" w:sz="4" w:space="0" w:color="5B9BD5"/>
              <w:bottom w:val="nil"/>
              <w:right w:val="single" w:sz="4" w:space="0" w:color="5B9BD5"/>
            </w:tcBorders>
            <w:shd w:val="clear" w:color="000000" w:fill="D0CECE"/>
            <w:noWrap/>
            <w:vAlign w:val="center"/>
            <w:hideMark/>
          </w:tcPr>
          <w:p w:rsidR="00056EC6" w:rsidRPr="00CD1518" w:rsidRDefault="00056EC6" w:rsidP="00CD1518">
            <w:pPr>
              <w:spacing w:line="240" w:lineRule="auto"/>
              <w:jc w:val="right"/>
              <w:rPr>
                <w:b/>
                <w:bCs/>
                <w:color w:val="000000"/>
                <w:sz w:val="12"/>
                <w:szCs w:val="12"/>
                <w:lang w:eastAsia="en-AU"/>
              </w:rPr>
            </w:pPr>
          </w:p>
        </w:tc>
        <w:tc>
          <w:tcPr>
            <w:tcW w:w="470" w:type="pct"/>
            <w:tcBorders>
              <w:top w:val="nil"/>
              <w:left w:val="nil"/>
              <w:bottom w:val="nil"/>
              <w:right w:val="nil"/>
            </w:tcBorders>
            <w:shd w:val="clear" w:color="000000" w:fill="D0CECE"/>
            <w:noWrap/>
            <w:vAlign w:val="center"/>
            <w:hideMark/>
          </w:tcPr>
          <w:p w:rsidR="00056EC6" w:rsidRPr="00CD1518" w:rsidRDefault="00056EC6" w:rsidP="00CD1518">
            <w:pPr>
              <w:spacing w:line="240" w:lineRule="auto"/>
              <w:jc w:val="right"/>
              <w:rPr>
                <w:b/>
                <w:bCs/>
                <w:color w:val="000000"/>
                <w:sz w:val="12"/>
                <w:szCs w:val="12"/>
                <w:lang w:eastAsia="en-AU"/>
              </w:rPr>
            </w:pPr>
          </w:p>
        </w:tc>
        <w:tc>
          <w:tcPr>
            <w:tcW w:w="471" w:type="pct"/>
            <w:tcBorders>
              <w:top w:val="nil"/>
              <w:left w:val="single" w:sz="4" w:space="0" w:color="5B9BD5"/>
              <w:bottom w:val="nil"/>
              <w:right w:val="single" w:sz="4" w:space="0" w:color="5B9BD5"/>
            </w:tcBorders>
            <w:shd w:val="clear" w:color="000000" w:fill="D0CECE"/>
            <w:noWrap/>
            <w:vAlign w:val="center"/>
            <w:hideMark/>
          </w:tcPr>
          <w:p w:rsidR="00056EC6" w:rsidRPr="00CD1518" w:rsidRDefault="00056EC6" w:rsidP="00CD1518">
            <w:pPr>
              <w:spacing w:line="240" w:lineRule="auto"/>
              <w:jc w:val="right"/>
              <w:rPr>
                <w:b/>
                <w:bCs/>
                <w:color w:val="000000"/>
                <w:sz w:val="12"/>
                <w:szCs w:val="12"/>
                <w:lang w:eastAsia="en-AU"/>
              </w:rPr>
            </w:pPr>
          </w:p>
        </w:tc>
        <w:tc>
          <w:tcPr>
            <w:tcW w:w="471" w:type="pct"/>
            <w:tcBorders>
              <w:top w:val="nil"/>
              <w:left w:val="nil"/>
              <w:bottom w:val="nil"/>
              <w:right w:val="single" w:sz="4" w:space="0" w:color="5B9BD5"/>
            </w:tcBorders>
            <w:shd w:val="clear" w:color="000000" w:fill="D0CECE"/>
            <w:noWrap/>
            <w:vAlign w:val="center"/>
            <w:hideMark/>
          </w:tcPr>
          <w:p w:rsidR="00056EC6" w:rsidRPr="00CD1518" w:rsidRDefault="00056EC6" w:rsidP="00CD1518">
            <w:pPr>
              <w:spacing w:line="240" w:lineRule="auto"/>
              <w:jc w:val="right"/>
              <w:rPr>
                <w:b/>
                <w:bCs/>
                <w:color w:val="000000"/>
                <w:sz w:val="12"/>
                <w:szCs w:val="12"/>
                <w:lang w:eastAsia="en-AU"/>
              </w:rPr>
            </w:pPr>
          </w:p>
        </w:tc>
        <w:tc>
          <w:tcPr>
            <w:tcW w:w="470" w:type="pct"/>
            <w:tcBorders>
              <w:top w:val="nil"/>
              <w:left w:val="nil"/>
              <w:bottom w:val="nil"/>
              <w:right w:val="single" w:sz="4" w:space="0" w:color="5B9BD5"/>
            </w:tcBorders>
            <w:shd w:val="clear" w:color="000000" w:fill="D0CECE"/>
            <w:noWrap/>
            <w:vAlign w:val="center"/>
            <w:hideMark/>
          </w:tcPr>
          <w:p w:rsidR="00056EC6" w:rsidRPr="00CD1518" w:rsidRDefault="00056EC6" w:rsidP="00CD1518">
            <w:pPr>
              <w:spacing w:line="240" w:lineRule="auto"/>
              <w:jc w:val="right"/>
              <w:rPr>
                <w:b/>
                <w:bCs/>
                <w:color w:val="000000"/>
                <w:sz w:val="12"/>
                <w:szCs w:val="12"/>
                <w:lang w:eastAsia="en-AU"/>
              </w:rPr>
            </w:pPr>
          </w:p>
        </w:tc>
        <w:tc>
          <w:tcPr>
            <w:tcW w:w="392" w:type="pct"/>
            <w:tcBorders>
              <w:top w:val="nil"/>
              <w:left w:val="nil"/>
              <w:bottom w:val="nil"/>
              <w:right w:val="nil"/>
            </w:tcBorders>
            <w:shd w:val="clear" w:color="000000" w:fill="D0CECE"/>
            <w:noWrap/>
            <w:vAlign w:val="center"/>
            <w:hideMark/>
          </w:tcPr>
          <w:p w:rsidR="00056EC6" w:rsidRPr="00CD1518" w:rsidRDefault="00056EC6" w:rsidP="00CD1518">
            <w:pPr>
              <w:spacing w:line="240" w:lineRule="auto"/>
              <w:jc w:val="right"/>
              <w:rPr>
                <w:b/>
                <w:bCs/>
                <w:color w:val="000000"/>
                <w:sz w:val="12"/>
                <w:szCs w:val="12"/>
                <w:lang w:eastAsia="en-AU"/>
              </w:rPr>
            </w:pPr>
          </w:p>
        </w:tc>
        <w:tc>
          <w:tcPr>
            <w:tcW w:w="392" w:type="pct"/>
            <w:tcBorders>
              <w:top w:val="nil"/>
              <w:left w:val="single" w:sz="4" w:space="0" w:color="5B9BD5"/>
              <w:bottom w:val="nil"/>
              <w:right w:val="single" w:sz="4" w:space="0" w:color="5B9BD5"/>
            </w:tcBorders>
            <w:shd w:val="clear" w:color="000000" w:fill="D0CECE"/>
            <w:noWrap/>
            <w:vAlign w:val="center"/>
            <w:hideMark/>
          </w:tcPr>
          <w:p w:rsidR="00056EC6" w:rsidRPr="00CD1518" w:rsidRDefault="00056EC6" w:rsidP="00CD1518">
            <w:pPr>
              <w:spacing w:line="240" w:lineRule="auto"/>
              <w:jc w:val="right"/>
              <w:rPr>
                <w:b/>
                <w:bCs/>
                <w:color w:val="000000"/>
                <w:sz w:val="12"/>
                <w:szCs w:val="12"/>
                <w:lang w:eastAsia="en-AU"/>
              </w:rPr>
            </w:pPr>
          </w:p>
        </w:tc>
        <w:tc>
          <w:tcPr>
            <w:tcW w:w="392" w:type="pct"/>
            <w:tcBorders>
              <w:top w:val="nil"/>
              <w:left w:val="nil"/>
              <w:bottom w:val="nil"/>
              <w:right w:val="single" w:sz="4" w:space="0" w:color="5B9BD5"/>
            </w:tcBorders>
            <w:shd w:val="clear" w:color="000000" w:fill="D0CECE"/>
            <w:noWrap/>
            <w:vAlign w:val="center"/>
            <w:hideMark/>
          </w:tcPr>
          <w:p w:rsidR="00056EC6" w:rsidRPr="00CD1518" w:rsidRDefault="00056EC6" w:rsidP="00CD1518">
            <w:pPr>
              <w:spacing w:line="240" w:lineRule="auto"/>
              <w:jc w:val="right"/>
              <w:rPr>
                <w:b/>
                <w:bCs/>
                <w:color w:val="000000"/>
                <w:sz w:val="12"/>
                <w:szCs w:val="12"/>
                <w:lang w:eastAsia="en-AU"/>
              </w:rPr>
            </w:pPr>
          </w:p>
        </w:tc>
      </w:tr>
      <w:tr w:rsidR="003A1695" w:rsidRPr="00056EC6" w:rsidTr="00056EC6">
        <w:trPr>
          <w:trHeight w:val="260"/>
        </w:trPr>
        <w:tc>
          <w:tcPr>
            <w:tcW w:w="763" w:type="pct"/>
            <w:tcBorders>
              <w:top w:val="nil"/>
              <w:left w:val="single" w:sz="4" w:space="0" w:color="5B9BD5"/>
              <w:bottom w:val="nil"/>
              <w:right w:val="nil"/>
            </w:tcBorders>
            <w:shd w:val="clear" w:color="000000" w:fill="FFFFFF"/>
            <w:noWrap/>
            <w:vAlign w:val="center"/>
            <w:hideMark/>
          </w:tcPr>
          <w:p w:rsidR="00056EC6" w:rsidRPr="00CD1518" w:rsidRDefault="00056EC6">
            <w:pPr>
              <w:spacing w:line="240" w:lineRule="auto"/>
              <w:rPr>
                <w:color w:val="000000"/>
                <w:sz w:val="12"/>
                <w:szCs w:val="12"/>
                <w:lang w:eastAsia="en-AU"/>
              </w:rPr>
            </w:pPr>
            <w:r w:rsidRPr="00CD1518">
              <w:rPr>
                <w:color w:val="000000"/>
                <w:sz w:val="12"/>
                <w:szCs w:val="12"/>
                <w:lang w:eastAsia="en-AU"/>
              </w:rPr>
              <w:t>Appointment Schedule Outpatient</w:t>
            </w:r>
          </w:p>
        </w:tc>
        <w:tc>
          <w:tcPr>
            <w:tcW w:w="471"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2,544,445</w:t>
            </w:r>
          </w:p>
        </w:tc>
        <w:tc>
          <w:tcPr>
            <w:tcW w:w="471" w:type="pct"/>
            <w:tcBorders>
              <w:top w:val="nil"/>
              <w:left w:val="nil"/>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2,544,445</w:t>
            </w:r>
          </w:p>
        </w:tc>
        <w:tc>
          <w:tcPr>
            <w:tcW w:w="236"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209,610</w:t>
            </w:r>
          </w:p>
        </w:tc>
        <w:tc>
          <w:tcPr>
            <w:tcW w:w="471" w:type="pct"/>
            <w:tcBorders>
              <w:top w:val="nil"/>
              <w:left w:val="nil"/>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2,215</w:t>
            </w:r>
          </w:p>
        </w:tc>
        <w:tc>
          <w:tcPr>
            <w:tcW w:w="471" w:type="pct"/>
            <w:tcBorders>
              <w:top w:val="nil"/>
              <w:left w:val="nil"/>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2,275,802</w:t>
            </w:r>
          </w:p>
        </w:tc>
        <w:tc>
          <w:tcPr>
            <w:tcW w:w="470"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2,487,627</w:t>
            </w:r>
          </w:p>
        </w:tc>
        <w:tc>
          <w:tcPr>
            <w:tcW w:w="392" w:type="pct"/>
            <w:tcBorders>
              <w:top w:val="nil"/>
              <w:left w:val="nil"/>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p>
        </w:tc>
        <w:tc>
          <w:tcPr>
            <w:tcW w:w="392" w:type="pct"/>
            <w:tcBorders>
              <w:top w:val="nil"/>
              <w:left w:val="nil"/>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56,818</w:t>
            </w:r>
          </w:p>
        </w:tc>
        <w:tc>
          <w:tcPr>
            <w:tcW w:w="392" w:type="pct"/>
            <w:tcBorders>
              <w:top w:val="nil"/>
              <w:left w:val="nil"/>
              <w:bottom w:val="nil"/>
              <w:right w:val="single" w:sz="4" w:space="0" w:color="5B9BD5"/>
            </w:tcBorders>
            <w:shd w:val="clear" w:color="000000" w:fill="FFFFFF"/>
            <w:noWrap/>
            <w:vAlign w:val="center"/>
            <w:hideMark/>
          </w:tcPr>
          <w:p w:rsidR="00056EC6" w:rsidRPr="00CD1518" w:rsidRDefault="00056EC6">
            <w:pPr>
              <w:spacing w:line="240" w:lineRule="auto"/>
              <w:jc w:val="right"/>
              <w:rPr>
                <w:color w:val="000000"/>
                <w:sz w:val="12"/>
                <w:szCs w:val="12"/>
                <w:lang w:eastAsia="en-AU"/>
              </w:rPr>
            </w:pPr>
            <w:r w:rsidRPr="00CD1518">
              <w:rPr>
                <w:color w:val="000000"/>
                <w:sz w:val="12"/>
                <w:szCs w:val="12"/>
                <w:lang w:eastAsia="en-AU"/>
              </w:rPr>
              <w:t>98%</w:t>
            </w:r>
          </w:p>
        </w:tc>
      </w:tr>
      <w:tr w:rsidR="003E3288" w:rsidRPr="00056EC6" w:rsidTr="00056EC6">
        <w:trPr>
          <w:trHeight w:val="260"/>
        </w:trPr>
        <w:tc>
          <w:tcPr>
            <w:tcW w:w="763" w:type="pct"/>
            <w:tcBorders>
              <w:top w:val="nil"/>
              <w:left w:val="single" w:sz="4" w:space="0" w:color="5B9BD5"/>
              <w:bottom w:val="nil"/>
              <w:right w:val="nil"/>
            </w:tcBorders>
            <w:shd w:val="clear" w:color="000000" w:fill="DDEBF7"/>
            <w:noWrap/>
            <w:vAlign w:val="center"/>
            <w:hideMark/>
          </w:tcPr>
          <w:p w:rsidR="00056EC6" w:rsidRPr="00CD1518" w:rsidRDefault="00056EC6">
            <w:pPr>
              <w:spacing w:line="240" w:lineRule="auto"/>
              <w:rPr>
                <w:color w:val="000000"/>
                <w:sz w:val="12"/>
                <w:szCs w:val="12"/>
                <w:lang w:eastAsia="en-AU"/>
              </w:rPr>
            </w:pPr>
            <w:r w:rsidRPr="00CD1518">
              <w:rPr>
                <w:color w:val="000000"/>
                <w:sz w:val="12"/>
                <w:szCs w:val="12"/>
                <w:lang w:eastAsia="en-AU"/>
              </w:rPr>
              <w:t xml:space="preserve">Diagnostic </w:t>
            </w:r>
            <w:r w:rsidR="007B474A" w:rsidRPr="00CD1518">
              <w:rPr>
                <w:color w:val="000000"/>
                <w:sz w:val="12"/>
                <w:szCs w:val="12"/>
                <w:lang w:eastAsia="en-AU"/>
              </w:rPr>
              <w:t>Imaging</w:t>
            </w:r>
          </w:p>
        </w:tc>
        <w:tc>
          <w:tcPr>
            <w:tcW w:w="471"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2,265,619</w:t>
            </w:r>
          </w:p>
        </w:tc>
        <w:tc>
          <w:tcPr>
            <w:tcW w:w="471" w:type="pct"/>
            <w:tcBorders>
              <w:top w:val="nil"/>
              <w:left w:val="nil"/>
              <w:bottom w:val="nil"/>
              <w:right w:val="nil"/>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2,265,619</w:t>
            </w:r>
          </w:p>
        </w:tc>
        <w:tc>
          <w:tcPr>
            <w:tcW w:w="236"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nil"/>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809,278</w:t>
            </w:r>
          </w:p>
        </w:tc>
        <w:tc>
          <w:tcPr>
            <w:tcW w:w="471"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761,814</w:t>
            </w:r>
          </w:p>
        </w:tc>
        <w:tc>
          <w:tcPr>
            <w:tcW w:w="471"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537,934</w:t>
            </w:r>
          </w:p>
        </w:tc>
        <w:tc>
          <w:tcPr>
            <w:tcW w:w="470"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2,109,026</w:t>
            </w:r>
          </w:p>
        </w:tc>
        <w:tc>
          <w:tcPr>
            <w:tcW w:w="392" w:type="pct"/>
            <w:tcBorders>
              <w:top w:val="nil"/>
              <w:left w:val="nil"/>
              <w:bottom w:val="nil"/>
              <w:right w:val="nil"/>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392"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156,593</w:t>
            </w:r>
          </w:p>
        </w:tc>
        <w:tc>
          <w:tcPr>
            <w:tcW w:w="392" w:type="pct"/>
            <w:tcBorders>
              <w:top w:val="nil"/>
              <w:left w:val="nil"/>
              <w:bottom w:val="nil"/>
              <w:right w:val="single" w:sz="4" w:space="0" w:color="5B9BD5"/>
            </w:tcBorders>
            <w:shd w:val="clear" w:color="000000" w:fill="DDEBF7"/>
            <w:noWrap/>
            <w:vAlign w:val="center"/>
            <w:hideMark/>
          </w:tcPr>
          <w:p w:rsidR="00056EC6" w:rsidRPr="00CD1518" w:rsidRDefault="00056EC6">
            <w:pPr>
              <w:spacing w:line="240" w:lineRule="auto"/>
              <w:jc w:val="right"/>
              <w:rPr>
                <w:color w:val="000000"/>
                <w:sz w:val="12"/>
                <w:szCs w:val="12"/>
                <w:lang w:eastAsia="en-AU"/>
              </w:rPr>
            </w:pPr>
            <w:r w:rsidRPr="00CD1518">
              <w:rPr>
                <w:color w:val="000000"/>
                <w:sz w:val="12"/>
                <w:szCs w:val="12"/>
                <w:lang w:eastAsia="en-AU"/>
              </w:rPr>
              <w:t>93%</w:t>
            </w:r>
          </w:p>
        </w:tc>
      </w:tr>
      <w:tr w:rsidR="003E3288" w:rsidRPr="00056EC6" w:rsidTr="00056EC6">
        <w:trPr>
          <w:trHeight w:val="260"/>
        </w:trPr>
        <w:tc>
          <w:tcPr>
            <w:tcW w:w="763" w:type="pct"/>
            <w:tcBorders>
              <w:top w:val="nil"/>
              <w:left w:val="single" w:sz="4" w:space="0" w:color="5B9BD5"/>
              <w:bottom w:val="nil"/>
              <w:right w:val="nil"/>
            </w:tcBorders>
            <w:shd w:val="clear" w:color="000000" w:fill="FFFFFF"/>
            <w:noWrap/>
            <w:vAlign w:val="center"/>
            <w:hideMark/>
          </w:tcPr>
          <w:p w:rsidR="00056EC6" w:rsidRPr="00CD1518" w:rsidRDefault="00056EC6">
            <w:pPr>
              <w:spacing w:line="240" w:lineRule="auto"/>
              <w:rPr>
                <w:color w:val="000000"/>
                <w:sz w:val="12"/>
                <w:szCs w:val="12"/>
                <w:lang w:eastAsia="en-AU"/>
              </w:rPr>
            </w:pPr>
            <w:r w:rsidRPr="00CD1518">
              <w:rPr>
                <w:color w:val="000000"/>
                <w:sz w:val="12"/>
                <w:szCs w:val="12"/>
                <w:lang w:eastAsia="en-AU"/>
              </w:rPr>
              <w:t>Emergency Presentation</w:t>
            </w:r>
          </w:p>
        </w:tc>
        <w:tc>
          <w:tcPr>
            <w:tcW w:w="471"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1,740,195</w:t>
            </w:r>
          </w:p>
        </w:tc>
        <w:tc>
          <w:tcPr>
            <w:tcW w:w="471" w:type="pct"/>
            <w:tcBorders>
              <w:top w:val="nil"/>
              <w:left w:val="nil"/>
              <w:bottom w:val="nil"/>
              <w:right w:val="nil"/>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1,740,195</w:t>
            </w:r>
          </w:p>
        </w:tc>
        <w:tc>
          <w:tcPr>
            <w:tcW w:w="236"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nil"/>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1"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1,730,827</w:t>
            </w:r>
          </w:p>
        </w:tc>
        <w:tc>
          <w:tcPr>
            <w:tcW w:w="471" w:type="pct"/>
            <w:tcBorders>
              <w:top w:val="nil"/>
              <w:left w:val="nil"/>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1,730,827</w:t>
            </w:r>
          </w:p>
        </w:tc>
        <w:tc>
          <w:tcPr>
            <w:tcW w:w="392" w:type="pct"/>
            <w:tcBorders>
              <w:top w:val="nil"/>
              <w:left w:val="nil"/>
              <w:bottom w:val="nil"/>
              <w:right w:val="nil"/>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392"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9,368</w:t>
            </w:r>
          </w:p>
        </w:tc>
        <w:tc>
          <w:tcPr>
            <w:tcW w:w="392" w:type="pct"/>
            <w:tcBorders>
              <w:top w:val="nil"/>
              <w:left w:val="nil"/>
              <w:bottom w:val="nil"/>
              <w:right w:val="single" w:sz="4" w:space="0" w:color="5B9BD5"/>
            </w:tcBorders>
            <w:shd w:val="clear" w:color="000000" w:fill="FFFFFF"/>
            <w:noWrap/>
            <w:vAlign w:val="center"/>
            <w:hideMark/>
          </w:tcPr>
          <w:p w:rsidR="00056EC6" w:rsidRPr="00CD1518" w:rsidRDefault="00056EC6">
            <w:pPr>
              <w:spacing w:line="240" w:lineRule="auto"/>
              <w:jc w:val="right"/>
              <w:rPr>
                <w:color w:val="000000"/>
                <w:sz w:val="12"/>
                <w:szCs w:val="12"/>
                <w:lang w:eastAsia="en-AU"/>
              </w:rPr>
            </w:pPr>
            <w:r w:rsidRPr="00CD1518">
              <w:rPr>
                <w:color w:val="000000"/>
                <w:sz w:val="12"/>
                <w:szCs w:val="12"/>
                <w:lang w:eastAsia="en-AU"/>
              </w:rPr>
              <w:t>99%</w:t>
            </w:r>
          </w:p>
        </w:tc>
      </w:tr>
      <w:tr w:rsidR="003E3288" w:rsidRPr="00056EC6" w:rsidTr="00056EC6">
        <w:trPr>
          <w:trHeight w:val="260"/>
        </w:trPr>
        <w:tc>
          <w:tcPr>
            <w:tcW w:w="763" w:type="pct"/>
            <w:tcBorders>
              <w:top w:val="nil"/>
              <w:left w:val="single" w:sz="4" w:space="0" w:color="5B9BD5"/>
              <w:bottom w:val="nil"/>
              <w:right w:val="nil"/>
            </w:tcBorders>
            <w:shd w:val="clear" w:color="000000" w:fill="DDEBF7"/>
            <w:noWrap/>
            <w:vAlign w:val="center"/>
            <w:hideMark/>
          </w:tcPr>
          <w:p w:rsidR="00056EC6" w:rsidRPr="00CD1518" w:rsidRDefault="00056EC6">
            <w:pPr>
              <w:spacing w:line="240" w:lineRule="auto"/>
              <w:rPr>
                <w:color w:val="000000"/>
                <w:sz w:val="12"/>
                <w:szCs w:val="12"/>
                <w:lang w:eastAsia="en-AU"/>
              </w:rPr>
            </w:pPr>
            <w:r w:rsidRPr="00CD1518">
              <w:rPr>
                <w:color w:val="000000"/>
                <w:sz w:val="12"/>
                <w:szCs w:val="12"/>
                <w:lang w:eastAsia="en-AU"/>
              </w:rPr>
              <w:t>Local Clinical System</w:t>
            </w:r>
          </w:p>
        </w:tc>
        <w:tc>
          <w:tcPr>
            <w:tcW w:w="471"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350,911</w:t>
            </w:r>
          </w:p>
        </w:tc>
        <w:tc>
          <w:tcPr>
            <w:tcW w:w="471" w:type="pct"/>
            <w:tcBorders>
              <w:top w:val="nil"/>
              <w:left w:val="nil"/>
              <w:bottom w:val="nil"/>
              <w:right w:val="nil"/>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350,911</w:t>
            </w:r>
          </w:p>
        </w:tc>
        <w:tc>
          <w:tcPr>
            <w:tcW w:w="236"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nil"/>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294,296</w:t>
            </w:r>
          </w:p>
        </w:tc>
        <w:tc>
          <w:tcPr>
            <w:tcW w:w="471"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1,773</w:t>
            </w:r>
          </w:p>
        </w:tc>
        <w:tc>
          <w:tcPr>
            <w:tcW w:w="471"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42,080</w:t>
            </w:r>
          </w:p>
        </w:tc>
        <w:tc>
          <w:tcPr>
            <w:tcW w:w="470"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338,149</w:t>
            </w:r>
          </w:p>
        </w:tc>
        <w:tc>
          <w:tcPr>
            <w:tcW w:w="392" w:type="pct"/>
            <w:tcBorders>
              <w:top w:val="nil"/>
              <w:left w:val="nil"/>
              <w:bottom w:val="nil"/>
              <w:right w:val="nil"/>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392"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12,762</w:t>
            </w:r>
          </w:p>
        </w:tc>
        <w:tc>
          <w:tcPr>
            <w:tcW w:w="392" w:type="pct"/>
            <w:tcBorders>
              <w:top w:val="nil"/>
              <w:left w:val="nil"/>
              <w:bottom w:val="nil"/>
              <w:right w:val="single" w:sz="4" w:space="0" w:color="5B9BD5"/>
            </w:tcBorders>
            <w:shd w:val="clear" w:color="000000" w:fill="DDEBF7"/>
            <w:noWrap/>
            <w:vAlign w:val="center"/>
            <w:hideMark/>
          </w:tcPr>
          <w:p w:rsidR="00056EC6" w:rsidRPr="00CD1518" w:rsidRDefault="00056EC6">
            <w:pPr>
              <w:spacing w:line="240" w:lineRule="auto"/>
              <w:jc w:val="right"/>
              <w:rPr>
                <w:color w:val="000000"/>
                <w:sz w:val="12"/>
                <w:szCs w:val="12"/>
                <w:lang w:eastAsia="en-AU"/>
              </w:rPr>
            </w:pPr>
            <w:r w:rsidRPr="00CD1518">
              <w:rPr>
                <w:color w:val="000000"/>
                <w:sz w:val="12"/>
                <w:szCs w:val="12"/>
                <w:lang w:eastAsia="en-AU"/>
              </w:rPr>
              <w:t>96%</w:t>
            </w:r>
          </w:p>
        </w:tc>
      </w:tr>
      <w:tr w:rsidR="003E3288" w:rsidRPr="00056EC6" w:rsidTr="00056EC6">
        <w:trPr>
          <w:trHeight w:val="260"/>
        </w:trPr>
        <w:tc>
          <w:tcPr>
            <w:tcW w:w="763" w:type="pct"/>
            <w:tcBorders>
              <w:top w:val="nil"/>
              <w:left w:val="single" w:sz="4" w:space="0" w:color="5B9BD5"/>
              <w:bottom w:val="nil"/>
              <w:right w:val="nil"/>
            </w:tcBorders>
            <w:shd w:val="clear" w:color="000000" w:fill="FFFFFF"/>
            <w:noWrap/>
            <w:vAlign w:val="center"/>
            <w:hideMark/>
          </w:tcPr>
          <w:p w:rsidR="00056EC6" w:rsidRPr="00CD1518" w:rsidRDefault="00056EC6">
            <w:pPr>
              <w:spacing w:line="240" w:lineRule="auto"/>
              <w:rPr>
                <w:color w:val="000000"/>
                <w:sz w:val="12"/>
                <w:szCs w:val="12"/>
                <w:lang w:eastAsia="en-AU"/>
              </w:rPr>
            </w:pPr>
            <w:r w:rsidRPr="00CD1518">
              <w:rPr>
                <w:color w:val="000000"/>
                <w:sz w:val="12"/>
                <w:szCs w:val="12"/>
                <w:lang w:eastAsia="en-AU"/>
              </w:rPr>
              <w:t>Medical ATD(</w:t>
            </w:r>
            <w:proofErr w:type="spellStart"/>
            <w:r w:rsidRPr="00CD1518">
              <w:rPr>
                <w:color w:val="000000"/>
                <w:sz w:val="12"/>
                <w:szCs w:val="12"/>
                <w:lang w:eastAsia="en-AU"/>
              </w:rPr>
              <w:t>Bedday</w:t>
            </w:r>
            <w:proofErr w:type="spellEnd"/>
            <w:r w:rsidRPr="00CD1518">
              <w:rPr>
                <w:color w:val="000000"/>
                <w:sz w:val="12"/>
                <w:szCs w:val="12"/>
                <w:lang w:eastAsia="en-AU"/>
              </w:rPr>
              <w:t>)</w:t>
            </w:r>
          </w:p>
        </w:tc>
        <w:tc>
          <w:tcPr>
            <w:tcW w:w="471"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7,057,804</w:t>
            </w:r>
          </w:p>
        </w:tc>
        <w:tc>
          <w:tcPr>
            <w:tcW w:w="471" w:type="pct"/>
            <w:tcBorders>
              <w:top w:val="nil"/>
              <w:left w:val="nil"/>
              <w:bottom w:val="nil"/>
              <w:right w:val="nil"/>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7,057,804</w:t>
            </w:r>
          </w:p>
        </w:tc>
        <w:tc>
          <w:tcPr>
            <w:tcW w:w="236"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nil"/>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6,235,995</w:t>
            </w:r>
          </w:p>
        </w:tc>
        <w:tc>
          <w:tcPr>
            <w:tcW w:w="471"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1" w:type="pct"/>
            <w:tcBorders>
              <w:top w:val="nil"/>
              <w:left w:val="nil"/>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6,235,995</w:t>
            </w:r>
          </w:p>
        </w:tc>
        <w:tc>
          <w:tcPr>
            <w:tcW w:w="392" w:type="pct"/>
            <w:tcBorders>
              <w:top w:val="nil"/>
              <w:left w:val="nil"/>
              <w:bottom w:val="nil"/>
              <w:right w:val="nil"/>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392"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821,809</w:t>
            </w:r>
          </w:p>
        </w:tc>
        <w:tc>
          <w:tcPr>
            <w:tcW w:w="392" w:type="pct"/>
            <w:tcBorders>
              <w:top w:val="nil"/>
              <w:left w:val="nil"/>
              <w:bottom w:val="nil"/>
              <w:right w:val="single" w:sz="4" w:space="0" w:color="5B9BD5"/>
            </w:tcBorders>
            <w:shd w:val="clear" w:color="000000" w:fill="FFFFFF"/>
            <w:noWrap/>
            <w:vAlign w:val="center"/>
            <w:hideMark/>
          </w:tcPr>
          <w:p w:rsidR="00056EC6" w:rsidRPr="00CD1518" w:rsidRDefault="00056EC6">
            <w:pPr>
              <w:spacing w:line="240" w:lineRule="auto"/>
              <w:jc w:val="right"/>
              <w:rPr>
                <w:color w:val="000000"/>
                <w:sz w:val="12"/>
                <w:szCs w:val="12"/>
                <w:lang w:eastAsia="en-AU"/>
              </w:rPr>
            </w:pPr>
            <w:r w:rsidRPr="00CD1518">
              <w:rPr>
                <w:color w:val="000000"/>
                <w:sz w:val="12"/>
                <w:szCs w:val="12"/>
                <w:lang w:eastAsia="en-AU"/>
              </w:rPr>
              <w:t>88%</w:t>
            </w:r>
          </w:p>
        </w:tc>
      </w:tr>
      <w:tr w:rsidR="003E3288" w:rsidRPr="00056EC6" w:rsidTr="00056EC6">
        <w:trPr>
          <w:trHeight w:val="260"/>
        </w:trPr>
        <w:tc>
          <w:tcPr>
            <w:tcW w:w="763" w:type="pct"/>
            <w:tcBorders>
              <w:top w:val="nil"/>
              <w:left w:val="single" w:sz="4" w:space="0" w:color="5B9BD5"/>
              <w:bottom w:val="nil"/>
              <w:right w:val="nil"/>
            </w:tcBorders>
            <w:shd w:val="clear" w:color="000000" w:fill="DDEBF7"/>
            <w:noWrap/>
            <w:vAlign w:val="center"/>
            <w:hideMark/>
          </w:tcPr>
          <w:p w:rsidR="00056EC6" w:rsidRPr="00CD1518" w:rsidRDefault="00056EC6">
            <w:pPr>
              <w:spacing w:line="240" w:lineRule="auto"/>
              <w:rPr>
                <w:color w:val="000000"/>
                <w:sz w:val="12"/>
                <w:szCs w:val="12"/>
                <w:lang w:eastAsia="en-AU"/>
              </w:rPr>
            </w:pPr>
            <w:r w:rsidRPr="00CD1518">
              <w:rPr>
                <w:color w:val="000000"/>
                <w:sz w:val="12"/>
                <w:szCs w:val="12"/>
                <w:lang w:eastAsia="en-AU"/>
              </w:rPr>
              <w:t>Nursing Acuity</w:t>
            </w:r>
          </w:p>
        </w:tc>
        <w:tc>
          <w:tcPr>
            <w:tcW w:w="471"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1,574,547</w:t>
            </w:r>
          </w:p>
        </w:tc>
        <w:tc>
          <w:tcPr>
            <w:tcW w:w="471" w:type="pct"/>
            <w:tcBorders>
              <w:top w:val="nil"/>
              <w:left w:val="nil"/>
              <w:bottom w:val="nil"/>
              <w:right w:val="nil"/>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1,574,547</w:t>
            </w:r>
          </w:p>
        </w:tc>
        <w:tc>
          <w:tcPr>
            <w:tcW w:w="236"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nil"/>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1,445,593</w:t>
            </w:r>
          </w:p>
        </w:tc>
        <w:tc>
          <w:tcPr>
            <w:tcW w:w="471"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1"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1,445,593</w:t>
            </w:r>
          </w:p>
        </w:tc>
        <w:tc>
          <w:tcPr>
            <w:tcW w:w="392" w:type="pct"/>
            <w:tcBorders>
              <w:top w:val="nil"/>
              <w:left w:val="nil"/>
              <w:bottom w:val="nil"/>
              <w:right w:val="nil"/>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392"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128,954</w:t>
            </w:r>
          </w:p>
        </w:tc>
        <w:tc>
          <w:tcPr>
            <w:tcW w:w="392" w:type="pct"/>
            <w:tcBorders>
              <w:top w:val="nil"/>
              <w:left w:val="nil"/>
              <w:bottom w:val="nil"/>
              <w:right w:val="single" w:sz="4" w:space="0" w:color="5B9BD5"/>
            </w:tcBorders>
            <w:shd w:val="clear" w:color="000000" w:fill="DDEBF7"/>
            <w:noWrap/>
            <w:vAlign w:val="center"/>
            <w:hideMark/>
          </w:tcPr>
          <w:p w:rsidR="00056EC6" w:rsidRPr="00CD1518" w:rsidRDefault="00056EC6">
            <w:pPr>
              <w:spacing w:line="240" w:lineRule="auto"/>
              <w:jc w:val="right"/>
              <w:rPr>
                <w:color w:val="000000"/>
                <w:sz w:val="12"/>
                <w:szCs w:val="12"/>
                <w:lang w:eastAsia="en-AU"/>
              </w:rPr>
            </w:pPr>
            <w:r w:rsidRPr="00CD1518">
              <w:rPr>
                <w:color w:val="000000"/>
                <w:sz w:val="12"/>
                <w:szCs w:val="12"/>
                <w:lang w:eastAsia="en-AU"/>
              </w:rPr>
              <w:t>92%</w:t>
            </w:r>
          </w:p>
        </w:tc>
      </w:tr>
      <w:tr w:rsidR="003E3288" w:rsidRPr="00056EC6" w:rsidTr="00056EC6">
        <w:trPr>
          <w:trHeight w:val="260"/>
        </w:trPr>
        <w:tc>
          <w:tcPr>
            <w:tcW w:w="763" w:type="pct"/>
            <w:tcBorders>
              <w:top w:val="nil"/>
              <w:left w:val="single" w:sz="4" w:space="0" w:color="5B9BD5"/>
              <w:bottom w:val="nil"/>
              <w:right w:val="nil"/>
            </w:tcBorders>
            <w:shd w:val="clear" w:color="000000" w:fill="FFFFFF"/>
            <w:noWrap/>
            <w:vAlign w:val="center"/>
            <w:hideMark/>
          </w:tcPr>
          <w:p w:rsidR="00056EC6" w:rsidRPr="00CD1518" w:rsidRDefault="00056EC6">
            <w:pPr>
              <w:spacing w:line="240" w:lineRule="auto"/>
              <w:rPr>
                <w:color w:val="000000"/>
                <w:sz w:val="12"/>
                <w:szCs w:val="12"/>
                <w:lang w:eastAsia="en-AU"/>
              </w:rPr>
            </w:pPr>
            <w:r w:rsidRPr="00CD1518">
              <w:rPr>
                <w:color w:val="000000"/>
                <w:sz w:val="12"/>
                <w:szCs w:val="12"/>
                <w:lang w:eastAsia="en-AU"/>
              </w:rPr>
              <w:t>Nursing ATD(</w:t>
            </w:r>
            <w:proofErr w:type="spellStart"/>
            <w:r w:rsidRPr="00CD1518">
              <w:rPr>
                <w:color w:val="000000"/>
                <w:sz w:val="12"/>
                <w:szCs w:val="12"/>
                <w:lang w:eastAsia="en-AU"/>
              </w:rPr>
              <w:t>Bedday</w:t>
            </w:r>
            <w:proofErr w:type="spellEnd"/>
            <w:r w:rsidRPr="00CD1518">
              <w:rPr>
                <w:color w:val="000000"/>
                <w:sz w:val="12"/>
                <w:szCs w:val="12"/>
                <w:lang w:eastAsia="en-AU"/>
              </w:rPr>
              <w:t>)</w:t>
            </w:r>
          </w:p>
        </w:tc>
        <w:tc>
          <w:tcPr>
            <w:tcW w:w="471"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33,870,461</w:t>
            </w:r>
          </w:p>
        </w:tc>
        <w:tc>
          <w:tcPr>
            <w:tcW w:w="471" w:type="pct"/>
            <w:tcBorders>
              <w:top w:val="nil"/>
              <w:left w:val="nil"/>
              <w:bottom w:val="nil"/>
              <w:right w:val="nil"/>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33,870,461</w:t>
            </w:r>
          </w:p>
        </w:tc>
        <w:tc>
          <w:tcPr>
            <w:tcW w:w="236"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nil"/>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31,397,367</w:t>
            </w:r>
          </w:p>
        </w:tc>
        <w:tc>
          <w:tcPr>
            <w:tcW w:w="471"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1" w:type="pct"/>
            <w:tcBorders>
              <w:top w:val="nil"/>
              <w:left w:val="nil"/>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31,397,367</w:t>
            </w:r>
          </w:p>
        </w:tc>
        <w:tc>
          <w:tcPr>
            <w:tcW w:w="392" w:type="pct"/>
            <w:tcBorders>
              <w:top w:val="nil"/>
              <w:left w:val="nil"/>
              <w:bottom w:val="nil"/>
              <w:right w:val="nil"/>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392"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2,473,094</w:t>
            </w:r>
          </w:p>
        </w:tc>
        <w:tc>
          <w:tcPr>
            <w:tcW w:w="392" w:type="pct"/>
            <w:tcBorders>
              <w:top w:val="nil"/>
              <w:left w:val="nil"/>
              <w:bottom w:val="nil"/>
              <w:right w:val="single" w:sz="4" w:space="0" w:color="5B9BD5"/>
            </w:tcBorders>
            <w:shd w:val="clear" w:color="000000" w:fill="FFFFFF"/>
            <w:noWrap/>
            <w:vAlign w:val="center"/>
            <w:hideMark/>
          </w:tcPr>
          <w:p w:rsidR="00056EC6" w:rsidRPr="00CD1518" w:rsidRDefault="00056EC6">
            <w:pPr>
              <w:spacing w:line="240" w:lineRule="auto"/>
              <w:jc w:val="right"/>
              <w:rPr>
                <w:color w:val="000000"/>
                <w:sz w:val="12"/>
                <w:szCs w:val="12"/>
                <w:lang w:eastAsia="en-AU"/>
              </w:rPr>
            </w:pPr>
            <w:r w:rsidRPr="00CD1518">
              <w:rPr>
                <w:color w:val="000000"/>
                <w:sz w:val="12"/>
                <w:szCs w:val="12"/>
                <w:lang w:eastAsia="en-AU"/>
              </w:rPr>
              <w:t>93%</w:t>
            </w:r>
          </w:p>
        </w:tc>
      </w:tr>
      <w:tr w:rsidR="003E3288" w:rsidRPr="00056EC6" w:rsidTr="00056EC6">
        <w:trPr>
          <w:trHeight w:val="260"/>
        </w:trPr>
        <w:tc>
          <w:tcPr>
            <w:tcW w:w="763" w:type="pct"/>
            <w:tcBorders>
              <w:top w:val="nil"/>
              <w:left w:val="single" w:sz="4" w:space="0" w:color="5B9BD5"/>
              <w:bottom w:val="nil"/>
              <w:right w:val="nil"/>
            </w:tcBorders>
            <w:shd w:val="clear" w:color="000000" w:fill="DDEBF7"/>
            <w:noWrap/>
            <w:vAlign w:val="center"/>
            <w:hideMark/>
          </w:tcPr>
          <w:p w:rsidR="00056EC6" w:rsidRPr="00CD1518" w:rsidRDefault="00056EC6">
            <w:pPr>
              <w:spacing w:line="240" w:lineRule="auto"/>
              <w:rPr>
                <w:color w:val="000000"/>
                <w:sz w:val="12"/>
                <w:szCs w:val="12"/>
                <w:lang w:eastAsia="en-AU"/>
              </w:rPr>
            </w:pPr>
            <w:r w:rsidRPr="00CD1518">
              <w:rPr>
                <w:color w:val="000000"/>
                <w:sz w:val="12"/>
                <w:szCs w:val="12"/>
                <w:lang w:eastAsia="en-AU"/>
              </w:rPr>
              <w:t>Operating Theatre</w:t>
            </w:r>
          </w:p>
        </w:tc>
        <w:tc>
          <w:tcPr>
            <w:tcW w:w="471"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416,666</w:t>
            </w:r>
          </w:p>
        </w:tc>
        <w:tc>
          <w:tcPr>
            <w:tcW w:w="471" w:type="pct"/>
            <w:tcBorders>
              <w:top w:val="nil"/>
              <w:left w:val="nil"/>
              <w:bottom w:val="nil"/>
              <w:right w:val="nil"/>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416,666</w:t>
            </w:r>
          </w:p>
        </w:tc>
        <w:tc>
          <w:tcPr>
            <w:tcW w:w="236"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nil"/>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400,966</w:t>
            </w:r>
          </w:p>
        </w:tc>
        <w:tc>
          <w:tcPr>
            <w:tcW w:w="471"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1"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400,966</w:t>
            </w:r>
          </w:p>
        </w:tc>
        <w:tc>
          <w:tcPr>
            <w:tcW w:w="392" w:type="pct"/>
            <w:tcBorders>
              <w:top w:val="nil"/>
              <w:left w:val="nil"/>
              <w:bottom w:val="nil"/>
              <w:right w:val="nil"/>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392"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15,700</w:t>
            </w:r>
          </w:p>
        </w:tc>
        <w:tc>
          <w:tcPr>
            <w:tcW w:w="392" w:type="pct"/>
            <w:tcBorders>
              <w:top w:val="nil"/>
              <w:left w:val="nil"/>
              <w:bottom w:val="nil"/>
              <w:right w:val="single" w:sz="4" w:space="0" w:color="5B9BD5"/>
            </w:tcBorders>
            <w:shd w:val="clear" w:color="000000" w:fill="DDEBF7"/>
            <w:noWrap/>
            <w:vAlign w:val="center"/>
            <w:hideMark/>
          </w:tcPr>
          <w:p w:rsidR="00056EC6" w:rsidRPr="00CD1518" w:rsidRDefault="00056EC6">
            <w:pPr>
              <w:spacing w:line="240" w:lineRule="auto"/>
              <w:jc w:val="right"/>
              <w:rPr>
                <w:color w:val="000000"/>
                <w:sz w:val="12"/>
                <w:szCs w:val="12"/>
                <w:lang w:eastAsia="en-AU"/>
              </w:rPr>
            </w:pPr>
            <w:r w:rsidRPr="00CD1518">
              <w:rPr>
                <w:color w:val="000000"/>
                <w:sz w:val="12"/>
                <w:szCs w:val="12"/>
                <w:lang w:eastAsia="en-AU"/>
              </w:rPr>
              <w:t>96%</w:t>
            </w:r>
          </w:p>
        </w:tc>
      </w:tr>
      <w:tr w:rsidR="003E3288" w:rsidRPr="00056EC6" w:rsidTr="00056EC6">
        <w:trPr>
          <w:trHeight w:val="260"/>
        </w:trPr>
        <w:tc>
          <w:tcPr>
            <w:tcW w:w="763" w:type="pct"/>
            <w:tcBorders>
              <w:top w:val="nil"/>
              <w:left w:val="single" w:sz="4" w:space="0" w:color="5B9BD5"/>
              <w:bottom w:val="nil"/>
              <w:right w:val="nil"/>
            </w:tcBorders>
            <w:shd w:val="clear" w:color="000000" w:fill="FFFFFF"/>
            <w:noWrap/>
            <w:vAlign w:val="center"/>
            <w:hideMark/>
          </w:tcPr>
          <w:p w:rsidR="00056EC6" w:rsidRPr="00CD1518" w:rsidRDefault="00056EC6">
            <w:pPr>
              <w:spacing w:line="240" w:lineRule="auto"/>
              <w:rPr>
                <w:color w:val="000000"/>
                <w:sz w:val="12"/>
                <w:szCs w:val="12"/>
                <w:lang w:eastAsia="en-AU"/>
              </w:rPr>
            </w:pPr>
            <w:r w:rsidRPr="00CD1518">
              <w:rPr>
                <w:color w:val="000000"/>
                <w:sz w:val="12"/>
                <w:szCs w:val="12"/>
                <w:lang w:eastAsia="en-AU"/>
              </w:rPr>
              <w:t>Pathology</w:t>
            </w:r>
          </w:p>
        </w:tc>
        <w:tc>
          <w:tcPr>
            <w:tcW w:w="471"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4,641,319</w:t>
            </w:r>
          </w:p>
        </w:tc>
        <w:tc>
          <w:tcPr>
            <w:tcW w:w="471" w:type="pct"/>
            <w:tcBorders>
              <w:top w:val="nil"/>
              <w:left w:val="nil"/>
              <w:bottom w:val="nil"/>
              <w:right w:val="nil"/>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4,641,319</w:t>
            </w:r>
          </w:p>
        </w:tc>
        <w:tc>
          <w:tcPr>
            <w:tcW w:w="236"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nil"/>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2,789,211</w:t>
            </w:r>
          </w:p>
        </w:tc>
        <w:tc>
          <w:tcPr>
            <w:tcW w:w="471"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1,099,301</w:t>
            </w:r>
          </w:p>
        </w:tc>
        <w:tc>
          <w:tcPr>
            <w:tcW w:w="471" w:type="pct"/>
            <w:tcBorders>
              <w:top w:val="nil"/>
              <w:left w:val="nil"/>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567,803</w:t>
            </w:r>
          </w:p>
        </w:tc>
        <w:tc>
          <w:tcPr>
            <w:tcW w:w="470"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4,456,315</w:t>
            </w:r>
          </w:p>
        </w:tc>
        <w:tc>
          <w:tcPr>
            <w:tcW w:w="392" w:type="pct"/>
            <w:tcBorders>
              <w:top w:val="nil"/>
              <w:left w:val="nil"/>
              <w:bottom w:val="nil"/>
              <w:right w:val="nil"/>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392"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185,004</w:t>
            </w:r>
          </w:p>
        </w:tc>
        <w:tc>
          <w:tcPr>
            <w:tcW w:w="392" w:type="pct"/>
            <w:tcBorders>
              <w:top w:val="nil"/>
              <w:left w:val="nil"/>
              <w:bottom w:val="nil"/>
              <w:right w:val="single" w:sz="4" w:space="0" w:color="5B9BD5"/>
            </w:tcBorders>
            <w:shd w:val="clear" w:color="000000" w:fill="FFFFFF"/>
            <w:noWrap/>
            <w:vAlign w:val="center"/>
            <w:hideMark/>
          </w:tcPr>
          <w:p w:rsidR="00056EC6" w:rsidRPr="00CD1518" w:rsidRDefault="00056EC6">
            <w:pPr>
              <w:spacing w:line="240" w:lineRule="auto"/>
              <w:jc w:val="right"/>
              <w:rPr>
                <w:color w:val="000000"/>
                <w:sz w:val="12"/>
                <w:szCs w:val="12"/>
                <w:lang w:eastAsia="en-AU"/>
              </w:rPr>
            </w:pPr>
            <w:r w:rsidRPr="00CD1518">
              <w:rPr>
                <w:color w:val="000000"/>
                <w:sz w:val="12"/>
                <w:szCs w:val="12"/>
                <w:lang w:eastAsia="en-AU"/>
              </w:rPr>
              <w:t>96%</w:t>
            </w:r>
          </w:p>
        </w:tc>
      </w:tr>
      <w:tr w:rsidR="003E3288" w:rsidRPr="00056EC6" w:rsidTr="00056EC6">
        <w:trPr>
          <w:trHeight w:val="260"/>
        </w:trPr>
        <w:tc>
          <w:tcPr>
            <w:tcW w:w="763" w:type="pct"/>
            <w:tcBorders>
              <w:top w:val="nil"/>
              <w:left w:val="single" w:sz="4" w:space="0" w:color="5B9BD5"/>
              <w:bottom w:val="nil"/>
              <w:right w:val="nil"/>
            </w:tcBorders>
            <w:shd w:val="clear" w:color="000000" w:fill="DDEBF7"/>
            <w:noWrap/>
            <w:vAlign w:val="center"/>
            <w:hideMark/>
          </w:tcPr>
          <w:p w:rsidR="00056EC6" w:rsidRPr="00CD1518" w:rsidRDefault="00056EC6">
            <w:pPr>
              <w:spacing w:line="240" w:lineRule="auto"/>
              <w:rPr>
                <w:color w:val="000000"/>
                <w:sz w:val="12"/>
                <w:szCs w:val="12"/>
                <w:lang w:eastAsia="en-AU"/>
              </w:rPr>
            </w:pPr>
            <w:r w:rsidRPr="00CD1518">
              <w:rPr>
                <w:color w:val="000000"/>
                <w:sz w:val="12"/>
                <w:szCs w:val="12"/>
                <w:lang w:eastAsia="en-AU"/>
              </w:rPr>
              <w:t>Pharmacy</w:t>
            </w:r>
          </w:p>
        </w:tc>
        <w:tc>
          <w:tcPr>
            <w:tcW w:w="471"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2,273,532</w:t>
            </w:r>
          </w:p>
        </w:tc>
        <w:tc>
          <w:tcPr>
            <w:tcW w:w="471" w:type="pct"/>
            <w:tcBorders>
              <w:top w:val="nil"/>
              <w:left w:val="nil"/>
              <w:bottom w:val="nil"/>
              <w:right w:val="nil"/>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2,273,532</w:t>
            </w:r>
          </w:p>
        </w:tc>
        <w:tc>
          <w:tcPr>
            <w:tcW w:w="236"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nil"/>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1,401,139</w:t>
            </w:r>
          </w:p>
        </w:tc>
        <w:tc>
          <w:tcPr>
            <w:tcW w:w="471"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4,655</w:t>
            </w:r>
          </w:p>
        </w:tc>
        <w:tc>
          <w:tcPr>
            <w:tcW w:w="471"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751,666</w:t>
            </w:r>
          </w:p>
        </w:tc>
        <w:tc>
          <w:tcPr>
            <w:tcW w:w="470"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2,157,460</w:t>
            </w:r>
          </w:p>
        </w:tc>
        <w:tc>
          <w:tcPr>
            <w:tcW w:w="392" w:type="pct"/>
            <w:tcBorders>
              <w:top w:val="nil"/>
              <w:left w:val="nil"/>
              <w:bottom w:val="nil"/>
              <w:right w:val="nil"/>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392"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116,072</w:t>
            </w:r>
          </w:p>
        </w:tc>
        <w:tc>
          <w:tcPr>
            <w:tcW w:w="392" w:type="pct"/>
            <w:tcBorders>
              <w:top w:val="nil"/>
              <w:left w:val="nil"/>
              <w:bottom w:val="nil"/>
              <w:right w:val="single" w:sz="4" w:space="0" w:color="5B9BD5"/>
            </w:tcBorders>
            <w:shd w:val="clear" w:color="000000" w:fill="DDEBF7"/>
            <w:noWrap/>
            <w:vAlign w:val="center"/>
            <w:hideMark/>
          </w:tcPr>
          <w:p w:rsidR="00056EC6" w:rsidRPr="00CD1518" w:rsidRDefault="00056EC6">
            <w:pPr>
              <w:spacing w:line="240" w:lineRule="auto"/>
              <w:jc w:val="right"/>
              <w:rPr>
                <w:color w:val="000000"/>
                <w:sz w:val="12"/>
                <w:szCs w:val="12"/>
                <w:lang w:eastAsia="en-AU"/>
              </w:rPr>
            </w:pPr>
            <w:r w:rsidRPr="00CD1518">
              <w:rPr>
                <w:color w:val="000000"/>
                <w:sz w:val="12"/>
                <w:szCs w:val="12"/>
                <w:lang w:eastAsia="en-AU"/>
              </w:rPr>
              <w:t>95%</w:t>
            </w:r>
          </w:p>
        </w:tc>
      </w:tr>
      <w:tr w:rsidR="003E3288" w:rsidRPr="00056EC6" w:rsidTr="00056EC6">
        <w:trPr>
          <w:trHeight w:val="260"/>
        </w:trPr>
        <w:tc>
          <w:tcPr>
            <w:tcW w:w="763" w:type="pct"/>
            <w:tcBorders>
              <w:top w:val="nil"/>
              <w:left w:val="single" w:sz="4" w:space="0" w:color="5B9BD5"/>
              <w:bottom w:val="nil"/>
              <w:right w:val="nil"/>
            </w:tcBorders>
            <w:shd w:val="clear" w:color="000000" w:fill="FFFFFF"/>
            <w:noWrap/>
            <w:vAlign w:val="center"/>
            <w:hideMark/>
          </w:tcPr>
          <w:p w:rsidR="00056EC6" w:rsidRPr="00CD1518" w:rsidRDefault="00056EC6">
            <w:pPr>
              <w:spacing w:line="240" w:lineRule="auto"/>
              <w:rPr>
                <w:color w:val="000000"/>
                <w:sz w:val="12"/>
                <w:szCs w:val="12"/>
                <w:lang w:eastAsia="en-AU"/>
              </w:rPr>
            </w:pPr>
            <w:r w:rsidRPr="00CD1518">
              <w:rPr>
                <w:color w:val="000000"/>
                <w:sz w:val="12"/>
                <w:szCs w:val="12"/>
                <w:lang w:eastAsia="en-AU"/>
              </w:rPr>
              <w:t>Site Derived</w:t>
            </w:r>
          </w:p>
        </w:tc>
        <w:tc>
          <w:tcPr>
            <w:tcW w:w="471"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16,729,685</w:t>
            </w:r>
          </w:p>
        </w:tc>
        <w:tc>
          <w:tcPr>
            <w:tcW w:w="471" w:type="pct"/>
            <w:tcBorders>
              <w:top w:val="nil"/>
              <w:left w:val="nil"/>
              <w:bottom w:val="nil"/>
              <w:right w:val="nil"/>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16,729,685</w:t>
            </w:r>
          </w:p>
        </w:tc>
        <w:tc>
          <w:tcPr>
            <w:tcW w:w="236" w:type="pct"/>
            <w:tcBorders>
              <w:top w:val="nil"/>
              <w:left w:val="single" w:sz="4" w:space="0" w:color="5B9BD5"/>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nil"/>
              <w:right w:val="nil"/>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4,609,328</w:t>
            </w:r>
          </w:p>
        </w:tc>
        <w:tc>
          <w:tcPr>
            <w:tcW w:w="471"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3,043,337</w:t>
            </w:r>
          </w:p>
        </w:tc>
        <w:tc>
          <w:tcPr>
            <w:tcW w:w="471" w:type="pct"/>
            <w:tcBorders>
              <w:top w:val="nil"/>
              <w:left w:val="nil"/>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8,644,205</w:t>
            </w:r>
          </w:p>
        </w:tc>
        <w:tc>
          <w:tcPr>
            <w:tcW w:w="470" w:type="pct"/>
            <w:tcBorders>
              <w:top w:val="nil"/>
              <w:left w:val="nil"/>
              <w:bottom w:val="nil"/>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16,296,870</w:t>
            </w:r>
          </w:p>
        </w:tc>
        <w:tc>
          <w:tcPr>
            <w:tcW w:w="392" w:type="pct"/>
            <w:tcBorders>
              <w:top w:val="nil"/>
              <w:left w:val="nil"/>
              <w:bottom w:val="nil"/>
              <w:right w:val="nil"/>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392" w:type="pct"/>
            <w:tcBorders>
              <w:top w:val="nil"/>
              <w:left w:val="single" w:sz="4" w:space="0" w:color="5B9BD5"/>
              <w:bottom w:val="nil"/>
              <w:right w:val="single" w:sz="4" w:space="0" w:color="5B9BD5"/>
            </w:tcBorders>
            <w:shd w:val="clear" w:color="000000" w:fill="FFFFFF"/>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432,815</w:t>
            </w:r>
          </w:p>
        </w:tc>
        <w:tc>
          <w:tcPr>
            <w:tcW w:w="392" w:type="pct"/>
            <w:tcBorders>
              <w:top w:val="nil"/>
              <w:left w:val="nil"/>
              <w:bottom w:val="nil"/>
              <w:right w:val="single" w:sz="4" w:space="0" w:color="5B9BD5"/>
            </w:tcBorders>
            <w:shd w:val="clear" w:color="000000" w:fill="FFFFFF"/>
            <w:noWrap/>
            <w:vAlign w:val="center"/>
            <w:hideMark/>
          </w:tcPr>
          <w:p w:rsidR="00056EC6" w:rsidRPr="00CD1518" w:rsidRDefault="00056EC6">
            <w:pPr>
              <w:spacing w:line="240" w:lineRule="auto"/>
              <w:jc w:val="right"/>
              <w:rPr>
                <w:color w:val="000000"/>
                <w:sz w:val="12"/>
                <w:szCs w:val="12"/>
                <w:lang w:eastAsia="en-AU"/>
              </w:rPr>
            </w:pPr>
            <w:r w:rsidRPr="00CD1518">
              <w:rPr>
                <w:color w:val="000000"/>
                <w:sz w:val="12"/>
                <w:szCs w:val="12"/>
                <w:lang w:eastAsia="en-AU"/>
              </w:rPr>
              <w:t>97%</w:t>
            </w:r>
          </w:p>
        </w:tc>
      </w:tr>
      <w:tr w:rsidR="003E3288" w:rsidRPr="00056EC6" w:rsidTr="00056EC6">
        <w:trPr>
          <w:trHeight w:val="260"/>
        </w:trPr>
        <w:tc>
          <w:tcPr>
            <w:tcW w:w="763" w:type="pct"/>
            <w:tcBorders>
              <w:top w:val="nil"/>
              <w:left w:val="single" w:sz="4" w:space="0" w:color="5B9BD5"/>
              <w:bottom w:val="single" w:sz="4" w:space="0" w:color="5B9BD5"/>
              <w:right w:val="nil"/>
            </w:tcBorders>
            <w:shd w:val="clear" w:color="000000" w:fill="DDEBF7"/>
            <w:noWrap/>
            <w:vAlign w:val="center"/>
            <w:hideMark/>
          </w:tcPr>
          <w:p w:rsidR="00056EC6" w:rsidRPr="00CD1518" w:rsidRDefault="00056EC6">
            <w:pPr>
              <w:spacing w:line="240" w:lineRule="auto"/>
              <w:rPr>
                <w:color w:val="000000"/>
                <w:sz w:val="12"/>
                <w:szCs w:val="12"/>
                <w:lang w:eastAsia="en-AU"/>
              </w:rPr>
            </w:pPr>
            <w:r>
              <w:rPr>
                <w:color w:val="000000"/>
                <w:sz w:val="12"/>
                <w:szCs w:val="12"/>
                <w:lang w:eastAsia="en-AU"/>
              </w:rPr>
              <w:t>Virtual Patient</w:t>
            </w:r>
          </w:p>
        </w:tc>
        <w:tc>
          <w:tcPr>
            <w:tcW w:w="471" w:type="pct"/>
            <w:tcBorders>
              <w:top w:val="nil"/>
              <w:left w:val="single" w:sz="4" w:space="0" w:color="5B9BD5"/>
              <w:bottom w:val="single" w:sz="4" w:space="0" w:color="5B9BD5"/>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242,400</w:t>
            </w:r>
          </w:p>
        </w:tc>
        <w:tc>
          <w:tcPr>
            <w:tcW w:w="471" w:type="pct"/>
            <w:tcBorders>
              <w:top w:val="nil"/>
              <w:left w:val="nil"/>
              <w:bottom w:val="single" w:sz="4" w:space="0" w:color="5B9BD5"/>
              <w:right w:val="nil"/>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242,400</w:t>
            </w:r>
          </w:p>
        </w:tc>
        <w:tc>
          <w:tcPr>
            <w:tcW w:w="236" w:type="pct"/>
            <w:tcBorders>
              <w:top w:val="nil"/>
              <w:left w:val="single" w:sz="4" w:space="0" w:color="5B9BD5"/>
              <w:bottom w:val="single" w:sz="4" w:space="0" w:color="5B9BD5"/>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single" w:sz="4" w:space="0" w:color="5B9BD5"/>
              <w:right w:val="nil"/>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1" w:type="pct"/>
            <w:tcBorders>
              <w:top w:val="nil"/>
              <w:left w:val="single" w:sz="4" w:space="0" w:color="5B9BD5"/>
              <w:bottom w:val="single" w:sz="4" w:space="0" w:color="5B9BD5"/>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1" w:type="pct"/>
            <w:tcBorders>
              <w:top w:val="nil"/>
              <w:left w:val="nil"/>
              <w:bottom w:val="single" w:sz="4" w:space="0" w:color="5B9BD5"/>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470" w:type="pct"/>
            <w:tcBorders>
              <w:top w:val="nil"/>
              <w:left w:val="nil"/>
              <w:bottom w:val="single" w:sz="4" w:space="0" w:color="5B9BD5"/>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392" w:type="pct"/>
            <w:tcBorders>
              <w:top w:val="nil"/>
              <w:left w:val="nil"/>
              <w:bottom w:val="single" w:sz="4" w:space="0" w:color="5B9BD5"/>
              <w:right w:val="nil"/>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w:t>
            </w:r>
          </w:p>
        </w:tc>
        <w:tc>
          <w:tcPr>
            <w:tcW w:w="392" w:type="pct"/>
            <w:tcBorders>
              <w:top w:val="nil"/>
              <w:left w:val="single" w:sz="4" w:space="0" w:color="5B9BD5"/>
              <w:bottom w:val="single" w:sz="4" w:space="0" w:color="5B9BD5"/>
              <w:right w:val="single" w:sz="4" w:space="0" w:color="5B9BD5"/>
            </w:tcBorders>
            <w:shd w:val="clear" w:color="000000" w:fill="DDEBF7"/>
            <w:noWrap/>
            <w:vAlign w:val="center"/>
            <w:hideMark/>
          </w:tcPr>
          <w:p w:rsidR="00056EC6" w:rsidRPr="00CD1518" w:rsidRDefault="00056EC6" w:rsidP="00CD1518">
            <w:pPr>
              <w:spacing w:line="240" w:lineRule="auto"/>
              <w:jc w:val="right"/>
              <w:rPr>
                <w:color w:val="000000"/>
                <w:sz w:val="12"/>
                <w:szCs w:val="12"/>
                <w:lang w:eastAsia="en-AU"/>
              </w:rPr>
            </w:pPr>
            <w:r w:rsidRPr="00CD1518">
              <w:rPr>
                <w:color w:val="000000"/>
                <w:sz w:val="12"/>
                <w:szCs w:val="12"/>
                <w:lang w:eastAsia="en-AU"/>
              </w:rPr>
              <w:t>242,400</w:t>
            </w:r>
          </w:p>
        </w:tc>
        <w:tc>
          <w:tcPr>
            <w:tcW w:w="392" w:type="pct"/>
            <w:tcBorders>
              <w:top w:val="nil"/>
              <w:left w:val="nil"/>
              <w:bottom w:val="single" w:sz="4" w:space="0" w:color="5B9BD5"/>
              <w:right w:val="single" w:sz="4" w:space="0" w:color="5B9BD5"/>
            </w:tcBorders>
            <w:shd w:val="clear" w:color="000000" w:fill="DDEBF7"/>
            <w:noWrap/>
            <w:vAlign w:val="center"/>
            <w:hideMark/>
          </w:tcPr>
          <w:p w:rsidR="00056EC6" w:rsidRPr="00CD1518" w:rsidRDefault="00056EC6">
            <w:pPr>
              <w:spacing w:line="240" w:lineRule="auto"/>
              <w:jc w:val="right"/>
              <w:rPr>
                <w:color w:val="000000"/>
                <w:sz w:val="12"/>
                <w:szCs w:val="12"/>
                <w:lang w:eastAsia="en-AU"/>
              </w:rPr>
            </w:pPr>
            <w:r w:rsidRPr="00CD1518">
              <w:rPr>
                <w:color w:val="000000"/>
                <w:sz w:val="12"/>
                <w:szCs w:val="12"/>
                <w:lang w:eastAsia="en-AU"/>
              </w:rPr>
              <w:t>0%</w:t>
            </w:r>
          </w:p>
        </w:tc>
      </w:tr>
    </w:tbl>
    <w:p w:rsidR="00273A0D" w:rsidRPr="00975E6B" w:rsidRDefault="00273A0D" w:rsidP="00273A0D">
      <w:pPr>
        <w:rPr>
          <w:bCs/>
          <w:i/>
          <w:sz w:val="16"/>
          <w:szCs w:val="16"/>
        </w:rPr>
      </w:pPr>
      <w:r w:rsidRPr="00975E6B">
        <w:rPr>
          <w:bCs/>
          <w:i/>
          <w:sz w:val="16"/>
          <w:szCs w:val="16"/>
        </w:rPr>
        <w:t xml:space="preserve">Source: KPMG based on </w:t>
      </w:r>
      <w:r w:rsidR="003F167A" w:rsidRPr="00975E6B">
        <w:rPr>
          <w:bCs/>
          <w:i/>
          <w:sz w:val="16"/>
          <w:szCs w:val="16"/>
        </w:rPr>
        <w:t>Prince Charles</w:t>
      </w:r>
      <w:r w:rsidRPr="00975E6B">
        <w:rPr>
          <w:bCs/>
          <w:i/>
          <w:sz w:val="16"/>
          <w:szCs w:val="16"/>
        </w:rPr>
        <w:t xml:space="preserve"> IFR templates</w:t>
      </w:r>
    </w:p>
    <w:p w:rsidR="00273A0D" w:rsidRPr="00975E6B" w:rsidRDefault="00273A0D" w:rsidP="00273A0D">
      <w:pPr>
        <w:pStyle w:val="BodyText"/>
      </w:pPr>
      <w:r w:rsidRPr="00975E6B">
        <w:t xml:space="preserve">The following should be noted about the activity and feeder data for </w:t>
      </w:r>
      <w:r w:rsidR="003F167A" w:rsidRPr="00975E6B">
        <w:t>Prince Charles</w:t>
      </w:r>
      <w:r w:rsidRPr="00975E6B">
        <w:t>:</w:t>
      </w:r>
    </w:p>
    <w:p w:rsidR="00273A0D" w:rsidRPr="00975E6B" w:rsidRDefault="00273A0D" w:rsidP="00F26328">
      <w:pPr>
        <w:pStyle w:val="BodyText"/>
        <w:numPr>
          <w:ilvl w:val="0"/>
          <w:numId w:val="35"/>
        </w:numPr>
      </w:pPr>
      <w:r w:rsidRPr="00975E6B">
        <w:t xml:space="preserve">Activity data is cleansed through Talons on a monthly basis prior to entry into Transition 2. Only valid records (where there is no </w:t>
      </w:r>
      <w:r w:rsidR="009141CB" w:rsidRPr="00975E6B">
        <w:t xml:space="preserve">unlinked </w:t>
      </w:r>
      <w:r w:rsidRPr="00975E6B">
        <w:t xml:space="preserve">activity) are loaded </w:t>
      </w:r>
      <w:r w:rsidR="00A31593" w:rsidRPr="00975E6B">
        <w:t>in</w:t>
      </w:r>
      <w:r w:rsidRPr="00975E6B">
        <w:t>to the costing system. This explains why there are no variances between the source activity data and the costing system.</w:t>
      </w:r>
    </w:p>
    <w:p w:rsidR="00273A0D" w:rsidRPr="00975E6B" w:rsidRDefault="00273A0D" w:rsidP="00F26328">
      <w:pPr>
        <w:pStyle w:val="BodyText"/>
        <w:numPr>
          <w:ilvl w:val="0"/>
          <w:numId w:val="35"/>
        </w:numPr>
      </w:pPr>
      <w:r w:rsidRPr="00975E6B">
        <w:t>Once all extracts are recorded, loaded and posted, the data audit process will also assess the cost data outputs for valid activity records and make adjustments for deleted or merged records. All records flagged are reviewed before any decision is made to remove them.</w:t>
      </w:r>
    </w:p>
    <w:p w:rsidR="00273A0D" w:rsidRPr="00975E6B" w:rsidRDefault="00273A0D" w:rsidP="00F26328">
      <w:pPr>
        <w:pStyle w:val="BodyText"/>
        <w:numPr>
          <w:ilvl w:val="0"/>
          <w:numId w:val="35"/>
        </w:numPr>
      </w:pPr>
      <w:r w:rsidRPr="00975E6B">
        <w:t>Unlinked records include encounters related to patients that “Failed to Attend” and “Did Not Wait”. These encounters are assigned an RVU.</w:t>
      </w:r>
    </w:p>
    <w:p w:rsidR="00273A0D" w:rsidRPr="00975E6B" w:rsidRDefault="00273A0D" w:rsidP="00F26328">
      <w:pPr>
        <w:pStyle w:val="BodyText"/>
        <w:numPr>
          <w:ilvl w:val="0"/>
          <w:numId w:val="35"/>
        </w:numPr>
      </w:pPr>
      <w:r w:rsidRPr="00975E6B">
        <w:t>There are 11 feeders reported from hospital source systems</w:t>
      </w:r>
      <w:r w:rsidR="00C57A2A" w:rsidRPr="00975E6B">
        <w:t xml:space="preserve"> and they appear to represent major hospital departments providing resource activity.</w:t>
      </w:r>
    </w:p>
    <w:p w:rsidR="00273A0D" w:rsidRPr="00975E6B" w:rsidRDefault="00273A0D" w:rsidP="00F26328">
      <w:pPr>
        <w:pStyle w:val="BodyText"/>
        <w:numPr>
          <w:ilvl w:val="0"/>
          <w:numId w:val="35"/>
        </w:numPr>
      </w:pPr>
      <w:r w:rsidRPr="00975E6B">
        <w:t xml:space="preserve">The number of records linked from source to product </w:t>
      </w:r>
      <w:r w:rsidR="0074117C" w:rsidRPr="00975E6B">
        <w:t xml:space="preserve">was </w:t>
      </w:r>
      <w:r w:rsidRPr="00975E6B">
        <w:t>significant with all feeders having a greater than 90</w:t>
      </w:r>
      <w:r w:rsidR="00A31593" w:rsidRPr="00975E6B">
        <w:t xml:space="preserve"> percent</w:t>
      </w:r>
      <w:r w:rsidRPr="00975E6B">
        <w:t xml:space="preserve"> link or match, with the exception of the Medical ATD </w:t>
      </w:r>
      <w:r w:rsidR="0029551D" w:rsidRPr="00975E6B">
        <w:t xml:space="preserve">(admission, transfer, </w:t>
      </w:r>
      <w:r w:rsidR="000C19A6" w:rsidRPr="00975E6B">
        <w:t>and discharge</w:t>
      </w:r>
      <w:r w:rsidR="0029551D" w:rsidRPr="00975E6B">
        <w:t xml:space="preserve"> or </w:t>
      </w:r>
      <w:r w:rsidR="009141CB" w:rsidRPr="00975E6B">
        <w:t>b</w:t>
      </w:r>
      <w:r w:rsidRPr="00975E6B">
        <w:t>ed</w:t>
      </w:r>
      <w:r w:rsidR="009141CB" w:rsidRPr="00975E6B">
        <w:t xml:space="preserve"> </w:t>
      </w:r>
      <w:r w:rsidRPr="00975E6B">
        <w:t>day) data which has greater than 88</w:t>
      </w:r>
      <w:r w:rsidR="00A31593" w:rsidRPr="00975E6B">
        <w:t xml:space="preserve"> percent</w:t>
      </w:r>
      <w:r w:rsidRPr="00975E6B">
        <w:t xml:space="preserve"> link or match. </w:t>
      </w:r>
      <w:r w:rsidR="00C57A2A" w:rsidRPr="00975E6B">
        <w:t xml:space="preserve">This would suggest that there is robustness in the level of feeder activity reported back to episodes. </w:t>
      </w:r>
      <w:r w:rsidRPr="00975E6B">
        <w:t xml:space="preserve">This does not include the virtual patient feeder system that </w:t>
      </w:r>
      <w:r w:rsidR="0074117C" w:rsidRPr="00975E6B">
        <w:t xml:space="preserve">was </w:t>
      </w:r>
      <w:r w:rsidRPr="00975E6B">
        <w:t>not linked to hospital activity.</w:t>
      </w:r>
    </w:p>
    <w:p w:rsidR="00273A0D" w:rsidRPr="00B464CA" w:rsidRDefault="00273A0D" w:rsidP="00B464CA">
      <w:pPr>
        <w:spacing w:before="120" w:after="120" w:line="280" w:lineRule="atLeast"/>
        <w:jc w:val="both"/>
        <w:rPr>
          <w:bCs/>
        </w:rPr>
      </w:pPr>
      <w:r w:rsidRPr="00B464CA">
        <w:rPr>
          <w:bCs/>
        </w:rPr>
        <w:fldChar w:fldCharType="begin"/>
      </w:r>
      <w:r w:rsidRPr="00B464CA">
        <w:rPr>
          <w:bCs/>
        </w:rPr>
        <w:instrText xml:space="preserve"> REF _Ref433302261 \h </w:instrText>
      </w:r>
      <w:r w:rsidR="00975E6B" w:rsidRPr="00B464CA">
        <w:rPr>
          <w:bCs/>
        </w:rPr>
        <w:instrText xml:space="preserve"> \* MERGEFORMAT </w:instrText>
      </w:r>
      <w:r w:rsidRPr="00B464CA">
        <w:rPr>
          <w:bCs/>
        </w:rPr>
      </w:r>
      <w:r w:rsidRPr="00B464CA">
        <w:rPr>
          <w:bCs/>
        </w:rPr>
        <w:fldChar w:fldCharType="separate"/>
      </w:r>
      <w:r w:rsidR="00154CF7" w:rsidRPr="00154CF7">
        <w:rPr>
          <w:bCs/>
        </w:rPr>
        <w:t xml:space="preserve">Table </w:t>
      </w:r>
      <w:r w:rsidR="00154CF7">
        <w:rPr>
          <w:bCs/>
        </w:rPr>
        <w:t>51</w:t>
      </w:r>
      <w:r w:rsidRPr="00B464CA">
        <w:rPr>
          <w:bCs/>
        </w:rPr>
        <w:fldChar w:fldCharType="end"/>
      </w:r>
      <w:r w:rsidRPr="00B464CA">
        <w:rPr>
          <w:bCs/>
        </w:rPr>
        <w:t xml:space="preserve"> highlights the transfer of activity data from </w:t>
      </w:r>
      <w:r w:rsidR="003F167A" w:rsidRPr="00B464CA">
        <w:rPr>
          <w:bCs/>
        </w:rPr>
        <w:t>Prince Charles</w:t>
      </w:r>
      <w:r w:rsidRPr="00B464CA">
        <w:rPr>
          <w:bCs/>
        </w:rPr>
        <w:t xml:space="preserve"> to </w:t>
      </w:r>
      <w:r w:rsidR="00CA6430" w:rsidRPr="00B464CA">
        <w:rPr>
          <w:bCs/>
        </w:rPr>
        <w:t>Queensland</w:t>
      </w:r>
      <w:r w:rsidRPr="00B464CA">
        <w:rPr>
          <w:bCs/>
        </w:rPr>
        <w:t xml:space="preserve"> Health and then through to IHPA submission and finalisation.</w:t>
      </w:r>
    </w:p>
    <w:p w:rsidR="00974BA7" w:rsidRPr="00975E6B" w:rsidRDefault="00273A0D" w:rsidP="00CD1518">
      <w:pPr>
        <w:pStyle w:val="Caption"/>
      </w:pPr>
      <w:bookmarkStart w:id="747" w:name="_Ref433302261"/>
      <w:r w:rsidRPr="00A25E45">
        <w:lastRenderedPageBreak/>
        <w:t xml:space="preserve">Table </w:t>
      </w:r>
      <w:r w:rsidR="003E3288" w:rsidRPr="00A25E45">
        <w:rPr>
          <w:bCs w:val="0"/>
        </w:rPr>
        <w:fldChar w:fldCharType="begin"/>
      </w:r>
      <w:r w:rsidR="003E3288" w:rsidRPr="00A25E45">
        <w:rPr>
          <w:bCs w:val="0"/>
        </w:rPr>
        <w:instrText xml:space="preserve"> SEQ Table \* ARABIC </w:instrText>
      </w:r>
      <w:r w:rsidR="003E3288" w:rsidRPr="00A25E45">
        <w:rPr>
          <w:bCs w:val="0"/>
        </w:rPr>
        <w:fldChar w:fldCharType="separate"/>
      </w:r>
      <w:r w:rsidR="00154CF7">
        <w:rPr>
          <w:bCs w:val="0"/>
          <w:noProof/>
        </w:rPr>
        <w:t>51</w:t>
      </w:r>
      <w:r w:rsidR="003E3288" w:rsidRPr="00A25E45">
        <w:rPr>
          <w:bCs w:val="0"/>
          <w:noProof/>
        </w:rPr>
        <w:fldChar w:fldCharType="end"/>
      </w:r>
      <w:bookmarkEnd w:id="747"/>
      <w:r w:rsidR="00BA3F4B" w:rsidRPr="00A25E45">
        <w:t xml:space="preserve"> </w:t>
      </w:r>
      <w:r w:rsidRPr="00A25E45">
        <w:t>–</w:t>
      </w:r>
      <w:r w:rsidRPr="00975E6B">
        <w:t xml:space="preserve"> Activity data submission – The Prince Charles Hospital</w:t>
      </w:r>
    </w:p>
    <w:tbl>
      <w:tblPr>
        <w:tblW w:w="5000" w:type="pct"/>
        <w:tblLayout w:type="fixed"/>
        <w:tblLook w:val="04A0" w:firstRow="1" w:lastRow="0" w:firstColumn="1" w:lastColumn="0" w:noHBand="0" w:noVBand="1"/>
        <w:tblCaption w:val="Table 51 - Activity submission - The Prince Charles Hospital"/>
        <w:tblDescription w:val="This table highlights the transfer of activity data from The Prince Charles Hospital to Queensland Health and then through to IHPA submission and finalisation. There are 8 columns. Column 1 is the NHCDC product type, Column 2 is the activity related to 2013-14 costs, column 3 is the adjustments to Column 2, column 4 is the activity submitted to the jurisdiction, column 5 is the adjustments to column 4, column 6 is the activity submitted to IHPA, column 7 is the adjustments to column 6 and column 8 is the total activity submitted for the Round 18 NHCDC."/>
      </w:tblPr>
      <w:tblGrid>
        <w:gridCol w:w="1741"/>
        <w:gridCol w:w="998"/>
        <w:gridCol w:w="998"/>
        <w:gridCol w:w="998"/>
        <w:gridCol w:w="998"/>
        <w:gridCol w:w="998"/>
        <w:gridCol w:w="998"/>
        <w:gridCol w:w="992"/>
      </w:tblGrid>
      <w:tr w:rsidR="007A16C6" w:rsidRPr="007A16C6" w:rsidTr="00E14378">
        <w:trPr>
          <w:trHeight w:val="896"/>
        </w:trPr>
        <w:tc>
          <w:tcPr>
            <w:tcW w:w="999"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7A16C6" w:rsidRPr="00CD1518" w:rsidRDefault="007A16C6" w:rsidP="007A16C6">
            <w:pPr>
              <w:spacing w:line="240" w:lineRule="auto"/>
              <w:rPr>
                <w:b/>
                <w:bCs/>
                <w:color w:val="FFFFFF"/>
                <w:sz w:val="14"/>
                <w:szCs w:val="14"/>
                <w:lang w:eastAsia="en-AU"/>
              </w:rPr>
            </w:pPr>
            <w:r w:rsidRPr="00CD1518">
              <w:rPr>
                <w:b/>
                <w:bCs/>
                <w:color w:val="FFFFFF"/>
                <w:sz w:val="14"/>
                <w:szCs w:val="14"/>
                <w:lang w:eastAsia="en-AU"/>
              </w:rPr>
              <w:t>Product</w:t>
            </w:r>
          </w:p>
        </w:tc>
        <w:tc>
          <w:tcPr>
            <w:tcW w:w="572" w:type="pct"/>
            <w:tcBorders>
              <w:top w:val="single" w:sz="4" w:space="0" w:color="5B9BD5"/>
              <w:left w:val="nil"/>
              <w:bottom w:val="single" w:sz="4" w:space="0" w:color="5B9BD5"/>
              <w:right w:val="single" w:sz="4" w:space="0" w:color="5B9BD5"/>
            </w:tcBorders>
            <w:shd w:val="clear" w:color="auto" w:fill="002060"/>
            <w:vAlign w:val="bottom"/>
            <w:hideMark/>
          </w:tcPr>
          <w:p w:rsidR="007A16C6" w:rsidRPr="00CD1518" w:rsidRDefault="007A16C6" w:rsidP="007A16C6">
            <w:pPr>
              <w:spacing w:line="240" w:lineRule="auto"/>
              <w:jc w:val="center"/>
              <w:rPr>
                <w:b/>
                <w:bCs/>
                <w:color w:val="FFFFFF"/>
                <w:sz w:val="14"/>
                <w:szCs w:val="14"/>
                <w:lang w:eastAsia="en-AU"/>
              </w:rPr>
            </w:pPr>
            <w:r w:rsidRPr="00CD1518">
              <w:rPr>
                <w:b/>
                <w:bCs/>
                <w:color w:val="FFFFFF"/>
                <w:sz w:val="14"/>
                <w:szCs w:val="14"/>
                <w:lang w:eastAsia="en-AU"/>
              </w:rPr>
              <w:t>Activity related to 2013-14 Costs</w:t>
            </w:r>
          </w:p>
        </w:tc>
        <w:tc>
          <w:tcPr>
            <w:tcW w:w="572" w:type="pct"/>
            <w:tcBorders>
              <w:top w:val="single" w:sz="4" w:space="0" w:color="5B9BD5"/>
              <w:left w:val="nil"/>
              <w:bottom w:val="single" w:sz="4" w:space="0" w:color="5B9BD5"/>
              <w:right w:val="single" w:sz="4" w:space="0" w:color="5B9BD5"/>
            </w:tcBorders>
            <w:shd w:val="clear" w:color="auto" w:fill="002060"/>
            <w:vAlign w:val="bottom"/>
            <w:hideMark/>
          </w:tcPr>
          <w:p w:rsidR="007A16C6" w:rsidRPr="00CD1518" w:rsidRDefault="007A16C6" w:rsidP="007A16C6">
            <w:pPr>
              <w:spacing w:line="240" w:lineRule="auto"/>
              <w:jc w:val="center"/>
              <w:rPr>
                <w:b/>
                <w:bCs/>
                <w:color w:val="FFFFFF"/>
                <w:sz w:val="12"/>
                <w:szCs w:val="12"/>
                <w:lang w:eastAsia="en-AU"/>
              </w:rPr>
            </w:pPr>
            <w:r w:rsidRPr="00CD1518">
              <w:rPr>
                <w:b/>
                <w:bCs/>
                <w:color w:val="FFFFFF"/>
                <w:sz w:val="12"/>
                <w:szCs w:val="12"/>
                <w:lang w:eastAsia="en-AU"/>
              </w:rPr>
              <w:t>Adjustments</w:t>
            </w:r>
          </w:p>
        </w:tc>
        <w:tc>
          <w:tcPr>
            <w:tcW w:w="572" w:type="pct"/>
            <w:tcBorders>
              <w:top w:val="single" w:sz="4" w:space="0" w:color="5B9BD5"/>
              <w:left w:val="nil"/>
              <w:bottom w:val="single" w:sz="4" w:space="0" w:color="5B9BD5"/>
              <w:right w:val="single" w:sz="4" w:space="0" w:color="5B9BD5"/>
            </w:tcBorders>
            <w:shd w:val="clear" w:color="auto" w:fill="002060"/>
            <w:vAlign w:val="bottom"/>
            <w:hideMark/>
          </w:tcPr>
          <w:p w:rsidR="007A16C6" w:rsidRPr="00CD1518" w:rsidRDefault="007A16C6" w:rsidP="007A16C6">
            <w:pPr>
              <w:spacing w:line="240" w:lineRule="auto"/>
              <w:jc w:val="center"/>
              <w:rPr>
                <w:b/>
                <w:bCs/>
                <w:color w:val="FFFFFF"/>
                <w:sz w:val="14"/>
                <w:szCs w:val="14"/>
                <w:lang w:eastAsia="en-AU"/>
              </w:rPr>
            </w:pPr>
            <w:r w:rsidRPr="00CD1518">
              <w:rPr>
                <w:b/>
                <w:bCs/>
                <w:color w:val="FFFFFF"/>
                <w:sz w:val="14"/>
                <w:szCs w:val="14"/>
                <w:lang w:eastAsia="en-AU"/>
              </w:rPr>
              <w:t>Activity submitted to jurisdiction</w:t>
            </w:r>
          </w:p>
        </w:tc>
        <w:tc>
          <w:tcPr>
            <w:tcW w:w="572" w:type="pct"/>
            <w:tcBorders>
              <w:top w:val="single" w:sz="4" w:space="0" w:color="5B9BD5"/>
              <w:left w:val="nil"/>
              <w:bottom w:val="single" w:sz="4" w:space="0" w:color="5B9BD5"/>
              <w:right w:val="single" w:sz="4" w:space="0" w:color="5B9BD5"/>
            </w:tcBorders>
            <w:shd w:val="clear" w:color="auto" w:fill="002060"/>
            <w:vAlign w:val="bottom"/>
            <w:hideMark/>
          </w:tcPr>
          <w:p w:rsidR="007A16C6" w:rsidRPr="00CD1518" w:rsidRDefault="007A16C6" w:rsidP="007A16C6">
            <w:pPr>
              <w:spacing w:line="240" w:lineRule="auto"/>
              <w:jc w:val="center"/>
              <w:rPr>
                <w:b/>
                <w:bCs/>
                <w:color w:val="FFFFFF"/>
                <w:sz w:val="12"/>
                <w:szCs w:val="12"/>
                <w:lang w:eastAsia="en-AU"/>
              </w:rPr>
            </w:pPr>
            <w:r w:rsidRPr="00CD1518">
              <w:rPr>
                <w:b/>
                <w:bCs/>
                <w:color w:val="FFFFFF"/>
                <w:sz w:val="12"/>
                <w:szCs w:val="12"/>
                <w:lang w:eastAsia="en-AU"/>
              </w:rPr>
              <w:t>Adjustments</w:t>
            </w:r>
          </w:p>
        </w:tc>
        <w:tc>
          <w:tcPr>
            <w:tcW w:w="572" w:type="pct"/>
            <w:tcBorders>
              <w:top w:val="single" w:sz="4" w:space="0" w:color="5B9BD5"/>
              <w:left w:val="nil"/>
              <w:bottom w:val="single" w:sz="4" w:space="0" w:color="5B9BD5"/>
              <w:right w:val="single" w:sz="4" w:space="0" w:color="5B9BD5"/>
            </w:tcBorders>
            <w:shd w:val="clear" w:color="auto" w:fill="002060"/>
            <w:vAlign w:val="bottom"/>
            <w:hideMark/>
          </w:tcPr>
          <w:p w:rsidR="007A16C6" w:rsidRPr="00CD1518" w:rsidRDefault="007A16C6" w:rsidP="007A16C6">
            <w:pPr>
              <w:spacing w:line="240" w:lineRule="auto"/>
              <w:jc w:val="center"/>
              <w:rPr>
                <w:b/>
                <w:bCs/>
                <w:color w:val="FFFFFF"/>
                <w:sz w:val="14"/>
                <w:szCs w:val="14"/>
                <w:lang w:eastAsia="en-AU"/>
              </w:rPr>
            </w:pPr>
            <w:r w:rsidRPr="00CD1518">
              <w:rPr>
                <w:b/>
                <w:bCs/>
                <w:color w:val="FFFFFF"/>
                <w:sz w:val="14"/>
                <w:szCs w:val="14"/>
                <w:lang w:eastAsia="en-AU"/>
              </w:rPr>
              <w:t>Activity submitted to IHPA</w:t>
            </w:r>
          </w:p>
        </w:tc>
        <w:tc>
          <w:tcPr>
            <w:tcW w:w="572" w:type="pct"/>
            <w:tcBorders>
              <w:top w:val="single" w:sz="4" w:space="0" w:color="5B9BD5"/>
              <w:left w:val="nil"/>
              <w:bottom w:val="single" w:sz="4" w:space="0" w:color="5B9BD5"/>
              <w:right w:val="single" w:sz="4" w:space="0" w:color="5B9BD5"/>
            </w:tcBorders>
            <w:shd w:val="clear" w:color="auto" w:fill="002060"/>
            <w:vAlign w:val="bottom"/>
            <w:hideMark/>
          </w:tcPr>
          <w:p w:rsidR="007A16C6" w:rsidRPr="00CD1518" w:rsidRDefault="007A16C6" w:rsidP="007A16C6">
            <w:pPr>
              <w:spacing w:line="240" w:lineRule="auto"/>
              <w:jc w:val="center"/>
              <w:rPr>
                <w:b/>
                <w:bCs/>
                <w:color w:val="FFFFFF"/>
                <w:sz w:val="12"/>
                <w:szCs w:val="12"/>
                <w:lang w:eastAsia="en-AU"/>
              </w:rPr>
            </w:pPr>
            <w:r w:rsidRPr="00CD1518">
              <w:rPr>
                <w:b/>
                <w:bCs/>
                <w:color w:val="FFFFFF"/>
                <w:sz w:val="12"/>
                <w:szCs w:val="12"/>
                <w:lang w:eastAsia="en-AU"/>
              </w:rPr>
              <w:t>Adjustments</w:t>
            </w:r>
          </w:p>
        </w:tc>
        <w:tc>
          <w:tcPr>
            <w:tcW w:w="572" w:type="pct"/>
            <w:tcBorders>
              <w:top w:val="single" w:sz="4" w:space="0" w:color="5B9BD5"/>
              <w:left w:val="nil"/>
              <w:bottom w:val="single" w:sz="4" w:space="0" w:color="5B9BD5"/>
              <w:right w:val="single" w:sz="4" w:space="0" w:color="5B9BD5"/>
            </w:tcBorders>
            <w:shd w:val="clear" w:color="auto" w:fill="002060"/>
            <w:vAlign w:val="bottom"/>
            <w:hideMark/>
          </w:tcPr>
          <w:p w:rsidR="007A16C6" w:rsidRPr="00CD1518" w:rsidRDefault="007A16C6" w:rsidP="007A16C6">
            <w:pPr>
              <w:spacing w:line="240" w:lineRule="auto"/>
              <w:jc w:val="center"/>
              <w:rPr>
                <w:b/>
                <w:bCs/>
                <w:color w:val="FFFFFF"/>
                <w:sz w:val="14"/>
                <w:szCs w:val="14"/>
                <w:lang w:eastAsia="en-AU"/>
              </w:rPr>
            </w:pPr>
            <w:r w:rsidRPr="00CD1518">
              <w:rPr>
                <w:b/>
                <w:bCs/>
                <w:color w:val="FFFFFF"/>
                <w:sz w:val="14"/>
                <w:szCs w:val="14"/>
                <w:lang w:eastAsia="en-AU"/>
              </w:rPr>
              <w:t>Total Activity submitted for Round 18 NHCDC</w:t>
            </w:r>
          </w:p>
        </w:tc>
      </w:tr>
      <w:tr w:rsidR="007A16C6" w:rsidRPr="007A16C6" w:rsidTr="00CD1518">
        <w:trPr>
          <w:trHeight w:val="260"/>
        </w:trPr>
        <w:tc>
          <w:tcPr>
            <w:tcW w:w="999" w:type="pct"/>
            <w:tcBorders>
              <w:top w:val="nil"/>
              <w:left w:val="single" w:sz="4" w:space="0" w:color="5B9BD5"/>
              <w:bottom w:val="single" w:sz="4" w:space="0" w:color="5B9BD5"/>
              <w:right w:val="single" w:sz="4" w:space="0" w:color="5B9BD5"/>
            </w:tcBorders>
            <w:shd w:val="clear" w:color="000000" w:fill="FFFFFF"/>
            <w:noWrap/>
            <w:vAlign w:val="center"/>
            <w:hideMark/>
          </w:tcPr>
          <w:p w:rsidR="007A16C6" w:rsidRPr="00CD1518" w:rsidRDefault="007A16C6" w:rsidP="007A16C6">
            <w:pPr>
              <w:spacing w:line="240" w:lineRule="auto"/>
              <w:rPr>
                <w:color w:val="000000"/>
                <w:sz w:val="14"/>
                <w:szCs w:val="14"/>
                <w:lang w:eastAsia="en-AU"/>
              </w:rPr>
            </w:pPr>
            <w:r w:rsidRPr="00CD1518">
              <w:rPr>
                <w:color w:val="000000"/>
                <w:sz w:val="14"/>
                <w:szCs w:val="14"/>
                <w:lang w:eastAsia="en-AU"/>
              </w:rPr>
              <w:t>Acute</w:t>
            </w:r>
          </w:p>
        </w:tc>
        <w:tc>
          <w:tcPr>
            <w:tcW w:w="572" w:type="pct"/>
            <w:tcBorders>
              <w:top w:val="nil"/>
              <w:left w:val="nil"/>
              <w:bottom w:val="single" w:sz="4" w:space="0" w:color="5B9BD5"/>
              <w:right w:val="single" w:sz="4" w:space="0" w:color="5B9BD5"/>
            </w:tcBorders>
            <w:shd w:val="clear" w:color="000000" w:fill="FFFFFF"/>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43,342</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FFFFFF"/>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43,342</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FFFFFF"/>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43,342</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FFFFFF"/>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43,342</w:t>
            </w:r>
          </w:p>
        </w:tc>
      </w:tr>
      <w:tr w:rsidR="007A16C6" w:rsidRPr="007A16C6" w:rsidTr="00CD1518">
        <w:trPr>
          <w:trHeight w:val="260"/>
        </w:trPr>
        <w:tc>
          <w:tcPr>
            <w:tcW w:w="999" w:type="pct"/>
            <w:tcBorders>
              <w:top w:val="nil"/>
              <w:left w:val="single" w:sz="4" w:space="0" w:color="5B9BD5"/>
              <w:bottom w:val="single" w:sz="4" w:space="0" w:color="5B9BD5"/>
              <w:right w:val="single" w:sz="4" w:space="0" w:color="5B9BD5"/>
            </w:tcBorders>
            <w:shd w:val="clear" w:color="000000" w:fill="DDEBF7"/>
            <w:noWrap/>
            <w:vAlign w:val="center"/>
            <w:hideMark/>
          </w:tcPr>
          <w:p w:rsidR="007A16C6" w:rsidRPr="00CD1518" w:rsidRDefault="007A16C6" w:rsidP="007A16C6">
            <w:pPr>
              <w:spacing w:line="240" w:lineRule="auto"/>
              <w:rPr>
                <w:color w:val="000000"/>
                <w:sz w:val="14"/>
                <w:szCs w:val="14"/>
                <w:lang w:eastAsia="en-AU"/>
              </w:rPr>
            </w:pPr>
            <w:r w:rsidRPr="00CD1518">
              <w:rPr>
                <w:color w:val="000000"/>
                <w:sz w:val="14"/>
                <w:szCs w:val="14"/>
                <w:lang w:eastAsia="en-AU"/>
              </w:rPr>
              <w:t>Non-admitted</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180,978</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180,978</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180,978</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180,978</w:t>
            </w:r>
          </w:p>
        </w:tc>
      </w:tr>
      <w:tr w:rsidR="007A16C6" w:rsidRPr="007A16C6" w:rsidTr="00CD1518">
        <w:trPr>
          <w:trHeight w:val="260"/>
        </w:trPr>
        <w:tc>
          <w:tcPr>
            <w:tcW w:w="999" w:type="pct"/>
            <w:tcBorders>
              <w:top w:val="nil"/>
              <w:left w:val="single" w:sz="4" w:space="0" w:color="5B9BD5"/>
              <w:bottom w:val="single" w:sz="4" w:space="0" w:color="5B9BD5"/>
              <w:right w:val="single" w:sz="4" w:space="0" w:color="5B9BD5"/>
            </w:tcBorders>
            <w:shd w:val="clear" w:color="000000" w:fill="FFFFFF"/>
            <w:noWrap/>
            <w:vAlign w:val="center"/>
            <w:hideMark/>
          </w:tcPr>
          <w:p w:rsidR="007A16C6" w:rsidRPr="00CD1518" w:rsidRDefault="007A16C6" w:rsidP="007A16C6">
            <w:pPr>
              <w:spacing w:line="240" w:lineRule="auto"/>
              <w:rPr>
                <w:color w:val="000000"/>
                <w:sz w:val="14"/>
                <w:szCs w:val="14"/>
                <w:lang w:eastAsia="en-AU"/>
              </w:rPr>
            </w:pPr>
            <w:r w:rsidRPr="00CD1518">
              <w:rPr>
                <w:color w:val="000000"/>
                <w:sz w:val="14"/>
                <w:szCs w:val="14"/>
                <w:lang w:eastAsia="en-AU"/>
              </w:rPr>
              <w:t>Emergency</w:t>
            </w:r>
          </w:p>
        </w:tc>
        <w:tc>
          <w:tcPr>
            <w:tcW w:w="572" w:type="pct"/>
            <w:tcBorders>
              <w:top w:val="nil"/>
              <w:left w:val="nil"/>
              <w:bottom w:val="single" w:sz="4" w:space="0" w:color="5B9BD5"/>
              <w:right w:val="single" w:sz="4" w:space="0" w:color="5B9BD5"/>
            </w:tcBorders>
            <w:shd w:val="clear" w:color="000000" w:fill="FFFFFF"/>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69,151</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FFFFFF"/>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69,151</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FFFFFF"/>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69,151</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FFFFFF"/>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69,151</w:t>
            </w:r>
          </w:p>
        </w:tc>
      </w:tr>
      <w:tr w:rsidR="007A16C6" w:rsidRPr="007A16C6" w:rsidTr="00CD1518">
        <w:trPr>
          <w:trHeight w:val="260"/>
        </w:trPr>
        <w:tc>
          <w:tcPr>
            <w:tcW w:w="999" w:type="pct"/>
            <w:tcBorders>
              <w:top w:val="nil"/>
              <w:left w:val="single" w:sz="4" w:space="0" w:color="5B9BD5"/>
              <w:bottom w:val="single" w:sz="4" w:space="0" w:color="5B9BD5"/>
              <w:right w:val="single" w:sz="4" w:space="0" w:color="5B9BD5"/>
            </w:tcBorders>
            <w:shd w:val="clear" w:color="000000" w:fill="DDEBF7"/>
            <w:noWrap/>
            <w:vAlign w:val="center"/>
            <w:hideMark/>
          </w:tcPr>
          <w:p w:rsidR="007A16C6" w:rsidRPr="00CD1518" w:rsidRDefault="007A16C6" w:rsidP="007A16C6">
            <w:pPr>
              <w:spacing w:line="240" w:lineRule="auto"/>
              <w:rPr>
                <w:color w:val="000000"/>
                <w:sz w:val="14"/>
                <w:szCs w:val="14"/>
                <w:lang w:eastAsia="en-AU"/>
              </w:rPr>
            </w:pPr>
            <w:proofErr w:type="spellStart"/>
            <w:r w:rsidRPr="00CD1518">
              <w:rPr>
                <w:color w:val="000000"/>
                <w:sz w:val="14"/>
                <w:szCs w:val="14"/>
                <w:lang w:eastAsia="en-AU"/>
              </w:rPr>
              <w:t>Sub Acute</w:t>
            </w:r>
            <w:proofErr w:type="spellEnd"/>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4,474</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4,474</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4,474</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4,474</w:t>
            </w:r>
          </w:p>
        </w:tc>
      </w:tr>
      <w:tr w:rsidR="007A16C6" w:rsidRPr="007A16C6" w:rsidTr="00CD1518">
        <w:trPr>
          <w:trHeight w:val="260"/>
        </w:trPr>
        <w:tc>
          <w:tcPr>
            <w:tcW w:w="999" w:type="pct"/>
            <w:tcBorders>
              <w:top w:val="nil"/>
              <w:left w:val="single" w:sz="4" w:space="0" w:color="5B9BD5"/>
              <w:bottom w:val="single" w:sz="4" w:space="0" w:color="5B9BD5"/>
              <w:right w:val="single" w:sz="4" w:space="0" w:color="5B9BD5"/>
            </w:tcBorders>
            <w:shd w:val="clear" w:color="000000" w:fill="FFFFFF"/>
            <w:noWrap/>
            <w:vAlign w:val="center"/>
            <w:hideMark/>
          </w:tcPr>
          <w:p w:rsidR="007A16C6" w:rsidRPr="00CD1518" w:rsidRDefault="007A16C6" w:rsidP="007A16C6">
            <w:pPr>
              <w:spacing w:line="240" w:lineRule="auto"/>
              <w:rPr>
                <w:color w:val="000000"/>
                <w:sz w:val="14"/>
                <w:szCs w:val="14"/>
                <w:lang w:eastAsia="en-AU"/>
              </w:rPr>
            </w:pPr>
            <w:r w:rsidRPr="00CD1518">
              <w:rPr>
                <w:color w:val="000000"/>
                <w:sz w:val="14"/>
                <w:szCs w:val="14"/>
                <w:lang w:eastAsia="en-AU"/>
              </w:rPr>
              <w:t>Mental Health</w:t>
            </w:r>
          </w:p>
        </w:tc>
        <w:tc>
          <w:tcPr>
            <w:tcW w:w="572" w:type="pct"/>
            <w:tcBorders>
              <w:top w:val="nil"/>
              <w:left w:val="nil"/>
              <w:bottom w:val="single" w:sz="4" w:space="0" w:color="5B9BD5"/>
              <w:right w:val="single" w:sz="4" w:space="0" w:color="5B9BD5"/>
            </w:tcBorders>
            <w:shd w:val="clear" w:color="000000" w:fill="FFFFFF"/>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FFFFFF"/>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FFFFFF"/>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FFFFFF"/>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r>
      <w:tr w:rsidR="007A16C6" w:rsidRPr="007A16C6" w:rsidTr="00CD1518">
        <w:trPr>
          <w:trHeight w:val="260"/>
        </w:trPr>
        <w:tc>
          <w:tcPr>
            <w:tcW w:w="999" w:type="pct"/>
            <w:tcBorders>
              <w:top w:val="nil"/>
              <w:left w:val="single" w:sz="4" w:space="0" w:color="5B9BD5"/>
              <w:bottom w:val="single" w:sz="4" w:space="0" w:color="5B9BD5"/>
              <w:right w:val="single" w:sz="4" w:space="0" w:color="5B9BD5"/>
            </w:tcBorders>
            <w:shd w:val="clear" w:color="000000" w:fill="DDEBF7"/>
            <w:noWrap/>
            <w:vAlign w:val="center"/>
            <w:hideMark/>
          </w:tcPr>
          <w:p w:rsidR="007A16C6" w:rsidRPr="00CD1518" w:rsidRDefault="007A16C6" w:rsidP="007A16C6">
            <w:pPr>
              <w:spacing w:line="240" w:lineRule="auto"/>
              <w:rPr>
                <w:color w:val="000000"/>
                <w:sz w:val="14"/>
                <w:szCs w:val="14"/>
                <w:lang w:eastAsia="en-AU"/>
              </w:rPr>
            </w:pPr>
            <w:r w:rsidRPr="00CD1518">
              <w:rPr>
                <w:color w:val="000000"/>
                <w:sz w:val="14"/>
                <w:szCs w:val="14"/>
                <w:lang w:eastAsia="en-AU"/>
              </w:rPr>
              <w:t>Other</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17,380</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17,380</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(17,101)</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279</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279</w:t>
            </w:r>
          </w:p>
        </w:tc>
      </w:tr>
      <w:tr w:rsidR="007A16C6" w:rsidRPr="007A16C6" w:rsidTr="00CD1518">
        <w:trPr>
          <w:trHeight w:val="260"/>
        </w:trPr>
        <w:tc>
          <w:tcPr>
            <w:tcW w:w="999" w:type="pct"/>
            <w:tcBorders>
              <w:top w:val="nil"/>
              <w:left w:val="single" w:sz="4" w:space="0" w:color="5B9BD5"/>
              <w:bottom w:val="single" w:sz="4" w:space="0" w:color="5B9BD5"/>
              <w:right w:val="single" w:sz="4" w:space="0" w:color="5B9BD5"/>
            </w:tcBorders>
            <w:shd w:val="clear" w:color="000000" w:fill="FFFFFF"/>
            <w:noWrap/>
            <w:vAlign w:val="center"/>
            <w:hideMark/>
          </w:tcPr>
          <w:p w:rsidR="007A16C6" w:rsidRPr="00CD1518" w:rsidRDefault="007A16C6" w:rsidP="007A16C6">
            <w:pPr>
              <w:spacing w:line="240" w:lineRule="auto"/>
              <w:rPr>
                <w:color w:val="000000"/>
                <w:sz w:val="14"/>
                <w:szCs w:val="14"/>
                <w:lang w:eastAsia="en-AU"/>
              </w:rPr>
            </w:pPr>
            <w:r w:rsidRPr="00CD1518">
              <w:rPr>
                <w:color w:val="000000"/>
                <w:sz w:val="14"/>
                <w:szCs w:val="14"/>
                <w:lang w:eastAsia="en-AU"/>
              </w:rPr>
              <w:t>Research</w:t>
            </w:r>
          </w:p>
        </w:tc>
        <w:tc>
          <w:tcPr>
            <w:tcW w:w="572" w:type="pct"/>
            <w:tcBorders>
              <w:top w:val="nil"/>
              <w:left w:val="nil"/>
              <w:bottom w:val="single" w:sz="4" w:space="0" w:color="5B9BD5"/>
              <w:right w:val="single" w:sz="4" w:space="0" w:color="5B9BD5"/>
            </w:tcBorders>
            <w:shd w:val="clear" w:color="000000" w:fill="FFFFFF"/>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FFFFFF"/>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FFFFFF"/>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FFFFFF"/>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r>
      <w:tr w:rsidR="007A16C6" w:rsidRPr="007A16C6" w:rsidTr="00CD1518">
        <w:trPr>
          <w:trHeight w:val="260"/>
        </w:trPr>
        <w:tc>
          <w:tcPr>
            <w:tcW w:w="999" w:type="pct"/>
            <w:tcBorders>
              <w:top w:val="nil"/>
              <w:left w:val="single" w:sz="4" w:space="0" w:color="5B9BD5"/>
              <w:bottom w:val="single" w:sz="4" w:space="0" w:color="5B9BD5"/>
              <w:right w:val="single" w:sz="4" w:space="0" w:color="5B9BD5"/>
            </w:tcBorders>
            <w:shd w:val="clear" w:color="000000" w:fill="DDEBF7"/>
            <w:noWrap/>
            <w:vAlign w:val="center"/>
            <w:hideMark/>
          </w:tcPr>
          <w:p w:rsidR="007A16C6" w:rsidRPr="00CD1518" w:rsidRDefault="007A16C6" w:rsidP="007A16C6">
            <w:pPr>
              <w:spacing w:line="240" w:lineRule="auto"/>
              <w:rPr>
                <w:color w:val="000000"/>
                <w:sz w:val="14"/>
                <w:szCs w:val="14"/>
                <w:lang w:eastAsia="en-AU"/>
              </w:rPr>
            </w:pPr>
            <w:r w:rsidRPr="00CD1518">
              <w:rPr>
                <w:color w:val="000000"/>
                <w:sz w:val="14"/>
                <w:szCs w:val="14"/>
                <w:lang w:eastAsia="en-AU"/>
              </w:rPr>
              <w:t>Teaching and Training</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DEBF7"/>
            <w:noWrap/>
            <w:vAlign w:val="center"/>
            <w:hideMark/>
          </w:tcPr>
          <w:p w:rsidR="007A16C6" w:rsidRPr="00CD1518" w:rsidRDefault="007A16C6" w:rsidP="00CD1518">
            <w:pPr>
              <w:spacing w:line="240" w:lineRule="auto"/>
              <w:jc w:val="right"/>
              <w:rPr>
                <w:color w:val="000000"/>
                <w:sz w:val="14"/>
                <w:szCs w:val="14"/>
                <w:lang w:eastAsia="en-AU"/>
              </w:rPr>
            </w:pPr>
            <w:r w:rsidRPr="00CD1518">
              <w:rPr>
                <w:color w:val="000000"/>
                <w:sz w:val="14"/>
                <w:szCs w:val="14"/>
                <w:lang w:eastAsia="en-AU"/>
              </w:rPr>
              <w:t>-</w:t>
            </w:r>
          </w:p>
        </w:tc>
      </w:tr>
      <w:tr w:rsidR="007A16C6" w:rsidRPr="007A16C6" w:rsidTr="00CD1518">
        <w:trPr>
          <w:trHeight w:val="260"/>
        </w:trPr>
        <w:tc>
          <w:tcPr>
            <w:tcW w:w="999" w:type="pct"/>
            <w:tcBorders>
              <w:top w:val="nil"/>
              <w:left w:val="single" w:sz="4" w:space="0" w:color="5B9BD5"/>
              <w:bottom w:val="single" w:sz="4" w:space="0" w:color="5B9BD5"/>
              <w:right w:val="single" w:sz="4" w:space="0" w:color="5B9BD5"/>
            </w:tcBorders>
            <w:shd w:val="clear" w:color="000000" w:fill="D0CECE"/>
            <w:noWrap/>
            <w:vAlign w:val="center"/>
            <w:hideMark/>
          </w:tcPr>
          <w:p w:rsidR="007A16C6" w:rsidRPr="00CD1518" w:rsidRDefault="007A16C6" w:rsidP="007A16C6">
            <w:pPr>
              <w:spacing w:line="240" w:lineRule="auto"/>
              <w:rPr>
                <w:b/>
                <w:bCs/>
                <w:color w:val="000000"/>
                <w:sz w:val="14"/>
                <w:szCs w:val="14"/>
                <w:lang w:eastAsia="en-AU"/>
              </w:rPr>
            </w:pPr>
            <w:r w:rsidRPr="00CD1518">
              <w:rPr>
                <w:b/>
                <w:bCs/>
                <w:color w:val="000000"/>
                <w:sz w:val="14"/>
                <w:szCs w:val="14"/>
                <w:lang w:eastAsia="en-AU"/>
              </w:rPr>
              <w:t>Total</w:t>
            </w:r>
          </w:p>
        </w:tc>
        <w:tc>
          <w:tcPr>
            <w:tcW w:w="572" w:type="pct"/>
            <w:tcBorders>
              <w:top w:val="nil"/>
              <w:left w:val="nil"/>
              <w:bottom w:val="single" w:sz="4" w:space="0" w:color="5B9BD5"/>
              <w:right w:val="single" w:sz="4" w:space="0" w:color="5B9BD5"/>
            </w:tcBorders>
            <w:shd w:val="clear" w:color="000000" w:fill="D0CECE"/>
            <w:noWrap/>
            <w:vAlign w:val="center"/>
            <w:hideMark/>
          </w:tcPr>
          <w:p w:rsidR="007A16C6" w:rsidRPr="00CD1518" w:rsidRDefault="007A16C6" w:rsidP="00CD1518">
            <w:pPr>
              <w:spacing w:line="240" w:lineRule="auto"/>
              <w:jc w:val="right"/>
              <w:rPr>
                <w:b/>
                <w:bCs/>
                <w:color w:val="000000"/>
                <w:sz w:val="14"/>
                <w:szCs w:val="14"/>
                <w:lang w:eastAsia="en-AU"/>
              </w:rPr>
            </w:pPr>
            <w:r w:rsidRPr="00CD1518">
              <w:rPr>
                <w:b/>
                <w:bCs/>
                <w:color w:val="000000"/>
                <w:sz w:val="14"/>
                <w:szCs w:val="14"/>
                <w:lang w:eastAsia="en-AU"/>
              </w:rPr>
              <w:t>315,325</w:t>
            </w:r>
          </w:p>
        </w:tc>
        <w:tc>
          <w:tcPr>
            <w:tcW w:w="572" w:type="pct"/>
            <w:tcBorders>
              <w:top w:val="nil"/>
              <w:left w:val="nil"/>
              <w:bottom w:val="single" w:sz="4" w:space="0" w:color="5B9BD5"/>
              <w:right w:val="single" w:sz="4" w:space="0" w:color="5B9BD5"/>
            </w:tcBorders>
            <w:shd w:val="clear" w:color="000000" w:fill="D0CECE"/>
            <w:noWrap/>
            <w:vAlign w:val="center"/>
            <w:hideMark/>
          </w:tcPr>
          <w:p w:rsidR="007A16C6" w:rsidRPr="00CD1518" w:rsidRDefault="007A16C6" w:rsidP="00CD1518">
            <w:pPr>
              <w:spacing w:line="240" w:lineRule="auto"/>
              <w:jc w:val="right"/>
              <w:rPr>
                <w:b/>
                <w:bCs/>
                <w:color w:val="000000"/>
                <w:sz w:val="14"/>
                <w:szCs w:val="14"/>
                <w:lang w:eastAsia="en-AU"/>
              </w:rPr>
            </w:pPr>
            <w:r w:rsidRPr="00CD1518">
              <w:rPr>
                <w:b/>
                <w:bCs/>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0CECE"/>
            <w:noWrap/>
            <w:vAlign w:val="center"/>
            <w:hideMark/>
          </w:tcPr>
          <w:p w:rsidR="007A16C6" w:rsidRPr="00CD1518" w:rsidRDefault="007A16C6" w:rsidP="00CD1518">
            <w:pPr>
              <w:spacing w:line="240" w:lineRule="auto"/>
              <w:jc w:val="right"/>
              <w:rPr>
                <w:b/>
                <w:bCs/>
                <w:color w:val="000000"/>
                <w:sz w:val="14"/>
                <w:szCs w:val="14"/>
                <w:lang w:eastAsia="en-AU"/>
              </w:rPr>
            </w:pPr>
            <w:r w:rsidRPr="00CD1518">
              <w:rPr>
                <w:b/>
                <w:bCs/>
                <w:color w:val="000000"/>
                <w:sz w:val="14"/>
                <w:szCs w:val="14"/>
                <w:lang w:eastAsia="en-AU"/>
              </w:rPr>
              <w:t>315,325</w:t>
            </w:r>
          </w:p>
        </w:tc>
        <w:tc>
          <w:tcPr>
            <w:tcW w:w="572" w:type="pct"/>
            <w:tcBorders>
              <w:top w:val="nil"/>
              <w:left w:val="nil"/>
              <w:bottom w:val="single" w:sz="4" w:space="0" w:color="5B9BD5"/>
              <w:right w:val="single" w:sz="4" w:space="0" w:color="5B9BD5"/>
            </w:tcBorders>
            <w:shd w:val="clear" w:color="000000" w:fill="D0CECE"/>
            <w:noWrap/>
            <w:vAlign w:val="center"/>
            <w:hideMark/>
          </w:tcPr>
          <w:p w:rsidR="007A16C6" w:rsidRPr="00CD1518" w:rsidRDefault="007A16C6" w:rsidP="00CD1518">
            <w:pPr>
              <w:spacing w:line="240" w:lineRule="auto"/>
              <w:jc w:val="right"/>
              <w:rPr>
                <w:b/>
                <w:bCs/>
                <w:color w:val="000000"/>
                <w:sz w:val="14"/>
                <w:szCs w:val="14"/>
                <w:lang w:eastAsia="en-AU"/>
              </w:rPr>
            </w:pPr>
            <w:r w:rsidRPr="00CD1518">
              <w:rPr>
                <w:b/>
                <w:bCs/>
                <w:color w:val="000000"/>
                <w:sz w:val="14"/>
                <w:szCs w:val="14"/>
                <w:lang w:eastAsia="en-AU"/>
              </w:rPr>
              <w:t>(17,101)</w:t>
            </w:r>
          </w:p>
        </w:tc>
        <w:tc>
          <w:tcPr>
            <w:tcW w:w="572" w:type="pct"/>
            <w:tcBorders>
              <w:top w:val="nil"/>
              <w:left w:val="nil"/>
              <w:bottom w:val="single" w:sz="4" w:space="0" w:color="5B9BD5"/>
              <w:right w:val="single" w:sz="4" w:space="0" w:color="5B9BD5"/>
            </w:tcBorders>
            <w:shd w:val="clear" w:color="000000" w:fill="D0CECE"/>
            <w:noWrap/>
            <w:vAlign w:val="center"/>
            <w:hideMark/>
          </w:tcPr>
          <w:p w:rsidR="007A16C6" w:rsidRPr="00CD1518" w:rsidRDefault="007A16C6" w:rsidP="00CD1518">
            <w:pPr>
              <w:spacing w:line="240" w:lineRule="auto"/>
              <w:jc w:val="right"/>
              <w:rPr>
                <w:b/>
                <w:bCs/>
                <w:color w:val="000000"/>
                <w:sz w:val="14"/>
                <w:szCs w:val="14"/>
                <w:lang w:eastAsia="en-AU"/>
              </w:rPr>
            </w:pPr>
            <w:r w:rsidRPr="00CD1518">
              <w:rPr>
                <w:b/>
                <w:bCs/>
                <w:color w:val="000000"/>
                <w:sz w:val="14"/>
                <w:szCs w:val="14"/>
                <w:lang w:eastAsia="en-AU"/>
              </w:rPr>
              <w:t>298,224</w:t>
            </w:r>
          </w:p>
        </w:tc>
        <w:tc>
          <w:tcPr>
            <w:tcW w:w="572" w:type="pct"/>
            <w:tcBorders>
              <w:top w:val="nil"/>
              <w:left w:val="nil"/>
              <w:bottom w:val="single" w:sz="4" w:space="0" w:color="5B9BD5"/>
              <w:right w:val="single" w:sz="4" w:space="0" w:color="5B9BD5"/>
            </w:tcBorders>
            <w:shd w:val="clear" w:color="000000" w:fill="D0CECE"/>
            <w:noWrap/>
            <w:vAlign w:val="center"/>
            <w:hideMark/>
          </w:tcPr>
          <w:p w:rsidR="007A16C6" w:rsidRPr="00CD1518" w:rsidRDefault="007A16C6" w:rsidP="00CD1518">
            <w:pPr>
              <w:spacing w:line="240" w:lineRule="auto"/>
              <w:jc w:val="right"/>
              <w:rPr>
                <w:b/>
                <w:bCs/>
                <w:color w:val="000000"/>
                <w:sz w:val="14"/>
                <w:szCs w:val="14"/>
                <w:lang w:eastAsia="en-AU"/>
              </w:rPr>
            </w:pPr>
            <w:r w:rsidRPr="00CD1518">
              <w:rPr>
                <w:b/>
                <w:bCs/>
                <w:color w:val="000000"/>
                <w:sz w:val="14"/>
                <w:szCs w:val="14"/>
                <w:lang w:eastAsia="en-AU"/>
              </w:rPr>
              <w:t>-</w:t>
            </w:r>
          </w:p>
        </w:tc>
        <w:tc>
          <w:tcPr>
            <w:tcW w:w="572" w:type="pct"/>
            <w:tcBorders>
              <w:top w:val="nil"/>
              <w:left w:val="nil"/>
              <w:bottom w:val="single" w:sz="4" w:space="0" w:color="5B9BD5"/>
              <w:right w:val="single" w:sz="4" w:space="0" w:color="5B9BD5"/>
            </w:tcBorders>
            <w:shd w:val="clear" w:color="000000" w:fill="D0CECE"/>
            <w:noWrap/>
            <w:vAlign w:val="center"/>
            <w:hideMark/>
          </w:tcPr>
          <w:p w:rsidR="007A16C6" w:rsidRPr="00CD1518" w:rsidRDefault="007A16C6" w:rsidP="00CD1518">
            <w:pPr>
              <w:spacing w:line="240" w:lineRule="auto"/>
              <w:jc w:val="right"/>
              <w:rPr>
                <w:b/>
                <w:bCs/>
                <w:color w:val="000000"/>
                <w:sz w:val="14"/>
                <w:szCs w:val="14"/>
                <w:lang w:eastAsia="en-AU"/>
              </w:rPr>
            </w:pPr>
            <w:r w:rsidRPr="00CD1518">
              <w:rPr>
                <w:b/>
                <w:bCs/>
                <w:color w:val="000000"/>
                <w:sz w:val="14"/>
                <w:szCs w:val="14"/>
                <w:lang w:eastAsia="en-AU"/>
              </w:rPr>
              <w:t>298,224</w:t>
            </w:r>
          </w:p>
        </w:tc>
      </w:tr>
    </w:tbl>
    <w:p w:rsidR="00273A0D" w:rsidRPr="00975E6B" w:rsidRDefault="00273A0D" w:rsidP="00273A0D">
      <w:pPr>
        <w:pStyle w:val="FootnoteText"/>
        <w:rPr>
          <w:bCs/>
          <w:i/>
          <w:sz w:val="16"/>
          <w:szCs w:val="16"/>
        </w:rPr>
      </w:pPr>
      <w:r w:rsidRPr="00975E6B">
        <w:rPr>
          <w:bCs/>
          <w:i/>
          <w:sz w:val="16"/>
          <w:szCs w:val="16"/>
        </w:rPr>
        <w:t xml:space="preserve">Source: KPMG based on data supplied by </w:t>
      </w:r>
      <w:r w:rsidR="003F167A" w:rsidRPr="00975E6B">
        <w:rPr>
          <w:bCs/>
          <w:i/>
          <w:sz w:val="16"/>
          <w:szCs w:val="16"/>
        </w:rPr>
        <w:t>Prince Charles</w:t>
      </w:r>
      <w:r w:rsidRPr="00975E6B">
        <w:rPr>
          <w:bCs/>
          <w:i/>
          <w:sz w:val="16"/>
          <w:szCs w:val="16"/>
        </w:rPr>
        <w:t xml:space="preserve">, </w:t>
      </w:r>
      <w:r w:rsidR="00CA6430" w:rsidRPr="00975E6B">
        <w:rPr>
          <w:bCs/>
          <w:i/>
          <w:sz w:val="16"/>
          <w:szCs w:val="16"/>
        </w:rPr>
        <w:t>Queensland</w:t>
      </w:r>
      <w:r w:rsidRPr="00975E6B">
        <w:rPr>
          <w:bCs/>
          <w:i/>
          <w:sz w:val="16"/>
          <w:szCs w:val="16"/>
        </w:rPr>
        <w:t xml:space="preserve"> Health and IHPA </w:t>
      </w:r>
    </w:p>
    <w:p w:rsidR="00273A0D" w:rsidRPr="00975E6B" w:rsidRDefault="00273A0D" w:rsidP="00273A0D">
      <w:pPr>
        <w:pStyle w:val="BodyText"/>
      </w:pPr>
      <w:r w:rsidRPr="00975E6B">
        <w:t xml:space="preserve">The following should be noted about the transfer of activity data for </w:t>
      </w:r>
      <w:r w:rsidR="003F167A" w:rsidRPr="00975E6B">
        <w:t>Prince Charles</w:t>
      </w:r>
      <w:r w:rsidRPr="00975E6B">
        <w:t>:</w:t>
      </w:r>
    </w:p>
    <w:p w:rsidR="00273A0D" w:rsidRPr="00975E6B" w:rsidRDefault="00273A0D" w:rsidP="00F26328">
      <w:pPr>
        <w:pStyle w:val="BodyText"/>
        <w:numPr>
          <w:ilvl w:val="0"/>
          <w:numId w:val="39"/>
        </w:numPr>
      </w:pPr>
      <w:r w:rsidRPr="00975E6B">
        <w:t xml:space="preserve">The adjustment made by the jurisdiction relates to </w:t>
      </w:r>
      <w:r w:rsidR="00D52AA9" w:rsidRPr="00975E6B">
        <w:t xml:space="preserve">the </w:t>
      </w:r>
      <w:r w:rsidR="00D52AA9">
        <w:t>activity associated with the</w:t>
      </w:r>
      <w:r w:rsidR="00D52AA9" w:rsidRPr="00975E6B" w:rsidDel="00D52AA9">
        <w:t xml:space="preserve"> </w:t>
      </w:r>
      <w:r w:rsidRPr="00975E6B">
        <w:t xml:space="preserve">excluded costs </w:t>
      </w:r>
      <w:r w:rsidR="009E6082" w:rsidRPr="00975E6B">
        <w:t>(at Item G of the financial reconciliation) such as zero cost encounters, unmapped/mismatched records and the virtual patient feeder data</w:t>
      </w:r>
      <w:r w:rsidRPr="00975E6B">
        <w:t>.</w:t>
      </w:r>
    </w:p>
    <w:p w:rsidR="00273A0D" w:rsidRPr="00975E6B" w:rsidRDefault="00273A0D" w:rsidP="00F26328">
      <w:pPr>
        <w:pStyle w:val="BodyText"/>
        <w:numPr>
          <w:ilvl w:val="0"/>
          <w:numId w:val="46"/>
        </w:numPr>
      </w:pPr>
      <w:r w:rsidRPr="00975E6B">
        <w:t>The adjustment made by IHPA relating to admitted emergency reallocations</w:t>
      </w:r>
      <w:r w:rsidR="009E6082" w:rsidRPr="00975E6B">
        <w:t xml:space="preserve"> for reporting and analysis purposes</w:t>
      </w:r>
      <w:r w:rsidRPr="00975E6B">
        <w:t xml:space="preserve"> (as discussed in Item J of the explanation of reconciliation items) has no impact on the reported activity.</w:t>
      </w:r>
    </w:p>
    <w:p w:rsidR="00273A0D" w:rsidRPr="00975E6B" w:rsidRDefault="00273A0D" w:rsidP="003B387A">
      <w:pPr>
        <w:pStyle w:val="Heading3"/>
        <w:numPr>
          <w:ilvl w:val="2"/>
          <w:numId w:val="77"/>
        </w:numPr>
      </w:pPr>
      <w:r w:rsidRPr="00D1343E">
        <w:t>Treatment</w:t>
      </w:r>
      <w:r w:rsidRPr="00975E6B">
        <w:t xml:space="preserve"> of </w:t>
      </w:r>
      <w:r w:rsidR="00DA7807" w:rsidRPr="00975E6B">
        <w:t>WIP</w:t>
      </w:r>
    </w:p>
    <w:p w:rsidR="00273A0D" w:rsidRPr="00B464CA" w:rsidRDefault="00273A0D" w:rsidP="00B464CA">
      <w:pPr>
        <w:spacing w:before="120" w:after="120" w:line="280" w:lineRule="atLeast"/>
        <w:jc w:val="both"/>
        <w:rPr>
          <w:bCs/>
        </w:rPr>
      </w:pPr>
      <w:r w:rsidRPr="00B464CA">
        <w:rPr>
          <w:bCs/>
        </w:rPr>
        <w:fldChar w:fldCharType="begin"/>
      </w:r>
      <w:r w:rsidRPr="00B464CA">
        <w:rPr>
          <w:bCs/>
        </w:rPr>
        <w:instrText xml:space="preserve"> REF _Ref433302515 \h </w:instrText>
      </w:r>
      <w:r w:rsidR="00975E6B" w:rsidRPr="00B464CA">
        <w:rPr>
          <w:bCs/>
        </w:rPr>
        <w:instrText xml:space="preserve"> \* MERGEFORMAT </w:instrText>
      </w:r>
      <w:r w:rsidRPr="00B464CA">
        <w:rPr>
          <w:bCs/>
        </w:rPr>
      </w:r>
      <w:r w:rsidRPr="00B464CA">
        <w:rPr>
          <w:bCs/>
        </w:rPr>
        <w:fldChar w:fldCharType="separate"/>
      </w:r>
      <w:r w:rsidR="00154CF7" w:rsidRPr="00154CF7">
        <w:rPr>
          <w:bCs/>
        </w:rPr>
        <w:t>Table 52</w:t>
      </w:r>
      <w:r w:rsidRPr="00B464CA">
        <w:rPr>
          <w:bCs/>
        </w:rPr>
        <w:fldChar w:fldCharType="end"/>
      </w:r>
      <w:r w:rsidRPr="00B464CA">
        <w:rPr>
          <w:bCs/>
        </w:rPr>
        <w:t xml:space="preserve"> demonstrates models for WIP and what was included in the </w:t>
      </w:r>
      <w:r w:rsidR="003F167A" w:rsidRPr="00B464CA">
        <w:rPr>
          <w:bCs/>
        </w:rPr>
        <w:t>Prince Charles</w:t>
      </w:r>
      <w:r w:rsidRPr="00B464CA">
        <w:rPr>
          <w:bCs/>
        </w:rPr>
        <w:t xml:space="preserve"> Round 18 NHCDC submission.</w:t>
      </w:r>
    </w:p>
    <w:p w:rsidR="00273A0D" w:rsidRPr="00975E6B" w:rsidRDefault="00273A0D" w:rsidP="00273A0D">
      <w:pPr>
        <w:pStyle w:val="Caption"/>
      </w:pPr>
      <w:bookmarkStart w:id="748" w:name="_Ref433302515"/>
      <w:r w:rsidRPr="00975E6B">
        <w:t xml:space="preserve">Table </w:t>
      </w:r>
      <w:r w:rsidR="00AC3838">
        <w:fldChar w:fldCharType="begin"/>
      </w:r>
      <w:r w:rsidR="00AC3838">
        <w:instrText xml:space="preserve"> SEQ Table \* ARABIC </w:instrText>
      </w:r>
      <w:r w:rsidR="00AC3838">
        <w:fldChar w:fldCharType="separate"/>
      </w:r>
      <w:proofErr w:type="gramStart"/>
      <w:r w:rsidR="00154CF7">
        <w:rPr>
          <w:noProof/>
        </w:rPr>
        <w:t>52</w:t>
      </w:r>
      <w:r w:rsidR="00AC3838">
        <w:rPr>
          <w:noProof/>
        </w:rPr>
        <w:fldChar w:fldCharType="end"/>
      </w:r>
      <w:bookmarkEnd w:id="748"/>
      <w:r w:rsidRPr="00975E6B">
        <w:t xml:space="preserve"> – </w:t>
      </w:r>
      <w:r w:rsidR="00DA7807" w:rsidRPr="00975E6B">
        <w:t>WIP</w:t>
      </w:r>
      <w:r w:rsidRPr="00975E6B">
        <w:t xml:space="preserve"> – The Prince Charles Hospital</w:t>
      </w:r>
      <w:proofErr w:type="gramEnd"/>
    </w:p>
    <w:tbl>
      <w:tblPr>
        <w:tblStyle w:val="ListTable4-Accent11"/>
        <w:tblW w:w="5000" w:type="pct"/>
        <w:tblLayout w:type="fixed"/>
        <w:tblLook w:val="0620" w:firstRow="1" w:lastRow="0" w:firstColumn="0" w:lastColumn="0" w:noHBand="1" w:noVBand="1"/>
        <w:tblCaption w:val="Table 52 - Models for Work In Progress - The Prince Charles Hospital"/>
        <w:tblDescription w:val="This table describes the models for Work In Progress and how that applied to the Prince Charles Hospital.  The first column is the model number, the second column is the description and the third column is how that model was applied for the relevant hospital.&#10;"/>
      </w:tblPr>
      <w:tblGrid>
        <w:gridCol w:w="870"/>
        <w:gridCol w:w="3928"/>
        <w:gridCol w:w="3923"/>
      </w:tblGrid>
      <w:tr w:rsidR="00273A0D"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99" w:type="pct"/>
            <w:tcBorders>
              <w:right w:val="single" w:sz="4" w:space="0" w:color="548DD4" w:themeColor="text2" w:themeTint="99"/>
            </w:tcBorders>
            <w:shd w:val="clear" w:color="auto" w:fill="002060"/>
            <w:noWrap/>
          </w:tcPr>
          <w:p w:rsidR="00273A0D" w:rsidRPr="00975E6B" w:rsidRDefault="00273A0D" w:rsidP="0029344A">
            <w:r w:rsidRPr="00975E6B">
              <w:t>Model</w:t>
            </w:r>
          </w:p>
        </w:tc>
        <w:tc>
          <w:tcPr>
            <w:tcW w:w="2252" w:type="pct"/>
            <w:tcBorders>
              <w:left w:val="single" w:sz="4" w:space="0" w:color="548DD4" w:themeColor="text2" w:themeTint="99"/>
            </w:tcBorders>
            <w:shd w:val="clear" w:color="auto" w:fill="002060"/>
          </w:tcPr>
          <w:p w:rsidR="00273A0D" w:rsidRPr="00975E6B" w:rsidRDefault="00273A0D" w:rsidP="0029344A">
            <w:r w:rsidRPr="00975E6B">
              <w:t>Description</w:t>
            </w:r>
          </w:p>
        </w:tc>
        <w:tc>
          <w:tcPr>
            <w:tcW w:w="2249" w:type="pct"/>
            <w:tcBorders>
              <w:left w:val="single" w:sz="4" w:space="0" w:color="548DD4" w:themeColor="text2" w:themeTint="99"/>
            </w:tcBorders>
            <w:shd w:val="clear" w:color="auto" w:fill="002060"/>
          </w:tcPr>
          <w:p w:rsidR="00273A0D" w:rsidRPr="00975E6B" w:rsidRDefault="00273A0D" w:rsidP="0029344A">
            <w:pPr>
              <w:jc w:val="center"/>
            </w:pPr>
            <w:r w:rsidRPr="00975E6B">
              <w:t>Submitted to Round 18 NHCDC</w:t>
            </w:r>
          </w:p>
        </w:tc>
      </w:tr>
      <w:tr w:rsidR="00273A0D" w:rsidRPr="00975E6B" w:rsidTr="0029344A">
        <w:tc>
          <w:tcPr>
            <w:tcW w:w="499" w:type="pct"/>
            <w:tcBorders>
              <w:right w:val="single" w:sz="4" w:space="0" w:color="548DD4" w:themeColor="text2" w:themeTint="99"/>
            </w:tcBorders>
            <w:noWrap/>
          </w:tcPr>
          <w:p w:rsidR="00273A0D" w:rsidRPr="00975E6B" w:rsidRDefault="00273A0D" w:rsidP="001140D3">
            <w:pPr>
              <w:jc w:val="center"/>
            </w:pPr>
            <w:r w:rsidRPr="00975E6B">
              <w:t>1</w:t>
            </w:r>
          </w:p>
        </w:tc>
        <w:tc>
          <w:tcPr>
            <w:tcW w:w="2252" w:type="pct"/>
            <w:tcBorders>
              <w:left w:val="single" w:sz="4" w:space="0" w:color="548DD4" w:themeColor="text2" w:themeTint="99"/>
            </w:tcBorders>
          </w:tcPr>
          <w:p w:rsidR="00273A0D" w:rsidRPr="00975E6B" w:rsidRDefault="00273A0D" w:rsidP="0029344A">
            <w:r w:rsidRPr="00975E6B">
              <w:t>Admitted and Discharged Patients in 2013/14 only</w:t>
            </w:r>
          </w:p>
        </w:tc>
        <w:tc>
          <w:tcPr>
            <w:tcW w:w="2249" w:type="pct"/>
            <w:tcBorders>
              <w:left w:val="single" w:sz="4" w:space="0" w:color="548DD4" w:themeColor="text2" w:themeTint="99"/>
            </w:tcBorders>
          </w:tcPr>
          <w:p w:rsidR="00273A0D" w:rsidRPr="00975E6B" w:rsidRDefault="00273A0D" w:rsidP="0029344A">
            <w:pPr>
              <w:jc w:val="center"/>
            </w:pPr>
            <w:r w:rsidRPr="00975E6B">
              <w:t>Submitted to Round 18 of the NHCDC</w:t>
            </w:r>
          </w:p>
        </w:tc>
      </w:tr>
      <w:tr w:rsidR="00273A0D" w:rsidRPr="00975E6B" w:rsidTr="0029344A">
        <w:tc>
          <w:tcPr>
            <w:tcW w:w="499" w:type="pct"/>
            <w:tcBorders>
              <w:right w:val="single" w:sz="4" w:space="0" w:color="548DD4" w:themeColor="text2" w:themeTint="99"/>
            </w:tcBorders>
            <w:noWrap/>
          </w:tcPr>
          <w:p w:rsidR="00273A0D" w:rsidRPr="00975E6B" w:rsidRDefault="00273A0D" w:rsidP="001140D3">
            <w:pPr>
              <w:jc w:val="center"/>
            </w:pPr>
            <w:r w:rsidRPr="00975E6B">
              <w:t>2</w:t>
            </w:r>
          </w:p>
        </w:tc>
        <w:tc>
          <w:tcPr>
            <w:tcW w:w="2252" w:type="pct"/>
            <w:tcBorders>
              <w:left w:val="single" w:sz="4" w:space="0" w:color="548DD4" w:themeColor="text2" w:themeTint="99"/>
            </w:tcBorders>
          </w:tcPr>
          <w:p w:rsidR="00273A0D" w:rsidRPr="00975E6B" w:rsidRDefault="00273A0D" w:rsidP="0029344A">
            <w:r w:rsidRPr="00975E6B">
              <w:t>Costs for patients discharged in 2013/14 but incurred prior to 2013/14</w:t>
            </w:r>
          </w:p>
        </w:tc>
        <w:tc>
          <w:tcPr>
            <w:tcW w:w="2249" w:type="pct"/>
            <w:tcBorders>
              <w:left w:val="single" w:sz="4" w:space="0" w:color="548DD4" w:themeColor="text2" w:themeTint="99"/>
            </w:tcBorders>
          </w:tcPr>
          <w:p w:rsidR="00273A0D" w:rsidRPr="00975E6B" w:rsidRDefault="00273A0D" w:rsidP="0029344A">
            <w:pPr>
              <w:jc w:val="center"/>
            </w:pPr>
            <w:r w:rsidRPr="00975E6B">
              <w:t>Submitted to Round 18 of the NHCDC</w:t>
            </w:r>
          </w:p>
        </w:tc>
      </w:tr>
      <w:tr w:rsidR="00273A0D" w:rsidRPr="00975E6B" w:rsidTr="0029344A">
        <w:tc>
          <w:tcPr>
            <w:tcW w:w="499" w:type="pct"/>
            <w:tcBorders>
              <w:right w:val="single" w:sz="4" w:space="0" w:color="548DD4" w:themeColor="text2" w:themeTint="99"/>
            </w:tcBorders>
            <w:noWrap/>
          </w:tcPr>
          <w:p w:rsidR="00273A0D" w:rsidRPr="00975E6B" w:rsidRDefault="00273A0D" w:rsidP="001140D3">
            <w:pPr>
              <w:jc w:val="center"/>
            </w:pPr>
            <w:r w:rsidRPr="00975E6B">
              <w:t>3</w:t>
            </w:r>
          </w:p>
        </w:tc>
        <w:tc>
          <w:tcPr>
            <w:tcW w:w="2252" w:type="pct"/>
            <w:tcBorders>
              <w:left w:val="single" w:sz="4" w:space="0" w:color="548DD4" w:themeColor="text2" w:themeTint="99"/>
            </w:tcBorders>
          </w:tcPr>
          <w:p w:rsidR="00273A0D" w:rsidRPr="00975E6B" w:rsidRDefault="00273A0D" w:rsidP="0029344A">
            <w:r w:rsidRPr="00975E6B">
              <w:t>Costs for patients admitted in 2013/14 and still admitted at 30/06/2014</w:t>
            </w:r>
          </w:p>
        </w:tc>
        <w:tc>
          <w:tcPr>
            <w:tcW w:w="2249" w:type="pct"/>
            <w:tcBorders>
              <w:left w:val="single" w:sz="4" w:space="0" w:color="548DD4" w:themeColor="text2" w:themeTint="99"/>
            </w:tcBorders>
          </w:tcPr>
          <w:p w:rsidR="00273A0D" w:rsidRPr="00975E6B" w:rsidRDefault="00273A0D" w:rsidP="0029344A">
            <w:pPr>
              <w:jc w:val="center"/>
            </w:pPr>
            <w:r w:rsidRPr="00975E6B">
              <w:t>Not submitted to Round 18 of the NHCDC</w:t>
            </w:r>
          </w:p>
        </w:tc>
      </w:tr>
      <w:tr w:rsidR="00273A0D" w:rsidRPr="00975E6B" w:rsidTr="0029344A">
        <w:tc>
          <w:tcPr>
            <w:tcW w:w="499" w:type="pct"/>
            <w:tcBorders>
              <w:right w:val="single" w:sz="4" w:space="0" w:color="548DD4" w:themeColor="text2" w:themeTint="99"/>
            </w:tcBorders>
            <w:noWrap/>
          </w:tcPr>
          <w:p w:rsidR="00273A0D" w:rsidRPr="00975E6B" w:rsidRDefault="00273A0D" w:rsidP="001140D3">
            <w:pPr>
              <w:jc w:val="center"/>
            </w:pPr>
            <w:r w:rsidRPr="00975E6B">
              <w:t>4</w:t>
            </w:r>
          </w:p>
        </w:tc>
        <w:tc>
          <w:tcPr>
            <w:tcW w:w="2252" w:type="pct"/>
            <w:tcBorders>
              <w:left w:val="single" w:sz="4" w:space="0" w:color="548DD4" w:themeColor="text2" w:themeTint="99"/>
            </w:tcBorders>
          </w:tcPr>
          <w:p w:rsidR="00273A0D" w:rsidRPr="00975E6B" w:rsidRDefault="00273A0D" w:rsidP="0029344A">
            <w:r w:rsidRPr="00975E6B">
              <w:t>Costs for patients admitted prior to 2013/14 and still admitted at 30/06/2014</w:t>
            </w:r>
          </w:p>
        </w:tc>
        <w:tc>
          <w:tcPr>
            <w:tcW w:w="2249" w:type="pct"/>
            <w:tcBorders>
              <w:left w:val="single" w:sz="4" w:space="0" w:color="548DD4" w:themeColor="text2" w:themeTint="99"/>
            </w:tcBorders>
          </w:tcPr>
          <w:p w:rsidR="00273A0D" w:rsidRPr="00975E6B" w:rsidRDefault="00273A0D" w:rsidP="0029344A">
            <w:pPr>
              <w:jc w:val="center"/>
            </w:pPr>
            <w:r w:rsidRPr="00975E6B">
              <w:t>Not submitted to Round 18 of the NHCDC</w:t>
            </w:r>
          </w:p>
        </w:tc>
      </w:tr>
    </w:tbl>
    <w:p w:rsidR="00E009EC" w:rsidRPr="00975E6B" w:rsidRDefault="00E009EC" w:rsidP="00E009EC">
      <w:pPr>
        <w:pStyle w:val="FootnoteText"/>
        <w:rPr>
          <w:bCs/>
          <w:i/>
          <w:sz w:val="16"/>
          <w:szCs w:val="16"/>
        </w:rPr>
      </w:pPr>
      <w:r w:rsidRPr="00975E6B">
        <w:rPr>
          <w:bCs/>
          <w:i/>
          <w:sz w:val="16"/>
          <w:szCs w:val="16"/>
        </w:rPr>
        <w:t xml:space="preserve">Source: KPMG, based on </w:t>
      </w:r>
      <w:r w:rsidR="003F167A" w:rsidRPr="00975E6B">
        <w:rPr>
          <w:bCs/>
          <w:i/>
          <w:sz w:val="16"/>
          <w:szCs w:val="16"/>
        </w:rPr>
        <w:t>Prince Charles</w:t>
      </w:r>
      <w:r w:rsidRPr="00975E6B">
        <w:rPr>
          <w:bCs/>
          <w:i/>
          <w:sz w:val="16"/>
          <w:szCs w:val="16"/>
        </w:rPr>
        <w:t xml:space="preserve"> templates and review discussions</w:t>
      </w:r>
    </w:p>
    <w:p w:rsidR="00273A0D" w:rsidRPr="00975E6B" w:rsidRDefault="00273A0D" w:rsidP="00273A0D">
      <w:pPr>
        <w:pStyle w:val="BodyText"/>
        <w:tabs>
          <w:tab w:val="left" w:pos="7088"/>
        </w:tabs>
      </w:pPr>
      <w:r w:rsidRPr="00975E6B">
        <w:t xml:space="preserve">In summary, </w:t>
      </w:r>
      <w:r w:rsidR="00CA6430" w:rsidRPr="00975E6B">
        <w:t>Queensland</w:t>
      </w:r>
      <w:r w:rsidRPr="00975E6B">
        <w:t xml:space="preserve"> Health submitted</w:t>
      </w:r>
      <w:r w:rsidR="00B7080E" w:rsidRPr="00975E6B">
        <w:t xml:space="preserve"> WIP</w:t>
      </w:r>
      <w:r w:rsidRPr="00975E6B">
        <w:t xml:space="preserve"> costs for </w:t>
      </w:r>
      <w:r w:rsidR="003F167A" w:rsidRPr="00975E6B">
        <w:t>Prince Charles</w:t>
      </w:r>
      <w:r w:rsidRPr="00975E6B">
        <w:t xml:space="preserve"> for admitted and discharged patients in 2013/14 and the </w:t>
      </w:r>
      <w:r w:rsidR="00B7080E" w:rsidRPr="00975E6B">
        <w:t xml:space="preserve">WIP </w:t>
      </w:r>
      <w:r w:rsidRPr="00975E6B">
        <w:t>costs for patients discharged in 2013/14 but incurred in prior years.</w:t>
      </w:r>
    </w:p>
    <w:p w:rsidR="00273A0D" w:rsidRPr="00975E6B" w:rsidRDefault="00273A0D" w:rsidP="00D1343E">
      <w:pPr>
        <w:pStyle w:val="Heading4"/>
        <w:numPr>
          <w:ilvl w:val="0"/>
          <w:numId w:val="0"/>
        </w:numPr>
        <w:ind w:left="720" w:hanging="720"/>
      </w:pPr>
      <w:r w:rsidRPr="00975E6B">
        <w:t>Escalation factor</w:t>
      </w:r>
    </w:p>
    <w:p w:rsidR="00273A0D" w:rsidRPr="00975E6B" w:rsidRDefault="00273A0D" w:rsidP="00273A0D">
      <w:pPr>
        <w:pStyle w:val="BodyText"/>
      </w:pPr>
      <w:r w:rsidRPr="00975E6B">
        <w:t xml:space="preserve">No escalation factor to costs incurred prior to 2013/14 was applied to the </w:t>
      </w:r>
      <w:r w:rsidR="003F167A" w:rsidRPr="00975E6B">
        <w:t>Prince Charles</w:t>
      </w:r>
      <w:r w:rsidRPr="00975E6B">
        <w:t xml:space="preserve"> Round 18 submission to the NHCDC.</w:t>
      </w:r>
    </w:p>
    <w:p w:rsidR="00273A0D" w:rsidRPr="00975E6B" w:rsidRDefault="00273A0D" w:rsidP="003B387A">
      <w:pPr>
        <w:pStyle w:val="Heading3"/>
        <w:numPr>
          <w:ilvl w:val="2"/>
          <w:numId w:val="77"/>
        </w:numPr>
      </w:pPr>
      <w:r w:rsidRPr="00D1343E">
        <w:lastRenderedPageBreak/>
        <w:t>Treatment</w:t>
      </w:r>
      <w:r w:rsidRPr="00975E6B">
        <w:t xml:space="preserve"> of other specific cost items</w:t>
      </w:r>
    </w:p>
    <w:p w:rsidR="00273A0D" w:rsidRPr="00975E6B" w:rsidRDefault="00EB4E48" w:rsidP="00273A0D">
      <w:r w:rsidRPr="00975E6B">
        <w:t>The following items were discussed during the reviews to understand their treatment in the costing process. The cost data is used to inform the NEP and specific funding model adjustments for particular patient cohorts</w:t>
      </w:r>
      <w:r w:rsidR="00273A0D" w:rsidRPr="00975E6B">
        <w:t xml:space="preserve">. </w:t>
      </w:r>
      <w:r w:rsidR="003F167A" w:rsidRPr="00975E6B">
        <w:t>Prince Charles</w:t>
      </w:r>
      <w:r w:rsidR="00273A0D" w:rsidRPr="00975E6B">
        <w:t xml:space="preserve">’s treatment of each of the items is summarised in </w:t>
      </w:r>
      <w:r w:rsidR="00273A0D" w:rsidRPr="00975E6B">
        <w:fldChar w:fldCharType="begin"/>
      </w:r>
      <w:r w:rsidR="00273A0D" w:rsidRPr="00975E6B">
        <w:instrText xml:space="preserve"> REF _Ref433303371 \h </w:instrText>
      </w:r>
      <w:r w:rsidR="00975E6B">
        <w:instrText xml:space="preserve"> \* MERGEFORMAT </w:instrText>
      </w:r>
      <w:r w:rsidR="00273A0D" w:rsidRPr="00975E6B">
        <w:fldChar w:fldCharType="separate"/>
      </w:r>
      <w:r w:rsidR="00154CF7" w:rsidRPr="00975E6B">
        <w:t xml:space="preserve">Table </w:t>
      </w:r>
      <w:r w:rsidR="00154CF7">
        <w:rPr>
          <w:noProof/>
        </w:rPr>
        <w:t>53</w:t>
      </w:r>
      <w:r w:rsidR="00273A0D" w:rsidRPr="00975E6B">
        <w:fldChar w:fldCharType="end"/>
      </w:r>
      <w:r w:rsidR="00273A0D" w:rsidRPr="00975E6B">
        <w:t>.</w:t>
      </w:r>
    </w:p>
    <w:p w:rsidR="00273A0D" w:rsidRPr="00975E6B" w:rsidRDefault="00273A0D" w:rsidP="00273A0D">
      <w:pPr>
        <w:pStyle w:val="Caption"/>
      </w:pPr>
      <w:bookmarkStart w:id="749" w:name="_Ref433303371"/>
      <w:r w:rsidRPr="00975E6B">
        <w:t xml:space="preserve">Table </w:t>
      </w:r>
      <w:fldSimple w:instr=" SEQ Table \* ARABIC ">
        <w:r w:rsidR="00154CF7">
          <w:rPr>
            <w:noProof/>
          </w:rPr>
          <w:t>53</w:t>
        </w:r>
      </w:fldSimple>
      <w:bookmarkEnd w:id="749"/>
      <w:r w:rsidRPr="00975E6B">
        <w:t xml:space="preserve"> – Treatment of other specific cost items – The Prince Charles Hospital</w:t>
      </w:r>
    </w:p>
    <w:tbl>
      <w:tblPr>
        <w:tblStyle w:val="ListTable4-Accent11"/>
        <w:tblW w:w="5000" w:type="pct"/>
        <w:tblLayout w:type="fixed"/>
        <w:tblLook w:val="0620" w:firstRow="1" w:lastRow="0" w:firstColumn="0" w:lastColumn="0" w:noHBand="1" w:noVBand="1"/>
        <w:tblCaption w:val="Table 53 - Treatment of specific items - The Prince Charles Hospital"/>
        <w:tblDescription w:val="This table describes how the Prince Charles Hospital treated specific items in their Round 18 NHCDC Submission.  The first column is the item and the second column is the description of the treatment.&#10;"/>
      </w:tblPr>
      <w:tblGrid>
        <w:gridCol w:w="3342"/>
        <w:gridCol w:w="5379"/>
      </w:tblGrid>
      <w:tr w:rsidR="00273A0D" w:rsidRPr="00975E6B" w:rsidTr="00E14378">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tcPr>
          <w:p w:rsidR="00273A0D" w:rsidRPr="00975E6B" w:rsidRDefault="00273A0D" w:rsidP="0029344A">
            <w:r w:rsidRPr="00975E6B">
              <w:t>Item</w:t>
            </w:r>
          </w:p>
        </w:tc>
        <w:tc>
          <w:tcPr>
            <w:tcW w:w="3084" w:type="pct"/>
            <w:tcBorders>
              <w:left w:val="single" w:sz="4" w:space="0" w:color="548DD4" w:themeColor="text2" w:themeTint="99"/>
            </w:tcBorders>
            <w:shd w:val="clear" w:color="auto" w:fill="002060"/>
          </w:tcPr>
          <w:p w:rsidR="00273A0D" w:rsidRPr="00975E6B" w:rsidRDefault="00273A0D" w:rsidP="0029344A">
            <w:r w:rsidRPr="00975E6B">
              <w:t>Treatment</w:t>
            </w:r>
          </w:p>
        </w:tc>
      </w:tr>
      <w:tr w:rsidR="00C57A2A" w:rsidRPr="00975E6B" w:rsidTr="0029344A">
        <w:tc>
          <w:tcPr>
            <w:tcW w:w="1916" w:type="pct"/>
            <w:tcBorders>
              <w:right w:val="single" w:sz="4" w:space="0" w:color="548DD4" w:themeColor="text2" w:themeTint="99"/>
            </w:tcBorders>
            <w:noWrap/>
          </w:tcPr>
          <w:p w:rsidR="00C57A2A" w:rsidRPr="00975E6B" w:rsidRDefault="00C57A2A" w:rsidP="00C57A2A">
            <w:pPr>
              <w:pStyle w:val="BodyText"/>
              <w:jc w:val="left"/>
            </w:pPr>
            <w:r w:rsidRPr="00975E6B">
              <w:t>Teaching, Training and Research</w:t>
            </w:r>
          </w:p>
        </w:tc>
        <w:tc>
          <w:tcPr>
            <w:tcW w:w="3084" w:type="pct"/>
            <w:tcBorders>
              <w:left w:val="single" w:sz="4" w:space="0" w:color="548DD4" w:themeColor="text2" w:themeTint="99"/>
            </w:tcBorders>
          </w:tcPr>
          <w:p w:rsidR="00C57A2A" w:rsidRPr="00975E6B" w:rsidRDefault="00C57A2A" w:rsidP="00C57A2A">
            <w:pPr>
              <w:pStyle w:val="BodyText"/>
              <w:jc w:val="left"/>
            </w:pPr>
            <w:r w:rsidRPr="00975E6B">
              <w:t xml:space="preserve">Queensland hospitals manage direct TTR by mapping those distinct cost centres to education and research departments. These costs are excluded from final patient costing as per the AHPCS. </w:t>
            </w:r>
          </w:p>
          <w:p w:rsidR="00C57A2A" w:rsidRPr="00975E6B" w:rsidRDefault="00C57A2A" w:rsidP="00C57A2A">
            <w:pPr>
              <w:pStyle w:val="BodyText"/>
              <w:jc w:val="left"/>
            </w:pPr>
            <w:r w:rsidRPr="00975E6B">
              <w:t>Indirect and embedded teaching and training are considered part of the provision of healthcare to patients</w:t>
            </w:r>
            <w:r w:rsidR="005D12ED" w:rsidRPr="00975E6B">
              <w:t xml:space="preserve">. </w:t>
            </w:r>
            <w:r w:rsidRPr="00975E6B">
              <w:t>There are currently no feeder systems available which contain products which could be used for costing these activities and costs in the GL will form part of the salaries and wages component of patient level costs.</w:t>
            </w:r>
          </w:p>
        </w:tc>
      </w:tr>
      <w:tr w:rsidR="00C57A2A" w:rsidRPr="00975E6B" w:rsidTr="0029344A">
        <w:tc>
          <w:tcPr>
            <w:tcW w:w="1916" w:type="pct"/>
            <w:tcBorders>
              <w:right w:val="single" w:sz="4" w:space="0" w:color="548DD4" w:themeColor="text2" w:themeTint="99"/>
            </w:tcBorders>
            <w:noWrap/>
          </w:tcPr>
          <w:p w:rsidR="00C57A2A" w:rsidRPr="00975E6B" w:rsidRDefault="00C57A2A" w:rsidP="00C57A2A">
            <w:pPr>
              <w:pStyle w:val="BodyText"/>
              <w:jc w:val="left"/>
            </w:pPr>
            <w:r w:rsidRPr="00975E6B">
              <w:t>Shared/Other commercial entities</w:t>
            </w:r>
          </w:p>
        </w:tc>
        <w:tc>
          <w:tcPr>
            <w:tcW w:w="3084" w:type="pct"/>
            <w:tcBorders>
              <w:left w:val="single" w:sz="4" w:space="0" w:color="548DD4" w:themeColor="text2" w:themeTint="99"/>
            </w:tcBorders>
          </w:tcPr>
          <w:p w:rsidR="00C57A2A" w:rsidRPr="00975E6B" w:rsidRDefault="00C57A2A" w:rsidP="00C57A2A">
            <w:pPr>
              <w:pStyle w:val="BodyText"/>
              <w:jc w:val="left"/>
            </w:pPr>
            <w:r w:rsidRPr="00975E6B">
              <w:t>All shared and commercial entities are excluded from the expenditure base via dead-ended costs.</w:t>
            </w:r>
          </w:p>
        </w:tc>
      </w:tr>
      <w:tr w:rsidR="00C57A2A" w:rsidRPr="00975E6B" w:rsidTr="0029344A">
        <w:tc>
          <w:tcPr>
            <w:tcW w:w="1916" w:type="pct"/>
            <w:tcBorders>
              <w:right w:val="single" w:sz="4" w:space="0" w:color="548DD4" w:themeColor="text2" w:themeTint="99"/>
            </w:tcBorders>
            <w:noWrap/>
          </w:tcPr>
          <w:p w:rsidR="00C57A2A" w:rsidRPr="00975E6B" w:rsidRDefault="00C57A2A" w:rsidP="00C57A2A">
            <w:pPr>
              <w:pStyle w:val="BodyText"/>
              <w:jc w:val="left"/>
            </w:pPr>
            <w:r w:rsidRPr="00975E6B">
              <w:t xml:space="preserve">Intensive Care Unit </w:t>
            </w:r>
          </w:p>
        </w:tc>
        <w:tc>
          <w:tcPr>
            <w:tcW w:w="3084" w:type="pct"/>
            <w:tcBorders>
              <w:left w:val="single" w:sz="4" w:space="0" w:color="548DD4" w:themeColor="text2" w:themeTint="99"/>
            </w:tcBorders>
          </w:tcPr>
          <w:p w:rsidR="00C57A2A" w:rsidRPr="00975E6B" w:rsidRDefault="00C57A2A" w:rsidP="00C57A2A">
            <w:pPr>
              <w:pStyle w:val="BodyText"/>
              <w:jc w:val="left"/>
            </w:pPr>
            <w:r w:rsidRPr="00975E6B">
              <w:t xml:space="preserve">No change to the costing methodology. No ICU weights or adjustments made. </w:t>
            </w:r>
          </w:p>
        </w:tc>
      </w:tr>
      <w:tr w:rsidR="00C57A2A" w:rsidRPr="00975E6B" w:rsidTr="0029344A">
        <w:tc>
          <w:tcPr>
            <w:tcW w:w="1916" w:type="pct"/>
            <w:tcBorders>
              <w:right w:val="single" w:sz="4" w:space="0" w:color="548DD4" w:themeColor="text2" w:themeTint="99"/>
            </w:tcBorders>
            <w:noWrap/>
          </w:tcPr>
          <w:p w:rsidR="00C57A2A" w:rsidRPr="00975E6B" w:rsidRDefault="00C57A2A" w:rsidP="00C57A2A">
            <w:pPr>
              <w:pStyle w:val="BodyText"/>
              <w:jc w:val="left"/>
            </w:pPr>
            <w:r w:rsidRPr="00975E6B">
              <w:t>Aboriginal and Torres Strait Islander patients</w:t>
            </w:r>
          </w:p>
        </w:tc>
        <w:tc>
          <w:tcPr>
            <w:tcW w:w="3084" w:type="pct"/>
            <w:tcBorders>
              <w:left w:val="single" w:sz="4" w:space="0" w:color="548DD4" w:themeColor="text2" w:themeTint="99"/>
            </w:tcBorders>
          </w:tcPr>
          <w:p w:rsidR="00C57A2A" w:rsidRPr="00975E6B" w:rsidRDefault="00C57A2A" w:rsidP="00C57A2A">
            <w:pPr>
              <w:pStyle w:val="BodyText"/>
              <w:jc w:val="left"/>
            </w:pPr>
            <w:r w:rsidRPr="00975E6B">
              <w:t>No change to the costing methodology. No ATSI weights or adjustments made. Costs based on resources linked.</w:t>
            </w:r>
          </w:p>
        </w:tc>
      </w:tr>
      <w:tr w:rsidR="00C57A2A" w:rsidRPr="00975E6B" w:rsidTr="0029344A">
        <w:trPr>
          <w:trHeight w:val="516"/>
        </w:trPr>
        <w:tc>
          <w:tcPr>
            <w:tcW w:w="1916" w:type="pct"/>
            <w:tcBorders>
              <w:right w:val="single" w:sz="4" w:space="0" w:color="548DD4" w:themeColor="text2" w:themeTint="99"/>
            </w:tcBorders>
            <w:noWrap/>
          </w:tcPr>
          <w:p w:rsidR="00C57A2A" w:rsidRPr="00975E6B" w:rsidRDefault="00C57A2A" w:rsidP="00C57A2A">
            <w:pPr>
              <w:pStyle w:val="BodyText"/>
              <w:jc w:val="left"/>
            </w:pPr>
            <w:r w:rsidRPr="00975E6B">
              <w:t xml:space="preserve">Private Patients </w:t>
            </w:r>
          </w:p>
        </w:tc>
        <w:tc>
          <w:tcPr>
            <w:tcW w:w="3084" w:type="pct"/>
            <w:tcBorders>
              <w:left w:val="single" w:sz="4" w:space="0" w:color="548DD4" w:themeColor="text2" w:themeTint="99"/>
            </w:tcBorders>
          </w:tcPr>
          <w:p w:rsidR="00C57A2A" w:rsidRPr="00975E6B" w:rsidRDefault="00C57A2A" w:rsidP="00C57A2A">
            <w:pPr>
              <w:pStyle w:val="BodyText"/>
              <w:jc w:val="left"/>
            </w:pPr>
            <w:r w:rsidRPr="00975E6B">
              <w:t>No change to the costing methodology. Standard RVUs are applied across all patients.</w:t>
            </w:r>
          </w:p>
        </w:tc>
      </w:tr>
      <w:tr w:rsidR="00C57A2A" w:rsidRPr="00975E6B" w:rsidTr="0029344A">
        <w:tc>
          <w:tcPr>
            <w:tcW w:w="1916" w:type="pct"/>
            <w:tcBorders>
              <w:right w:val="single" w:sz="4" w:space="0" w:color="548DD4" w:themeColor="text2" w:themeTint="99"/>
            </w:tcBorders>
            <w:noWrap/>
          </w:tcPr>
          <w:p w:rsidR="00C57A2A" w:rsidRPr="00975E6B" w:rsidRDefault="00C57A2A" w:rsidP="00C57A2A">
            <w:pPr>
              <w:pStyle w:val="BodyText"/>
              <w:jc w:val="left"/>
            </w:pPr>
            <w:r w:rsidRPr="00975E6B">
              <w:t>PBS drugs</w:t>
            </w:r>
          </w:p>
        </w:tc>
        <w:tc>
          <w:tcPr>
            <w:tcW w:w="3084" w:type="pct"/>
            <w:tcBorders>
              <w:left w:val="single" w:sz="4" w:space="0" w:color="548DD4" w:themeColor="text2" w:themeTint="99"/>
            </w:tcBorders>
          </w:tcPr>
          <w:p w:rsidR="00C57A2A" w:rsidRPr="00975E6B" w:rsidRDefault="00C57A2A" w:rsidP="00C57A2A">
            <w:pPr>
              <w:pStyle w:val="BodyText"/>
              <w:jc w:val="left"/>
            </w:pPr>
            <w:r w:rsidRPr="00975E6B">
              <w:t>Included in the Round 18 submission, with no offsets undertaken.</w:t>
            </w:r>
          </w:p>
        </w:tc>
      </w:tr>
    </w:tbl>
    <w:p w:rsidR="00273A0D" w:rsidRPr="00975E6B" w:rsidRDefault="00273A0D" w:rsidP="00273A0D">
      <w:pPr>
        <w:pStyle w:val="FootnoteText"/>
        <w:rPr>
          <w:bCs/>
          <w:i/>
          <w:sz w:val="16"/>
          <w:szCs w:val="16"/>
        </w:rPr>
      </w:pPr>
      <w:r w:rsidRPr="00975E6B">
        <w:rPr>
          <w:bCs/>
          <w:i/>
          <w:sz w:val="16"/>
          <w:szCs w:val="16"/>
        </w:rPr>
        <w:t>Source: KPMG</w:t>
      </w:r>
    </w:p>
    <w:p w:rsidR="00273A0D" w:rsidRPr="00975E6B" w:rsidRDefault="00273A0D" w:rsidP="003B387A">
      <w:pPr>
        <w:pStyle w:val="Heading3"/>
        <w:numPr>
          <w:ilvl w:val="2"/>
          <w:numId w:val="77"/>
        </w:numPr>
      </w:pPr>
      <w:r w:rsidRPr="00D1343E">
        <w:t>Sample</w:t>
      </w:r>
      <w:r w:rsidRPr="00975E6B">
        <w:t xml:space="preserve"> patient data</w:t>
      </w:r>
    </w:p>
    <w:p w:rsidR="00273A0D" w:rsidRPr="00975E6B" w:rsidRDefault="00273A0D" w:rsidP="001140D3">
      <w:pPr>
        <w:pStyle w:val="BodyText"/>
      </w:pPr>
      <w:r w:rsidRPr="00975E6B">
        <w:t xml:space="preserve">IHPA selected a sample of five patients from </w:t>
      </w:r>
      <w:r w:rsidR="003F167A" w:rsidRPr="00975E6B">
        <w:t>Prince Charles</w:t>
      </w:r>
      <w:r w:rsidRPr="00975E6B">
        <w:t xml:space="preserve"> for the purposes of testing the data flow from jurisdictions to IHPA at the patient level. </w:t>
      </w:r>
      <w:r w:rsidR="00CA6430" w:rsidRPr="00975E6B">
        <w:t>Queensland</w:t>
      </w:r>
      <w:r w:rsidRPr="00975E6B">
        <w:t xml:space="preserve"> Health provided the patient level costs for all five patients and these reconciled to IHPA records. The results are summarised in</w:t>
      </w:r>
      <w:r w:rsidR="00A25E45">
        <w:t xml:space="preserve"> </w:t>
      </w:r>
      <w:r w:rsidR="00A25E45" w:rsidRPr="00A25E45">
        <w:fldChar w:fldCharType="begin"/>
      </w:r>
      <w:r w:rsidR="00A25E45" w:rsidRPr="00A25E45">
        <w:instrText xml:space="preserve"> REF _Ref444516604 \h  \* MERGEFORMAT </w:instrText>
      </w:r>
      <w:r w:rsidR="00A25E45" w:rsidRPr="00A25E45">
        <w:fldChar w:fldCharType="separate"/>
      </w:r>
      <w:r w:rsidR="00154CF7" w:rsidRPr="00975E6B">
        <w:t xml:space="preserve">Table </w:t>
      </w:r>
      <w:r w:rsidR="00154CF7">
        <w:rPr>
          <w:bCs/>
          <w:noProof/>
        </w:rPr>
        <w:t>54</w:t>
      </w:r>
      <w:r w:rsidR="00A25E45" w:rsidRPr="00A25E45">
        <w:fldChar w:fldCharType="end"/>
      </w:r>
      <w:r w:rsidRPr="00975E6B">
        <w:t>.</w:t>
      </w:r>
    </w:p>
    <w:p w:rsidR="007A16C6" w:rsidRPr="00975E6B" w:rsidRDefault="00273A0D" w:rsidP="00A25E45">
      <w:pPr>
        <w:pStyle w:val="Caption"/>
        <w:pageBreakBefore/>
      </w:pPr>
      <w:bookmarkStart w:id="750" w:name="_Ref434050612"/>
      <w:bookmarkStart w:id="751" w:name="_Ref444516604"/>
      <w:r w:rsidRPr="00975E6B">
        <w:lastRenderedPageBreak/>
        <w:t xml:space="preserve">Table </w:t>
      </w:r>
      <w:r w:rsidR="00DF43A9" w:rsidRPr="00A25E45">
        <w:fldChar w:fldCharType="begin"/>
      </w:r>
      <w:r w:rsidR="00DF43A9" w:rsidRPr="00A25E45">
        <w:rPr>
          <w:bCs w:val="0"/>
        </w:rPr>
        <w:instrText xml:space="preserve"> SEQ Table \* ARABIC </w:instrText>
      </w:r>
      <w:r w:rsidR="00DF43A9" w:rsidRPr="00A25E45">
        <w:fldChar w:fldCharType="separate"/>
      </w:r>
      <w:r w:rsidR="00154CF7">
        <w:rPr>
          <w:bCs w:val="0"/>
          <w:noProof/>
        </w:rPr>
        <w:t>54</w:t>
      </w:r>
      <w:r w:rsidR="00DF43A9" w:rsidRPr="00A25E45">
        <w:rPr>
          <w:noProof/>
        </w:rPr>
        <w:fldChar w:fldCharType="end"/>
      </w:r>
      <w:bookmarkEnd w:id="750"/>
      <w:bookmarkEnd w:id="751"/>
      <w:r w:rsidRPr="00975E6B">
        <w:t xml:space="preserve"> – Sample patients – The Prince Charles Hospital</w:t>
      </w:r>
    </w:p>
    <w:tbl>
      <w:tblPr>
        <w:tblW w:w="5000" w:type="pct"/>
        <w:tblLook w:val="04A0" w:firstRow="1" w:lastRow="0" w:firstColumn="1" w:lastColumn="0" w:noHBand="0" w:noVBand="1"/>
        <w:tblCaption w:val="Table 54 - Sample patients - The Prince Charles Hospital"/>
        <w:tblDescription w:val="This table presents the results of the 5 sample patients tested for the data flow from jurisdictions to IHPA at the patient level for The Prince Charles Hospital. There are 5 columns.  Column 1 is the sample number, Column 2 is the product type, column 3 is the amount in  jurisdiction records, Column 4 is the amount received by IHPA and Column 5 is the variance between jurisdiction and IHPA.&#10;"/>
      </w:tblPr>
      <w:tblGrid>
        <w:gridCol w:w="509"/>
        <w:gridCol w:w="2274"/>
        <w:gridCol w:w="2274"/>
        <w:gridCol w:w="2274"/>
        <w:gridCol w:w="1390"/>
      </w:tblGrid>
      <w:tr w:rsidR="007A16C6" w:rsidRPr="00974BA7" w:rsidTr="00E14378">
        <w:trPr>
          <w:trHeight w:val="260"/>
        </w:trPr>
        <w:tc>
          <w:tcPr>
            <w:tcW w:w="291"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7A16C6" w:rsidRPr="00974BA7" w:rsidRDefault="007A16C6" w:rsidP="00DF43A9">
            <w:pPr>
              <w:spacing w:line="240" w:lineRule="auto"/>
              <w:jc w:val="center"/>
              <w:rPr>
                <w:b/>
                <w:bCs/>
                <w:color w:val="FFFFFF"/>
                <w:lang w:eastAsia="en-AU"/>
              </w:rPr>
            </w:pPr>
            <w:r w:rsidRPr="00974BA7">
              <w:rPr>
                <w:b/>
                <w:bCs/>
                <w:color w:val="FFFFFF"/>
                <w:lang w:eastAsia="en-AU"/>
              </w:rPr>
              <w: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7A16C6" w:rsidRPr="00974BA7" w:rsidRDefault="007A16C6" w:rsidP="00DF43A9">
            <w:pPr>
              <w:spacing w:line="240" w:lineRule="auto"/>
              <w:rPr>
                <w:b/>
                <w:bCs/>
                <w:color w:val="FFFFFF"/>
                <w:lang w:eastAsia="en-AU"/>
              </w:rPr>
            </w:pPr>
            <w:r w:rsidRPr="00974BA7">
              <w:rPr>
                <w:b/>
                <w:bCs/>
                <w:color w:val="FFFFFF"/>
                <w:lang w:eastAsia="en-AU"/>
              </w:rPr>
              <w:t>Product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7A16C6" w:rsidRPr="00974BA7" w:rsidRDefault="007A16C6" w:rsidP="00DF43A9">
            <w:pPr>
              <w:spacing w:line="240" w:lineRule="auto"/>
              <w:jc w:val="center"/>
              <w:rPr>
                <w:b/>
                <w:bCs/>
                <w:color w:val="FFFFFF"/>
                <w:lang w:eastAsia="en-AU"/>
              </w:rPr>
            </w:pPr>
            <w:r w:rsidRPr="00974BA7">
              <w:rPr>
                <w:b/>
                <w:bCs/>
                <w:color w:val="FFFFFF"/>
                <w:lang w:eastAsia="en-AU"/>
              </w:rPr>
              <w:t>Jurisdiction records</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7A16C6" w:rsidRPr="00974BA7" w:rsidRDefault="007A16C6" w:rsidP="00DF43A9">
            <w:pPr>
              <w:spacing w:line="240" w:lineRule="auto"/>
              <w:jc w:val="center"/>
              <w:rPr>
                <w:b/>
                <w:bCs/>
                <w:color w:val="FFFFFF"/>
                <w:lang w:eastAsia="en-AU"/>
              </w:rPr>
            </w:pPr>
            <w:r w:rsidRPr="00974BA7">
              <w:rPr>
                <w:b/>
                <w:bCs/>
                <w:color w:val="FFFFFF"/>
                <w:lang w:eastAsia="en-AU"/>
              </w:rPr>
              <w:t>Received by IHPA</w:t>
            </w:r>
          </w:p>
        </w:tc>
        <w:tc>
          <w:tcPr>
            <w:tcW w:w="797" w:type="pct"/>
            <w:tcBorders>
              <w:top w:val="nil"/>
              <w:left w:val="nil"/>
              <w:bottom w:val="nil"/>
              <w:right w:val="single" w:sz="4" w:space="0" w:color="5B9BD5"/>
            </w:tcBorders>
            <w:shd w:val="clear" w:color="auto" w:fill="002060"/>
            <w:vAlign w:val="bottom"/>
            <w:hideMark/>
          </w:tcPr>
          <w:p w:rsidR="007A16C6" w:rsidRPr="00974BA7" w:rsidRDefault="007A16C6" w:rsidP="00DF43A9">
            <w:pPr>
              <w:spacing w:line="240" w:lineRule="auto"/>
              <w:jc w:val="center"/>
              <w:rPr>
                <w:b/>
                <w:bCs/>
                <w:color w:val="FFFFFF"/>
                <w:lang w:eastAsia="en-AU"/>
              </w:rPr>
            </w:pPr>
            <w:r w:rsidRPr="00974BA7">
              <w:rPr>
                <w:b/>
                <w:bCs/>
                <w:color w:val="FFFFFF"/>
                <w:lang w:eastAsia="en-AU"/>
              </w:rPr>
              <w:t>Variance</w:t>
            </w:r>
          </w:p>
        </w:tc>
      </w:tr>
      <w:tr w:rsidR="00CA7B4E" w:rsidRPr="00974BA7" w:rsidTr="00CA7B4E">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974BA7" w:rsidRDefault="00CA7B4E" w:rsidP="00CA7B4E">
            <w:pPr>
              <w:spacing w:line="240" w:lineRule="auto"/>
              <w:jc w:val="center"/>
              <w:rPr>
                <w:color w:val="000000"/>
                <w:lang w:eastAsia="en-AU"/>
              </w:rPr>
            </w:pPr>
            <w:r w:rsidRPr="00974BA7">
              <w:rPr>
                <w:color w:val="000000"/>
                <w:lang w:eastAsia="en-AU"/>
              </w:rPr>
              <w:t>1</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974BA7" w:rsidRDefault="00CA7B4E" w:rsidP="00CA7B4E">
            <w:pPr>
              <w:spacing w:line="240" w:lineRule="auto"/>
              <w:rPr>
                <w:color w:val="000000"/>
                <w:lang w:eastAsia="en-AU"/>
              </w:rPr>
            </w:pPr>
            <w:r w:rsidRPr="00974BA7">
              <w:rPr>
                <w:color w:val="000000"/>
                <w:lang w:eastAsia="en-AU"/>
              </w:rPr>
              <w:t xml:space="preserve"> Non-admitted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974BA7" w:rsidRDefault="00CA7B4E" w:rsidP="00CD1518">
            <w:pPr>
              <w:spacing w:line="240" w:lineRule="auto"/>
              <w:jc w:val="right"/>
              <w:rPr>
                <w:color w:val="000000"/>
                <w:lang w:eastAsia="en-AU"/>
              </w:rPr>
            </w:pPr>
            <w:r w:rsidRPr="00974BA7">
              <w:rPr>
                <w:color w:val="000000"/>
                <w:lang w:eastAsia="en-AU"/>
              </w:rPr>
              <w:t xml:space="preserve"> $1,227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974BA7" w:rsidRDefault="00CA7B4E" w:rsidP="00CD1518">
            <w:pPr>
              <w:spacing w:line="240" w:lineRule="auto"/>
              <w:jc w:val="right"/>
              <w:rPr>
                <w:color w:val="000000"/>
                <w:lang w:eastAsia="en-AU"/>
              </w:rPr>
            </w:pPr>
            <w:r w:rsidRPr="00974BA7">
              <w:rPr>
                <w:color w:val="000000"/>
                <w:lang w:eastAsia="en-AU"/>
              </w:rPr>
              <w:t xml:space="preserve"> $1,227 </w:t>
            </w:r>
          </w:p>
        </w:tc>
        <w:tc>
          <w:tcPr>
            <w:tcW w:w="797" w:type="pct"/>
            <w:tcBorders>
              <w:top w:val="single" w:sz="4" w:space="0" w:color="5B9BD5"/>
              <w:left w:val="nil"/>
              <w:bottom w:val="single" w:sz="4" w:space="0" w:color="5B9BD5"/>
              <w:right w:val="single" w:sz="4" w:space="0" w:color="5B9BD5"/>
            </w:tcBorders>
            <w:shd w:val="clear" w:color="000000" w:fill="FFFFFF"/>
            <w:noWrap/>
            <w:vAlign w:val="bottom"/>
            <w:hideMark/>
          </w:tcPr>
          <w:p w:rsidR="00CA7B4E" w:rsidRPr="00974BA7" w:rsidRDefault="00CA7B4E" w:rsidP="00CD1518">
            <w:pPr>
              <w:spacing w:line="240" w:lineRule="auto"/>
              <w:jc w:val="right"/>
              <w:rPr>
                <w:color w:val="000000"/>
                <w:lang w:eastAsia="en-AU"/>
              </w:rPr>
            </w:pPr>
            <w:r w:rsidRPr="00974BA7">
              <w:rPr>
                <w:color w:val="000000"/>
                <w:lang w:eastAsia="en-AU"/>
              </w:rPr>
              <w:t xml:space="preserve"> $-   </w:t>
            </w:r>
          </w:p>
        </w:tc>
      </w:tr>
      <w:tr w:rsidR="00CA7B4E" w:rsidRPr="00974BA7" w:rsidTr="00CA7B4E">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974BA7" w:rsidRDefault="00CA7B4E" w:rsidP="00CA7B4E">
            <w:pPr>
              <w:spacing w:line="240" w:lineRule="auto"/>
              <w:jc w:val="center"/>
              <w:rPr>
                <w:color w:val="000000"/>
                <w:lang w:eastAsia="en-AU"/>
              </w:rPr>
            </w:pPr>
            <w:r w:rsidRPr="00974BA7">
              <w:rPr>
                <w:color w:val="000000"/>
                <w:lang w:eastAsia="en-AU"/>
              </w:rPr>
              <w:t>2</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974BA7" w:rsidRDefault="00CA7B4E" w:rsidP="00CA7B4E">
            <w:pPr>
              <w:spacing w:line="240" w:lineRule="auto"/>
              <w:rPr>
                <w:color w:val="000000"/>
                <w:lang w:eastAsia="en-AU"/>
              </w:rPr>
            </w:pPr>
            <w:r w:rsidRPr="00974BA7">
              <w:rPr>
                <w:color w:val="000000"/>
                <w:lang w:eastAsia="en-AU"/>
              </w:rPr>
              <w:t xml:space="preserve"> Admitted ED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974BA7" w:rsidRDefault="00CA7B4E" w:rsidP="00CD1518">
            <w:pPr>
              <w:spacing w:line="240" w:lineRule="auto"/>
              <w:jc w:val="right"/>
              <w:rPr>
                <w:color w:val="000000"/>
                <w:lang w:eastAsia="en-AU"/>
              </w:rPr>
            </w:pPr>
            <w:r w:rsidRPr="00974BA7">
              <w:rPr>
                <w:color w:val="000000"/>
                <w:lang w:eastAsia="en-AU"/>
              </w:rPr>
              <w:t xml:space="preserve"> $1,749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974BA7" w:rsidRDefault="00CA7B4E" w:rsidP="00CD1518">
            <w:pPr>
              <w:spacing w:line="240" w:lineRule="auto"/>
              <w:jc w:val="right"/>
              <w:rPr>
                <w:color w:val="000000"/>
                <w:lang w:eastAsia="en-AU"/>
              </w:rPr>
            </w:pPr>
            <w:r w:rsidRPr="00974BA7">
              <w:rPr>
                <w:color w:val="000000"/>
                <w:lang w:eastAsia="en-AU"/>
              </w:rPr>
              <w:t xml:space="preserve"> $1,749 </w:t>
            </w:r>
          </w:p>
        </w:tc>
        <w:tc>
          <w:tcPr>
            <w:tcW w:w="797" w:type="pct"/>
            <w:tcBorders>
              <w:top w:val="nil"/>
              <w:left w:val="nil"/>
              <w:bottom w:val="single" w:sz="4" w:space="0" w:color="5B9BD5"/>
              <w:right w:val="single" w:sz="4" w:space="0" w:color="5B9BD5"/>
            </w:tcBorders>
            <w:shd w:val="clear" w:color="000000" w:fill="DDEBF7"/>
            <w:noWrap/>
            <w:vAlign w:val="bottom"/>
            <w:hideMark/>
          </w:tcPr>
          <w:p w:rsidR="00CA7B4E" w:rsidRPr="00974BA7" w:rsidRDefault="00CA7B4E" w:rsidP="00CD1518">
            <w:pPr>
              <w:spacing w:line="240" w:lineRule="auto"/>
              <w:jc w:val="right"/>
              <w:rPr>
                <w:color w:val="000000"/>
                <w:lang w:eastAsia="en-AU"/>
              </w:rPr>
            </w:pPr>
            <w:r w:rsidRPr="00974BA7">
              <w:rPr>
                <w:color w:val="000000"/>
                <w:lang w:eastAsia="en-AU"/>
              </w:rPr>
              <w:t xml:space="preserve"> $-   </w:t>
            </w:r>
          </w:p>
        </w:tc>
      </w:tr>
      <w:tr w:rsidR="00CA7B4E" w:rsidRPr="00974BA7" w:rsidTr="00CA7B4E">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974BA7" w:rsidRDefault="00CA7B4E" w:rsidP="00CA7B4E">
            <w:pPr>
              <w:spacing w:line="240" w:lineRule="auto"/>
              <w:jc w:val="center"/>
              <w:rPr>
                <w:color w:val="000000"/>
                <w:lang w:eastAsia="en-AU"/>
              </w:rPr>
            </w:pPr>
            <w:r w:rsidRPr="00974BA7">
              <w:rPr>
                <w:color w:val="000000"/>
                <w:lang w:eastAsia="en-AU"/>
              </w:rPr>
              <w:t>3</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974BA7" w:rsidRDefault="00CA7B4E" w:rsidP="00CA7B4E">
            <w:pPr>
              <w:spacing w:line="240" w:lineRule="auto"/>
              <w:rPr>
                <w:color w:val="000000"/>
                <w:lang w:eastAsia="en-AU"/>
              </w:rPr>
            </w:pPr>
            <w:r w:rsidRPr="00974BA7">
              <w:rPr>
                <w:color w:val="000000"/>
                <w:lang w:eastAsia="en-AU"/>
              </w:rPr>
              <w:t xml:space="preserve"> Non-admitted ED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974BA7" w:rsidRDefault="00CA7B4E" w:rsidP="00CD1518">
            <w:pPr>
              <w:spacing w:line="240" w:lineRule="auto"/>
              <w:jc w:val="right"/>
              <w:rPr>
                <w:color w:val="000000"/>
                <w:lang w:eastAsia="en-AU"/>
              </w:rPr>
            </w:pPr>
            <w:r w:rsidRPr="00974BA7">
              <w:rPr>
                <w:color w:val="000000"/>
                <w:lang w:eastAsia="en-AU"/>
              </w:rPr>
              <w:t xml:space="preserve"> $693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974BA7" w:rsidRDefault="00CA7B4E" w:rsidP="00CD1518">
            <w:pPr>
              <w:spacing w:line="240" w:lineRule="auto"/>
              <w:jc w:val="right"/>
              <w:rPr>
                <w:color w:val="000000"/>
                <w:lang w:eastAsia="en-AU"/>
              </w:rPr>
            </w:pPr>
            <w:r w:rsidRPr="00974BA7">
              <w:rPr>
                <w:color w:val="000000"/>
                <w:lang w:eastAsia="en-AU"/>
              </w:rPr>
              <w:t xml:space="preserve"> $693 </w:t>
            </w:r>
          </w:p>
        </w:tc>
        <w:tc>
          <w:tcPr>
            <w:tcW w:w="797" w:type="pct"/>
            <w:tcBorders>
              <w:top w:val="nil"/>
              <w:left w:val="nil"/>
              <w:bottom w:val="single" w:sz="4" w:space="0" w:color="5B9BD5"/>
              <w:right w:val="single" w:sz="4" w:space="0" w:color="5B9BD5"/>
            </w:tcBorders>
            <w:shd w:val="clear" w:color="000000" w:fill="FFFFFF"/>
            <w:noWrap/>
            <w:vAlign w:val="bottom"/>
            <w:hideMark/>
          </w:tcPr>
          <w:p w:rsidR="00CA7B4E" w:rsidRPr="00974BA7" w:rsidRDefault="00CA7B4E" w:rsidP="00CD1518">
            <w:pPr>
              <w:spacing w:line="240" w:lineRule="auto"/>
              <w:jc w:val="right"/>
              <w:rPr>
                <w:color w:val="000000"/>
                <w:lang w:eastAsia="en-AU"/>
              </w:rPr>
            </w:pPr>
            <w:r w:rsidRPr="00974BA7">
              <w:rPr>
                <w:color w:val="000000"/>
                <w:lang w:eastAsia="en-AU"/>
              </w:rPr>
              <w:t xml:space="preserve"> $-   </w:t>
            </w:r>
          </w:p>
        </w:tc>
      </w:tr>
      <w:tr w:rsidR="00CA7B4E" w:rsidRPr="00974BA7" w:rsidTr="00CA7B4E">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974BA7" w:rsidRDefault="00CA7B4E" w:rsidP="00CA7B4E">
            <w:pPr>
              <w:spacing w:line="240" w:lineRule="auto"/>
              <w:jc w:val="center"/>
              <w:rPr>
                <w:color w:val="000000"/>
                <w:lang w:eastAsia="en-AU"/>
              </w:rPr>
            </w:pPr>
            <w:r w:rsidRPr="00974BA7">
              <w:rPr>
                <w:color w:val="000000"/>
                <w:lang w:eastAsia="en-AU"/>
              </w:rPr>
              <w:t>4</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CA7B4E" w:rsidRPr="00974BA7" w:rsidRDefault="00CA7B4E" w:rsidP="00CA7B4E">
            <w:pPr>
              <w:spacing w:line="240" w:lineRule="auto"/>
              <w:rPr>
                <w:color w:val="000000"/>
                <w:lang w:eastAsia="en-AU"/>
              </w:rPr>
            </w:pPr>
            <w:r w:rsidRPr="00974BA7">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974BA7" w:rsidRDefault="00CA7B4E" w:rsidP="00CD1518">
            <w:pPr>
              <w:spacing w:line="240" w:lineRule="auto"/>
              <w:jc w:val="right"/>
              <w:rPr>
                <w:color w:val="000000"/>
                <w:lang w:eastAsia="en-AU"/>
              </w:rPr>
            </w:pPr>
            <w:r w:rsidRPr="00974BA7">
              <w:rPr>
                <w:color w:val="000000"/>
                <w:lang w:eastAsia="en-AU"/>
              </w:rPr>
              <w:t xml:space="preserve"> $60,767 </w:t>
            </w:r>
          </w:p>
        </w:tc>
        <w:tc>
          <w:tcPr>
            <w:tcW w:w="1304" w:type="pct"/>
            <w:tcBorders>
              <w:top w:val="nil"/>
              <w:left w:val="nil"/>
              <w:bottom w:val="single" w:sz="4" w:space="0" w:color="5B9BD5"/>
              <w:right w:val="single" w:sz="4" w:space="0" w:color="5B9BD5"/>
            </w:tcBorders>
            <w:shd w:val="clear" w:color="000000" w:fill="DDEBF7"/>
            <w:noWrap/>
            <w:vAlign w:val="bottom"/>
            <w:hideMark/>
          </w:tcPr>
          <w:p w:rsidR="00CA7B4E" w:rsidRPr="00974BA7" w:rsidRDefault="00CA7B4E" w:rsidP="00CD1518">
            <w:pPr>
              <w:spacing w:line="240" w:lineRule="auto"/>
              <w:jc w:val="right"/>
              <w:rPr>
                <w:color w:val="000000"/>
                <w:lang w:eastAsia="en-AU"/>
              </w:rPr>
            </w:pPr>
            <w:r w:rsidRPr="00974BA7">
              <w:rPr>
                <w:color w:val="000000"/>
                <w:lang w:eastAsia="en-AU"/>
              </w:rPr>
              <w:t xml:space="preserve"> $60,767 </w:t>
            </w:r>
          </w:p>
        </w:tc>
        <w:tc>
          <w:tcPr>
            <w:tcW w:w="797" w:type="pct"/>
            <w:tcBorders>
              <w:top w:val="nil"/>
              <w:left w:val="nil"/>
              <w:bottom w:val="single" w:sz="4" w:space="0" w:color="5B9BD5"/>
              <w:right w:val="single" w:sz="4" w:space="0" w:color="5B9BD5"/>
            </w:tcBorders>
            <w:shd w:val="clear" w:color="000000" w:fill="DDEBF7"/>
            <w:noWrap/>
            <w:vAlign w:val="bottom"/>
            <w:hideMark/>
          </w:tcPr>
          <w:p w:rsidR="00CA7B4E" w:rsidRPr="00974BA7" w:rsidRDefault="00CA7B4E" w:rsidP="00CD1518">
            <w:pPr>
              <w:spacing w:line="240" w:lineRule="auto"/>
              <w:jc w:val="right"/>
              <w:rPr>
                <w:color w:val="000000"/>
                <w:lang w:eastAsia="en-AU"/>
              </w:rPr>
            </w:pPr>
            <w:r w:rsidRPr="00974BA7">
              <w:rPr>
                <w:color w:val="000000"/>
                <w:lang w:eastAsia="en-AU"/>
              </w:rPr>
              <w:t xml:space="preserve"> $-   </w:t>
            </w:r>
          </w:p>
        </w:tc>
      </w:tr>
      <w:tr w:rsidR="00CA7B4E" w:rsidRPr="00974BA7" w:rsidTr="00CA7B4E">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974BA7" w:rsidRDefault="00CA7B4E" w:rsidP="00CA7B4E">
            <w:pPr>
              <w:spacing w:line="240" w:lineRule="auto"/>
              <w:jc w:val="center"/>
              <w:rPr>
                <w:color w:val="000000"/>
                <w:lang w:eastAsia="en-AU"/>
              </w:rPr>
            </w:pPr>
            <w:r w:rsidRPr="00974BA7">
              <w:rPr>
                <w:color w:val="000000"/>
                <w:lang w:eastAsia="en-AU"/>
              </w:rPr>
              <w:t>5</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CA7B4E" w:rsidRPr="00974BA7" w:rsidRDefault="00CA7B4E" w:rsidP="00CA7B4E">
            <w:pPr>
              <w:spacing w:line="240" w:lineRule="auto"/>
              <w:rPr>
                <w:color w:val="000000"/>
                <w:lang w:eastAsia="en-AU"/>
              </w:rPr>
            </w:pPr>
            <w:r w:rsidRPr="00974BA7">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974BA7" w:rsidRDefault="00CA7B4E" w:rsidP="00CD1518">
            <w:pPr>
              <w:spacing w:line="240" w:lineRule="auto"/>
              <w:jc w:val="right"/>
              <w:rPr>
                <w:color w:val="000000"/>
                <w:lang w:eastAsia="en-AU"/>
              </w:rPr>
            </w:pPr>
            <w:r w:rsidRPr="00974BA7">
              <w:rPr>
                <w:color w:val="000000"/>
                <w:lang w:eastAsia="en-AU"/>
              </w:rPr>
              <w:t xml:space="preserve"> $786,343 </w:t>
            </w:r>
          </w:p>
        </w:tc>
        <w:tc>
          <w:tcPr>
            <w:tcW w:w="1304" w:type="pct"/>
            <w:tcBorders>
              <w:top w:val="nil"/>
              <w:left w:val="nil"/>
              <w:bottom w:val="single" w:sz="4" w:space="0" w:color="5B9BD5"/>
              <w:right w:val="single" w:sz="4" w:space="0" w:color="5B9BD5"/>
            </w:tcBorders>
            <w:shd w:val="clear" w:color="000000" w:fill="FFFFFF"/>
            <w:noWrap/>
            <w:vAlign w:val="bottom"/>
            <w:hideMark/>
          </w:tcPr>
          <w:p w:rsidR="00CA7B4E" w:rsidRPr="00974BA7" w:rsidRDefault="00CA7B4E" w:rsidP="00CD1518">
            <w:pPr>
              <w:spacing w:line="240" w:lineRule="auto"/>
              <w:jc w:val="right"/>
              <w:rPr>
                <w:color w:val="000000"/>
                <w:lang w:eastAsia="en-AU"/>
              </w:rPr>
            </w:pPr>
            <w:r w:rsidRPr="00974BA7">
              <w:rPr>
                <w:color w:val="000000"/>
                <w:lang w:eastAsia="en-AU"/>
              </w:rPr>
              <w:t xml:space="preserve"> $786,343 </w:t>
            </w:r>
          </w:p>
        </w:tc>
        <w:tc>
          <w:tcPr>
            <w:tcW w:w="797" w:type="pct"/>
            <w:tcBorders>
              <w:top w:val="nil"/>
              <w:left w:val="nil"/>
              <w:bottom w:val="single" w:sz="4" w:space="0" w:color="5B9BD5"/>
              <w:right w:val="single" w:sz="4" w:space="0" w:color="5B9BD5"/>
            </w:tcBorders>
            <w:shd w:val="clear" w:color="000000" w:fill="FFFFFF"/>
            <w:noWrap/>
            <w:vAlign w:val="bottom"/>
            <w:hideMark/>
          </w:tcPr>
          <w:p w:rsidR="00CA7B4E" w:rsidRPr="00974BA7" w:rsidRDefault="00CA7B4E" w:rsidP="00CD1518">
            <w:pPr>
              <w:spacing w:line="240" w:lineRule="auto"/>
              <w:jc w:val="right"/>
              <w:rPr>
                <w:color w:val="000000"/>
                <w:lang w:eastAsia="en-AU"/>
              </w:rPr>
            </w:pPr>
            <w:r w:rsidRPr="00974BA7">
              <w:rPr>
                <w:color w:val="000000"/>
                <w:lang w:eastAsia="en-AU"/>
              </w:rPr>
              <w:t xml:space="preserve"> $-   </w:t>
            </w:r>
          </w:p>
        </w:tc>
      </w:tr>
    </w:tbl>
    <w:p w:rsidR="00273A0D" w:rsidRPr="00975E6B" w:rsidRDefault="00273A0D" w:rsidP="00273A0D">
      <w:pPr>
        <w:pStyle w:val="FootnoteText"/>
        <w:rPr>
          <w:bCs/>
          <w:i/>
          <w:sz w:val="16"/>
          <w:szCs w:val="16"/>
        </w:rPr>
      </w:pPr>
      <w:r w:rsidRPr="00975E6B">
        <w:rPr>
          <w:bCs/>
          <w:i/>
          <w:sz w:val="16"/>
          <w:szCs w:val="16"/>
        </w:rPr>
        <w:t xml:space="preserve">Source: KPMG, based on </w:t>
      </w:r>
      <w:r w:rsidR="003F167A" w:rsidRPr="00975E6B">
        <w:rPr>
          <w:bCs/>
          <w:i/>
          <w:sz w:val="16"/>
          <w:szCs w:val="16"/>
        </w:rPr>
        <w:t>Prince Charles</w:t>
      </w:r>
      <w:r w:rsidRPr="00975E6B">
        <w:rPr>
          <w:bCs/>
          <w:i/>
          <w:sz w:val="16"/>
          <w:szCs w:val="16"/>
        </w:rPr>
        <w:t xml:space="preserve"> and IHPA data</w:t>
      </w:r>
    </w:p>
    <w:p w:rsidR="00676192" w:rsidRPr="00975E6B" w:rsidRDefault="00676192" w:rsidP="003B387A">
      <w:pPr>
        <w:pStyle w:val="Heading2"/>
        <w:numPr>
          <w:ilvl w:val="1"/>
          <w:numId w:val="77"/>
        </w:numPr>
      </w:pPr>
      <w:bookmarkStart w:id="752" w:name="_Toc444523666"/>
      <w:r w:rsidRPr="00D1343E">
        <w:t>Application</w:t>
      </w:r>
      <w:r w:rsidRPr="00975E6B">
        <w:t xml:space="preserve"> of AHPCS Version 3.1</w:t>
      </w:r>
      <w:bookmarkEnd w:id="752"/>
    </w:p>
    <w:p w:rsidR="00676192" w:rsidRPr="00975E6B" w:rsidRDefault="00676192" w:rsidP="001140D3">
      <w:pPr>
        <w:pStyle w:val="BodyText"/>
      </w:pPr>
      <w:r w:rsidRPr="00975E6B">
        <w:fldChar w:fldCharType="begin"/>
      </w:r>
      <w:r w:rsidRPr="00975E6B">
        <w:instrText xml:space="preserve"> REF _Ref433302966 \h </w:instrText>
      </w:r>
      <w:r w:rsidR="00975E6B">
        <w:instrText xml:space="preserve"> \* MERGEFORMAT </w:instrText>
      </w:r>
      <w:r w:rsidRPr="00975E6B">
        <w:fldChar w:fldCharType="separate"/>
      </w:r>
      <w:r w:rsidR="00154CF7" w:rsidRPr="00975E6B">
        <w:t xml:space="preserve">Table </w:t>
      </w:r>
      <w:r w:rsidR="00154CF7">
        <w:rPr>
          <w:noProof/>
        </w:rPr>
        <w:t>55</w:t>
      </w:r>
      <w:r w:rsidRPr="00975E6B">
        <w:fldChar w:fldCharType="end"/>
      </w:r>
      <w:r w:rsidRPr="00975E6B">
        <w:t xml:space="preserve"> summarises </w:t>
      </w:r>
      <w:r w:rsidR="00CA6430" w:rsidRPr="00975E6B">
        <w:t>Queensland</w:t>
      </w:r>
      <w:r w:rsidRPr="00975E6B">
        <w:t xml:space="preserve">’s application of selected standards from </w:t>
      </w:r>
      <w:r w:rsidR="0029551D" w:rsidRPr="00975E6B">
        <w:t>V</w:t>
      </w:r>
      <w:r w:rsidRPr="00975E6B">
        <w:t xml:space="preserve">ersion 3.1 of the AHPCS (outlined in Section </w:t>
      </w:r>
      <w:r w:rsidRPr="00975E6B">
        <w:fldChar w:fldCharType="begin"/>
      </w:r>
      <w:r w:rsidRPr="00975E6B">
        <w:instrText xml:space="preserve"> REF _Ref434054856 \r \h </w:instrText>
      </w:r>
      <w:r w:rsidR="00975E6B">
        <w:instrText xml:space="preserve"> \* MERGEFORMAT </w:instrText>
      </w:r>
      <w:r w:rsidRPr="00975E6B">
        <w:fldChar w:fldCharType="separate"/>
      </w:r>
      <w:r w:rsidR="00154CF7">
        <w:t>1.3.4</w:t>
      </w:r>
      <w:r w:rsidRPr="00975E6B">
        <w:fldChar w:fldCharType="end"/>
      </w:r>
      <w:r w:rsidRPr="00975E6B">
        <w:t xml:space="preserve">). The application of the selected standards was consistent across each of the three hospitals reviewed during the Round 18 IFR. </w:t>
      </w:r>
      <w:r w:rsidR="00CA6430" w:rsidRPr="00975E6B">
        <w:t>Queensland</w:t>
      </w:r>
      <w:r w:rsidRPr="00975E6B">
        <w:t xml:space="preserve"> Health representatives and hospital costing representatives advised that costing occurs in accordance with state published guidelines which have been written with consideration of the AHPCS Version 3.1. </w:t>
      </w:r>
    </w:p>
    <w:p w:rsidR="00676192" w:rsidRPr="00975E6B" w:rsidRDefault="00676192" w:rsidP="001140D3">
      <w:pPr>
        <w:pStyle w:val="Caption"/>
      </w:pPr>
      <w:bookmarkStart w:id="753" w:name="_Ref433302966"/>
      <w:r w:rsidRPr="00975E6B">
        <w:t xml:space="preserve">Table </w:t>
      </w:r>
      <w:fldSimple w:instr=" SEQ Table \* ARABIC ">
        <w:r w:rsidR="00154CF7">
          <w:rPr>
            <w:noProof/>
          </w:rPr>
          <w:t>55</w:t>
        </w:r>
      </w:fldSimple>
      <w:bookmarkEnd w:id="753"/>
      <w:r w:rsidRPr="00975E6B">
        <w:t xml:space="preserve"> – Application of Costing Standards – Queensland</w:t>
      </w:r>
      <w:r w:rsidR="005B2E50" w:rsidRPr="00975E6B">
        <w:t xml:space="preserve"> sampled hospitals</w:t>
      </w:r>
    </w:p>
    <w:tbl>
      <w:tblPr>
        <w:tblStyle w:val="ListTable4-Accent11"/>
        <w:tblW w:w="5000" w:type="pct"/>
        <w:tblLayout w:type="fixed"/>
        <w:tblLook w:val="0620" w:firstRow="1" w:lastRow="0" w:firstColumn="0" w:lastColumn="0" w:noHBand="1" w:noVBand="1"/>
        <w:tblCaption w:val="Table 55 - Application of Costing Standards - QLD"/>
        <w:tblDescription w:val="This table describes the application of the in-scope costing standards for Queensland based on the hospitals sampled.  The first column is the Costing Standard number, the second column is the costing standard title and the third column is the discussion of the application of the costing standard for the relevant hospitals.&#10;&#10;"/>
      </w:tblPr>
      <w:tblGrid>
        <w:gridCol w:w="1451"/>
        <w:gridCol w:w="2908"/>
        <w:gridCol w:w="4362"/>
      </w:tblGrid>
      <w:tr w:rsidR="00676192" w:rsidRPr="00975E6B" w:rsidTr="00E14378">
        <w:trPr>
          <w:cnfStyle w:val="100000000000" w:firstRow="1" w:lastRow="0" w:firstColumn="0" w:lastColumn="0" w:oddVBand="0" w:evenVBand="0" w:oddHBand="0" w:evenHBand="0" w:firstRowFirstColumn="0" w:firstRowLastColumn="0" w:lastRowFirstColumn="0" w:lastRowLastColumn="0"/>
          <w:tblHeader/>
        </w:trPr>
        <w:tc>
          <w:tcPr>
            <w:tcW w:w="832" w:type="pct"/>
            <w:tcBorders>
              <w:right w:val="single" w:sz="4" w:space="0" w:color="548DD4" w:themeColor="text2" w:themeTint="99"/>
            </w:tcBorders>
            <w:shd w:val="clear" w:color="auto" w:fill="002060"/>
            <w:noWrap/>
          </w:tcPr>
          <w:p w:rsidR="00676192" w:rsidRPr="00975E6B" w:rsidRDefault="00676192" w:rsidP="00992E09">
            <w:r w:rsidRPr="00975E6B">
              <w:t>No.</w:t>
            </w:r>
          </w:p>
        </w:tc>
        <w:tc>
          <w:tcPr>
            <w:tcW w:w="1667" w:type="pct"/>
            <w:tcBorders>
              <w:left w:val="single" w:sz="4" w:space="0" w:color="548DD4" w:themeColor="text2" w:themeTint="99"/>
            </w:tcBorders>
            <w:shd w:val="clear" w:color="auto" w:fill="002060"/>
          </w:tcPr>
          <w:p w:rsidR="00676192" w:rsidRPr="00975E6B" w:rsidRDefault="00676192" w:rsidP="00992E09">
            <w:r w:rsidRPr="00975E6B">
              <w:t>Title</w:t>
            </w:r>
          </w:p>
        </w:tc>
        <w:tc>
          <w:tcPr>
            <w:tcW w:w="2501" w:type="pct"/>
            <w:tcBorders>
              <w:left w:val="single" w:sz="4" w:space="0" w:color="548DD4" w:themeColor="text2" w:themeTint="99"/>
            </w:tcBorders>
            <w:shd w:val="clear" w:color="auto" w:fill="002060"/>
          </w:tcPr>
          <w:p w:rsidR="00676192" w:rsidRPr="00975E6B" w:rsidRDefault="00676192" w:rsidP="00992E09">
            <w:r w:rsidRPr="00975E6B">
              <w:t>Discussion</w:t>
            </w:r>
          </w:p>
        </w:tc>
      </w:tr>
      <w:tr w:rsidR="00676192" w:rsidRPr="00975E6B" w:rsidTr="00711600">
        <w:tc>
          <w:tcPr>
            <w:tcW w:w="832" w:type="pct"/>
            <w:tcBorders>
              <w:right w:val="single" w:sz="4" w:space="0" w:color="548DD4" w:themeColor="text2" w:themeTint="99"/>
            </w:tcBorders>
            <w:noWrap/>
          </w:tcPr>
          <w:p w:rsidR="00676192" w:rsidRPr="00975E6B" w:rsidRDefault="00676192" w:rsidP="00992E09">
            <w:pPr>
              <w:pStyle w:val="BodyText"/>
              <w:jc w:val="left"/>
            </w:pPr>
            <w:r w:rsidRPr="00975E6B">
              <w:t>SCP 1.004</w:t>
            </w:r>
          </w:p>
        </w:tc>
        <w:tc>
          <w:tcPr>
            <w:tcW w:w="1667" w:type="pct"/>
            <w:tcBorders>
              <w:left w:val="single" w:sz="4" w:space="0" w:color="548DD4" w:themeColor="text2" w:themeTint="99"/>
            </w:tcBorders>
          </w:tcPr>
          <w:p w:rsidR="00676192" w:rsidRPr="00975E6B" w:rsidRDefault="00676192" w:rsidP="00992E09">
            <w:pPr>
              <w:pStyle w:val="BodyText"/>
              <w:jc w:val="left"/>
            </w:pPr>
            <w:r w:rsidRPr="00975E6B">
              <w:t>Hospital Products in Scope</w:t>
            </w:r>
          </w:p>
        </w:tc>
        <w:tc>
          <w:tcPr>
            <w:tcW w:w="2501" w:type="pct"/>
            <w:tcBorders>
              <w:left w:val="single" w:sz="4" w:space="0" w:color="548DD4" w:themeColor="text2" w:themeTint="99"/>
            </w:tcBorders>
          </w:tcPr>
          <w:p w:rsidR="00676192" w:rsidRPr="00975E6B" w:rsidRDefault="00CA6430" w:rsidP="00992E09">
            <w:pPr>
              <w:pStyle w:val="BodyText"/>
              <w:jc w:val="left"/>
            </w:pPr>
            <w:r w:rsidRPr="00975E6B">
              <w:t>Queensland</w:t>
            </w:r>
            <w:r w:rsidR="00676192" w:rsidRPr="00975E6B">
              <w:t xml:space="preserve"> Health representatives completed templates for this review for hospitals and demonstrated through the templates and interview process that costs are reported against admitted</w:t>
            </w:r>
            <w:r w:rsidR="00846982" w:rsidRPr="00975E6B">
              <w:t xml:space="preserve"> acute</w:t>
            </w:r>
            <w:r w:rsidR="00676192" w:rsidRPr="00975E6B">
              <w:t xml:space="preserve">, emergency </w:t>
            </w:r>
            <w:r w:rsidR="0029551D" w:rsidRPr="00975E6B">
              <w:t xml:space="preserve">care </w:t>
            </w:r>
            <w:r w:rsidR="00676192" w:rsidRPr="00975E6B">
              <w:t xml:space="preserve">and non-admitted products. </w:t>
            </w:r>
          </w:p>
          <w:p w:rsidR="00676192" w:rsidRPr="00975E6B" w:rsidRDefault="00676192">
            <w:pPr>
              <w:pStyle w:val="BodyText"/>
              <w:jc w:val="left"/>
            </w:pPr>
            <w:r w:rsidRPr="00975E6B">
              <w:t>It was noted that costs are also created for non-patient products (such as unlinked records).</w:t>
            </w:r>
          </w:p>
        </w:tc>
      </w:tr>
      <w:tr w:rsidR="00676192" w:rsidRPr="00975E6B" w:rsidTr="00711600">
        <w:trPr>
          <w:trHeight w:val="1908"/>
        </w:trPr>
        <w:tc>
          <w:tcPr>
            <w:tcW w:w="832" w:type="pct"/>
            <w:tcBorders>
              <w:right w:val="single" w:sz="4" w:space="0" w:color="548DD4" w:themeColor="text2" w:themeTint="99"/>
            </w:tcBorders>
            <w:noWrap/>
          </w:tcPr>
          <w:p w:rsidR="00676192" w:rsidRPr="00975E6B" w:rsidRDefault="00676192" w:rsidP="00992E09">
            <w:pPr>
              <w:pStyle w:val="BodyText"/>
              <w:jc w:val="left"/>
            </w:pPr>
            <w:r w:rsidRPr="00975E6B">
              <w:t>SCP 2.003</w:t>
            </w:r>
          </w:p>
        </w:tc>
        <w:tc>
          <w:tcPr>
            <w:tcW w:w="1667" w:type="pct"/>
            <w:tcBorders>
              <w:left w:val="single" w:sz="4" w:space="0" w:color="548DD4" w:themeColor="text2" w:themeTint="99"/>
            </w:tcBorders>
          </w:tcPr>
          <w:p w:rsidR="00676192" w:rsidRPr="00975E6B" w:rsidRDefault="00676192" w:rsidP="00992E09">
            <w:pPr>
              <w:pStyle w:val="BodyText"/>
              <w:jc w:val="left"/>
            </w:pPr>
            <w:r w:rsidRPr="00975E6B">
              <w:t>Product Costs in Scope</w:t>
            </w:r>
          </w:p>
        </w:tc>
        <w:tc>
          <w:tcPr>
            <w:tcW w:w="2501" w:type="pct"/>
            <w:tcBorders>
              <w:left w:val="single" w:sz="4" w:space="0" w:color="548DD4" w:themeColor="text2" w:themeTint="99"/>
            </w:tcBorders>
          </w:tcPr>
          <w:p w:rsidR="00676192" w:rsidRPr="00975E6B" w:rsidRDefault="00676192" w:rsidP="00992E09">
            <w:pPr>
              <w:pStyle w:val="BodyText"/>
            </w:pPr>
            <w:r w:rsidRPr="00975E6B">
              <w:t>It was stated that all products are costed, which includes costs assigned to products in scope for the NHCDC, unlinked activity, and costs assigned to virtual patients.</w:t>
            </w:r>
          </w:p>
          <w:p w:rsidR="00676192" w:rsidRPr="00975E6B" w:rsidRDefault="00676192" w:rsidP="00992E09">
            <w:pPr>
              <w:pStyle w:val="BodyText"/>
              <w:jc w:val="left"/>
            </w:pPr>
            <w:r w:rsidRPr="00975E6B">
              <w:t>It was noted in the interview process that costs are not imputed for private patients.</w:t>
            </w:r>
          </w:p>
        </w:tc>
      </w:tr>
      <w:tr w:rsidR="00676192" w:rsidRPr="00975E6B" w:rsidTr="00711600">
        <w:tc>
          <w:tcPr>
            <w:tcW w:w="832" w:type="pct"/>
            <w:tcBorders>
              <w:right w:val="single" w:sz="4" w:space="0" w:color="548DD4" w:themeColor="text2" w:themeTint="99"/>
            </w:tcBorders>
            <w:noWrap/>
          </w:tcPr>
          <w:p w:rsidR="00676192" w:rsidRPr="00975E6B" w:rsidRDefault="00676192" w:rsidP="00992E09">
            <w:pPr>
              <w:pStyle w:val="BodyText"/>
              <w:jc w:val="left"/>
            </w:pPr>
            <w:r w:rsidRPr="00975E6B">
              <w:t>SCP 2A.003</w:t>
            </w:r>
          </w:p>
        </w:tc>
        <w:tc>
          <w:tcPr>
            <w:tcW w:w="1667" w:type="pct"/>
            <w:tcBorders>
              <w:left w:val="single" w:sz="4" w:space="0" w:color="548DD4" w:themeColor="text2" w:themeTint="99"/>
            </w:tcBorders>
          </w:tcPr>
          <w:p w:rsidR="00676192" w:rsidRPr="00975E6B" w:rsidRDefault="00676192" w:rsidP="00992E09">
            <w:pPr>
              <w:pStyle w:val="BodyText"/>
              <w:jc w:val="left"/>
            </w:pPr>
            <w:r w:rsidRPr="00975E6B">
              <w:t>Teaching and Training Costs</w:t>
            </w:r>
          </w:p>
        </w:tc>
        <w:tc>
          <w:tcPr>
            <w:tcW w:w="2501" w:type="pct"/>
            <w:tcBorders>
              <w:left w:val="single" w:sz="4" w:space="0" w:color="548DD4" w:themeColor="text2" w:themeTint="99"/>
            </w:tcBorders>
          </w:tcPr>
          <w:p w:rsidR="00D9703F" w:rsidRPr="00975E6B" w:rsidRDefault="00AC12D1" w:rsidP="00992E09">
            <w:pPr>
              <w:pStyle w:val="BodyText"/>
              <w:jc w:val="left"/>
            </w:pPr>
            <w:r w:rsidRPr="00975E6B">
              <w:t xml:space="preserve">Queensland </w:t>
            </w:r>
            <w:r w:rsidR="00D9703F" w:rsidRPr="00975E6B">
              <w:t>h</w:t>
            </w:r>
            <w:r w:rsidRPr="00975E6B">
              <w:t xml:space="preserve">ospitals manage </w:t>
            </w:r>
            <w:r w:rsidR="00D9703F" w:rsidRPr="00975E6B">
              <w:t>d</w:t>
            </w:r>
            <w:r w:rsidRPr="00975E6B">
              <w:t xml:space="preserve">irect </w:t>
            </w:r>
            <w:r w:rsidR="00D9703F" w:rsidRPr="00975E6B">
              <w:t>TTR</w:t>
            </w:r>
            <w:r w:rsidRPr="00975E6B">
              <w:t xml:space="preserve"> by mapping those distinct cost centres to education and research departments. These costs are excluded from final patient costing as per the AHPCS. Indirect and </w:t>
            </w:r>
            <w:r w:rsidR="00D9703F" w:rsidRPr="00975E6B">
              <w:t>e</w:t>
            </w:r>
            <w:r w:rsidRPr="00975E6B">
              <w:t xml:space="preserve">mbedded teaching and training are considered part of the provision of healthcare to patients. There are currently no feeder systems available which contain products which could be used </w:t>
            </w:r>
            <w:r w:rsidRPr="00975E6B">
              <w:lastRenderedPageBreak/>
              <w:t xml:space="preserve">for costing these activities and costs in the </w:t>
            </w:r>
            <w:r w:rsidR="00D9703F" w:rsidRPr="00975E6B">
              <w:t>GL</w:t>
            </w:r>
            <w:r w:rsidRPr="00975E6B">
              <w:t xml:space="preserve"> will form part of </w:t>
            </w:r>
            <w:r w:rsidR="00D9703F" w:rsidRPr="00975E6B">
              <w:t>the s</w:t>
            </w:r>
            <w:r w:rsidRPr="00975E6B">
              <w:t>alaries and wages component of pat</w:t>
            </w:r>
            <w:r w:rsidR="00D9703F" w:rsidRPr="00975E6B">
              <w:t>i</w:t>
            </w:r>
            <w:r w:rsidRPr="00975E6B">
              <w:t xml:space="preserve">ent level costs. </w:t>
            </w:r>
          </w:p>
          <w:p w:rsidR="00676192" w:rsidRPr="00975E6B" w:rsidRDefault="00AC12D1">
            <w:pPr>
              <w:pStyle w:val="BodyText"/>
              <w:jc w:val="left"/>
            </w:pPr>
            <w:r w:rsidRPr="00975E6B">
              <w:t xml:space="preserve">If a feeder system was to be developed </w:t>
            </w:r>
            <w:r w:rsidR="0031210D" w:rsidRPr="00975E6B">
              <w:t>Queensland</w:t>
            </w:r>
            <w:r w:rsidR="00D9703F" w:rsidRPr="00975E6B">
              <w:t xml:space="preserve"> hospitals</w:t>
            </w:r>
            <w:r w:rsidRPr="00975E6B">
              <w:t xml:space="preserve"> would consider costing these activities separately but unless otherwise required by national reporting structures to report indirect and embedded teaching separately, </w:t>
            </w:r>
            <w:r w:rsidR="0031210D" w:rsidRPr="00975E6B">
              <w:t>Queensland</w:t>
            </w:r>
            <w:r w:rsidRPr="00975E6B">
              <w:t xml:space="preserve"> would still consider these as an integral part of the cost of service delivery to all </w:t>
            </w:r>
            <w:r w:rsidR="001C4346" w:rsidRPr="00975E6B">
              <w:t>patients,</w:t>
            </w:r>
            <w:r w:rsidRPr="00975E6B">
              <w:t xml:space="preserve"> and therefore the costs of these activities would continue to be reported as a component of the final patient cost.</w:t>
            </w:r>
          </w:p>
        </w:tc>
      </w:tr>
      <w:tr w:rsidR="00676192" w:rsidRPr="00975E6B" w:rsidTr="00711600">
        <w:tc>
          <w:tcPr>
            <w:tcW w:w="832" w:type="pct"/>
            <w:tcBorders>
              <w:right w:val="single" w:sz="4" w:space="0" w:color="548DD4" w:themeColor="text2" w:themeTint="99"/>
            </w:tcBorders>
            <w:noWrap/>
          </w:tcPr>
          <w:p w:rsidR="00676192" w:rsidRPr="00975E6B" w:rsidRDefault="00676192" w:rsidP="00992E09">
            <w:pPr>
              <w:pStyle w:val="BodyText"/>
              <w:jc w:val="left"/>
            </w:pPr>
            <w:r w:rsidRPr="00975E6B">
              <w:lastRenderedPageBreak/>
              <w:t>SCP 2B.002</w:t>
            </w:r>
          </w:p>
        </w:tc>
        <w:tc>
          <w:tcPr>
            <w:tcW w:w="1667" w:type="pct"/>
            <w:tcBorders>
              <w:left w:val="single" w:sz="4" w:space="0" w:color="548DD4" w:themeColor="text2" w:themeTint="99"/>
            </w:tcBorders>
          </w:tcPr>
          <w:p w:rsidR="00676192" w:rsidRPr="00975E6B" w:rsidRDefault="00676192" w:rsidP="00992E09">
            <w:pPr>
              <w:pStyle w:val="BodyText"/>
              <w:jc w:val="left"/>
            </w:pPr>
            <w:r w:rsidRPr="00975E6B">
              <w:t>Research Costs</w:t>
            </w:r>
          </w:p>
        </w:tc>
        <w:tc>
          <w:tcPr>
            <w:tcW w:w="2501" w:type="pct"/>
            <w:tcBorders>
              <w:left w:val="single" w:sz="4" w:space="0" w:color="548DD4" w:themeColor="text2" w:themeTint="99"/>
            </w:tcBorders>
          </w:tcPr>
          <w:p w:rsidR="00676192" w:rsidRPr="00975E6B" w:rsidRDefault="00676192">
            <w:pPr>
              <w:pStyle w:val="BodyText"/>
              <w:jc w:val="left"/>
            </w:pPr>
            <w:r w:rsidRPr="00975E6B">
              <w:t xml:space="preserve">See SCP </w:t>
            </w:r>
            <w:r w:rsidR="00AC12D1" w:rsidRPr="00975E6B">
              <w:t>2A.003</w:t>
            </w:r>
          </w:p>
        </w:tc>
      </w:tr>
      <w:tr w:rsidR="00676192" w:rsidRPr="00975E6B" w:rsidTr="00711600">
        <w:trPr>
          <w:trHeight w:val="516"/>
        </w:trPr>
        <w:tc>
          <w:tcPr>
            <w:tcW w:w="832" w:type="pct"/>
            <w:tcBorders>
              <w:right w:val="single" w:sz="4" w:space="0" w:color="548DD4" w:themeColor="text2" w:themeTint="99"/>
            </w:tcBorders>
            <w:noWrap/>
          </w:tcPr>
          <w:p w:rsidR="00676192" w:rsidRPr="00975E6B" w:rsidRDefault="00676192" w:rsidP="00992E09">
            <w:pPr>
              <w:pStyle w:val="BodyText"/>
              <w:jc w:val="left"/>
            </w:pPr>
            <w:r w:rsidRPr="00975E6B">
              <w:t>SCP 3.001</w:t>
            </w:r>
          </w:p>
        </w:tc>
        <w:tc>
          <w:tcPr>
            <w:tcW w:w="1667" w:type="pct"/>
            <w:tcBorders>
              <w:left w:val="single" w:sz="4" w:space="0" w:color="548DD4" w:themeColor="text2" w:themeTint="99"/>
            </w:tcBorders>
          </w:tcPr>
          <w:p w:rsidR="00676192" w:rsidRPr="00975E6B" w:rsidRDefault="00676192" w:rsidP="00992E09">
            <w:pPr>
              <w:pStyle w:val="BodyText"/>
              <w:jc w:val="left"/>
            </w:pPr>
            <w:r w:rsidRPr="00975E6B">
              <w:t>Matching Production and Cost</w:t>
            </w:r>
          </w:p>
        </w:tc>
        <w:tc>
          <w:tcPr>
            <w:tcW w:w="2501" w:type="pct"/>
            <w:tcBorders>
              <w:left w:val="single" w:sz="4" w:space="0" w:color="548DD4" w:themeColor="text2" w:themeTint="99"/>
            </w:tcBorders>
          </w:tcPr>
          <w:p w:rsidR="00676192" w:rsidRPr="00975E6B" w:rsidRDefault="00676192" w:rsidP="00992E09">
            <w:pPr>
              <w:pStyle w:val="BodyText"/>
              <w:jc w:val="left"/>
            </w:pPr>
            <w:r w:rsidRPr="00975E6B">
              <w:t xml:space="preserve">This was demonstrated during the site visit through discussion on derived accounts with both </w:t>
            </w:r>
            <w:r w:rsidR="00CA6430" w:rsidRPr="00975E6B">
              <w:t>Queensland</w:t>
            </w:r>
            <w:r w:rsidRPr="00975E6B">
              <w:t xml:space="preserve"> Health and hospital costing representatives.</w:t>
            </w:r>
          </w:p>
        </w:tc>
      </w:tr>
      <w:tr w:rsidR="00AD71DB" w:rsidRPr="00975E6B" w:rsidTr="00711600">
        <w:tc>
          <w:tcPr>
            <w:tcW w:w="832" w:type="pct"/>
            <w:tcBorders>
              <w:right w:val="single" w:sz="4" w:space="0" w:color="548DD4" w:themeColor="text2" w:themeTint="99"/>
            </w:tcBorders>
            <w:noWrap/>
          </w:tcPr>
          <w:p w:rsidR="00AD71DB" w:rsidRPr="00975E6B" w:rsidRDefault="00AD71DB" w:rsidP="00AD71DB">
            <w:pPr>
              <w:pStyle w:val="BodyText"/>
              <w:jc w:val="left"/>
            </w:pPr>
            <w:r w:rsidRPr="00975E6B">
              <w:t>SCP 3A.001</w:t>
            </w:r>
          </w:p>
        </w:tc>
        <w:tc>
          <w:tcPr>
            <w:tcW w:w="1667" w:type="pct"/>
            <w:tcBorders>
              <w:left w:val="single" w:sz="4" w:space="0" w:color="548DD4" w:themeColor="text2" w:themeTint="99"/>
            </w:tcBorders>
          </w:tcPr>
          <w:p w:rsidR="00AD71DB" w:rsidRPr="00975E6B" w:rsidRDefault="00AD71DB" w:rsidP="00AD71DB">
            <w:pPr>
              <w:pStyle w:val="BodyText"/>
              <w:jc w:val="left"/>
            </w:pPr>
            <w:r w:rsidRPr="00975E6B">
              <w:t>Matching Production and Cost – Overhead Cost Allocation</w:t>
            </w:r>
          </w:p>
        </w:tc>
        <w:tc>
          <w:tcPr>
            <w:tcW w:w="2501" w:type="pct"/>
            <w:tcBorders>
              <w:left w:val="single" w:sz="4" w:space="0" w:color="548DD4" w:themeColor="text2" w:themeTint="99"/>
            </w:tcBorders>
          </w:tcPr>
          <w:p w:rsidR="00AD71DB" w:rsidRPr="00975E6B" w:rsidRDefault="00AD71DB" w:rsidP="00AD71DB">
            <w:pPr>
              <w:pStyle w:val="BodyText"/>
              <w:jc w:val="left"/>
            </w:pPr>
            <w:r w:rsidRPr="00975E6B">
              <w:t>The jurisdiction was able to demonstrate that overhead costs were fully allocated to direct patient care areas via the pre allocation and post allocation data included in the templates.</w:t>
            </w:r>
          </w:p>
        </w:tc>
      </w:tr>
      <w:tr w:rsidR="0031210D" w:rsidRPr="00975E6B" w:rsidTr="00711600">
        <w:tc>
          <w:tcPr>
            <w:tcW w:w="832" w:type="pct"/>
            <w:tcBorders>
              <w:right w:val="single" w:sz="4" w:space="0" w:color="548DD4" w:themeColor="text2" w:themeTint="99"/>
            </w:tcBorders>
            <w:noWrap/>
          </w:tcPr>
          <w:p w:rsidR="0031210D" w:rsidRPr="00975E6B" w:rsidRDefault="0031210D" w:rsidP="0031210D">
            <w:pPr>
              <w:pStyle w:val="BodyText"/>
              <w:jc w:val="left"/>
            </w:pPr>
            <w:r w:rsidRPr="00975E6B">
              <w:t>SCP 3B.001</w:t>
            </w:r>
          </w:p>
        </w:tc>
        <w:tc>
          <w:tcPr>
            <w:tcW w:w="1667" w:type="pct"/>
            <w:tcBorders>
              <w:left w:val="single" w:sz="4" w:space="0" w:color="548DD4" w:themeColor="text2" w:themeTint="99"/>
            </w:tcBorders>
          </w:tcPr>
          <w:p w:rsidR="0031210D" w:rsidRPr="00975E6B" w:rsidRDefault="0031210D" w:rsidP="0031210D">
            <w:pPr>
              <w:pStyle w:val="BodyText"/>
              <w:jc w:val="left"/>
            </w:pPr>
            <w:r w:rsidRPr="00975E6B">
              <w:t>Matching Production and Cost – Costing all Products</w:t>
            </w:r>
          </w:p>
        </w:tc>
        <w:tc>
          <w:tcPr>
            <w:tcW w:w="2501" w:type="pct"/>
            <w:tcBorders>
              <w:left w:val="single" w:sz="4" w:space="0" w:color="548DD4" w:themeColor="text2" w:themeTint="99"/>
            </w:tcBorders>
          </w:tcPr>
          <w:p w:rsidR="0031210D" w:rsidRPr="00975E6B" w:rsidRDefault="0031210D">
            <w:pPr>
              <w:pStyle w:val="BodyText"/>
              <w:jc w:val="left"/>
            </w:pPr>
            <w:r w:rsidRPr="00975E6B">
              <w:t>Demonstrated in the template. Queensland Health provided an overview of their internal reconciliation process which demonstrated the allocation of costs to products.</w:t>
            </w:r>
          </w:p>
        </w:tc>
      </w:tr>
      <w:tr w:rsidR="00676192" w:rsidRPr="00975E6B" w:rsidTr="00711600">
        <w:tc>
          <w:tcPr>
            <w:tcW w:w="832" w:type="pct"/>
            <w:tcBorders>
              <w:right w:val="single" w:sz="4" w:space="0" w:color="548DD4" w:themeColor="text2" w:themeTint="99"/>
            </w:tcBorders>
            <w:noWrap/>
          </w:tcPr>
          <w:p w:rsidR="00676192" w:rsidRPr="00975E6B" w:rsidRDefault="00676192" w:rsidP="00992E09">
            <w:pPr>
              <w:pStyle w:val="BodyText"/>
              <w:jc w:val="left"/>
            </w:pPr>
            <w:r w:rsidRPr="00975E6B">
              <w:t>SCP 3C.001</w:t>
            </w:r>
          </w:p>
        </w:tc>
        <w:tc>
          <w:tcPr>
            <w:tcW w:w="1667" w:type="pct"/>
            <w:tcBorders>
              <w:left w:val="single" w:sz="4" w:space="0" w:color="548DD4" w:themeColor="text2" w:themeTint="99"/>
            </w:tcBorders>
          </w:tcPr>
          <w:p w:rsidR="00676192" w:rsidRPr="00975E6B" w:rsidRDefault="00676192" w:rsidP="00992E09">
            <w:pPr>
              <w:pStyle w:val="BodyText"/>
              <w:jc w:val="left"/>
            </w:pPr>
            <w:r w:rsidRPr="00975E6B">
              <w:t>Matching Production and Cost – Commercial Business Entities</w:t>
            </w:r>
          </w:p>
        </w:tc>
        <w:tc>
          <w:tcPr>
            <w:tcW w:w="2501" w:type="pct"/>
            <w:tcBorders>
              <w:left w:val="single" w:sz="4" w:space="0" w:color="548DD4" w:themeColor="text2" w:themeTint="99"/>
            </w:tcBorders>
          </w:tcPr>
          <w:p w:rsidR="00676192" w:rsidRPr="00975E6B" w:rsidRDefault="00676192" w:rsidP="00992E09">
            <w:pPr>
              <w:pStyle w:val="BodyText"/>
              <w:jc w:val="left"/>
            </w:pPr>
            <w:r w:rsidRPr="00975E6B">
              <w:t>Based on discussions during the review and a review of the templates, application of this standard was demonstrated.</w:t>
            </w:r>
          </w:p>
        </w:tc>
      </w:tr>
      <w:tr w:rsidR="00676192" w:rsidRPr="00975E6B" w:rsidTr="00711600">
        <w:tc>
          <w:tcPr>
            <w:tcW w:w="832" w:type="pct"/>
            <w:tcBorders>
              <w:right w:val="single" w:sz="4" w:space="0" w:color="548DD4" w:themeColor="text2" w:themeTint="99"/>
            </w:tcBorders>
            <w:noWrap/>
          </w:tcPr>
          <w:p w:rsidR="00676192" w:rsidRPr="00975E6B" w:rsidRDefault="00676192" w:rsidP="00992E09">
            <w:pPr>
              <w:pStyle w:val="BodyText"/>
              <w:jc w:val="left"/>
            </w:pPr>
            <w:r w:rsidRPr="00975E6B">
              <w:t>SCP 3E.001</w:t>
            </w:r>
          </w:p>
        </w:tc>
        <w:tc>
          <w:tcPr>
            <w:tcW w:w="1667" w:type="pct"/>
            <w:tcBorders>
              <w:left w:val="single" w:sz="4" w:space="0" w:color="548DD4" w:themeColor="text2" w:themeTint="99"/>
            </w:tcBorders>
          </w:tcPr>
          <w:p w:rsidR="00676192" w:rsidRPr="00975E6B" w:rsidRDefault="00676192" w:rsidP="00992E09">
            <w:pPr>
              <w:pStyle w:val="BodyText"/>
              <w:jc w:val="left"/>
            </w:pPr>
            <w:r w:rsidRPr="00975E6B">
              <w:t>Matching Production and Cost – Offsets and Recoveries</w:t>
            </w:r>
          </w:p>
        </w:tc>
        <w:tc>
          <w:tcPr>
            <w:tcW w:w="2501" w:type="pct"/>
            <w:tcBorders>
              <w:left w:val="single" w:sz="4" w:space="0" w:color="548DD4" w:themeColor="text2" w:themeTint="99"/>
            </w:tcBorders>
          </w:tcPr>
          <w:p w:rsidR="00676192" w:rsidRPr="00975E6B" w:rsidRDefault="00676192" w:rsidP="00992E09">
            <w:pPr>
              <w:pStyle w:val="BodyText"/>
              <w:jc w:val="left"/>
            </w:pPr>
            <w:r w:rsidRPr="00975E6B">
              <w:t>Cost recoveries for salaries and wages and work cover expenses were noted in the template.</w:t>
            </w:r>
          </w:p>
        </w:tc>
      </w:tr>
      <w:tr w:rsidR="00676192" w:rsidRPr="00975E6B" w:rsidTr="00711600">
        <w:tc>
          <w:tcPr>
            <w:tcW w:w="832" w:type="pct"/>
            <w:tcBorders>
              <w:right w:val="single" w:sz="4" w:space="0" w:color="548DD4" w:themeColor="text2" w:themeTint="99"/>
            </w:tcBorders>
            <w:noWrap/>
          </w:tcPr>
          <w:p w:rsidR="00676192" w:rsidRPr="00975E6B" w:rsidRDefault="00676192" w:rsidP="00992E09">
            <w:pPr>
              <w:pStyle w:val="BodyText"/>
              <w:jc w:val="left"/>
            </w:pPr>
            <w:r w:rsidRPr="00975E6B">
              <w:t>SCP 3G.001</w:t>
            </w:r>
          </w:p>
        </w:tc>
        <w:tc>
          <w:tcPr>
            <w:tcW w:w="1667" w:type="pct"/>
            <w:tcBorders>
              <w:left w:val="single" w:sz="4" w:space="0" w:color="548DD4" w:themeColor="text2" w:themeTint="99"/>
            </w:tcBorders>
          </w:tcPr>
          <w:p w:rsidR="00676192" w:rsidRPr="00975E6B" w:rsidRDefault="00676192" w:rsidP="00992E09">
            <w:pPr>
              <w:pStyle w:val="BodyText"/>
              <w:jc w:val="left"/>
            </w:pPr>
            <w:r w:rsidRPr="00975E6B">
              <w:t>Matching Production and Cost – Reconciliation to Source Data</w:t>
            </w:r>
          </w:p>
        </w:tc>
        <w:tc>
          <w:tcPr>
            <w:tcW w:w="2501" w:type="pct"/>
            <w:tcBorders>
              <w:left w:val="single" w:sz="4" w:space="0" w:color="548DD4" w:themeColor="text2" w:themeTint="99"/>
            </w:tcBorders>
          </w:tcPr>
          <w:p w:rsidR="00676192" w:rsidRPr="00975E6B" w:rsidRDefault="00676192" w:rsidP="00992E09">
            <w:pPr>
              <w:pStyle w:val="BodyText"/>
              <w:jc w:val="left"/>
            </w:pPr>
            <w:r w:rsidRPr="00975E6B">
              <w:t xml:space="preserve">Based on discussions during the review, </w:t>
            </w:r>
            <w:r w:rsidR="00CA6430" w:rsidRPr="00975E6B">
              <w:t>Queensland</w:t>
            </w:r>
            <w:r w:rsidRPr="00975E6B">
              <w:t xml:space="preserve"> Health completes a final reconciliation of its costing system to source documentation. </w:t>
            </w:r>
          </w:p>
          <w:p w:rsidR="00676192" w:rsidRPr="00975E6B" w:rsidRDefault="00CA6430" w:rsidP="00992E09">
            <w:pPr>
              <w:pStyle w:val="BodyText"/>
              <w:jc w:val="left"/>
            </w:pPr>
            <w:r w:rsidRPr="00975E6B">
              <w:t>Queensland</w:t>
            </w:r>
            <w:r w:rsidR="00676192" w:rsidRPr="00975E6B">
              <w:t xml:space="preserve"> Health representatives also noted </w:t>
            </w:r>
            <w:r w:rsidR="00676192" w:rsidRPr="00975E6B">
              <w:lastRenderedPageBreak/>
              <w:t xml:space="preserve">the 400+ validations </w:t>
            </w:r>
            <w:r w:rsidR="00A03A02" w:rsidRPr="00975E6B">
              <w:t xml:space="preserve">are </w:t>
            </w:r>
            <w:r w:rsidR="00676192" w:rsidRPr="00975E6B">
              <w:t>undertaken on the data including activity mismatch as a basis of reconciliation.</w:t>
            </w:r>
          </w:p>
        </w:tc>
      </w:tr>
      <w:tr w:rsidR="00676192" w:rsidRPr="00975E6B" w:rsidTr="00711600">
        <w:tc>
          <w:tcPr>
            <w:tcW w:w="832" w:type="pct"/>
            <w:tcBorders>
              <w:right w:val="single" w:sz="4" w:space="0" w:color="548DD4" w:themeColor="text2" w:themeTint="99"/>
            </w:tcBorders>
            <w:noWrap/>
          </w:tcPr>
          <w:p w:rsidR="00676192" w:rsidRPr="00975E6B" w:rsidRDefault="00676192" w:rsidP="00992E09">
            <w:pPr>
              <w:pStyle w:val="BodyText"/>
              <w:jc w:val="left"/>
            </w:pPr>
            <w:r w:rsidRPr="00975E6B">
              <w:lastRenderedPageBreak/>
              <w:t>GL2.004</w:t>
            </w:r>
          </w:p>
        </w:tc>
        <w:tc>
          <w:tcPr>
            <w:tcW w:w="1667" w:type="pct"/>
            <w:tcBorders>
              <w:left w:val="single" w:sz="4" w:space="0" w:color="548DD4" w:themeColor="text2" w:themeTint="99"/>
            </w:tcBorders>
          </w:tcPr>
          <w:p w:rsidR="00676192" w:rsidRPr="00975E6B" w:rsidRDefault="00676192" w:rsidP="00992E09">
            <w:pPr>
              <w:pStyle w:val="BodyText"/>
              <w:jc w:val="left"/>
            </w:pPr>
            <w:r w:rsidRPr="00975E6B">
              <w:t>Account Code Mapping to Line Items</w:t>
            </w:r>
          </w:p>
        </w:tc>
        <w:tc>
          <w:tcPr>
            <w:tcW w:w="2501" w:type="pct"/>
            <w:tcBorders>
              <w:left w:val="single" w:sz="4" w:space="0" w:color="548DD4" w:themeColor="text2" w:themeTint="99"/>
            </w:tcBorders>
          </w:tcPr>
          <w:p w:rsidR="00676192" w:rsidRPr="00975E6B" w:rsidRDefault="00CA6430" w:rsidP="00992E09">
            <w:pPr>
              <w:pStyle w:val="BodyText"/>
              <w:jc w:val="left"/>
            </w:pPr>
            <w:r w:rsidRPr="00975E6B">
              <w:t>Queensland</w:t>
            </w:r>
            <w:r w:rsidR="00676192" w:rsidRPr="00975E6B">
              <w:t xml:space="preserve"> Health mapped total costs to the standard specified line items and noted inconsistency between what is published in the Version 3.1 AHPCS regarding Depreciation line items.</w:t>
            </w:r>
          </w:p>
        </w:tc>
      </w:tr>
      <w:tr w:rsidR="00676192" w:rsidRPr="00975E6B" w:rsidTr="00711600">
        <w:tc>
          <w:tcPr>
            <w:tcW w:w="832" w:type="pct"/>
            <w:tcBorders>
              <w:right w:val="single" w:sz="4" w:space="0" w:color="548DD4" w:themeColor="text2" w:themeTint="99"/>
            </w:tcBorders>
            <w:noWrap/>
          </w:tcPr>
          <w:p w:rsidR="00676192" w:rsidRPr="00975E6B" w:rsidRDefault="00676192" w:rsidP="00992E09">
            <w:pPr>
              <w:pStyle w:val="BodyText"/>
              <w:jc w:val="left"/>
            </w:pPr>
            <w:r w:rsidRPr="00975E6B">
              <w:t>COST 5.002</w:t>
            </w:r>
          </w:p>
        </w:tc>
        <w:tc>
          <w:tcPr>
            <w:tcW w:w="1667" w:type="pct"/>
            <w:tcBorders>
              <w:left w:val="single" w:sz="4" w:space="0" w:color="548DD4" w:themeColor="text2" w:themeTint="99"/>
            </w:tcBorders>
          </w:tcPr>
          <w:p w:rsidR="00676192" w:rsidRPr="00975E6B" w:rsidRDefault="00676192" w:rsidP="00992E09">
            <w:pPr>
              <w:pStyle w:val="BodyText"/>
              <w:jc w:val="left"/>
            </w:pPr>
            <w:r w:rsidRPr="00975E6B">
              <w:t>Treatment of Work-In-Progress Costs</w:t>
            </w:r>
          </w:p>
        </w:tc>
        <w:tc>
          <w:tcPr>
            <w:tcW w:w="2501" w:type="pct"/>
            <w:tcBorders>
              <w:left w:val="single" w:sz="4" w:space="0" w:color="548DD4" w:themeColor="text2" w:themeTint="99"/>
            </w:tcBorders>
          </w:tcPr>
          <w:p w:rsidR="00676192" w:rsidRPr="00975E6B" w:rsidRDefault="00676192" w:rsidP="00992E09">
            <w:pPr>
              <w:pStyle w:val="BodyText"/>
              <w:jc w:val="left"/>
            </w:pPr>
            <w:r w:rsidRPr="00975E6B">
              <w:t>Based on discussions during the review, patients are allocated costs based on their consumption of resources for that reporting period. Where costs are incurred in prior years, these are included in the final costed data and NHCDC submission.</w:t>
            </w:r>
          </w:p>
          <w:p w:rsidR="00676192" w:rsidRPr="00975E6B" w:rsidRDefault="00676192" w:rsidP="00992E09">
            <w:pPr>
              <w:pStyle w:val="BodyText"/>
              <w:jc w:val="left"/>
            </w:pPr>
            <w:r w:rsidRPr="00975E6B">
              <w:t>No escalation factor is applied to prior year costs.</w:t>
            </w:r>
          </w:p>
        </w:tc>
      </w:tr>
    </w:tbl>
    <w:p w:rsidR="00664CB0" w:rsidRPr="00975E6B" w:rsidRDefault="00676192" w:rsidP="00CD1518">
      <w:pPr>
        <w:pStyle w:val="FootnoteText"/>
        <w:rPr>
          <w:b/>
          <w:bCs/>
          <w:color w:val="1F497D" w:themeColor="text2"/>
          <w:sz w:val="28"/>
          <w:szCs w:val="24"/>
        </w:rPr>
      </w:pPr>
      <w:r w:rsidRPr="00975E6B">
        <w:rPr>
          <w:bCs/>
          <w:i/>
          <w:sz w:val="16"/>
          <w:szCs w:val="16"/>
        </w:rPr>
        <w:t>Source: KPMG</w:t>
      </w:r>
    </w:p>
    <w:p w:rsidR="00273A0D" w:rsidRPr="00975E6B" w:rsidRDefault="00273A0D" w:rsidP="003B387A">
      <w:pPr>
        <w:pStyle w:val="Heading2"/>
        <w:numPr>
          <w:ilvl w:val="1"/>
          <w:numId w:val="77"/>
        </w:numPr>
      </w:pPr>
      <w:bookmarkStart w:id="754" w:name="_Toc444523667"/>
      <w:r w:rsidRPr="00D1343E">
        <w:t>Conclusion</w:t>
      </w:r>
      <w:bookmarkEnd w:id="754"/>
    </w:p>
    <w:p w:rsidR="00676192" w:rsidRPr="00975E6B" w:rsidRDefault="00676192" w:rsidP="00676192">
      <w:pPr>
        <w:pStyle w:val="BodyText"/>
      </w:pPr>
      <w:r w:rsidRPr="00975E6B">
        <w:t xml:space="preserve">The findings of the </w:t>
      </w:r>
      <w:r w:rsidR="00CA6430" w:rsidRPr="00975E6B">
        <w:t>Queensland</w:t>
      </w:r>
      <w:r w:rsidRPr="00975E6B">
        <w:t xml:space="preserve"> Round 18 IFR are summarised below:</w:t>
      </w:r>
    </w:p>
    <w:p w:rsidR="00FB47CF" w:rsidRPr="00975E6B" w:rsidRDefault="00D6478D" w:rsidP="00F26328">
      <w:pPr>
        <w:pStyle w:val="BodyText"/>
        <w:numPr>
          <w:ilvl w:val="0"/>
          <w:numId w:val="48"/>
        </w:numPr>
      </w:pPr>
      <w:r w:rsidRPr="00975E6B">
        <w:rPr>
          <w:bCs/>
        </w:rPr>
        <w:t xml:space="preserve">The </w:t>
      </w:r>
      <w:r w:rsidRPr="00975E6B">
        <w:t>financial reconciliations demonstrated the transformation of cost data for</w:t>
      </w:r>
      <w:r w:rsidR="00A82A09" w:rsidRPr="00975E6B">
        <w:t xml:space="preserve"> the</w:t>
      </w:r>
      <w:r w:rsidR="000122B5" w:rsidRPr="00975E6B">
        <w:t xml:space="preserve"> sampled hospitals based on the </w:t>
      </w:r>
      <w:r w:rsidR="0029551D" w:rsidRPr="00975E6B">
        <w:t xml:space="preserve">GL of the </w:t>
      </w:r>
      <w:r w:rsidR="000122B5" w:rsidRPr="00975E6B">
        <w:t>respective HHS</w:t>
      </w:r>
      <w:r w:rsidRPr="00975E6B">
        <w:t xml:space="preserve">. Major exclusions from </w:t>
      </w:r>
      <w:r w:rsidR="0029551D" w:rsidRPr="00975E6B">
        <w:t xml:space="preserve">the </w:t>
      </w:r>
      <w:r w:rsidRPr="00975E6B">
        <w:t xml:space="preserve">HHS data included other hospitals/health services within each HHS. </w:t>
      </w:r>
      <w:r w:rsidR="00CA6430" w:rsidRPr="00975E6B">
        <w:t>Queensland</w:t>
      </w:r>
      <w:r w:rsidR="009A4E35" w:rsidRPr="00975E6B">
        <w:t xml:space="preserve"> Health</w:t>
      </w:r>
      <w:r w:rsidRPr="00975E6B">
        <w:t xml:space="preserve"> processe</w:t>
      </w:r>
      <w:r w:rsidR="000122B5" w:rsidRPr="00975E6B">
        <w:t>d</w:t>
      </w:r>
      <w:r w:rsidRPr="00975E6B">
        <w:t xml:space="preserve"> a number of adjustments, with the largest </w:t>
      </w:r>
      <w:r w:rsidR="00FB47CF" w:rsidRPr="00975E6B">
        <w:t>exclusion</w:t>
      </w:r>
      <w:r w:rsidRPr="00975E6B">
        <w:t xml:space="preserve"> being related to </w:t>
      </w:r>
      <w:r w:rsidR="00FB47CF" w:rsidRPr="00975E6B">
        <w:t xml:space="preserve">the </w:t>
      </w:r>
      <w:r w:rsidR="009A4E35" w:rsidRPr="00975E6B">
        <w:t>v</w:t>
      </w:r>
      <w:r w:rsidRPr="00975E6B">
        <w:t>irtual patient feeder</w:t>
      </w:r>
      <w:r w:rsidR="00C50DA9" w:rsidRPr="00975E6B">
        <w:t xml:space="preserve">. </w:t>
      </w:r>
    </w:p>
    <w:p w:rsidR="00D6478D" w:rsidRPr="00975E6B" w:rsidRDefault="00D6478D" w:rsidP="00F26328">
      <w:pPr>
        <w:pStyle w:val="BodyText"/>
        <w:numPr>
          <w:ilvl w:val="0"/>
          <w:numId w:val="48"/>
        </w:numPr>
      </w:pPr>
      <w:r w:rsidRPr="00975E6B">
        <w:t>There w</w:t>
      </w:r>
      <w:r w:rsidR="00A03A02" w:rsidRPr="00975E6B">
        <w:t>ere</w:t>
      </w:r>
      <w:r w:rsidRPr="00975E6B">
        <w:t xml:space="preserve"> no unexplained variances in the financial reconciliations of the Ipswich Hospital, </w:t>
      </w:r>
      <w:r w:rsidR="00901CD9" w:rsidRPr="00975E6B">
        <w:t>Mackay Base</w:t>
      </w:r>
      <w:r w:rsidRPr="00975E6B">
        <w:t xml:space="preserve"> </w:t>
      </w:r>
      <w:r w:rsidR="0029551D" w:rsidRPr="00975E6B">
        <w:t xml:space="preserve">or </w:t>
      </w:r>
      <w:r w:rsidR="003F167A" w:rsidRPr="00975E6B">
        <w:t>Prince Charles</w:t>
      </w:r>
      <w:r w:rsidRPr="00975E6B">
        <w:t xml:space="preserve"> submissions</w:t>
      </w:r>
      <w:r w:rsidR="0029551D" w:rsidRPr="00975E6B">
        <w:t xml:space="preserve"> to the NHCDC</w:t>
      </w:r>
      <w:r w:rsidRPr="00975E6B">
        <w:t xml:space="preserve">. </w:t>
      </w:r>
    </w:p>
    <w:p w:rsidR="00676192" w:rsidRPr="00975E6B" w:rsidRDefault="00676192" w:rsidP="00F26328">
      <w:pPr>
        <w:pStyle w:val="BodyText"/>
        <w:numPr>
          <w:ilvl w:val="0"/>
          <w:numId w:val="48"/>
        </w:numPr>
      </w:pPr>
      <w:r w:rsidRPr="00975E6B">
        <w:t xml:space="preserve">Total activity data for </w:t>
      </w:r>
      <w:r w:rsidR="009A4E35" w:rsidRPr="00975E6B">
        <w:t>the hospitals</w:t>
      </w:r>
      <w:r w:rsidRPr="00975E6B">
        <w:t xml:space="preserve"> was adjusted </w:t>
      </w:r>
      <w:r w:rsidR="00A82A09" w:rsidRPr="00975E6B">
        <w:t xml:space="preserve">by </w:t>
      </w:r>
      <w:r w:rsidR="00CA6430" w:rsidRPr="00975E6B">
        <w:t>Queensland</w:t>
      </w:r>
      <w:r w:rsidR="00A82A09" w:rsidRPr="00975E6B">
        <w:t xml:space="preserve"> Health </w:t>
      </w:r>
      <w:r w:rsidRPr="00975E6B">
        <w:t xml:space="preserve">for the removal of </w:t>
      </w:r>
      <w:r w:rsidR="009A4E35" w:rsidRPr="00975E6B">
        <w:t>records associated with excluded costs</w:t>
      </w:r>
      <w:r w:rsidR="00C50DA9" w:rsidRPr="00975E6B">
        <w:t xml:space="preserve">. </w:t>
      </w:r>
      <w:r w:rsidR="009A4E35" w:rsidRPr="00975E6B">
        <w:t>IHPA made no adjustments to activity data</w:t>
      </w:r>
      <w:r w:rsidR="00C50DA9" w:rsidRPr="00975E6B">
        <w:t xml:space="preserve">. </w:t>
      </w:r>
    </w:p>
    <w:p w:rsidR="00D6478D" w:rsidRPr="00975E6B" w:rsidRDefault="00D6478D" w:rsidP="00F26328">
      <w:pPr>
        <w:pStyle w:val="BodyText"/>
        <w:numPr>
          <w:ilvl w:val="0"/>
          <w:numId w:val="48"/>
        </w:numPr>
      </w:pPr>
      <w:r w:rsidRPr="00975E6B">
        <w:t xml:space="preserve">The number of records linked from source to product </w:t>
      </w:r>
      <w:r w:rsidR="0074117C" w:rsidRPr="00975E6B">
        <w:t xml:space="preserve">was </w:t>
      </w:r>
      <w:r w:rsidRPr="00975E6B">
        <w:t>significant with all feeders having a greater than 88</w:t>
      </w:r>
      <w:r w:rsidR="00A03A02" w:rsidRPr="00975E6B">
        <w:t xml:space="preserve"> percent</w:t>
      </w:r>
      <w:r w:rsidRPr="00975E6B">
        <w:t xml:space="preserve"> link or match, across all hospitals. </w:t>
      </w:r>
      <w:r w:rsidR="00037F64" w:rsidRPr="00975E6B">
        <w:t xml:space="preserve">This suggests that there is robustness in the level of feeder activity reported back to episodes. </w:t>
      </w:r>
      <w:r w:rsidRPr="00975E6B">
        <w:t xml:space="preserve">This </w:t>
      </w:r>
      <w:r w:rsidR="00037F64" w:rsidRPr="00975E6B">
        <w:t xml:space="preserve">percentage </w:t>
      </w:r>
      <w:r w:rsidRPr="00975E6B">
        <w:t xml:space="preserve">does not include the virtual patient feeder system that </w:t>
      </w:r>
      <w:r w:rsidR="0074117C" w:rsidRPr="00975E6B">
        <w:t xml:space="preserve">was </w:t>
      </w:r>
      <w:r w:rsidRPr="00975E6B">
        <w:t>not linked to hospital activity.</w:t>
      </w:r>
    </w:p>
    <w:p w:rsidR="009A4E35" w:rsidRPr="00975E6B" w:rsidRDefault="00CA6430" w:rsidP="00F26328">
      <w:pPr>
        <w:pStyle w:val="BodyText"/>
        <w:numPr>
          <w:ilvl w:val="0"/>
          <w:numId w:val="48"/>
        </w:numPr>
      </w:pPr>
      <w:r w:rsidRPr="00975E6B">
        <w:t>Queensland</w:t>
      </w:r>
      <w:r w:rsidR="009A4E35" w:rsidRPr="00975E6B">
        <w:t xml:space="preserve"> Health representatives and hospital costing representatives advised that costing occurs in accordance with state published guidelines which have been written with consideration of the AHPCS Version 3.1.</w:t>
      </w:r>
    </w:p>
    <w:p w:rsidR="00F418E5" w:rsidRPr="00975E6B" w:rsidRDefault="00F418E5" w:rsidP="00F26328">
      <w:pPr>
        <w:pStyle w:val="BodyText"/>
        <w:numPr>
          <w:ilvl w:val="0"/>
          <w:numId w:val="48"/>
        </w:numPr>
      </w:pPr>
      <w:r w:rsidRPr="00975E6B">
        <w:t xml:space="preserve">Teaching and </w:t>
      </w:r>
      <w:r w:rsidR="0029551D" w:rsidRPr="00975E6B">
        <w:t>t</w:t>
      </w:r>
      <w:r w:rsidRPr="00975E6B">
        <w:t>raining costs are not product costed</w:t>
      </w:r>
      <w:r w:rsidR="0029551D" w:rsidRPr="00975E6B">
        <w:t xml:space="preserve"> but are </w:t>
      </w:r>
      <w:r w:rsidRPr="00975E6B">
        <w:t>spread across all patients. Clinical research is assigned to a virtual patient and excluded during jurisdiction adjustments.</w:t>
      </w:r>
    </w:p>
    <w:p w:rsidR="009A4E35" w:rsidRPr="00975E6B" w:rsidRDefault="009A4E35" w:rsidP="00F26328">
      <w:pPr>
        <w:pStyle w:val="BodyText"/>
        <w:numPr>
          <w:ilvl w:val="0"/>
          <w:numId w:val="48"/>
        </w:numPr>
      </w:pPr>
      <w:r w:rsidRPr="00975E6B">
        <w:lastRenderedPageBreak/>
        <w:t xml:space="preserve">WIP </w:t>
      </w:r>
      <w:r w:rsidR="0074117C" w:rsidRPr="00975E6B">
        <w:t xml:space="preserve">was </w:t>
      </w:r>
      <w:r w:rsidRPr="00975E6B">
        <w:t xml:space="preserve">treated in accordance with the COST 5.002 of the AHPCS Version 3.1. We note that no escalation factor </w:t>
      </w:r>
      <w:r w:rsidR="0074117C" w:rsidRPr="00975E6B">
        <w:t xml:space="preserve">was </w:t>
      </w:r>
      <w:r w:rsidRPr="00975E6B">
        <w:t>applied to prior year costs.</w:t>
      </w:r>
    </w:p>
    <w:p w:rsidR="0031210D" w:rsidRPr="00975E6B" w:rsidRDefault="0031210D" w:rsidP="00F26328">
      <w:pPr>
        <w:pStyle w:val="BodyText"/>
        <w:numPr>
          <w:ilvl w:val="0"/>
          <w:numId w:val="48"/>
        </w:numPr>
      </w:pPr>
      <w:r w:rsidRPr="00975E6B">
        <w:t>On review of the five sample patients selected for each of the three participating Queensland hospitals, all 15 patients reconciled to IHPA records</w:t>
      </w:r>
      <w:r w:rsidR="005D12ED" w:rsidRPr="00975E6B">
        <w:t xml:space="preserve">. </w:t>
      </w:r>
    </w:p>
    <w:p w:rsidR="00273A0D" w:rsidRPr="00975E6B" w:rsidRDefault="00273A0D" w:rsidP="001140D3">
      <w:pPr>
        <w:pStyle w:val="BodyText"/>
      </w:pPr>
      <w:r w:rsidRPr="00975E6B">
        <w:t xml:space="preserve">Based on discussions held during the site visits, and a review of the financial reconciliations provided, </w:t>
      </w:r>
      <w:r w:rsidR="00CA6430" w:rsidRPr="00975E6B">
        <w:t>Queensland</w:t>
      </w:r>
      <w:r w:rsidRPr="00975E6B">
        <w:t xml:space="preserve"> Health and the health services reviewed have robust reconciliation processes in place. As such, nothing </w:t>
      </w:r>
      <w:r w:rsidR="0029551D" w:rsidRPr="00975E6B">
        <w:t xml:space="preserve">was identified </w:t>
      </w:r>
      <w:r w:rsidRPr="00975E6B">
        <w:t xml:space="preserve">to suggest that the financial data </w:t>
      </w:r>
      <w:r w:rsidR="00FA471E" w:rsidRPr="00975E6B">
        <w:t xml:space="preserve">for Ipswich Hospital, </w:t>
      </w:r>
      <w:r w:rsidR="00901CD9" w:rsidRPr="00975E6B">
        <w:t>Mackay Base</w:t>
      </w:r>
      <w:r w:rsidR="00FA471E" w:rsidRPr="00975E6B">
        <w:t xml:space="preserve"> and </w:t>
      </w:r>
      <w:r w:rsidR="003F167A" w:rsidRPr="00975E6B">
        <w:t>Prince Charles</w:t>
      </w:r>
      <w:r w:rsidR="00FA471E" w:rsidRPr="00975E6B">
        <w:t xml:space="preserve"> </w:t>
      </w:r>
      <w:r w:rsidRPr="00975E6B">
        <w:t>is not fit for NHCDC submission.</w:t>
      </w:r>
      <w:r w:rsidR="009A4E35" w:rsidRPr="00975E6B">
        <w:t xml:space="preserve"> </w:t>
      </w:r>
      <w:r w:rsidRPr="00975E6B">
        <w:t>Furthermore, the data flow from the jurisdiction to IHPA demonstrated no unexplained variances.</w:t>
      </w:r>
    </w:p>
    <w:p w:rsidR="00BA70A6" w:rsidRPr="00975E6B" w:rsidRDefault="00BA70A6" w:rsidP="003B387A">
      <w:pPr>
        <w:pStyle w:val="Heading1"/>
        <w:numPr>
          <w:ilvl w:val="0"/>
          <w:numId w:val="77"/>
        </w:numPr>
      </w:pPr>
      <w:bookmarkStart w:id="755" w:name="_Toc444523668"/>
      <w:r w:rsidRPr="00D1343E">
        <w:lastRenderedPageBreak/>
        <w:t>South</w:t>
      </w:r>
      <w:r w:rsidRPr="00975E6B">
        <w:t xml:space="preserve"> Australia</w:t>
      </w:r>
      <w:bookmarkEnd w:id="755"/>
    </w:p>
    <w:p w:rsidR="002E59FA" w:rsidRPr="00975E6B" w:rsidRDefault="002E59FA" w:rsidP="003B387A">
      <w:pPr>
        <w:pStyle w:val="Heading2"/>
        <w:numPr>
          <w:ilvl w:val="1"/>
          <w:numId w:val="77"/>
        </w:numPr>
      </w:pPr>
      <w:bookmarkStart w:id="756" w:name="_Toc444523669"/>
      <w:r w:rsidRPr="00D1343E">
        <w:t>Jurisdictional</w:t>
      </w:r>
      <w:r w:rsidRPr="00975E6B">
        <w:t xml:space="preserve"> overview</w:t>
      </w:r>
      <w:bookmarkEnd w:id="756"/>
    </w:p>
    <w:p w:rsidR="002E59FA" w:rsidRPr="00975E6B" w:rsidRDefault="002E59FA" w:rsidP="003B387A">
      <w:pPr>
        <w:pStyle w:val="Heading3"/>
        <w:numPr>
          <w:ilvl w:val="2"/>
          <w:numId w:val="77"/>
        </w:numPr>
      </w:pPr>
      <w:r w:rsidRPr="00D1343E">
        <w:t>Management</w:t>
      </w:r>
      <w:r w:rsidRPr="00975E6B">
        <w:t xml:space="preserve"> of NHCDC process </w:t>
      </w:r>
    </w:p>
    <w:p w:rsidR="00F22B73" w:rsidRPr="00975E6B" w:rsidRDefault="002E59FA" w:rsidP="002E59FA">
      <w:pPr>
        <w:pStyle w:val="BodyText"/>
      </w:pPr>
      <w:r w:rsidRPr="00975E6B">
        <w:t xml:space="preserve">The South Australian Department of Health and Ageing (SA Health) through the Funding Models Unit is responsible for the preparation and submission of </w:t>
      </w:r>
      <w:r w:rsidR="00F22B73" w:rsidRPr="00975E6B">
        <w:t xml:space="preserve">SA data to </w:t>
      </w:r>
      <w:r w:rsidRPr="00975E6B">
        <w:t xml:space="preserve">the NHCDC. The approach for Round 18 is consistent with the approach used during the Round 17 submission. </w:t>
      </w:r>
    </w:p>
    <w:p w:rsidR="002E59FA" w:rsidRPr="00975E6B" w:rsidRDefault="002E59FA" w:rsidP="002E59FA">
      <w:pPr>
        <w:pStyle w:val="BodyText"/>
      </w:pPr>
      <w:r w:rsidRPr="00975E6B">
        <w:t>SA Health prepared the Round 18 submission in consultation with the relevant hospitals and Local Health Networks (LHN</w:t>
      </w:r>
      <w:r w:rsidR="00F22B73" w:rsidRPr="00975E6B">
        <w:t>s</w:t>
      </w:r>
      <w:r w:rsidRPr="00975E6B">
        <w:t xml:space="preserve">). </w:t>
      </w:r>
    </w:p>
    <w:p w:rsidR="002E59FA" w:rsidRPr="00975E6B" w:rsidRDefault="002E59FA" w:rsidP="002E59FA">
      <w:pPr>
        <w:pStyle w:val="BodyText"/>
      </w:pPr>
      <w:r w:rsidRPr="00975E6B">
        <w:t xml:space="preserve">SA Health implemented a single instance of Power Performance Management 2 (PPM2) from </w:t>
      </w:r>
      <w:proofErr w:type="spellStart"/>
      <w:r w:rsidRPr="00975E6B">
        <w:t>PowerHealth</w:t>
      </w:r>
      <w:proofErr w:type="spellEnd"/>
      <w:r w:rsidRPr="00975E6B">
        <w:t xml:space="preserve"> Solutions as its corporate clinical costing solution. The use of a single instance, co-ordinated by a central unit ensures that the approach to costing in </w:t>
      </w:r>
      <w:r w:rsidR="00F22B73" w:rsidRPr="00975E6B">
        <w:t>SA</w:t>
      </w:r>
      <w:r w:rsidRPr="00975E6B">
        <w:t xml:space="preserve"> is consistent across all hospitals. </w:t>
      </w:r>
    </w:p>
    <w:p w:rsidR="002E59FA" w:rsidRPr="00975E6B" w:rsidRDefault="002E59FA" w:rsidP="002E59FA">
      <w:pPr>
        <w:pStyle w:val="BodyText"/>
      </w:pPr>
      <w:r w:rsidRPr="00975E6B">
        <w:t>Hospitals are responsible for recording activity data in the Patient Administration System (PAS). Hospital activity data is extracted to a state</w:t>
      </w:r>
      <w:r w:rsidR="00003334" w:rsidRPr="00975E6B">
        <w:t>-</w:t>
      </w:r>
      <w:r w:rsidRPr="00975E6B">
        <w:t xml:space="preserve">wide data warehouse. Quality </w:t>
      </w:r>
      <w:r w:rsidR="00F22B73" w:rsidRPr="00975E6B">
        <w:t>a</w:t>
      </w:r>
      <w:r w:rsidRPr="00975E6B">
        <w:t xml:space="preserve">ssurance processes </w:t>
      </w:r>
      <w:r w:rsidR="00F22B73" w:rsidRPr="00975E6B">
        <w:t xml:space="preserve">are </w:t>
      </w:r>
      <w:r w:rsidRPr="00975E6B">
        <w:t>undertaken by the LHN and SA Health to ensure that the activity data is robust and consistent.</w:t>
      </w:r>
    </w:p>
    <w:p w:rsidR="002E59FA" w:rsidRPr="00975E6B" w:rsidRDefault="002E59FA" w:rsidP="002E59FA">
      <w:pPr>
        <w:pStyle w:val="BodyText"/>
      </w:pPr>
      <w:r w:rsidRPr="00975E6B">
        <w:t xml:space="preserve">SA Health has a single instance of its financial management information system with each LHN having a dedicated </w:t>
      </w:r>
      <w:r w:rsidR="00F22B73" w:rsidRPr="00975E6B">
        <w:t xml:space="preserve">general </w:t>
      </w:r>
      <w:r w:rsidRPr="00975E6B">
        <w:t>ledger</w:t>
      </w:r>
      <w:r w:rsidR="00F22B73" w:rsidRPr="00975E6B">
        <w:t xml:space="preserve"> (GL)</w:t>
      </w:r>
      <w:r w:rsidRPr="00975E6B">
        <w:t xml:space="preserve">. Individual health services are responsible for the financial data in their respective ledgers. The hospital financial data is extracted from the GL as part of the costing process. SA Health does not allocate any additional costs to the financial data after it is extracted from the GL. </w:t>
      </w:r>
    </w:p>
    <w:p w:rsidR="002E59FA" w:rsidRPr="00975E6B" w:rsidRDefault="002E59FA" w:rsidP="002E59FA">
      <w:pPr>
        <w:pStyle w:val="BodyText"/>
      </w:pPr>
      <w:r w:rsidRPr="00975E6B">
        <w:t>Product fractioned (PFRAC) data w</w:t>
      </w:r>
      <w:r w:rsidR="00A03A02" w:rsidRPr="00975E6B">
        <w:t>as</w:t>
      </w:r>
      <w:r w:rsidRPr="00975E6B">
        <w:t xml:space="preserve"> recently reviewed at the hospitals included in this IFR, in particular, fractions used to allocate medical salaries and wages costs.</w:t>
      </w:r>
    </w:p>
    <w:p w:rsidR="002E59FA" w:rsidRPr="00975E6B" w:rsidRDefault="002E59FA" w:rsidP="002E59FA">
      <w:pPr>
        <w:pStyle w:val="BodyText"/>
        <w:rPr>
          <w:color w:val="FF0000"/>
        </w:rPr>
      </w:pPr>
      <w:r w:rsidRPr="00975E6B">
        <w:t>Prior to submitting NHCDC data to IHPA, the Funding Model Unit provides each LHN with a reconciliation of any changes in the costing submission since the last review and seeks Executive sign-off from the LHN. The Senior Manager, Funding Models submits the data to IHPA.</w:t>
      </w:r>
    </w:p>
    <w:p w:rsidR="00DC3DE9" w:rsidRPr="00975E6B" w:rsidRDefault="00F22B73" w:rsidP="00DC3DE9">
      <w:pPr>
        <w:pStyle w:val="BodyText"/>
      </w:pPr>
      <w:r w:rsidRPr="00975E6B">
        <w:t>Two hospitals from the Northern Adelaide Local Health Network (Northern Adelaide LHN) were nominated to participate in the IFR for</w:t>
      </w:r>
      <w:r w:rsidR="002E59FA" w:rsidRPr="00975E6B">
        <w:t xml:space="preserve"> Round 18</w:t>
      </w:r>
      <w:r w:rsidRPr="00975E6B">
        <w:t xml:space="preserve">, the Lyell </w:t>
      </w:r>
      <w:proofErr w:type="spellStart"/>
      <w:r w:rsidRPr="00975E6B">
        <w:t>McEwin</w:t>
      </w:r>
      <w:proofErr w:type="spellEnd"/>
      <w:r w:rsidRPr="00975E6B">
        <w:t xml:space="preserve"> Hospital </w:t>
      </w:r>
      <w:r w:rsidR="000F57A5" w:rsidRPr="00975E6B">
        <w:t>(</w:t>
      </w:r>
      <w:r w:rsidR="003F167A" w:rsidRPr="00975E6B">
        <w:t xml:space="preserve">Lyell </w:t>
      </w:r>
      <w:proofErr w:type="spellStart"/>
      <w:r w:rsidR="003F167A" w:rsidRPr="00975E6B">
        <w:t>McEwin</w:t>
      </w:r>
      <w:proofErr w:type="spellEnd"/>
      <w:r w:rsidR="000F57A5" w:rsidRPr="00975E6B">
        <w:t xml:space="preserve">) </w:t>
      </w:r>
      <w:r w:rsidRPr="00975E6B">
        <w:t xml:space="preserve">and Modbury Hospital. </w:t>
      </w:r>
      <w:r w:rsidR="00DC3DE9" w:rsidRPr="00975E6B">
        <w:t xml:space="preserve">In addition to these hospitals, the Northern Adelaide LHN provides </w:t>
      </w:r>
      <w:r w:rsidR="004361F3" w:rsidRPr="00975E6B">
        <w:t xml:space="preserve">services for </w:t>
      </w:r>
      <w:r w:rsidR="000F57A5" w:rsidRPr="00975E6B">
        <w:t xml:space="preserve">northern Adelaide residents including </w:t>
      </w:r>
      <w:r w:rsidR="00DC3DE9" w:rsidRPr="00975E6B">
        <w:t xml:space="preserve">GP </w:t>
      </w:r>
      <w:proofErr w:type="gramStart"/>
      <w:r w:rsidR="00DC3DE9" w:rsidRPr="00975E6B">
        <w:t>Plus</w:t>
      </w:r>
      <w:proofErr w:type="gramEnd"/>
      <w:r w:rsidR="00DC3DE9" w:rsidRPr="00975E6B">
        <w:t xml:space="preserve"> Centres and Super Clinics, subacute and mental health services. </w:t>
      </w:r>
    </w:p>
    <w:p w:rsidR="007A24FF" w:rsidRPr="00975E6B" w:rsidRDefault="00934925" w:rsidP="00DB29E8">
      <w:pPr>
        <w:pStyle w:val="Heading4"/>
        <w:numPr>
          <w:ilvl w:val="0"/>
          <w:numId w:val="0"/>
        </w:numPr>
        <w:ind w:left="720" w:hanging="720"/>
      </w:pPr>
      <w:r w:rsidRPr="00975E6B">
        <w:t>Key initiatives since Round 17 NHCDC</w:t>
      </w:r>
    </w:p>
    <w:p w:rsidR="002E59FA" w:rsidRPr="00975E6B" w:rsidRDefault="002E59FA" w:rsidP="002E59FA">
      <w:pPr>
        <w:pStyle w:val="BodyText"/>
      </w:pPr>
      <w:r w:rsidRPr="00975E6B">
        <w:t>During 2014-15</w:t>
      </w:r>
      <w:r w:rsidR="006D41C8" w:rsidRPr="00975E6B">
        <w:t xml:space="preserve"> (for Round 19 submission)</w:t>
      </w:r>
      <w:r w:rsidRPr="00975E6B">
        <w:t>, SA Health worked on increasing the frequency of costing to become a monthly process, two months in arrears.</w:t>
      </w:r>
    </w:p>
    <w:p w:rsidR="002E59FA" w:rsidRPr="00975E6B" w:rsidRDefault="002E59FA" w:rsidP="003B387A">
      <w:pPr>
        <w:pStyle w:val="Heading2"/>
        <w:numPr>
          <w:ilvl w:val="1"/>
          <w:numId w:val="77"/>
        </w:numPr>
      </w:pPr>
      <w:bookmarkStart w:id="757" w:name="_Toc444523670"/>
      <w:r w:rsidRPr="00975E6B">
        <w:lastRenderedPageBreak/>
        <w:t xml:space="preserve">Lyell </w:t>
      </w:r>
      <w:proofErr w:type="spellStart"/>
      <w:r w:rsidRPr="00DB29E8">
        <w:t>McEwin</w:t>
      </w:r>
      <w:proofErr w:type="spellEnd"/>
      <w:r w:rsidRPr="00975E6B">
        <w:t xml:space="preserve"> Hospital</w:t>
      </w:r>
      <w:bookmarkEnd w:id="757"/>
    </w:p>
    <w:p w:rsidR="002E59FA" w:rsidRPr="00975E6B" w:rsidRDefault="002E59FA" w:rsidP="003B387A">
      <w:pPr>
        <w:pStyle w:val="Heading3"/>
        <w:numPr>
          <w:ilvl w:val="2"/>
          <w:numId w:val="77"/>
        </w:numPr>
      </w:pPr>
      <w:r w:rsidRPr="00DB29E8">
        <w:t>Overview</w:t>
      </w:r>
    </w:p>
    <w:p w:rsidR="002E59FA" w:rsidRPr="00975E6B" w:rsidRDefault="000F57A5" w:rsidP="002E59FA">
      <w:pPr>
        <w:pStyle w:val="BodyText"/>
      </w:pPr>
      <w:r w:rsidRPr="00975E6B">
        <w:t xml:space="preserve">The </w:t>
      </w:r>
      <w:r w:rsidR="00901CD9" w:rsidRPr="00975E6B">
        <w:t xml:space="preserve">Lyell </w:t>
      </w:r>
      <w:proofErr w:type="spellStart"/>
      <w:r w:rsidR="00901CD9" w:rsidRPr="00975E6B">
        <w:t>McEwin</w:t>
      </w:r>
      <w:proofErr w:type="spellEnd"/>
      <w:r w:rsidR="00901CD9" w:rsidRPr="00975E6B">
        <w:t xml:space="preserve"> Hospital (</w:t>
      </w:r>
      <w:r w:rsidR="003F167A" w:rsidRPr="00975E6B">
        <w:t xml:space="preserve">Lyell </w:t>
      </w:r>
      <w:proofErr w:type="spellStart"/>
      <w:r w:rsidR="003F167A" w:rsidRPr="00975E6B">
        <w:t>McEwin</w:t>
      </w:r>
      <w:proofErr w:type="spellEnd"/>
      <w:r w:rsidR="00901CD9" w:rsidRPr="00975E6B">
        <w:t>)</w:t>
      </w:r>
      <w:r w:rsidR="002E59FA" w:rsidRPr="00975E6B">
        <w:t xml:space="preserve"> is located in Elizabeth Vale in </w:t>
      </w:r>
      <w:r w:rsidRPr="00975E6B">
        <w:t>n</w:t>
      </w:r>
      <w:r w:rsidR="002E59FA" w:rsidRPr="00975E6B">
        <w:t xml:space="preserve">orthern Adelaide and is part of the </w:t>
      </w:r>
      <w:r w:rsidRPr="00975E6B">
        <w:t>Northern Adelaide LHN</w:t>
      </w:r>
      <w:r w:rsidR="002E59FA" w:rsidRPr="00975E6B">
        <w:t xml:space="preserve">, which employs more than 4,000 staff. </w:t>
      </w:r>
      <w:r w:rsidR="003F167A" w:rsidRPr="00975E6B">
        <w:t xml:space="preserve">Lyell </w:t>
      </w:r>
      <w:proofErr w:type="spellStart"/>
      <w:r w:rsidR="003F167A" w:rsidRPr="00975E6B">
        <w:t>McEwin</w:t>
      </w:r>
      <w:proofErr w:type="spellEnd"/>
      <w:r w:rsidR="002E59FA" w:rsidRPr="00975E6B">
        <w:t xml:space="preserve"> provides a full range of high-quality medical, surgical, diagnostic, emergency and support services. It is currently a 336</w:t>
      </w:r>
      <w:r w:rsidRPr="00975E6B">
        <w:t xml:space="preserve"> </w:t>
      </w:r>
      <w:r w:rsidR="002E59FA" w:rsidRPr="00975E6B">
        <w:t xml:space="preserve">bed specialist referral public teaching hospital, with links to the University of Adelaide, University of South Australia and Flinders University. </w:t>
      </w:r>
    </w:p>
    <w:p w:rsidR="002E59FA" w:rsidRPr="00975E6B" w:rsidRDefault="002E59FA" w:rsidP="002E59FA">
      <w:pPr>
        <w:pStyle w:val="BodyText"/>
      </w:pPr>
      <w:r w:rsidRPr="00975E6B">
        <w:t xml:space="preserve">Opening as a small country hospital in 1959, </w:t>
      </w:r>
      <w:r w:rsidR="003F167A" w:rsidRPr="00975E6B">
        <w:t xml:space="preserve">Lyell </w:t>
      </w:r>
      <w:proofErr w:type="spellStart"/>
      <w:r w:rsidR="003F167A" w:rsidRPr="00975E6B">
        <w:t>McEwin</w:t>
      </w:r>
      <w:proofErr w:type="spellEnd"/>
      <w:r w:rsidRPr="00975E6B">
        <w:t xml:space="preserve"> is today the major referral centre for acute care and emergency services in the northern region of Adelaide. It is currently undergoing a redevelopment worth in excess of $300 million that will increase bed capacity to 396.</w:t>
      </w:r>
      <w:r w:rsidRPr="00975E6B">
        <w:rPr>
          <w:rStyle w:val="FootnoteReference"/>
        </w:rPr>
        <w:footnoteReference w:id="8"/>
      </w:r>
    </w:p>
    <w:p w:rsidR="002E59FA" w:rsidRPr="00975E6B" w:rsidRDefault="002E59FA" w:rsidP="003B387A">
      <w:pPr>
        <w:pStyle w:val="Heading3"/>
        <w:numPr>
          <w:ilvl w:val="2"/>
          <w:numId w:val="77"/>
        </w:numPr>
      </w:pPr>
      <w:r w:rsidRPr="00DB29E8">
        <w:t>Financial</w:t>
      </w:r>
      <w:r w:rsidRPr="00975E6B">
        <w:t xml:space="preserve"> data</w:t>
      </w:r>
    </w:p>
    <w:p w:rsidR="002E59FA" w:rsidRPr="00975E6B" w:rsidRDefault="002E59FA" w:rsidP="002E59FA">
      <w:pPr>
        <w:pStyle w:val="BodyText"/>
      </w:pPr>
      <w:r w:rsidRPr="00975E6B">
        <w:t xml:space="preserve">For the Round 18 IFR, staff from the </w:t>
      </w:r>
      <w:r w:rsidR="000F57A5" w:rsidRPr="00975E6B">
        <w:t xml:space="preserve">SA Health </w:t>
      </w:r>
      <w:r w:rsidRPr="00975E6B">
        <w:t xml:space="preserve">Funding Models Unit completed the IFR templates and participated in consultations during the review. Representatives of </w:t>
      </w:r>
      <w:r w:rsidR="003F167A" w:rsidRPr="00975E6B">
        <w:t>Lyell </w:t>
      </w:r>
      <w:proofErr w:type="spellStart"/>
      <w:r w:rsidR="003F167A" w:rsidRPr="00975E6B">
        <w:t>McEwin</w:t>
      </w:r>
      <w:proofErr w:type="spellEnd"/>
      <w:r w:rsidRPr="00975E6B">
        <w:t xml:space="preserve"> and the clinical costing software vendor </w:t>
      </w:r>
      <w:proofErr w:type="spellStart"/>
      <w:r w:rsidRPr="00975E6B">
        <w:t>PowerHealth</w:t>
      </w:r>
      <w:proofErr w:type="spellEnd"/>
      <w:r w:rsidR="000F57A5" w:rsidRPr="00975E6B">
        <w:t xml:space="preserve"> Solutions</w:t>
      </w:r>
      <w:r w:rsidRPr="00975E6B">
        <w:t>, also attended the site visit</w:t>
      </w:r>
    </w:p>
    <w:p w:rsidR="002E59FA" w:rsidRPr="00975E6B" w:rsidRDefault="002E59FA" w:rsidP="002E59FA">
      <w:pPr>
        <w:pStyle w:val="BodyText"/>
      </w:pPr>
      <w:r w:rsidRPr="00975E6B">
        <w:fldChar w:fldCharType="begin"/>
      </w:r>
      <w:r w:rsidRPr="00975E6B">
        <w:instrText xml:space="preserve"> REF _Ref433363441 \h </w:instrText>
      </w:r>
      <w:r w:rsidR="00975E6B">
        <w:instrText xml:space="preserve"> \* MERGEFORMAT </w:instrText>
      </w:r>
      <w:r w:rsidRPr="00975E6B">
        <w:fldChar w:fldCharType="separate"/>
      </w:r>
      <w:r w:rsidR="00154CF7" w:rsidRPr="00975E6B">
        <w:t xml:space="preserve">Table </w:t>
      </w:r>
      <w:r w:rsidR="00154CF7">
        <w:rPr>
          <w:noProof/>
        </w:rPr>
        <w:t>56</w:t>
      </w:r>
      <w:r w:rsidRPr="00975E6B">
        <w:fldChar w:fldCharType="end"/>
      </w:r>
      <w:r w:rsidRPr="00975E6B">
        <w:t xml:space="preserve"> presents an overview of the template results for expenditures used for costing (at the hospital level), the jurisdictional process for cost data received and the IHPA process for cost data received.</w:t>
      </w:r>
    </w:p>
    <w:p w:rsidR="002E59FA" w:rsidRPr="00975E6B" w:rsidRDefault="002E59FA" w:rsidP="002E59FA">
      <w:pPr>
        <w:pStyle w:val="Caption"/>
        <w:sectPr w:rsidR="002E59FA" w:rsidRPr="00975E6B" w:rsidSect="00835E8A">
          <w:endnotePr>
            <w:numFmt w:val="decimal"/>
          </w:endnotePr>
          <w:pgSz w:w="11907" w:h="16840" w:code="9"/>
          <w:pgMar w:top="1964" w:right="1474" w:bottom="1588" w:left="1474" w:header="958" w:footer="737" w:gutter="454"/>
          <w:cols w:space="720"/>
          <w:docGrid w:linePitch="272"/>
        </w:sectPr>
      </w:pPr>
      <w:bookmarkStart w:id="758" w:name="_Ref432518495"/>
    </w:p>
    <w:p w:rsidR="002E59FA" w:rsidRPr="00975E6B" w:rsidRDefault="002E59FA" w:rsidP="002E59FA">
      <w:pPr>
        <w:pStyle w:val="Caption"/>
      </w:pPr>
      <w:bookmarkStart w:id="759" w:name="_Ref433363441"/>
      <w:r w:rsidRPr="00975E6B">
        <w:lastRenderedPageBreak/>
        <w:t xml:space="preserve">Table </w:t>
      </w:r>
      <w:fldSimple w:instr=" SEQ Table \* ARABIC ">
        <w:r w:rsidR="00154CF7">
          <w:rPr>
            <w:noProof/>
          </w:rPr>
          <w:t>56</w:t>
        </w:r>
      </w:fldSimple>
      <w:bookmarkEnd w:id="758"/>
      <w:bookmarkEnd w:id="759"/>
      <w:r w:rsidRPr="00975E6B">
        <w:t xml:space="preserve"> – </w:t>
      </w:r>
      <w:proofErr w:type="gramStart"/>
      <w:r w:rsidRPr="00975E6B">
        <w:t xml:space="preserve">Round 18 NHCDC Reconciliation – Lyell </w:t>
      </w:r>
      <w:proofErr w:type="spellStart"/>
      <w:r w:rsidRPr="00975E6B">
        <w:t>McEwin</w:t>
      </w:r>
      <w:proofErr w:type="spellEnd"/>
      <w:r w:rsidRPr="00975E6B">
        <w:t xml:space="preserve"> Hospital</w:t>
      </w:r>
      <w:proofErr w:type="gramEnd"/>
    </w:p>
    <w:p w:rsidR="002E59FA" w:rsidRPr="00975E6B" w:rsidRDefault="00E52E03" w:rsidP="00E52E03">
      <w:pPr>
        <w:tabs>
          <w:tab w:val="left" w:pos="8105"/>
        </w:tabs>
      </w:pPr>
      <w:r w:rsidRPr="00E52E03">
        <w:rPr>
          <w:noProof/>
          <w:lang w:eastAsia="en-AU"/>
        </w:rPr>
        <w:drawing>
          <wp:inline distT="0" distB="0" distL="0" distR="0" wp14:anchorId="4F9ECACA" wp14:editId="19D6838C">
            <wp:extent cx="8437880" cy="4355035"/>
            <wp:effectExtent l="0" t="0" r="1270" b="7620"/>
            <wp:docPr id="17" name="Picture 17" descr="This table presents the financial reconciliation of hospital expenditure for Round 18 for Lyell McEwin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10;&#10;" title="Table 56 - Round 18 NHCDC Reconciliation – Lyell McEwin Hospi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8437880" cy="4355035"/>
                    </a:xfrm>
                    <a:prstGeom prst="rect">
                      <a:avLst/>
                    </a:prstGeom>
                    <a:noFill/>
                    <a:ln>
                      <a:noFill/>
                    </a:ln>
                  </pic:spPr>
                </pic:pic>
              </a:graphicData>
            </a:graphic>
          </wp:inline>
        </w:drawing>
      </w:r>
    </w:p>
    <w:p w:rsidR="002E59FA" w:rsidRPr="00975E6B" w:rsidRDefault="002E59FA" w:rsidP="002E59FA">
      <w:pPr>
        <w:rPr>
          <w:bCs/>
          <w:i/>
          <w:sz w:val="16"/>
          <w:szCs w:val="16"/>
        </w:rPr>
      </w:pPr>
      <w:r w:rsidRPr="00975E6B">
        <w:rPr>
          <w:bCs/>
          <w:i/>
          <w:sz w:val="16"/>
          <w:szCs w:val="16"/>
        </w:rPr>
        <w:t xml:space="preserve">Source: KPMG based on </w:t>
      </w:r>
      <w:r w:rsidR="003F167A" w:rsidRPr="00975E6B">
        <w:rPr>
          <w:bCs/>
          <w:i/>
          <w:sz w:val="16"/>
          <w:szCs w:val="16"/>
        </w:rPr>
        <w:t xml:space="preserve">Lyell </w:t>
      </w:r>
      <w:proofErr w:type="spellStart"/>
      <w:r w:rsidR="003F167A" w:rsidRPr="00975E6B">
        <w:rPr>
          <w:bCs/>
          <w:i/>
          <w:sz w:val="16"/>
          <w:szCs w:val="16"/>
        </w:rPr>
        <w:t>McEwin</w:t>
      </w:r>
      <w:proofErr w:type="spellEnd"/>
      <w:r w:rsidRPr="00975E6B">
        <w:rPr>
          <w:bCs/>
          <w:i/>
          <w:sz w:val="16"/>
          <w:szCs w:val="16"/>
        </w:rPr>
        <w:t xml:space="preserve"> IFR templates</w:t>
      </w:r>
    </w:p>
    <w:p w:rsidR="002E59FA" w:rsidRPr="00975E6B" w:rsidRDefault="002E59FA" w:rsidP="002E59FA">
      <w:pPr>
        <w:rPr>
          <w:bCs/>
          <w:i/>
          <w:sz w:val="16"/>
          <w:szCs w:val="16"/>
        </w:rPr>
      </w:pPr>
      <w:r w:rsidRPr="00975E6B">
        <w:rPr>
          <w:bCs/>
          <w:i/>
          <w:sz w:val="16"/>
          <w:szCs w:val="16"/>
        </w:rPr>
        <w:t>* These figures include admitted emergency costs.</w:t>
      </w:r>
    </w:p>
    <w:p w:rsidR="002E59FA" w:rsidRPr="00975E6B" w:rsidRDefault="002E59FA" w:rsidP="002E59FA">
      <w:pPr>
        <w:rPr>
          <w:bCs/>
          <w:i/>
          <w:sz w:val="16"/>
          <w:szCs w:val="16"/>
        </w:rPr>
      </w:pPr>
    </w:p>
    <w:p w:rsidR="002E59FA" w:rsidRPr="00975E6B" w:rsidRDefault="002E59FA" w:rsidP="002E59FA">
      <w:pPr>
        <w:pStyle w:val="Heading4"/>
        <w:sectPr w:rsidR="002E59FA" w:rsidRPr="00975E6B" w:rsidSect="00835E8A">
          <w:endnotePr>
            <w:numFmt w:val="decimal"/>
          </w:endnotePr>
          <w:pgSz w:w="16840" w:h="11907" w:orient="landscape" w:code="9"/>
          <w:pgMar w:top="1474" w:right="1964" w:bottom="1474" w:left="1588" w:header="958" w:footer="737" w:gutter="454"/>
          <w:cols w:space="720"/>
          <w:docGrid w:linePitch="272"/>
        </w:sectPr>
      </w:pPr>
    </w:p>
    <w:p w:rsidR="002E59FA" w:rsidRPr="00975E6B" w:rsidRDefault="002E59FA" w:rsidP="00DB29E8">
      <w:pPr>
        <w:pStyle w:val="Heading4"/>
        <w:numPr>
          <w:ilvl w:val="0"/>
          <w:numId w:val="0"/>
        </w:numPr>
      </w:pPr>
      <w:r w:rsidRPr="00975E6B">
        <w:lastRenderedPageBreak/>
        <w:t>Explanation of reconciliation items</w:t>
      </w:r>
    </w:p>
    <w:p w:rsidR="002E59FA" w:rsidRPr="00B464CA" w:rsidRDefault="002E59FA" w:rsidP="00B464CA">
      <w:pPr>
        <w:spacing w:before="120" w:after="120" w:line="280" w:lineRule="atLeast"/>
        <w:jc w:val="both"/>
        <w:rPr>
          <w:bCs/>
        </w:rPr>
      </w:pPr>
      <w:r w:rsidRPr="00B464CA">
        <w:rPr>
          <w:bCs/>
        </w:rPr>
        <w:fldChar w:fldCharType="begin"/>
      </w:r>
      <w:r w:rsidRPr="00B464CA">
        <w:rPr>
          <w:bCs/>
        </w:rPr>
        <w:instrText xml:space="preserve"> REF _Ref432505978 \h </w:instrText>
      </w:r>
      <w:r w:rsidR="00975E6B" w:rsidRPr="00B464CA">
        <w:rPr>
          <w:bCs/>
        </w:rPr>
        <w:instrText xml:space="preserve"> \* MERGEFORMAT </w:instrText>
      </w:r>
      <w:r w:rsidRPr="00B464CA">
        <w:rPr>
          <w:bCs/>
        </w:rPr>
      </w:r>
      <w:r w:rsidRPr="00B464CA">
        <w:rPr>
          <w:bCs/>
        </w:rPr>
        <w:fldChar w:fldCharType="separate"/>
      </w:r>
      <w:r w:rsidR="00154CF7" w:rsidRPr="00154CF7">
        <w:rPr>
          <w:bCs/>
        </w:rPr>
        <w:t>Table 57</w:t>
      </w:r>
      <w:r w:rsidRPr="00B464CA">
        <w:rPr>
          <w:bCs/>
        </w:rPr>
        <w:fldChar w:fldCharType="end"/>
      </w:r>
      <w:r w:rsidRPr="00B464CA">
        <w:rPr>
          <w:bCs/>
        </w:rPr>
        <w:t xml:space="preserve"> discusses each of the reconciliation items including adjustments, inclusions and exclusions to the </w:t>
      </w:r>
      <w:r w:rsidR="00A03A02" w:rsidRPr="00B464CA">
        <w:rPr>
          <w:bCs/>
        </w:rPr>
        <w:t>GL</w:t>
      </w:r>
      <w:r w:rsidRPr="00B464CA">
        <w:rPr>
          <w:bCs/>
        </w:rPr>
        <w:t>.</w:t>
      </w:r>
    </w:p>
    <w:p w:rsidR="002E59FA" w:rsidRPr="00975E6B" w:rsidRDefault="002E59FA" w:rsidP="002E59FA">
      <w:pPr>
        <w:pStyle w:val="Caption"/>
      </w:pPr>
      <w:bookmarkStart w:id="760" w:name="_Ref432505978"/>
      <w:r w:rsidRPr="00975E6B">
        <w:t xml:space="preserve">Table </w:t>
      </w:r>
      <w:fldSimple w:instr=" SEQ Table \* ARABIC ">
        <w:r w:rsidR="00154CF7">
          <w:rPr>
            <w:noProof/>
          </w:rPr>
          <w:t>57</w:t>
        </w:r>
      </w:fldSimple>
      <w:bookmarkEnd w:id="760"/>
      <w:r w:rsidRPr="00975E6B">
        <w:t xml:space="preserve"> – </w:t>
      </w:r>
      <w:r w:rsidR="00704A46" w:rsidRPr="00975E6B">
        <w:t>Financial Reconciliation, explanation of items</w:t>
      </w:r>
      <w:r w:rsidRPr="00975E6B">
        <w:t xml:space="preserve"> – Lyell </w:t>
      </w:r>
      <w:proofErr w:type="spellStart"/>
      <w:r w:rsidRPr="00975E6B">
        <w:t>McEwin</w:t>
      </w:r>
      <w:proofErr w:type="spellEnd"/>
      <w:r w:rsidRPr="00975E6B">
        <w:t xml:space="preserve"> Hospital</w:t>
      </w:r>
    </w:p>
    <w:tbl>
      <w:tblPr>
        <w:tblStyle w:val="ListTable4-Accent11"/>
        <w:tblW w:w="5000" w:type="pct"/>
        <w:tblLayout w:type="fixed"/>
        <w:tblLook w:val="0620" w:firstRow="1" w:lastRow="0" w:firstColumn="0" w:lastColumn="0" w:noHBand="1" w:noVBand="1"/>
        <w:tblCaption w:val="Table 57 - Financial reconciliation, explanation of items - Lyell McEwin Hospital"/>
        <w:tblDescription w:val="This table describes the information presented in Table 56.  The first column is the item number (A to K), the second column is the title of the item number and the third column is a description of the financial information included at that item.&#10;"/>
      </w:tblPr>
      <w:tblGrid>
        <w:gridCol w:w="722"/>
        <w:gridCol w:w="2622"/>
        <w:gridCol w:w="5377"/>
      </w:tblGrid>
      <w:tr w:rsidR="002E59FA"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14" w:type="pct"/>
            <w:tcBorders>
              <w:right w:val="single" w:sz="4" w:space="0" w:color="548DD4" w:themeColor="text2" w:themeTint="99"/>
            </w:tcBorders>
            <w:shd w:val="clear" w:color="auto" w:fill="002060"/>
            <w:noWrap/>
          </w:tcPr>
          <w:p w:rsidR="002E59FA" w:rsidRPr="00975E6B" w:rsidRDefault="002E59FA" w:rsidP="0029344A">
            <w:r w:rsidRPr="00975E6B">
              <w:t>Item</w:t>
            </w:r>
          </w:p>
        </w:tc>
        <w:tc>
          <w:tcPr>
            <w:tcW w:w="1503" w:type="pct"/>
            <w:tcBorders>
              <w:left w:val="single" w:sz="4" w:space="0" w:color="548DD4" w:themeColor="text2" w:themeTint="99"/>
            </w:tcBorders>
            <w:shd w:val="clear" w:color="auto" w:fill="002060"/>
          </w:tcPr>
          <w:p w:rsidR="002E59FA" w:rsidRPr="00975E6B" w:rsidRDefault="002E59FA" w:rsidP="0029344A">
            <w:r w:rsidRPr="00975E6B">
              <w:t>Heading</w:t>
            </w:r>
          </w:p>
        </w:tc>
        <w:tc>
          <w:tcPr>
            <w:tcW w:w="3083" w:type="pct"/>
            <w:tcBorders>
              <w:left w:val="single" w:sz="4" w:space="0" w:color="548DD4" w:themeColor="text2" w:themeTint="99"/>
            </w:tcBorders>
            <w:shd w:val="clear" w:color="auto" w:fill="002060"/>
          </w:tcPr>
          <w:p w:rsidR="002E59FA" w:rsidRPr="00975E6B" w:rsidRDefault="002E59FA" w:rsidP="0029344A">
            <w:r w:rsidRPr="00975E6B">
              <w:t>Discussion</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t>A</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General Ledger</w:t>
            </w:r>
          </w:p>
        </w:tc>
        <w:tc>
          <w:tcPr>
            <w:tcW w:w="3083" w:type="pct"/>
            <w:tcBorders>
              <w:left w:val="single" w:sz="4" w:space="0" w:color="548DD4" w:themeColor="text2" w:themeTint="99"/>
            </w:tcBorders>
          </w:tcPr>
          <w:p w:rsidR="002E59FA" w:rsidRPr="00975E6B" w:rsidRDefault="002E59FA">
            <w:pPr>
              <w:pStyle w:val="BodyText"/>
            </w:pPr>
            <w:r w:rsidRPr="00975E6B">
              <w:t>The GL amount of $321.4 million represent</w:t>
            </w:r>
            <w:r w:rsidR="009D47EB" w:rsidRPr="00975E6B">
              <w:t>ed</w:t>
            </w:r>
            <w:r w:rsidRPr="00975E6B">
              <w:t xml:space="preserve"> the </w:t>
            </w:r>
            <w:r w:rsidR="003F167A" w:rsidRPr="00975E6B">
              <w:t>Lyell</w:t>
            </w:r>
            <w:r w:rsidR="003D1169" w:rsidRPr="00975E6B">
              <w:t> </w:t>
            </w:r>
            <w:proofErr w:type="spellStart"/>
            <w:r w:rsidR="003F167A" w:rsidRPr="00975E6B">
              <w:t>McEwin</w:t>
            </w:r>
            <w:proofErr w:type="spellEnd"/>
            <w:r w:rsidRPr="00975E6B">
              <w:t xml:space="preserve"> share of the total </w:t>
            </w:r>
            <w:r w:rsidR="000F57A5" w:rsidRPr="00975E6B">
              <w:t>Northern Adelaide LHN</w:t>
            </w:r>
            <w:r w:rsidRPr="00975E6B">
              <w:t xml:space="preserve"> expenditure of $472.5 million.</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t>B</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Adjustments to the GL</w:t>
            </w:r>
          </w:p>
        </w:tc>
        <w:tc>
          <w:tcPr>
            <w:tcW w:w="3083" w:type="pct"/>
            <w:tcBorders>
              <w:left w:val="single" w:sz="4" w:space="0" w:color="548DD4" w:themeColor="text2" w:themeTint="99"/>
            </w:tcBorders>
          </w:tcPr>
          <w:p w:rsidR="002E59FA" w:rsidRPr="00975E6B" w:rsidRDefault="002E59FA" w:rsidP="0029344A">
            <w:pPr>
              <w:pStyle w:val="BodyText"/>
            </w:pPr>
            <w:r w:rsidRPr="00975E6B">
              <w:t>A number of adjustments are made to the GL. Expenditure items excluded total</w:t>
            </w:r>
            <w:r w:rsidR="009D47EB" w:rsidRPr="00975E6B">
              <w:t>led</w:t>
            </w:r>
            <w:r w:rsidRPr="00975E6B">
              <w:t xml:space="preserve"> $1.8 million and relate</w:t>
            </w:r>
            <w:r w:rsidR="009D47EB" w:rsidRPr="00975E6B">
              <w:t>d</w:t>
            </w:r>
            <w:r w:rsidRPr="00975E6B">
              <w:t xml:space="preserve"> to the following</w:t>
            </w:r>
            <w:r w:rsidR="009D47EB" w:rsidRPr="00975E6B">
              <w:t>:</w:t>
            </w:r>
          </w:p>
          <w:p w:rsidR="002E59FA" w:rsidRPr="00975E6B" w:rsidRDefault="002E59FA" w:rsidP="00F26328">
            <w:pPr>
              <w:pStyle w:val="BodyText"/>
              <w:numPr>
                <w:ilvl w:val="0"/>
                <w:numId w:val="37"/>
              </w:numPr>
            </w:pPr>
            <w:r w:rsidRPr="00975E6B">
              <w:t>Bad Debts expense of $</w:t>
            </w:r>
            <w:r w:rsidR="005D2F17" w:rsidRPr="00975E6B">
              <w:t>809,449</w:t>
            </w:r>
            <w:r w:rsidR="009D47EB" w:rsidRPr="00975E6B">
              <w:t>.</w:t>
            </w:r>
            <w:r w:rsidRPr="00975E6B">
              <w:t xml:space="preserve"> </w:t>
            </w:r>
          </w:p>
          <w:p w:rsidR="002E59FA" w:rsidRPr="00975E6B" w:rsidRDefault="002E59FA" w:rsidP="00F26328">
            <w:pPr>
              <w:pStyle w:val="BodyText"/>
              <w:numPr>
                <w:ilvl w:val="0"/>
                <w:numId w:val="37"/>
              </w:numPr>
            </w:pPr>
            <w:r w:rsidRPr="00975E6B">
              <w:t>Medical Salaries back pay from a prior financial year of $1 million</w:t>
            </w:r>
            <w:r w:rsidR="009D47EB" w:rsidRPr="00975E6B">
              <w:t>.</w:t>
            </w:r>
          </w:p>
          <w:p w:rsidR="002E59FA" w:rsidRPr="00975E6B" w:rsidRDefault="002E59FA" w:rsidP="0029344A">
            <w:pPr>
              <w:pStyle w:val="BodyText"/>
            </w:pPr>
            <w:r w:rsidRPr="00975E6B">
              <w:t>Expenditure items included total</w:t>
            </w:r>
            <w:r w:rsidR="009D47EB" w:rsidRPr="00975E6B">
              <w:t>led</w:t>
            </w:r>
            <w:r w:rsidRPr="00975E6B">
              <w:t xml:space="preserve"> $19.9 million and relate</w:t>
            </w:r>
            <w:r w:rsidR="009D47EB" w:rsidRPr="00975E6B">
              <w:t>d</w:t>
            </w:r>
            <w:r w:rsidRPr="00975E6B">
              <w:t xml:space="preserve"> to services or functions not recharged through the </w:t>
            </w:r>
            <w:r w:rsidR="009D47EB" w:rsidRPr="00975E6B">
              <w:t>GL</w:t>
            </w:r>
            <w:r w:rsidRPr="00975E6B">
              <w:t>, e.g. centralised procurement and ICT costs ($28.2</w:t>
            </w:r>
            <w:r w:rsidR="005D2F17" w:rsidRPr="00975E6B">
              <w:t> </w:t>
            </w:r>
            <w:r w:rsidRPr="00975E6B">
              <w:t xml:space="preserve">million). The inclusions </w:t>
            </w:r>
            <w:r w:rsidR="009D47EB" w:rsidRPr="00975E6B">
              <w:t>were</w:t>
            </w:r>
            <w:r w:rsidRPr="00975E6B">
              <w:t xml:space="preserve"> netted off by recharges and reclassification of costs to other services ($8.3 million).</w:t>
            </w:r>
          </w:p>
          <w:p w:rsidR="002E59FA" w:rsidRPr="00975E6B" w:rsidRDefault="002E59FA" w:rsidP="005E2379">
            <w:pPr>
              <w:pStyle w:val="BodyText"/>
            </w:pPr>
            <w:r w:rsidRPr="00975E6B">
              <w:t>These adjustments established an expenditure base for costing of $339.5</w:t>
            </w:r>
            <w:r w:rsidR="009D47EB" w:rsidRPr="00975E6B">
              <w:t xml:space="preserve"> </w:t>
            </w:r>
            <w:r w:rsidRPr="00975E6B">
              <w:t xml:space="preserve">million for </w:t>
            </w:r>
            <w:r w:rsidR="003F167A" w:rsidRPr="00975E6B">
              <w:t xml:space="preserve">Lyell </w:t>
            </w:r>
            <w:proofErr w:type="spellStart"/>
            <w:r w:rsidR="003F167A" w:rsidRPr="00975E6B">
              <w:t>McEwin</w:t>
            </w:r>
            <w:proofErr w:type="spellEnd"/>
            <w:r w:rsidRPr="00975E6B">
              <w:t>. This was approximately 106</w:t>
            </w:r>
            <w:r w:rsidR="00DA7807" w:rsidRPr="00975E6B">
              <w:t> percent</w:t>
            </w:r>
            <w:r w:rsidRPr="00975E6B">
              <w:t xml:space="preserve"> of </w:t>
            </w:r>
            <w:r w:rsidR="003F167A" w:rsidRPr="00975E6B">
              <w:t xml:space="preserve">Lyell </w:t>
            </w:r>
            <w:proofErr w:type="spellStart"/>
            <w:r w:rsidR="003F167A" w:rsidRPr="00975E6B">
              <w:t>McEwin</w:t>
            </w:r>
            <w:r w:rsidR="005E2379" w:rsidRPr="00975E6B">
              <w:t>’s</w:t>
            </w:r>
            <w:proofErr w:type="spellEnd"/>
            <w:r w:rsidR="005E2379" w:rsidRPr="00975E6B">
              <w:t xml:space="preserve"> </w:t>
            </w:r>
            <w:r w:rsidRPr="00975E6B">
              <w:t>total expenditure reported in the GL.</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t>C</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Allocation of Costs</w:t>
            </w:r>
          </w:p>
        </w:tc>
        <w:tc>
          <w:tcPr>
            <w:tcW w:w="3083" w:type="pct"/>
            <w:tcBorders>
              <w:left w:val="single" w:sz="4" w:space="0" w:color="548DD4" w:themeColor="text2" w:themeTint="99"/>
            </w:tcBorders>
          </w:tcPr>
          <w:p w:rsidR="002E59FA" w:rsidRPr="00975E6B" w:rsidRDefault="002E59FA" w:rsidP="0029344A">
            <w:pPr>
              <w:pStyle w:val="BodyText"/>
            </w:pPr>
            <w:r w:rsidRPr="00975E6B">
              <w:t>Once all adjustments are made, costs are allocated to patients.</w:t>
            </w:r>
          </w:p>
          <w:p w:rsidR="002E59FA" w:rsidRPr="00975E6B" w:rsidRDefault="002E59FA" w:rsidP="00F26328">
            <w:pPr>
              <w:pStyle w:val="BodyText"/>
              <w:numPr>
                <w:ilvl w:val="0"/>
                <w:numId w:val="38"/>
              </w:numPr>
            </w:pPr>
            <w:r w:rsidRPr="00975E6B">
              <w:t>The template demonstrated that the total of all direct cost centres of $249.4 million w</w:t>
            </w:r>
            <w:r w:rsidR="009D47EB" w:rsidRPr="00975E6B">
              <w:t>ere</w:t>
            </w:r>
            <w:r w:rsidRPr="00975E6B">
              <w:t xml:space="preserve"> allocated post allocation.</w:t>
            </w:r>
          </w:p>
          <w:p w:rsidR="002E59FA" w:rsidRPr="00975E6B" w:rsidRDefault="002E59FA" w:rsidP="00F26328">
            <w:pPr>
              <w:pStyle w:val="BodyText"/>
              <w:numPr>
                <w:ilvl w:val="0"/>
                <w:numId w:val="38"/>
              </w:numPr>
            </w:pPr>
            <w:r w:rsidRPr="00975E6B">
              <w:t>The template demonstrated that overheads of $90 million were allocated to direct cost centres post allocation.</w:t>
            </w:r>
          </w:p>
          <w:p w:rsidR="002E59FA" w:rsidRPr="00975E6B" w:rsidRDefault="002E59FA" w:rsidP="005E2379">
            <w:pPr>
              <w:pStyle w:val="BodyText"/>
            </w:pPr>
            <w:r w:rsidRPr="00975E6B">
              <w:t>We note a variance of $</w:t>
            </w:r>
            <w:r w:rsidR="005E2379" w:rsidRPr="00975E6B">
              <w:t>118,629</w:t>
            </w:r>
            <w:r w:rsidRPr="00975E6B">
              <w:t xml:space="preserve"> that related to costs shared across activity with other hospitals. This amount was adjusted during post allocation adjustments.</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t>D</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Post Allocation Adjustments</w:t>
            </w:r>
          </w:p>
        </w:tc>
        <w:tc>
          <w:tcPr>
            <w:tcW w:w="3083" w:type="pct"/>
            <w:tcBorders>
              <w:left w:val="single" w:sz="4" w:space="0" w:color="548DD4" w:themeColor="text2" w:themeTint="99"/>
            </w:tcBorders>
          </w:tcPr>
          <w:p w:rsidR="002E59FA" w:rsidRPr="00975E6B" w:rsidRDefault="002E59FA" w:rsidP="0029344A">
            <w:pPr>
              <w:pStyle w:val="BodyText"/>
            </w:pPr>
            <w:r w:rsidRPr="00975E6B">
              <w:t>A range of costs were excluded after the allocation of costs in Item C. The amounts excluded include</w:t>
            </w:r>
            <w:r w:rsidR="009D47EB" w:rsidRPr="00975E6B">
              <w:t>d</w:t>
            </w:r>
            <w:r w:rsidRPr="00975E6B">
              <w:t xml:space="preserve">: </w:t>
            </w:r>
          </w:p>
          <w:p w:rsidR="002E59FA" w:rsidRPr="00975E6B" w:rsidRDefault="00366F39" w:rsidP="00F26328">
            <w:pPr>
              <w:pStyle w:val="BodyText"/>
              <w:numPr>
                <w:ilvl w:val="0"/>
                <w:numId w:val="38"/>
              </w:numPr>
            </w:pPr>
            <w:r w:rsidRPr="00975E6B">
              <w:t>Non-admitted patients</w:t>
            </w:r>
            <w:r w:rsidR="002E59FA" w:rsidRPr="00975E6B">
              <w:t xml:space="preserve"> - $59.4 million (quality and </w:t>
            </w:r>
            <w:r w:rsidR="002E59FA" w:rsidRPr="00975E6B">
              <w:lastRenderedPageBreak/>
              <w:t xml:space="preserve">completeness of activity data </w:t>
            </w:r>
            <w:r w:rsidR="0074117C" w:rsidRPr="00975E6B">
              <w:t xml:space="preserve">was </w:t>
            </w:r>
            <w:r w:rsidR="002E59FA" w:rsidRPr="00975E6B">
              <w:t>limited)</w:t>
            </w:r>
            <w:r w:rsidR="009D47EB" w:rsidRPr="00975E6B">
              <w:t>.</w:t>
            </w:r>
          </w:p>
          <w:p w:rsidR="002E59FA" w:rsidRPr="00975E6B" w:rsidRDefault="00140C9F" w:rsidP="00F26328">
            <w:pPr>
              <w:pStyle w:val="BodyText"/>
              <w:numPr>
                <w:ilvl w:val="0"/>
                <w:numId w:val="38"/>
              </w:numPr>
            </w:pPr>
            <w:r w:rsidRPr="00975E6B">
              <w:t>TTR</w:t>
            </w:r>
            <w:r w:rsidR="002E59FA" w:rsidRPr="00975E6B">
              <w:t xml:space="preserve"> - $9.7 million (not patient costed)</w:t>
            </w:r>
            <w:r w:rsidR="009D47EB" w:rsidRPr="00975E6B">
              <w:t>.</w:t>
            </w:r>
          </w:p>
          <w:p w:rsidR="002E59FA" w:rsidRPr="00975E6B" w:rsidRDefault="002E59FA" w:rsidP="00F26328">
            <w:pPr>
              <w:pStyle w:val="BodyText"/>
              <w:numPr>
                <w:ilvl w:val="0"/>
                <w:numId w:val="38"/>
              </w:numPr>
            </w:pPr>
            <w:r w:rsidRPr="00975E6B">
              <w:t xml:space="preserve">Other - $3.83 million (dummy and </w:t>
            </w:r>
            <w:r w:rsidR="009D47EB" w:rsidRPr="00975E6B">
              <w:t>non-</w:t>
            </w:r>
            <w:proofErr w:type="spellStart"/>
            <w:r w:rsidR="009D47EB" w:rsidRPr="00975E6B">
              <w:t>case</w:t>
            </w:r>
            <w:r w:rsidRPr="00975E6B">
              <w:t>mix</w:t>
            </w:r>
            <w:proofErr w:type="spellEnd"/>
            <w:r w:rsidRPr="00975E6B">
              <w:t xml:space="preserve"> records)</w:t>
            </w:r>
            <w:r w:rsidR="009D47EB" w:rsidRPr="00975E6B">
              <w:t>.</w:t>
            </w:r>
          </w:p>
          <w:p w:rsidR="002E59FA" w:rsidRPr="00975E6B" w:rsidRDefault="002E59FA" w:rsidP="0029344A">
            <w:pPr>
              <w:pStyle w:val="BodyText"/>
            </w:pPr>
            <w:r w:rsidRPr="00975E6B">
              <w:t>Costs shared with activity across hospitals totalling $</w:t>
            </w:r>
            <w:r w:rsidR="005E2379" w:rsidRPr="00975E6B">
              <w:t>118,634</w:t>
            </w:r>
            <w:r w:rsidR="00BA3F4B" w:rsidRPr="00975E6B">
              <w:t xml:space="preserve"> </w:t>
            </w:r>
            <w:r w:rsidRPr="00975E6B">
              <w:t>were included. This amount relates to the variance identified at Item C.</w:t>
            </w:r>
          </w:p>
          <w:p w:rsidR="002E59FA" w:rsidRPr="00975E6B" w:rsidRDefault="002E59FA" w:rsidP="005E2379">
            <w:pPr>
              <w:pStyle w:val="BodyText"/>
            </w:pPr>
            <w:r w:rsidRPr="00975E6B">
              <w:t xml:space="preserve">The total expenditure allocated to patients </w:t>
            </w:r>
            <w:r w:rsidR="005E2379" w:rsidRPr="00975E6B">
              <w:t xml:space="preserve">for </w:t>
            </w:r>
            <w:r w:rsidR="003F167A" w:rsidRPr="00975E6B">
              <w:t xml:space="preserve">Lyell </w:t>
            </w:r>
            <w:proofErr w:type="spellStart"/>
            <w:r w:rsidR="003F167A" w:rsidRPr="00975E6B">
              <w:t>McEwin</w:t>
            </w:r>
            <w:proofErr w:type="spellEnd"/>
            <w:r w:rsidR="005E2379" w:rsidRPr="00975E6B">
              <w:t xml:space="preserve"> </w:t>
            </w:r>
            <w:r w:rsidRPr="00975E6B">
              <w:t>was $266.6 million which represent</w:t>
            </w:r>
            <w:r w:rsidR="009D47EB" w:rsidRPr="00975E6B">
              <w:t>ed</w:t>
            </w:r>
            <w:r w:rsidRPr="00975E6B">
              <w:t xml:space="preserve"> approximately 83</w:t>
            </w:r>
            <w:r w:rsidR="00DA7807" w:rsidRPr="00975E6B">
              <w:t> percent</w:t>
            </w:r>
            <w:r w:rsidRPr="00975E6B">
              <w:t xml:space="preserve"> of the GL.</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lastRenderedPageBreak/>
              <w:t>E</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Costed Products Submitted to jurisdiction</w:t>
            </w:r>
          </w:p>
        </w:tc>
        <w:tc>
          <w:tcPr>
            <w:tcW w:w="3083" w:type="pct"/>
            <w:tcBorders>
              <w:left w:val="single" w:sz="4" w:space="0" w:color="548DD4" w:themeColor="text2" w:themeTint="99"/>
            </w:tcBorders>
          </w:tcPr>
          <w:p w:rsidR="002E59FA" w:rsidRPr="00975E6B" w:rsidRDefault="002E59FA" w:rsidP="00EC75FC">
            <w:pPr>
              <w:pStyle w:val="BodyText"/>
            </w:pPr>
            <w:r w:rsidRPr="00975E6B">
              <w:t>Costs derived by the hospital and reported at product level equa</w:t>
            </w:r>
            <w:r w:rsidR="009D47EB" w:rsidRPr="00975E6B">
              <w:t>l</w:t>
            </w:r>
            <w:r w:rsidRPr="00975E6B">
              <w:t>l</w:t>
            </w:r>
            <w:r w:rsidR="009D47EB" w:rsidRPr="00975E6B">
              <w:t>ed</w:t>
            </w:r>
            <w:r w:rsidRPr="00975E6B">
              <w:t xml:space="preserve"> $266.6 million. </w:t>
            </w:r>
            <w:r w:rsidR="003F167A" w:rsidRPr="00975E6B">
              <w:t xml:space="preserve">Lyell </w:t>
            </w:r>
            <w:proofErr w:type="spellStart"/>
            <w:r w:rsidR="003F167A" w:rsidRPr="00975E6B">
              <w:t>McEwin</w:t>
            </w:r>
            <w:proofErr w:type="spellEnd"/>
            <w:r w:rsidRPr="00975E6B">
              <w:t xml:space="preserve"> submitted </w:t>
            </w:r>
            <w:r w:rsidR="005E2379" w:rsidRPr="00975E6B">
              <w:t>a</w:t>
            </w:r>
            <w:r w:rsidRPr="00975E6B">
              <w:t xml:space="preserve">cute, </w:t>
            </w:r>
            <w:r w:rsidR="005E2379" w:rsidRPr="00975E6B">
              <w:t>e</w:t>
            </w:r>
            <w:r w:rsidRPr="00975E6B">
              <w:t xml:space="preserve">mergency </w:t>
            </w:r>
            <w:r w:rsidR="005E2379" w:rsidRPr="00975E6B">
              <w:t xml:space="preserve">care </w:t>
            </w:r>
            <w:r w:rsidRPr="00975E6B">
              <w:t xml:space="preserve">and </w:t>
            </w:r>
            <w:r w:rsidR="001E2D16" w:rsidRPr="00975E6B">
              <w:t>subacute</w:t>
            </w:r>
            <w:r w:rsidRPr="00975E6B">
              <w:t xml:space="preserve"> costed products.</w:t>
            </w:r>
          </w:p>
        </w:tc>
      </w:tr>
      <w:tr w:rsidR="002E59FA" w:rsidRPr="00975E6B" w:rsidTr="0029344A">
        <w:trPr>
          <w:trHeight w:val="285"/>
        </w:trPr>
        <w:tc>
          <w:tcPr>
            <w:tcW w:w="414" w:type="pct"/>
            <w:tcBorders>
              <w:right w:val="single" w:sz="4" w:space="0" w:color="548DD4" w:themeColor="text2" w:themeTint="99"/>
            </w:tcBorders>
            <w:noWrap/>
          </w:tcPr>
          <w:p w:rsidR="002E59FA" w:rsidRPr="00975E6B" w:rsidRDefault="002E59FA" w:rsidP="0029344A">
            <w:pPr>
              <w:pStyle w:val="BodyText"/>
            </w:pPr>
            <w:r w:rsidRPr="00975E6B">
              <w:t>F</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Costed Products received by jurisdiction</w:t>
            </w:r>
          </w:p>
        </w:tc>
        <w:tc>
          <w:tcPr>
            <w:tcW w:w="3083" w:type="pct"/>
            <w:tcBorders>
              <w:left w:val="single" w:sz="4" w:space="0" w:color="548DD4" w:themeColor="text2" w:themeTint="99"/>
            </w:tcBorders>
          </w:tcPr>
          <w:p w:rsidR="002E59FA" w:rsidRPr="00975E6B" w:rsidRDefault="002E59FA" w:rsidP="0029344A">
            <w:pPr>
              <w:pStyle w:val="BodyText"/>
            </w:pPr>
            <w:r w:rsidRPr="00975E6B">
              <w:t>No variance was noted between Items E and F.</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t>G</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Final Adjustments</w:t>
            </w:r>
          </w:p>
        </w:tc>
        <w:tc>
          <w:tcPr>
            <w:tcW w:w="3083" w:type="pct"/>
            <w:tcBorders>
              <w:left w:val="single" w:sz="4" w:space="0" w:color="548DD4" w:themeColor="text2" w:themeTint="99"/>
            </w:tcBorders>
          </w:tcPr>
          <w:p w:rsidR="002E59FA" w:rsidRPr="00975E6B" w:rsidRDefault="002E59FA" w:rsidP="005E2379">
            <w:pPr>
              <w:pStyle w:val="BodyText"/>
            </w:pPr>
            <w:r w:rsidRPr="00975E6B">
              <w:t>Final adjustments were processed for WIP and escalation of costs from prior years. These adjustments totalled $2.9</w:t>
            </w:r>
            <w:r w:rsidR="005E2379" w:rsidRPr="00975E6B">
              <w:t> </w:t>
            </w:r>
            <w:r w:rsidRPr="00975E6B">
              <w:t>million. The total cost after these adjustments was $263.</w:t>
            </w:r>
            <w:r w:rsidR="001F15B9" w:rsidRPr="00975E6B">
              <w:t>6</w:t>
            </w:r>
            <w:r w:rsidRPr="00975E6B">
              <w:t xml:space="preserve"> million.</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t>H</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Costed products submitted to IHPA</w:t>
            </w:r>
          </w:p>
        </w:tc>
        <w:tc>
          <w:tcPr>
            <w:tcW w:w="3083" w:type="pct"/>
            <w:tcBorders>
              <w:left w:val="single" w:sz="4" w:space="0" w:color="548DD4" w:themeColor="text2" w:themeTint="99"/>
            </w:tcBorders>
          </w:tcPr>
          <w:p w:rsidR="002E59FA" w:rsidRPr="00975E6B" w:rsidRDefault="002E59FA">
            <w:pPr>
              <w:pStyle w:val="BodyText"/>
            </w:pPr>
            <w:r w:rsidRPr="00975E6B">
              <w:t>Costs derived by the jurisdiction and reported at product level reconcile</w:t>
            </w:r>
            <w:r w:rsidR="009D47EB" w:rsidRPr="00975E6B">
              <w:t>d</w:t>
            </w:r>
            <w:r w:rsidRPr="00975E6B">
              <w:t xml:space="preserve"> to $263.6 million. SA health submitted </w:t>
            </w:r>
            <w:r w:rsidR="005E2379" w:rsidRPr="00975E6B">
              <w:t>acute, emergency care and subacute costed products</w:t>
            </w:r>
            <w:r w:rsidRPr="00975E6B">
              <w:t xml:space="preserve">. </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t>I</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Total costed products received by IHPA</w:t>
            </w:r>
          </w:p>
        </w:tc>
        <w:tc>
          <w:tcPr>
            <w:tcW w:w="3083" w:type="pct"/>
            <w:tcBorders>
              <w:left w:val="single" w:sz="4" w:space="0" w:color="548DD4" w:themeColor="text2" w:themeTint="99"/>
            </w:tcBorders>
          </w:tcPr>
          <w:p w:rsidR="002E59FA" w:rsidRPr="00975E6B" w:rsidRDefault="002E59FA">
            <w:pPr>
              <w:pStyle w:val="BodyText"/>
            </w:pPr>
            <w:r w:rsidRPr="00975E6B">
              <w:t xml:space="preserve">Costs received by IHPA totalled $263.6 million. </w:t>
            </w:r>
            <w:r w:rsidR="00FD2F5D" w:rsidRPr="00975E6B">
              <w:t>A variance</w:t>
            </w:r>
            <w:r w:rsidRPr="00975E6B">
              <w:t xml:space="preserve"> of $28,773 between Item I and Item H</w:t>
            </w:r>
            <w:r w:rsidR="00FD2F5D" w:rsidRPr="00975E6B">
              <w:t xml:space="preserve"> was identified</w:t>
            </w:r>
            <w:r w:rsidRPr="00975E6B">
              <w:t>.</w:t>
            </w:r>
            <w:r w:rsidR="00A31ED6" w:rsidRPr="00975E6B">
              <w:t xml:space="preserve"> This variance represents</w:t>
            </w:r>
            <w:r w:rsidR="00FD2F5D" w:rsidRPr="00975E6B">
              <w:t xml:space="preserve"> 0.01 percent of the costs submitted to IHPA.</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t>J</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IHPA Adjustments</w:t>
            </w:r>
          </w:p>
        </w:tc>
        <w:tc>
          <w:tcPr>
            <w:tcW w:w="3083" w:type="pct"/>
            <w:tcBorders>
              <w:left w:val="single" w:sz="4" w:space="0" w:color="548DD4" w:themeColor="text2" w:themeTint="99"/>
            </w:tcBorders>
          </w:tcPr>
          <w:p w:rsidR="002E59FA" w:rsidRPr="00975E6B" w:rsidRDefault="002E59FA" w:rsidP="0029344A">
            <w:pPr>
              <w:pStyle w:val="BodyText"/>
              <w:rPr>
                <w:i/>
              </w:rPr>
            </w:pPr>
            <w:r w:rsidRPr="00975E6B">
              <w:rPr>
                <w:i/>
              </w:rPr>
              <w:t>Admitted Emergency</w:t>
            </w:r>
          </w:p>
          <w:p w:rsidR="002E59FA" w:rsidRPr="00975E6B" w:rsidRDefault="002E59FA">
            <w:pPr>
              <w:pStyle w:val="BodyText"/>
            </w:pPr>
            <w:r w:rsidRPr="00975E6B">
              <w:t xml:space="preserve">Upon receipt of cost data, IHPA allocates the admitted emergency costs back to admitted patients for the purposes of reporting and analysis. Within IHPA’s reconciliation, this amount </w:t>
            </w:r>
            <w:r w:rsidR="0074117C" w:rsidRPr="00975E6B">
              <w:t xml:space="preserve">was </w:t>
            </w:r>
            <w:r w:rsidRPr="00975E6B">
              <w:t xml:space="preserve">a duplication of admitted emergency costs and not an additional cost. For </w:t>
            </w:r>
            <w:r w:rsidR="003F167A" w:rsidRPr="00975E6B">
              <w:t>Lyell</w:t>
            </w:r>
            <w:r w:rsidR="00D63488" w:rsidRPr="00975E6B">
              <w:t> </w:t>
            </w:r>
            <w:proofErr w:type="spellStart"/>
            <w:r w:rsidR="003F167A" w:rsidRPr="00975E6B">
              <w:t>McEwin</w:t>
            </w:r>
            <w:proofErr w:type="spellEnd"/>
            <w:r w:rsidRPr="00975E6B">
              <w:t xml:space="preserve"> this amounted to $15.2 million.</w:t>
            </w:r>
          </w:p>
        </w:tc>
      </w:tr>
      <w:tr w:rsidR="002E59FA" w:rsidRPr="00975E6B" w:rsidTr="0029344A">
        <w:tc>
          <w:tcPr>
            <w:tcW w:w="414" w:type="pct"/>
            <w:tcBorders>
              <w:right w:val="single" w:sz="4" w:space="0" w:color="548DD4" w:themeColor="text2" w:themeTint="99"/>
            </w:tcBorders>
            <w:noWrap/>
          </w:tcPr>
          <w:p w:rsidR="002E59FA" w:rsidRPr="00975E6B" w:rsidRDefault="002E59FA" w:rsidP="0029344A">
            <w:pPr>
              <w:pStyle w:val="BodyText"/>
            </w:pPr>
            <w:r w:rsidRPr="00975E6B">
              <w:t>K</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Final NHCDC costed products</w:t>
            </w:r>
          </w:p>
        </w:tc>
        <w:tc>
          <w:tcPr>
            <w:tcW w:w="3083" w:type="pct"/>
            <w:tcBorders>
              <w:left w:val="single" w:sz="4" w:space="0" w:color="548DD4" w:themeColor="text2" w:themeTint="99"/>
            </w:tcBorders>
          </w:tcPr>
          <w:p w:rsidR="002E59FA" w:rsidRPr="00975E6B" w:rsidRDefault="002E59FA" w:rsidP="005E2379">
            <w:pPr>
              <w:pStyle w:val="BodyText"/>
              <w:rPr>
                <w:color w:val="FF0000"/>
              </w:rPr>
            </w:pPr>
            <w:r w:rsidRPr="00975E6B">
              <w:t xml:space="preserve">The final NHCDC costed data for </w:t>
            </w:r>
            <w:r w:rsidR="003F167A" w:rsidRPr="00975E6B">
              <w:t xml:space="preserve">Lyell </w:t>
            </w:r>
            <w:proofErr w:type="spellStart"/>
            <w:r w:rsidR="003F167A" w:rsidRPr="00975E6B">
              <w:t>McEwin</w:t>
            </w:r>
            <w:proofErr w:type="spellEnd"/>
            <w:r w:rsidRPr="00975E6B">
              <w:t xml:space="preserve"> that was loaded into the </w:t>
            </w:r>
            <w:r w:rsidR="005E2379" w:rsidRPr="00975E6B">
              <w:t xml:space="preserve">NHCDC </w:t>
            </w:r>
            <w:r w:rsidRPr="00975E6B">
              <w:t>Round 18 cost data set was $278.8 million, which includes the admitted emergency cost of $15.2 million.</w:t>
            </w:r>
          </w:p>
        </w:tc>
      </w:tr>
    </w:tbl>
    <w:p w:rsidR="00F034D9" w:rsidRPr="00975E6B" w:rsidRDefault="00F034D9" w:rsidP="00F71180">
      <w:pPr>
        <w:rPr>
          <w:b/>
          <w:i/>
          <w:sz w:val="16"/>
          <w:szCs w:val="16"/>
        </w:rPr>
      </w:pPr>
      <w:r w:rsidRPr="00975E6B">
        <w:rPr>
          <w:bCs/>
          <w:i/>
          <w:sz w:val="16"/>
          <w:szCs w:val="16"/>
        </w:rPr>
        <w:lastRenderedPageBreak/>
        <w:t xml:space="preserve">Source: KPMG, based on Lyell </w:t>
      </w:r>
      <w:proofErr w:type="spellStart"/>
      <w:r w:rsidRPr="00975E6B">
        <w:rPr>
          <w:bCs/>
          <w:i/>
          <w:sz w:val="16"/>
          <w:szCs w:val="16"/>
        </w:rPr>
        <w:t>McEwin</w:t>
      </w:r>
      <w:proofErr w:type="spellEnd"/>
      <w:r w:rsidRPr="00975E6B">
        <w:rPr>
          <w:bCs/>
          <w:i/>
          <w:sz w:val="16"/>
          <w:szCs w:val="16"/>
        </w:rPr>
        <w:t xml:space="preserve"> templates and review discussions</w:t>
      </w:r>
    </w:p>
    <w:p w:rsidR="002E59FA" w:rsidRPr="00975E6B" w:rsidRDefault="002E59FA" w:rsidP="00F71180">
      <w:pPr>
        <w:rPr>
          <w:bCs/>
          <w:i/>
          <w:sz w:val="16"/>
          <w:szCs w:val="16"/>
        </w:rPr>
      </w:pPr>
    </w:p>
    <w:p w:rsidR="002E59FA" w:rsidRPr="00975E6B" w:rsidRDefault="002E59FA" w:rsidP="003B387A">
      <w:pPr>
        <w:pStyle w:val="Heading3"/>
        <w:numPr>
          <w:ilvl w:val="2"/>
          <w:numId w:val="77"/>
        </w:numPr>
      </w:pPr>
      <w:r w:rsidRPr="00DB29E8">
        <w:t>Activity</w:t>
      </w:r>
      <w:r w:rsidRPr="00975E6B">
        <w:t xml:space="preserve"> data</w:t>
      </w:r>
    </w:p>
    <w:p w:rsidR="002E59FA" w:rsidRPr="00B464CA" w:rsidRDefault="002E59FA" w:rsidP="00B464CA">
      <w:pPr>
        <w:spacing w:before="120" w:after="120" w:line="280" w:lineRule="atLeast"/>
        <w:jc w:val="both"/>
        <w:rPr>
          <w:bCs/>
        </w:rPr>
      </w:pPr>
      <w:r w:rsidRPr="00B464CA">
        <w:rPr>
          <w:bCs/>
        </w:rPr>
        <w:fldChar w:fldCharType="begin"/>
      </w:r>
      <w:r w:rsidRPr="00B464CA">
        <w:rPr>
          <w:bCs/>
        </w:rPr>
        <w:instrText xml:space="preserve"> REF _Ref433364916 \h </w:instrText>
      </w:r>
      <w:r w:rsidR="00975E6B" w:rsidRPr="00B464CA">
        <w:rPr>
          <w:bCs/>
        </w:rPr>
        <w:instrText xml:space="preserve"> \* MERGEFORMAT </w:instrText>
      </w:r>
      <w:r w:rsidRPr="00B464CA">
        <w:rPr>
          <w:bCs/>
        </w:rPr>
      </w:r>
      <w:r w:rsidRPr="00B464CA">
        <w:rPr>
          <w:bCs/>
        </w:rPr>
        <w:fldChar w:fldCharType="separate"/>
      </w:r>
      <w:r w:rsidR="00154CF7" w:rsidRPr="00154CF7">
        <w:rPr>
          <w:bCs/>
        </w:rPr>
        <w:t>Table 58</w:t>
      </w:r>
      <w:r w:rsidRPr="00B464CA">
        <w:rPr>
          <w:bCs/>
        </w:rPr>
        <w:fldChar w:fldCharType="end"/>
      </w:r>
      <w:r w:rsidRPr="00B464CA">
        <w:rPr>
          <w:bCs/>
        </w:rPr>
        <w:t xml:space="preserve"> presents activity and feeder data provided for </w:t>
      </w:r>
      <w:r w:rsidR="003F167A" w:rsidRPr="00B464CA">
        <w:rPr>
          <w:bCs/>
        </w:rPr>
        <w:t xml:space="preserve">Lyell </w:t>
      </w:r>
      <w:proofErr w:type="spellStart"/>
      <w:r w:rsidR="003F167A" w:rsidRPr="00B464CA">
        <w:rPr>
          <w:bCs/>
        </w:rPr>
        <w:t>McEwin</w:t>
      </w:r>
      <w:proofErr w:type="spellEnd"/>
      <w:r w:rsidRPr="00B464CA">
        <w:rPr>
          <w:bCs/>
        </w:rPr>
        <w:t>.</w:t>
      </w:r>
    </w:p>
    <w:p w:rsidR="0096374D" w:rsidRPr="00975E6B" w:rsidRDefault="002E59FA" w:rsidP="00CD1518">
      <w:pPr>
        <w:pStyle w:val="Caption"/>
        <w:rPr>
          <w:sz w:val="16"/>
          <w:szCs w:val="16"/>
        </w:rPr>
      </w:pPr>
      <w:bookmarkStart w:id="761" w:name="_Ref433364916"/>
      <w:r w:rsidRPr="00975E6B">
        <w:t xml:space="preserve">Table </w:t>
      </w:r>
      <w:r w:rsidR="003E3288">
        <w:rPr>
          <w:bCs w:val="0"/>
          <w:i w:val="0"/>
        </w:rPr>
        <w:fldChar w:fldCharType="begin"/>
      </w:r>
      <w:r w:rsidR="003E3288">
        <w:rPr>
          <w:bCs w:val="0"/>
          <w:i w:val="0"/>
        </w:rPr>
        <w:instrText xml:space="preserve"> SEQ Table \* ARABIC </w:instrText>
      </w:r>
      <w:r w:rsidR="003E3288">
        <w:rPr>
          <w:bCs w:val="0"/>
          <w:i w:val="0"/>
        </w:rPr>
        <w:fldChar w:fldCharType="separate"/>
      </w:r>
      <w:r w:rsidR="00154CF7">
        <w:rPr>
          <w:bCs w:val="0"/>
          <w:i w:val="0"/>
          <w:noProof/>
        </w:rPr>
        <w:t>58</w:t>
      </w:r>
      <w:r w:rsidR="003E3288">
        <w:rPr>
          <w:bCs w:val="0"/>
          <w:i w:val="0"/>
          <w:noProof/>
        </w:rPr>
        <w:fldChar w:fldCharType="end"/>
      </w:r>
      <w:bookmarkEnd w:id="761"/>
      <w:r w:rsidR="00BA3F4B" w:rsidRPr="00975E6B">
        <w:t xml:space="preserve"> </w:t>
      </w:r>
      <w:r w:rsidRPr="00975E6B">
        <w:t xml:space="preserve">– Activity data – Lyell </w:t>
      </w:r>
      <w:proofErr w:type="spellStart"/>
      <w:r w:rsidRPr="00975E6B">
        <w:t>McEwin</w:t>
      </w:r>
      <w:proofErr w:type="spellEnd"/>
      <w:r w:rsidRPr="00975E6B">
        <w:t xml:space="preserve"> Hospital</w:t>
      </w:r>
    </w:p>
    <w:tbl>
      <w:tblPr>
        <w:tblW w:w="5000" w:type="pct"/>
        <w:tblCellMar>
          <w:left w:w="0" w:type="dxa"/>
          <w:right w:w="0" w:type="dxa"/>
        </w:tblCellMar>
        <w:tblLook w:val="04A0" w:firstRow="1" w:lastRow="0" w:firstColumn="1" w:lastColumn="0" w:noHBand="0" w:noVBand="1"/>
        <w:tblCaption w:val="Table 58 - Activity data - Lyell McEwin Hospital"/>
        <w:tblDescription w:val="This table presents activity and feeder data for Lyell McEwin Hospital.  There are 11 columns.  Column 1 is the Data source, Column 2 is the number of records from source, Column 3 is the number of records in costing system, Column 4 is the variance between Column 2 and 3, Column 5 is the number of records linked to acute, column 6 is the number of records linked to emergency, Column 7 is the number of records linked to non-admitted, column 8 is the total linked records, column 9 is the number linked to other, column 10 is the number of unlinked records and column 11 is the % of linked to source.&#10;"/>
      </w:tblPr>
      <w:tblGrid>
        <w:gridCol w:w="1565"/>
        <w:gridCol w:w="695"/>
        <w:gridCol w:w="695"/>
        <w:gridCol w:w="695"/>
        <w:gridCol w:w="695"/>
        <w:gridCol w:w="695"/>
        <w:gridCol w:w="695"/>
        <w:gridCol w:w="695"/>
        <w:gridCol w:w="695"/>
        <w:gridCol w:w="695"/>
        <w:gridCol w:w="695"/>
      </w:tblGrid>
      <w:tr w:rsidR="00C24933" w:rsidRPr="0096374D" w:rsidTr="00E14378">
        <w:trPr>
          <w:trHeight w:val="924"/>
        </w:trPr>
        <w:tc>
          <w:tcPr>
            <w:tcW w:w="919" w:type="pct"/>
            <w:tcBorders>
              <w:top w:val="single" w:sz="4" w:space="0" w:color="5B9BD5"/>
              <w:left w:val="single" w:sz="4" w:space="0" w:color="5B9BD5"/>
              <w:bottom w:val="nil"/>
              <w:right w:val="nil"/>
            </w:tcBorders>
            <w:shd w:val="clear" w:color="auto" w:fill="002060"/>
            <w:vAlign w:val="bottom"/>
            <w:hideMark/>
          </w:tcPr>
          <w:p w:rsidR="0096374D" w:rsidRPr="00CD1518" w:rsidRDefault="0096374D">
            <w:pPr>
              <w:spacing w:line="240" w:lineRule="auto"/>
              <w:rPr>
                <w:b/>
                <w:bCs/>
                <w:color w:val="FFFFFF"/>
                <w:sz w:val="12"/>
                <w:szCs w:val="12"/>
                <w:lang w:eastAsia="en-AU"/>
              </w:rPr>
            </w:pPr>
            <w:r w:rsidRPr="00CD1518">
              <w:rPr>
                <w:b/>
                <w:bCs/>
                <w:color w:val="FFFFFF"/>
                <w:sz w:val="12"/>
                <w:szCs w:val="12"/>
              </w:rPr>
              <w:t>Data</w:t>
            </w:r>
          </w:p>
        </w:tc>
        <w:tc>
          <w:tcPr>
            <w:tcW w:w="408" w:type="pct"/>
            <w:tcBorders>
              <w:top w:val="single" w:sz="4" w:space="0" w:color="5B9BD5"/>
              <w:left w:val="single" w:sz="4" w:space="0" w:color="5B9BD5"/>
              <w:bottom w:val="nil"/>
              <w:right w:val="single" w:sz="4" w:space="0" w:color="5B9BD5"/>
            </w:tcBorders>
            <w:shd w:val="clear" w:color="auto" w:fill="002060"/>
            <w:vAlign w:val="bottom"/>
            <w:hideMark/>
          </w:tcPr>
          <w:p w:rsidR="0096374D" w:rsidRPr="00CD1518" w:rsidRDefault="0096374D">
            <w:pPr>
              <w:jc w:val="center"/>
              <w:rPr>
                <w:b/>
                <w:bCs/>
                <w:color w:val="FFFFFF"/>
                <w:sz w:val="12"/>
                <w:szCs w:val="12"/>
              </w:rPr>
            </w:pPr>
            <w:r w:rsidRPr="00CD1518">
              <w:rPr>
                <w:b/>
                <w:bCs/>
                <w:color w:val="FFFFFF"/>
                <w:sz w:val="12"/>
                <w:szCs w:val="12"/>
              </w:rPr>
              <w:t># Records from Source</w:t>
            </w:r>
          </w:p>
        </w:tc>
        <w:tc>
          <w:tcPr>
            <w:tcW w:w="408" w:type="pct"/>
            <w:tcBorders>
              <w:top w:val="single" w:sz="4" w:space="0" w:color="5B9BD5"/>
              <w:left w:val="nil"/>
              <w:bottom w:val="nil"/>
              <w:right w:val="nil"/>
            </w:tcBorders>
            <w:shd w:val="clear" w:color="auto" w:fill="002060"/>
            <w:vAlign w:val="bottom"/>
            <w:hideMark/>
          </w:tcPr>
          <w:p w:rsidR="0096374D" w:rsidRPr="00CD1518" w:rsidRDefault="0096374D">
            <w:pPr>
              <w:jc w:val="center"/>
              <w:rPr>
                <w:b/>
                <w:bCs/>
                <w:color w:val="FFFFFF"/>
                <w:sz w:val="12"/>
                <w:szCs w:val="12"/>
              </w:rPr>
            </w:pPr>
            <w:r w:rsidRPr="00CD1518">
              <w:rPr>
                <w:b/>
                <w:bCs/>
                <w:color w:val="FFFFFF"/>
                <w:sz w:val="12"/>
                <w:szCs w:val="12"/>
              </w:rPr>
              <w:t># Records in costing system</w:t>
            </w:r>
          </w:p>
        </w:tc>
        <w:tc>
          <w:tcPr>
            <w:tcW w:w="408" w:type="pct"/>
            <w:tcBorders>
              <w:top w:val="single" w:sz="4" w:space="0" w:color="5B9BD5"/>
              <w:left w:val="single" w:sz="4" w:space="0" w:color="5B9BD5"/>
              <w:bottom w:val="nil"/>
              <w:right w:val="single" w:sz="4" w:space="0" w:color="5B9BD5"/>
            </w:tcBorders>
            <w:shd w:val="clear" w:color="auto" w:fill="002060"/>
            <w:vAlign w:val="bottom"/>
            <w:hideMark/>
          </w:tcPr>
          <w:p w:rsidR="0096374D" w:rsidRPr="00CD1518" w:rsidRDefault="0096374D">
            <w:pPr>
              <w:jc w:val="center"/>
              <w:rPr>
                <w:b/>
                <w:bCs/>
                <w:color w:val="FFFFFF"/>
                <w:sz w:val="12"/>
                <w:szCs w:val="12"/>
              </w:rPr>
            </w:pPr>
            <w:r w:rsidRPr="00CD1518">
              <w:rPr>
                <w:b/>
                <w:bCs/>
                <w:color w:val="FFFFFF"/>
                <w:sz w:val="12"/>
                <w:szCs w:val="12"/>
              </w:rPr>
              <w:t>Variance</w:t>
            </w:r>
          </w:p>
        </w:tc>
        <w:tc>
          <w:tcPr>
            <w:tcW w:w="408" w:type="pct"/>
            <w:tcBorders>
              <w:top w:val="single" w:sz="4" w:space="0" w:color="5B9BD5"/>
              <w:left w:val="nil"/>
              <w:bottom w:val="nil"/>
              <w:right w:val="nil"/>
            </w:tcBorders>
            <w:shd w:val="clear" w:color="auto" w:fill="002060"/>
            <w:vAlign w:val="bottom"/>
            <w:hideMark/>
          </w:tcPr>
          <w:p w:rsidR="0096374D" w:rsidRPr="00CD1518" w:rsidRDefault="0096374D">
            <w:pPr>
              <w:jc w:val="center"/>
              <w:rPr>
                <w:b/>
                <w:bCs/>
                <w:color w:val="FFFFFF"/>
                <w:sz w:val="12"/>
                <w:szCs w:val="12"/>
              </w:rPr>
            </w:pPr>
            <w:r w:rsidRPr="00CD1518">
              <w:rPr>
                <w:b/>
                <w:bCs/>
                <w:color w:val="FFFFFF"/>
                <w:sz w:val="12"/>
                <w:szCs w:val="12"/>
              </w:rPr>
              <w:t># Records linked to Acute</w:t>
            </w:r>
          </w:p>
        </w:tc>
        <w:tc>
          <w:tcPr>
            <w:tcW w:w="408" w:type="pct"/>
            <w:tcBorders>
              <w:top w:val="single" w:sz="4" w:space="0" w:color="5B9BD5"/>
              <w:left w:val="single" w:sz="4" w:space="0" w:color="5B9BD5"/>
              <w:bottom w:val="nil"/>
              <w:right w:val="single" w:sz="4" w:space="0" w:color="5B9BD5"/>
            </w:tcBorders>
            <w:shd w:val="clear" w:color="auto" w:fill="002060"/>
            <w:vAlign w:val="bottom"/>
            <w:hideMark/>
          </w:tcPr>
          <w:p w:rsidR="0096374D" w:rsidRPr="00CD1518" w:rsidRDefault="0096374D">
            <w:pPr>
              <w:jc w:val="center"/>
              <w:rPr>
                <w:b/>
                <w:bCs/>
                <w:color w:val="FFFFFF"/>
                <w:sz w:val="12"/>
                <w:szCs w:val="12"/>
              </w:rPr>
            </w:pPr>
            <w:r w:rsidRPr="00CD1518">
              <w:rPr>
                <w:b/>
                <w:bCs/>
                <w:color w:val="FFFFFF"/>
                <w:sz w:val="12"/>
                <w:szCs w:val="12"/>
              </w:rPr>
              <w:t># Records linked to Emergency</w:t>
            </w:r>
          </w:p>
        </w:tc>
        <w:tc>
          <w:tcPr>
            <w:tcW w:w="408" w:type="pct"/>
            <w:tcBorders>
              <w:top w:val="single" w:sz="4" w:space="0" w:color="5B9BD5"/>
              <w:left w:val="nil"/>
              <w:bottom w:val="nil"/>
              <w:right w:val="single" w:sz="4" w:space="0" w:color="5B9BD5"/>
            </w:tcBorders>
            <w:shd w:val="clear" w:color="auto" w:fill="002060"/>
            <w:vAlign w:val="bottom"/>
            <w:hideMark/>
          </w:tcPr>
          <w:p w:rsidR="0096374D" w:rsidRPr="00CD1518" w:rsidRDefault="0096374D">
            <w:pPr>
              <w:jc w:val="center"/>
              <w:rPr>
                <w:b/>
                <w:bCs/>
                <w:color w:val="FFFFFF"/>
                <w:sz w:val="12"/>
                <w:szCs w:val="12"/>
              </w:rPr>
            </w:pPr>
            <w:r w:rsidRPr="00CD1518">
              <w:rPr>
                <w:b/>
                <w:bCs/>
                <w:color w:val="FFFFFF"/>
                <w:sz w:val="12"/>
                <w:szCs w:val="12"/>
              </w:rPr>
              <w:t># Records linked to Non-admitted</w:t>
            </w:r>
          </w:p>
        </w:tc>
        <w:tc>
          <w:tcPr>
            <w:tcW w:w="408" w:type="pct"/>
            <w:tcBorders>
              <w:top w:val="single" w:sz="4" w:space="0" w:color="5B9BD5"/>
              <w:left w:val="nil"/>
              <w:bottom w:val="nil"/>
              <w:right w:val="single" w:sz="4" w:space="0" w:color="5B9BD5"/>
            </w:tcBorders>
            <w:shd w:val="clear" w:color="auto" w:fill="002060"/>
            <w:vAlign w:val="bottom"/>
            <w:hideMark/>
          </w:tcPr>
          <w:p w:rsidR="0096374D" w:rsidRPr="00CD1518" w:rsidRDefault="0096374D">
            <w:pPr>
              <w:jc w:val="center"/>
              <w:rPr>
                <w:b/>
                <w:bCs/>
                <w:color w:val="FFFFFF"/>
                <w:sz w:val="12"/>
                <w:szCs w:val="12"/>
              </w:rPr>
            </w:pPr>
            <w:r w:rsidRPr="00CD1518">
              <w:rPr>
                <w:b/>
                <w:bCs/>
                <w:color w:val="FFFFFF"/>
                <w:sz w:val="12"/>
                <w:szCs w:val="12"/>
              </w:rPr>
              <w:t>Total Linking Process</w:t>
            </w:r>
          </w:p>
        </w:tc>
        <w:tc>
          <w:tcPr>
            <w:tcW w:w="408" w:type="pct"/>
            <w:tcBorders>
              <w:top w:val="single" w:sz="4" w:space="0" w:color="5B9BD5"/>
              <w:left w:val="nil"/>
              <w:bottom w:val="nil"/>
              <w:right w:val="nil"/>
            </w:tcBorders>
            <w:shd w:val="clear" w:color="auto" w:fill="002060"/>
            <w:vAlign w:val="bottom"/>
            <w:hideMark/>
          </w:tcPr>
          <w:p w:rsidR="0096374D" w:rsidRPr="00CD1518" w:rsidRDefault="0096374D">
            <w:pPr>
              <w:jc w:val="center"/>
              <w:rPr>
                <w:b/>
                <w:bCs/>
                <w:color w:val="FFFFFF"/>
                <w:sz w:val="12"/>
                <w:szCs w:val="12"/>
              </w:rPr>
            </w:pPr>
            <w:r w:rsidRPr="00CD1518">
              <w:rPr>
                <w:b/>
                <w:bCs/>
                <w:color w:val="FFFFFF"/>
                <w:sz w:val="12"/>
                <w:szCs w:val="12"/>
              </w:rPr>
              <w:t># Records linked to Other</w:t>
            </w:r>
          </w:p>
        </w:tc>
        <w:tc>
          <w:tcPr>
            <w:tcW w:w="408" w:type="pct"/>
            <w:tcBorders>
              <w:top w:val="single" w:sz="4" w:space="0" w:color="5B9BD5"/>
              <w:left w:val="single" w:sz="4" w:space="0" w:color="5B9BD5"/>
              <w:bottom w:val="nil"/>
              <w:right w:val="single" w:sz="4" w:space="0" w:color="5B9BD5"/>
            </w:tcBorders>
            <w:shd w:val="clear" w:color="auto" w:fill="002060"/>
            <w:vAlign w:val="bottom"/>
            <w:hideMark/>
          </w:tcPr>
          <w:p w:rsidR="0096374D" w:rsidRPr="00CD1518" w:rsidRDefault="0096374D">
            <w:pPr>
              <w:jc w:val="center"/>
              <w:rPr>
                <w:b/>
                <w:bCs/>
                <w:color w:val="FFFFFF"/>
                <w:sz w:val="12"/>
                <w:szCs w:val="12"/>
              </w:rPr>
            </w:pPr>
            <w:r w:rsidRPr="00CD1518">
              <w:rPr>
                <w:b/>
                <w:bCs/>
                <w:color w:val="FFFFFF"/>
                <w:sz w:val="12"/>
                <w:szCs w:val="12"/>
              </w:rPr>
              <w:t># Unlinked records</w:t>
            </w:r>
          </w:p>
        </w:tc>
        <w:tc>
          <w:tcPr>
            <w:tcW w:w="408" w:type="pct"/>
            <w:tcBorders>
              <w:top w:val="single" w:sz="4" w:space="0" w:color="5B9BD5"/>
              <w:left w:val="nil"/>
              <w:bottom w:val="nil"/>
              <w:right w:val="single" w:sz="4" w:space="0" w:color="5B9BD5"/>
            </w:tcBorders>
            <w:shd w:val="clear" w:color="auto" w:fill="002060"/>
            <w:vAlign w:val="bottom"/>
            <w:hideMark/>
          </w:tcPr>
          <w:p w:rsidR="0096374D" w:rsidRPr="00CD1518" w:rsidRDefault="0096374D">
            <w:pPr>
              <w:jc w:val="center"/>
              <w:rPr>
                <w:b/>
                <w:bCs/>
                <w:color w:val="FFFFFF"/>
                <w:sz w:val="12"/>
                <w:szCs w:val="12"/>
              </w:rPr>
            </w:pPr>
            <w:r w:rsidRPr="00CD1518">
              <w:rPr>
                <w:b/>
                <w:bCs/>
                <w:color w:val="FFFFFF"/>
                <w:sz w:val="12"/>
                <w:szCs w:val="12"/>
              </w:rPr>
              <w:t>% Linked</w:t>
            </w:r>
          </w:p>
        </w:tc>
      </w:tr>
      <w:tr w:rsidR="003E3288" w:rsidRPr="0096374D" w:rsidTr="0096374D">
        <w:trPr>
          <w:trHeight w:val="290"/>
        </w:trPr>
        <w:tc>
          <w:tcPr>
            <w:tcW w:w="919" w:type="pct"/>
            <w:tcBorders>
              <w:top w:val="nil"/>
              <w:left w:val="single" w:sz="4" w:space="0" w:color="5B9BD5"/>
              <w:bottom w:val="nil"/>
              <w:right w:val="nil"/>
            </w:tcBorders>
            <w:shd w:val="clear" w:color="000000" w:fill="D0CECE"/>
            <w:noWrap/>
            <w:vAlign w:val="center"/>
            <w:hideMark/>
          </w:tcPr>
          <w:p w:rsidR="0096374D" w:rsidRPr="00CD1518" w:rsidRDefault="0096374D">
            <w:pPr>
              <w:rPr>
                <w:b/>
                <w:bCs/>
                <w:color w:val="000000"/>
                <w:sz w:val="12"/>
                <w:szCs w:val="12"/>
              </w:rPr>
            </w:pPr>
            <w:r w:rsidRPr="00CD1518">
              <w:rPr>
                <w:b/>
                <w:bCs/>
                <w:color w:val="000000"/>
                <w:sz w:val="12"/>
                <w:szCs w:val="12"/>
              </w:rPr>
              <w:t>Activity Data</w:t>
            </w:r>
          </w:p>
        </w:tc>
        <w:tc>
          <w:tcPr>
            <w:tcW w:w="408" w:type="pct"/>
            <w:tcBorders>
              <w:top w:val="nil"/>
              <w:left w:val="single" w:sz="4" w:space="0" w:color="5B9BD5"/>
              <w:bottom w:val="nil"/>
              <w:right w:val="single" w:sz="4" w:space="0" w:color="5B9BD5"/>
            </w:tcBorders>
            <w:shd w:val="clear" w:color="000000" w:fill="D0CECE"/>
            <w:noWrap/>
            <w:vAlign w:val="center"/>
            <w:hideMark/>
          </w:tcPr>
          <w:p w:rsidR="0096374D" w:rsidRPr="00CD1518" w:rsidRDefault="0096374D">
            <w:pPr>
              <w:rPr>
                <w:b/>
                <w:bCs/>
                <w:color w:val="000000"/>
                <w:sz w:val="12"/>
                <w:szCs w:val="12"/>
              </w:rPr>
            </w:pPr>
          </w:p>
        </w:tc>
        <w:tc>
          <w:tcPr>
            <w:tcW w:w="408" w:type="pct"/>
            <w:tcBorders>
              <w:top w:val="nil"/>
              <w:left w:val="nil"/>
              <w:bottom w:val="nil"/>
              <w:right w:val="nil"/>
            </w:tcBorders>
            <w:shd w:val="clear" w:color="000000" w:fill="D0CECE"/>
            <w:noWrap/>
            <w:vAlign w:val="center"/>
            <w:hideMark/>
          </w:tcPr>
          <w:p w:rsidR="0096374D" w:rsidRPr="00CD1518" w:rsidRDefault="0096374D">
            <w:pPr>
              <w:rPr>
                <w:b/>
                <w:bCs/>
                <w:color w:val="000000"/>
                <w:sz w:val="12"/>
                <w:szCs w:val="12"/>
              </w:rPr>
            </w:pPr>
          </w:p>
        </w:tc>
        <w:tc>
          <w:tcPr>
            <w:tcW w:w="408" w:type="pct"/>
            <w:tcBorders>
              <w:top w:val="nil"/>
              <w:left w:val="single" w:sz="4" w:space="0" w:color="5B9BD5"/>
              <w:bottom w:val="nil"/>
              <w:right w:val="single" w:sz="4" w:space="0" w:color="5B9BD5"/>
            </w:tcBorders>
            <w:shd w:val="clear" w:color="000000" w:fill="D0CECE"/>
            <w:noWrap/>
            <w:vAlign w:val="center"/>
            <w:hideMark/>
          </w:tcPr>
          <w:p w:rsidR="0096374D" w:rsidRPr="00CD1518" w:rsidRDefault="0096374D">
            <w:pPr>
              <w:rPr>
                <w:b/>
                <w:bCs/>
                <w:color w:val="000000"/>
                <w:sz w:val="12"/>
                <w:szCs w:val="12"/>
              </w:rPr>
            </w:pPr>
          </w:p>
        </w:tc>
        <w:tc>
          <w:tcPr>
            <w:tcW w:w="408" w:type="pct"/>
            <w:tcBorders>
              <w:top w:val="nil"/>
              <w:left w:val="nil"/>
              <w:bottom w:val="nil"/>
              <w:right w:val="nil"/>
            </w:tcBorders>
            <w:shd w:val="clear" w:color="000000" w:fill="D0CECE"/>
            <w:noWrap/>
            <w:vAlign w:val="center"/>
            <w:hideMark/>
          </w:tcPr>
          <w:p w:rsidR="0096374D" w:rsidRPr="00CD1518" w:rsidRDefault="0096374D">
            <w:pPr>
              <w:rPr>
                <w:b/>
                <w:bCs/>
                <w:color w:val="000000"/>
                <w:sz w:val="12"/>
                <w:szCs w:val="12"/>
              </w:rPr>
            </w:pPr>
          </w:p>
        </w:tc>
        <w:tc>
          <w:tcPr>
            <w:tcW w:w="408" w:type="pct"/>
            <w:tcBorders>
              <w:top w:val="nil"/>
              <w:left w:val="single" w:sz="4" w:space="0" w:color="5B9BD5"/>
              <w:bottom w:val="nil"/>
              <w:right w:val="single" w:sz="4" w:space="0" w:color="5B9BD5"/>
            </w:tcBorders>
            <w:shd w:val="clear" w:color="000000" w:fill="D0CECE"/>
            <w:noWrap/>
            <w:vAlign w:val="center"/>
            <w:hideMark/>
          </w:tcPr>
          <w:p w:rsidR="0096374D" w:rsidRPr="00CD1518" w:rsidRDefault="0096374D">
            <w:pPr>
              <w:rPr>
                <w:b/>
                <w:bCs/>
                <w:color w:val="000000"/>
                <w:sz w:val="12"/>
                <w:szCs w:val="12"/>
              </w:rPr>
            </w:pPr>
          </w:p>
        </w:tc>
        <w:tc>
          <w:tcPr>
            <w:tcW w:w="408" w:type="pct"/>
            <w:tcBorders>
              <w:top w:val="nil"/>
              <w:left w:val="nil"/>
              <w:bottom w:val="nil"/>
              <w:right w:val="single" w:sz="4" w:space="0" w:color="5B9BD5"/>
            </w:tcBorders>
            <w:shd w:val="clear" w:color="000000" w:fill="D0CECE"/>
            <w:noWrap/>
            <w:vAlign w:val="center"/>
            <w:hideMark/>
          </w:tcPr>
          <w:p w:rsidR="0096374D" w:rsidRPr="00CD1518" w:rsidRDefault="0096374D">
            <w:pPr>
              <w:rPr>
                <w:b/>
                <w:bCs/>
                <w:color w:val="000000"/>
                <w:sz w:val="12"/>
                <w:szCs w:val="12"/>
              </w:rPr>
            </w:pPr>
          </w:p>
        </w:tc>
        <w:tc>
          <w:tcPr>
            <w:tcW w:w="408" w:type="pct"/>
            <w:tcBorders>
              <w:top w:val="nil"/>
              <w:left w:val="nil"/>
              <w:bottom w:val="nil"/>
              <w:right w:val="single" w:sz="4" w:space="0" w:color="5B9BD5"/>
            </w:tcBorders>
            <w:shd w:val="clear" w:color="000000" w:fill="D0CECE"/>
            <w:noWrap/>
            <w:vAlign w:val="center"/>
            <w:hideMark/>
          </w:tcPr>
          <w:p w:rsidR="0096374D" w:rsidRPr="00CD1518" w:rsidRDefault="0096374D">
            <w:pPr>
              <w:rPr>
                <w:b/>
                <w:bCs/>
                <w:color w:val="000000"/>
                <w:sz w:val="12"/>
                <w:szCs w:val="12"/>
              </w:rPr>
            </w:pPr>
          </w:p>
        </w:tc>
        <w:tc>
          <w:tcPr>
            <w:tcW w:w="408" w:type="pct"/>
            <w:tcBorders>
              <w:top w:val="nil"/>
              <w:left w:val="nil"/>
              <w:bottom w:val="nil"/>
              <w:right w:val="nil"/>
            </w:tcBorders>
            <w:shd w:val="clear" w:color="000000" w:fill="D0CECE"/>
            <w:noWrap/>
            <w:vAlign w:val="center"/>
            <w:hideMark/>
          </w:tcPr>
          <w:p w:rsidR="0096374D" w:rsidRPr="00CD1518" w:rsidRDefault="0096374D">
            <w:pPr>
              <w:rPr>
                <w:b/>
                <w:bCs/>
                <w:color w:val="000000"/>
                <w:sz w:val="12"/>
                <w:szCs w:val="12"/>
              </w:rPr>
            </w:pPr>
          </w:p>
        </w:tc>
        <w:tc>
          <w:tcPr>
            <w:tcW w:w="408" w:type="pct"/>
            <w:tcBorders>
              <w:top w:val="nil"/>
              <w:left w:val="single" w:sz="4" w:space="0" w:color="5B9BD5"/>
              <w:bottom w:val="nil"/>
              <w:right w:val="single" w:sz="4" w:space="0" w:color="5B9BD5"/>
            </w:tcBorders>
            <w:shd w:val="clear" w:color="000000" w:fill="D0CECE"/>
            <w:noWrap/>
            <w:vAlign w:val="center"/>
            <w:hideMark/>
          </w:tcPr>
          <w:p w:rsidR="0096374D" w:rsidRPr="00CD1518" w:rsidRDefault="0096374D">
            <w:pPr>
              <w:rPr>
                <w:b/>
                <w:bCs/>
                <w:color w:val="000000"/>
                <w:sz w:val="12"/>
                <w:szCs w:val="12"/>
              </w:rPr>
            </w:pPr>
          </w:p>
        </w:tc>
        <w:tc>
          <w:tcPr>
            <w:tcW w:w="408" w:type="pct"/>
            <w:tcBorders>
              <w:top w:val="nil"/>
              <w:left w:val="nil"/>
              <w:bottom w:val="nil"/>
              <w:right w:val="single" w:sz="4" w:space="0" w:color="5B9BD5"/>
            </w:tcBorders>
            <w:shd w:val="clear" w:color="000000" w:fill="D0CECE"/>
            <w:noWrap/>
            <w:vAlign w:val="center"/>
            <w:hideMark/>
          </w:tcPr>
          <w:p w:rsidR="0096374D" w:rsidRPr="00CD1518" w:rsidRDefault="0096374D">
            <w:pPr>
              <w:rPr>
                <w:b/>
                <w:bCs/>
                <w:color w:val="000000"/>
                <w:sz w:val="12"/>
                <w:szCs w:val="12"/>
              </w:rPr>
            </w:pPr>
          </w:p>
        </w:tc>
      </w:tr>
      <w:tr w:rsidR="0096374D" w:rsidRPr="0096374D" w:rsidTr="00CD1518">
        <w:trPr>
          <w:trHeight w:val="290"/>
        </w:trPr>
        <w:tc>
          <w:tcPr>
            <w:tcW w:w="919" w:type="pct"/>
            <w:tcBorders>
              <w:top w:val="nil"/>
              <w:left w:val="single" w:sz="4" w:space="0" w:color="5B9BD5"/>
              <w:bottom w:val="nil"/>
              <w:right w:val="nil"/>
            </w:tcBorders>
            <w:shd w:val="clear" w:color="000000" w:fill="FFFFFF"/>
            <w:noWrap/>
            <w:vAlign w:val="center"/>
            <w:hideMark/>
          </w:tcPr>
          <w:p w:rsidR="0096374D" w:rsidRPr="00CD1518" w:rsidRDefault="0096374D">
            <w:pPr>
              <w:rPr>
                <w:color w:val="000000"/>
                <w:sz w:val="12"/>
                <w:szCs w:val="12"/>
              </w:rPr>
            </w:pPr>
            <w:r w:rsidRPr="00CD1518">
              <w:rPr>
                <w:color w:val="000000"/>
                <w:sz w:val="12"/>
                <w:szCs w:val="12"/>
              </w:rPr>
              <w:t>PAS</w:t>
            </w:r>
          </w:p>
        </w:tc>
        <w:tc>
          <w:tcPr>
            <w:tcW w:w="408"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43,109</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43,109</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r>
      <w:tr w:rsidR="0096374D" w:rsidRPr="0096374D" w:rsidTr="00CD1518">
        <w:trPr>
          <w:trHeight w:val="290"/>
        </w:trPr>
        <w:tc>
          <w:tcPr>
            <w:tcW w:w="919" w:type="pct"/>
            <w:tcBorders>
              <w:top w:val="nil"/>
              <w:left w:val="single" w:sz="4" w:space="0" w:color="5B9BD5"/>
              <w:bottom w:val="nil"/>
              <w:right w:val="nil"/>
            </w:tcBorders>
            <w:shd w:val="clear" w:color="000000" w:fill="DDEBF7"/>
            <w:noWrap/>
            <w:vAlign w:val="center"/>
            <w:hideMark/>
          </w:tcPr>
          <w:p w:rsidR="0096374D" w:rsidRPr="00CD1518" w:rsidRDefault="0096374D">
            <w:pPr>
              <w:rPr>
                <w:sz w:val="12"/>
                <w:szCs w:val="12"/>
              </w:rPr>
            </w:pPr>
            <w:r w:rsidRPr="00CD1518">
              <w:rPr>
                <w:sz w:val="12"/>
                <w:szCs w:val="12"/>
              </w:rPr>
              <w:t>Emergency</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sz w:val="12"/>
                <w:szCs w:val="12"/>
              </w:rPr>
            </w:pPr>
            <w:r w:rsidRPr="00CD1518">
              <w:rPr>
                <w:sz w:val="12"/>
                <w:szCs w:val="12"/>
              </w:rPr>
              <w:t>73,831</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sz w:val="12"/>
                <w:szCs w:val="12"/>
              </w:rPr>
            </w:pPr>
            <w:r w:rsidRPr="00CD1518">
              <w:rPr>
                <w:sz w:val="12"/>
                <w:szCs w:val="12"/>
              </w:rPr>
              <w:t>72,486</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(1,345)</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sz w:val="12"/>
                <w:szCs w:val="12"/>
              </w:rPr>
            </w:pPr>
            <w:r w:rsidRPr="00CD1518">
              <w:rPr>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sz w:val="12"/>
                <w:szCs w:val="12"/>
              </w:rPr>
            </w:pPr>
            <w:r w:rsidRPr="00CD1518">
              <w:rPr>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sz w:val="12"/>
                <w:szCs w:val="12"/>
              </w:rPr>
            </w:pPr>
            <w:r w:rsidRPr="00CD1518">
              <w:rPr>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sz w:val="12"/>
                <w:szCs w:val="12"/>
              </w:rPr>
            </w:pPr>
            <w:r w:rsidRPr="00CD1518">
              <w:rPr>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sz w:val="12"/>
                <w:szCs w:val="12"/>
              </w:rPr>
            </w:pPr>
            <w:r w:rsidRPr="00CD1518">
              <w:rPr>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sz w:val="12"/>
                <w:szCs w:val="12"/>
              </w:rPr>
            </w:pPr>
            <w:r w:rsidRPr="00CD1518">
              <w:rPr>
                <w:sz w:val="12"/>
                <w:szCs w:val="12"/>
              </w:rPr>
              <w:t>-</w:t>
            </w:r>
          </w:p>
        </w:tc>
      </w:tr>
      <w:tr w:rsidR="0096374D" w:rsidRPr="0096374D" w:rsidTr="00CD1518">
        <w:trPr>
          <w:trHeight w:val="290"/>
        </w:trPr>
        <w:tc>
          <w:tcPr>
            <w:tcW w:w="919" w:type="pct"/>
            <w:tcBorders>
              <w:top w:val="nil"/>
              <w:left w:val="single" w:sz="4" w:space="0" w:color="5B9BD5"/>
              <w:bottom w:val="single" w:sz="4" w:space="0" w:color="5B9BD5"/>
              <w:right w:val="nil"/>
            </w:tcBorders>
            <w:shd w:val="clear" w:color="000000" w:fill="FFFFFF"/>
            <w:noWrap/>
            <w:vAlign w:val="center"/>
            <w:hideMark/>
          </w:tcPr>
          <w:p w:rsidR="0096374D" w:rsidRPr="00CD1518" w:rsidRDefault="0096374D">
            <w:pPr>
              <w:rPr>
                <w:color w:val="000000"/>
                <w:sz w:val="12"/>
                <w:szCs w:val="12"/>
              </w:rPr>
            </w:pPr>
            <w:r w:rsidRPr="00CD1518">
              <w:rPr>
                <w:color w:val="000000"/>
                <w:sz w:val="12"/>
                <w:szCs w:val="12"/>
              </w:rPr>
              <w:t>Non-admitted</w:t>
            </w:r>
          </w:p>
        </w:tc>
        <w:tc>
          <w:tcPr>
            <w:tcW w:w="408" w:type="pct"/>
            <w:tcBorders>
              <w:top w:val="nil"/>
              <w:left w:val="single" w:sz="4" w:space="0" w:color="5B9BD5"/>
              <w:bottom w:val="single" w:sz="4" w:space="0" w:color="5B9BD5"/>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152,541</w:t>
            </w:r>
          </w:p>
        </w:tc>
        <w:tc>
          <w:tcPr>
            <w:tcW w:w="408"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152,541</w:t>
            </w:r>
          </w:p>
        </w:tc>
        <w:tc>
          <w:tcPr>
            <w:tcW w:w="408"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r>
      <w:tr w:rsidR="0096374D" w:rsidRPr="0096374D" w:rsidTr="00CD1518">
        <w:trPr>
          <w:trHeight w:val="290"/>
        </w:trPr>
        <w:tc>
          <w:tcPr>
            <w:tcW w:w="919" w:type="pct"/>
            <w:tcBorders>
              <w:top w:val="nil"/>
              <w:left w:val="single" w:sz="4" w:space="0" w:color="5B9BD5"/>
              <w:bottom w:val="nil"/>
              <w:right w:val="nil"/>
            </w:tcBorders>
            <w:shd w:val="clear" w:color="000000" w:fill="DDEBF7"/>
            <w:noWrap/>
            <w:vAlign w:val="center"/>
            <w:hideMark/>
          </w:tcPr>
          <w:p w:rsidR="0096374D" w:rsidRPr="00CD1518" w:rsidRDefault="0096374D">
            <w:pPr>
              <w:rPr>
                <w:b/>
                <w:bCs/>
                <w:color w:val="000000"/>
                <w:sz w:val="12"/>
                <w:szCs w:val="12"/>
              </w:rPr>
            </w:pPr>
            <w:r w:rsidRPr="00CD1518">
              <w:rPr>
                <w:b/>
                <w:bCs/>
                <w:color w:val="000000"/>
                <w:sz w:val="12"/>
                <w:szCs w:val="12"/>
              </w:rPr>
              <w:t>TOTAL</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b/>
                <w:bCs/>
                <w:color w:val="000000"/>
                <w:sz w:val="12"/>
                <w:szCs w:val="12"/>
              </w:rPr>
            </w:pPr>
            <w:r w:rsidRPr="00CD1518">
              <w:rPr>
                <w:b/>
                <w:bCs/>
                <w:color w:val="000000"/>
                <w:sz w:val="12"/>
                <w:szCs w:val="12"/>
              </w:rPr>
              <w:t>269,481</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b/>
                <w:bCs/>
                <w:color w:val="000000"/>
                <w:sz w:val="12"/>
                <w:szCs w:val="12"/>
              </w:rPr>
            </w:pPr>
            <w:r w:rsidRPr="00CD1518">
              <w:rPr>
                <w:b/>
                <w:bCs/>
                <w:color w:val="000000"/>
                <w:sz w:val="12"/>
                <w:szCs w:val="12"/>
              </w:rPr>
              <w:t>268,136</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b/>
                <w:bCs/>
                <w:color w:val="000000"/>
                <w:sz w:val="12"/>
                <w:szCs w:val="12"/>
              </w:rPr>
            </w:pPr>
            <w:r w:rsidRPr="00CD1518">
              <w:rPr>
                <w:b/>
                <w:bCs/>
                <w:color w:val="000000"/>
                <w:sz w:val="12"/>
                <w:szCs w:val="12"/>
              </w:rPr>
              <w:t>(1,345)</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b/>
                <w:bCs/>
                <w:color w:val="000000"/>
                <w:sz w:val="12"/>
                <w:szCs w:val="12"/>
              </w:rPr>
            </w:pPr>
            <w:r w:rsidRPr="00CD1518">
              <w:rPr>
                <w:b/>
                <w:bCs/>
                <w:color w:val="000000"/>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b/>
                <w:bCs/>
                <w:color w:val="000000"/>
                <w:sz w:val="12"/>
                <w:szCs w:val="12"/>
              </w:rPr>
            </w:pPr>
            <w:r w:rsidRPr="00CD1518">
              <w:rPr>
                <w:b/>
                <w:bCs/>
                <w:color w:val="000000"/>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b/>
                <w:bCs/>
                <w:color w:val="000000"/>
                <w:sz w:val="12"/>
                <w:szCs w:val="12"/>
              </w:rPr>
            </w:pPr>
            <w:r w:rsidRPr="00CD1518">
              <w:rPr>
                <w:b/>
                <w:bCs/>
                <w:color w:val="000000"/>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b/>
                <w:bCs/>
                <w:color w:val="000000"/>
                <w:sz w:val="12"/>
                <w:szCs w:val="12"/>
              </w:rPr>
            </w:pPr>
            <w:r w:rsidRPr="00CD1518">
              <w:rPr>
                <w:b/>
                <w:bCs/>
                <w:color w:val="000000"/>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b/>
                <w:bCs/>
                <w:color w:val="000000"/>
                <w:sz w:val="12"/>
                <w:szCs w:val="12"/>
              </w:rPr>
            </w:pPr>
            <w:r w:rsidRPr="00CD1518">
              <w:rPr>
                <w:b/>
                <w:bCs/>
                <w:color w:val="000000"/>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b/>
                <w:bCs/>
                <w:color w:val="000000"/>
                <w:sz w:val="12"/>
                <w:szCs w:val="12"/>
              </w:rPr>
            </w:pPr>
            <w:r w:rsidRPr="00CD1518">
              <w:rPr>
                <w:b/>
                <w:bCs/>
                <w:color w:val="000000"/>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b/>
                <w:bCs/>
                <w:color w:val="000000"/>
                <w:sz w:val="12"/>
                <w:szCs w:val="12"/>
              </w:rPr>
            </w:pPr>
          </w:p>
        </w:tc>
      </w:tr>
      <w:tr w:rsidR="003E3288" w:rsidRPr="0096374D" w:rsidTr="0096374D">
        <w:trPr>
          <w:trHeight w:val="290"/>
        </w:trPr>
        <w:tc>
          <w:tcPr>
            <w:tcW w:w="919" w:type="pct"/>
            <w:tcBorders>
              <w:top w:val="nil"/>
              <w:left w:val="single" w:sz="4" w:space="0" w:color="5B9BD5"/>
              <w:bottom w:val="nil"/>
              <w:right w:val="nil"/>
            </w:tcBorders>
            <w:shd w:val="clear" w:color="000000" w:fill="D0CECE"/>
            <w:noWrap/>
            <w:vAlign w:val="center"/>
            <w:hideMark/>
          </w:tcPr>
          <w:p w:rsidR="0096374D" w:rsidRPr="00CD1518" w:rsidRDefault="0096374D">
            <w:pPr>
              <w:rPr>
                <w:b/>
                <w:bCs/>
                <w:color w:val="000000"/>
                <w:sz w:val="12"/>
                <w:szCs w:val="12"/>
              </w:rPr>
            </w:pPr>
            <w:r w:rsidRPr="00CD1518">
              <w:rPr>
                <w:b/>
                <w:bCs/>
                <w:color w:val="000000"/>
                <w:sz w:val="12"/>
                <w:szCs w:val="12"/>
              </w:rPr>
              <w:t>Feeder Data</w:t>
            </w:r>
          </w:p>
        </w:tc>
        <w:tc>
          <w:tcPr>
            <w:tcW w:w="408" w:type="pct"/>
            <w:tcBorders>
              <w:top w:val="nil"/>
              <w:left w:val="single" w:sz="4" w:space="0" w:color="5B9BD5"/>
              <w:bottom w:val="nil"/>
              <w:right w:val="single" w:sz="4" w:space="0" w:color="5B9BD5"/>
            </w:tcBorders>
            <w:shd w:val="clear" w:color="000000" w:fill="D0CECE"/>
            <w:noWrap/>
            <w:vAlign w:val="center"/>
            <w:hideMark/>
          </w:tcPr>
          <w:p w:rsidR="0096374D" w:rsidRPr="00CD1518" w:rsidRDefault="0096374D" w:rsidP="00CD1518">
            <w:pPr>
              <w:jc w:val="right"/>
              <w:rPr>
                <w:b/>
                <w:bCs/>
                <w:color w:val="000000"/>
                <w:sz w:val="12"/>
                <w:szCs w:val="12"/>
              </w:rPr>
            </w:pPr>
          </w:p>
        </w:tc>
        <w:tc>
          <w:tcPr>
            <w:tcW w:w="408" w:type="pct"/>
            <w:tcBorders>
              <w:top w:val="nil"/>
              <w:left w:val="nil"/>
              <w:bottom w:val="nil"/>
              <w:right w:val="nil"/>
            </w:tcBorders>
            <w:shd w:val="clear" w:color="000000" w:fill="D0CECE"/>
            <w:noWrap/>
            <w:vAlign w:val="center"/>
            <w:hideMark/>
          </w:tcPr>
          <w:p w:rsidR="0096374D" w:rsidRPr="00CD1518" w:rsidRDefault="0096374D" w:rsidP="00CD1518">
            <w:pPr>
              <w:jc w:val="right"/>
              <w:rPr>
                <w:b/>
                <w:bCs/>
                <w:color w:val="000000"/>
                <w:sz w:val="12"/>
                <w:szCs w:val="12"/>
              </w:rPr>
            </w:pPr>
          </w:p>
        </w:tc>
        <w:tc>
          <w:tcPr>
            <w:tcW w:w="408" w:type="pct"/>
            <w:tcBorders>
              <w:top w:val="nil"/>
              <w:left w:val="single" w:sz="4" w:space="0" w:color="5B9BD5"/>
              <w:bottom w:val="nil"/>
              <w:right w:val="single" w:sz="4" w:space="0" w:color="5B9BD5"/>
            </w:tcBorders>
            <w:shd w:val="clear" w:color="000000" w:fill="D0CECE"/>
            <w:noWrap/>
            <w:vAlign w:val="center"/>
            <w:hideMark/>
          </w:tcPr>
          <w:p w:rsidR="0096374D" w:rsidRPr="00CD1518" w:rsidRDefault="0096374D" w:rsidP="00CD1518">
            <w:pPr>
              <w:jc w:val="right"/>
              <w:rPr>
                <w:b/>
                <w:bCs/>
                <w:color w:val="000000"/>
                <w:sz w:val="12"/>
                <w:szCs w:val="12"/>
              </w:rPr>
            </w:pPr>
          </w:p>
        </w:tc>
        <w:tc>
          <w:tcPr>
            <w:tcW w:w="408" w:type="pct"/>
            <w:tcBorders>
              <w:top w:val="nil"/>
              <w:left w:val="nil"/>
              <w:bottom w:val="nil"/>
              <w:right w:val="nil"/>
            </w:tcBorders>
            <w:shd w:val="clear" w:color="000000" w:fill="D0CECE"/>
            <w:noWrap/>
            <w:vAlign w:val="center"/>
            <w:hideMark/>
          </w:tcPr>
          <w:p w:rsidR="0096374D" w:rsidRPr="00CD1518" w:rsidRDefault="0096374D" w:rsidP="00CD1518">
            <w:pPr>
              <w:jc w:val="right"/>
              <w:rPr>
                <w:b/>
                <w:bCs/>
                <w:color w:val="000000"/>
                <w:sz w:val="12"/>
                <w:szCs w:val="12"/>
              </w:rPr>
            </w:pPr>
          </w:p>
        </w:tc>
        <w:tc>
          <w:tcPr>
            <w:tcW w:w="408" w:type="pct"/>
            <w:tcBorders>
              <w:top w:val="nil"/>
              <w:left w:val="single" w:sz="4" w:space="0" w:color="5B9BD5"/>
              <w:bottom w:val="nil"/>
              <w:right w:val="single" w:sz="4" w:space="0" w:color="5B9BD5"/>
            </w:tcBorders>
            <w:shd w:val="clear" w:color="000000" w:fill="D0CECE"/>
            <w:noWrap/>
            <w:vAlign w:val="center"/>
            <w:hideMark/>
          </w:tcPr>
          <w:p w:rsidR="0096374D" w:rsidRPr="00CD1518" w:rsidRDefault="0096374D" w:rsidP="00CD1518">
            <w:pPr>
              <w:jc w:val="right"/>
              <w:rPr>
                <w:b/>
                <w:bCs/>
                <w:color w:val="000000"/>
                <w:sz w:val="12"/>
                <w:szCs w:val="12"/>
              </w:rPr>
            </w:pPr>
          </w:p>
        </w:tc>
        <w:tc>
          <w:tcPr>
            <w:tcW w:w="408" w:type="pct"/>
            <w:tcBorders>
              <w:top w:val="nil"/>
              <w:left w:val="nil"/>
              <w:bottom w:val="nil"/>
              <w:right w:val="single" w:sz="4" w:space="0" w:color="5B9BD5"/>
            </w:tcBorders>
            <w:shd w:val="clear" w:color="000000" w:fill="D0CECE"/>
            <w:noWrap/>
            <w:vAlign w:val="center"/>
            <w:hideMark/>
          </w:tcPr>
          <w:p w:rsidR="0096374D" w:rsidRPr="00CD1518" w:rsidRDefault="0096374D" w:rsidP="00CD1518">
            <w:pPr>
              <w:jc w:val="right"/>
              <w:rPr>
                <w:b/>
                <w:bCs/>
                <w:color w:val="000000"/>
                <w:sz w:val="12"/>
                <w:szCs w:val="12"/>
              </w:rPr>
            </w:pPr>
          </w:p>
        </w:tc>
        <w:tc>
          <w:tcPr>
            <w:tcW w:w="408" w:type="pct"/>
            <w:tcBorders>
              <w:top w:val="nil"/>
              <w:left w:val="nil"/>
              <w:bottom w:val="nil"/>
              <w:right w:val="single" w:sz="4" w:space="0" w:color="5B9BD5"/>
            </w:tcBorders>
            <w:shd w:val="clear" w:color="000000" w:fill="D0CECE"/>
            <w:noWrap/>
            <w:vAlign w:val="center"/>
            <w:hideMark/>
          </w:tcPr>
          <w:p w:rsidR="0096374D" w:rsidRPr="00CD1518" w:rsidRDefault="0096374D" w:rsidP="00CD1518">
            <w:pPr>
              <w:jc w:val="right"/>
              <w:rPr>
                <w:b/>
                <w:bCs/>
                <w:color w:val="000000"/>
                <w:sz w:val="12"/>
                <w:szCs w:val="12"/>
              </w:rPr>
            </w:pPr>
          </w:p>
        </w:tc>
        <w:tc>
          <w:tcPr>
            <w:tcW w:w="408" w:type="pct"/>
            <w:tcBorders>
              <w:top w:val="nil"/>
              <w:left w:val="nil"/>
              <w:bottom w:val="nil"/>
              <w:right w:val="nil"/>
            </w:tcBorders>
            <w:shd w:val="clear" w:color="000000" w:fill="D0CECE"/>
            <w:noWrap/>
            <w:vAlign w:val="center"/>
            <w:hideMark/>
          </w:tcPr>
          <w:p w:rsidR="0096374D" w:rsidRPr="00CD1518" w:rsidRDefault="0096374D" w:rsidP="00CD1518">
            <w:pPr>
              <w:jc w:val="right"/>
              <w:rPr>
                <w:b/>
                <w:bCs/>
                <w:color w:val="000000"/>
                <w:sz w:val="12"/>
                <w:szCs w:val="12"/>
              </w:rPr>
            </w:pPr>
          </w:p>
        </w:tc>
        <w:tc>
          <w:tcPr>
            <w:tcW w:w="408" w:type="pct"/>
            <w:tcBorders>
              <w:top w:val="nil"/>
              <w:left w:val="single" w:sz="4" w:space="0" w:color="5B9BD5"/>
              <w:bottom w:val="nil"/>
              <w:right w:val="single" w:sz="4" w:space="0" w:color="5B9BD5"/>
            </w:tcBorders>
            <w:shd w:val="clear" w:color="000000" w:fill="D0CECE"/>
            <w:noWrap/>
            <w:vAlign w:val="center"/>
            <w:hideMark/>
          </w:tcPr>
          <w:p w:rsidR="0096374D" w:rsidRPr="00CD1518" w:rsidRDefault="0096374D" w:rsidP="00CD1518">
            <w:pPr>
              <w:jc w:val="right"/>
              <w:rPr>
                <w:b/>
                <w:bCs/>
                <w:color w:val="000000"/>
                <w:sz w:val="12"/>
                <w:szCs w:val="12"/>
              </w:rPr>
            </w:pPr>
          </w:p>
        </w:tc>
        <w:tc>
          <w:tcPr>
            <w:tcW w:w="408" w:type="pct"/>
            <w:tcBorders>
              <w:top w:val="nil"/>
              <w:left w:val="nil"/>
              <w:bottom w:val="nil"/>
              <w:right w:val="single" w:sz="4" w:space="0" w:color="5B9BD5"/>
            </w:tcBorders>
            <w:shd w:val="clear" w:color="000000" w:fill="D0CECE"/>
            <w:noWrap/>
            <w:vAlign w:val="center"/>
            <w:hideMark/>
          </w:tcPr>
          <w:p w:rsidR="0096374D" w:rsidRPr="00CD1518" w:rsidRDefault="0096374D" w:rsidP="00CD1518">
            <w:pPr>
              <w:jc w:val="right"/>
              <w:rPr>
                <w:b/>
                <w:bCs/>
                <w:color w:val="000000"/>
                <w:sz w:val="12"/>
                <w:szCs w:val="12"/>
              </w:rPr>
            </w:pPr>
          </w:p>
        </w:tc>
      </w:tr>
      <w:tr w:rsidR="0096374D" w:rsidRPr="0096374D" w:rsidTr="00CD1518">
        <w:trPr>
          <w:trHeight w:val="290"/>
        </w:trPr>
        <w:tc>
          <w:tcPr>
            <w:tcW w:w="919" w:type="pct"/>
            <w:tcBorders>
              <w:top w:val="nil"/>
              <w:left w:val="single" w:sz="4" w:space="0" w:color="5B9BD5"/>
              <w:bottom w:val="nil"/>
              <w:right w:val="nil"/>
            </w:tcBorders>
            <w:shd w:val="clear" w:color="000000" w:fill="FFFFFF"/>
            <w:noWrap/>
            <w:vAlign w:val="center"/>
            <w:hideMark/>
          </w:tcPr>
          <w:p w:rsidR="0096374D" w:rsidRPr="00CD1518" w:rsidRDefault="0096374D">
            <w:pPr>
              <w:rPr>
                <w:color w:val="000000"/>
                <w:sz w:val="12"/>
                <w:szCs w:val="12"/>
              </w:rPr>
            </w:pPr>
            <w:r w:rsidRPr="00CD1518">
              <w:rPr>
                <w:color w:val="000000"/>
                <w:sz w:val="12"/>
                <w:szCs w:val="12"/>
              </w:rPr>
              <w:t>Theatre Anaesthesia</w:t>
            </w:r>
          </w:p>
        </w:tc>
        <w:tc>
          <w:tcPr>
            <w:tcW w:w="408"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11,436</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11,436</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10,194</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1,211</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11,405</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31</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pPr>
              <w:jc w:val="right"/>
              <w:rPr>
                <w:color w:val="000000"/>
                <w:sz w:val="12"/>
                <w:szCs w:val="12"/>
              </w:rPr>
            </w:pPr>
            <w:r w:rsidRPr="00CD1518">
              <w:rPr>
                <w:color w:val="000000"/>
                <w:sz w:val="12"/>
                <w:szCs w:val="12"/>
              </w:rPr>
              <w:t>99.7%</w:t>
            </w:r>
          </w:p>
        </w:tc>
      </w:tr>
      <w:tr w:rsidR="003E3288" w:rsidRPr="0096374D" w:rsidTr="0096374D">
        <w:trPr>
          <w:trHeight w:val="290"/>
        </w:trPr>
        <w:tc>
          <w:tcPr>
            <w:tcW w:w="919" w:type="pct"/>
            <w:tcBorders>
              <w:top w:val="nil"/>
              <w:left w:val="single" w:sz="4" w:space="0" w:color="5B9BD5"/>
              <w:bottom w:val="nil"/>
              <w:right w:val="nil"/>
            </w:tcBorders>
            <w:shd w:val="clear" w:color="000000" w:fill="DDEBF7"/>
            <w:noWrap/>
            <w:vAlign w:val="center"/>
            <w:hideMark/>
          </w:tcPr>
          <w:p w:rsidR="0096374D" w:rsidRPr="00CD1518" w:rsidRDefault="0096374D">
            <w:pPr>
              <w:rPr>
                <w:color w:val="000000"/>
                <w:sz w:val="12"/>
                <w:szCs w:val="12"/>
              </w:rPr>
            </w:pPr>
            <w:r w:rsidRPr="00CD1518">
              <w:rPr>
                <w:color w:val="000000"/>
                <w:sz w:val="12"/>
                <w:szCs w:val="12"/>
              </w:rPr>
              <w:t>Theatre Nursing</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9,397</w:t>
            </w:r>
          </w:p>
        </w:tc>
        <w:tc>
          <w:tcPr>
            <w:tcW w:w="408" w:type="pct"/>
            <w:tcBorders>
              <w:top w:val="nil"/>
              <w:left w:val="nil"/>
              <w:bottom w:val="nil"/>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9,397</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9,366</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17</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9,383</w:t>
            </w:r>
          </w:p>
        </w:tc>
        <w:tc>
          <w:tcPr>
            <w:tcW w:w="408" w:type="pct"/>
            <w:tcBorders>
              <w:top w:val="nil"/>
              <w:left w:val="nil"/>
              <w:bottom w:val="nil"/>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14</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pPr>
              <w:jc w:val="right"/>
              <w:rPr>
                <w:sz w:val="12"/>
                <w:szCs w:val="12"/>
              </w:rPr>
            </w:pPr>
            <w:r w:rsidRPr="00CD1518">
              <w:rPr>
                <w:sz w:val="12"/>
                <w:szCs w:val="12"/>
              </w:rPr>
              <w:t>100%</w:t>
            </w:r>
          </w:p>
        </w:tc>
      </w:tr>
      <w:tr w:rsidR="003E3288" w:rsidRPr="0096374D" w:rsidTr="0096374D">
        <w:trPr>
          <w:trHeight w:val="290"/>
        </w:trPr>
        <w:tc>
          <w:tcPr>
            <w:tcW w:w="919" w:type="pct"/>
            <w:tcBorders>
              <w:top w:val="nil"/>
              <w:left w:val="single" w:sz="4" w:space="0" w:color="5B9BD5"/>
              <w:bottom w:val="nil"/>
              <w:right w:val="nil"/>
            </w:tcBorders>
            <w:shd w:val="clear" w:color="000000" w:fill="FFFFFF"/>
            <w:noWrap/>
            <w:vAlign w:val="center"/>
            <w:hideMark/>
          </w:tcPr>
          <w:p w:rsidR="0096374D" w:rsidRPr="00CD1518" w:rsidRDefault="0096374D">
            <w:pPr>
              <w:rPr>
                <w:color w:val="000000"/>
                <w:sz w:val="12"/>
                <w:szCs w:val="12"/>
              </w:rPr>
            </w:pPr>
            <w:r w:rsidRPr="00CD1518">
              <w:rPr>
                <w:color w:val="000000"/>
                <w:sz w:val="12"/>
                <w:szCs w:val="12"/>
              </w:rPr>
              <w:t>Theatre Recovery</w:t>
            </w:r>
          </w:p>
        </w:tc>
        <w:tc>
          <w:tcPr>
            <w:tcW w:w="408"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8,759</w:t>
            </w:r>
          </w:p>
        </w:tc>
        <w:tc>
          <w:tcPr>
            <w:tcW w:w="408" w:type="pct"/>
            <w:tcBorders>
              <w:top w:val="nil"/>
              <w:left w:val="nil"/>
              <w:bottom w:val="nil"/>
              <w:right w:val="nil"/>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8,759</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nil"/>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8,740</w:t>
            </w:r>
          </w:p>
        </w:tc>
        <w:tc>
          <w:tcPr>
            <w:tcW w:w="408"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6</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8,746</w:t>
            </w:r>
          </w:p>
        </w:tc>
        <w:tc>
          <w:tcPr>
            <w:tcW w:w="408" w:type="pct"/>
            <w:tcBorders>
              <w:top w:val="nil"/>
              <w:left w:val="nil"/>
              <w:bottom w:val="nil"/>
              <w:right w:val="nil"/>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13</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pPr>
              <w:jc w:val="right"/>
              <w:rPr>
                <w:color w:val="000000"/>
                <w:sz w:val="12"/>
                <w:szCs w:val="12"/>
              </w:rPr>
            </w:pPr>
            <w:r w:rsidRPr="00CD1518">
              <w:rPr>
                <w:color w:val="000000"/>
                <w:sz w:val="12"/>
                <w:szCs w:val="12"/>
              </w:rPr>
              <w:t>100%</w:t>
            </w:r>
          </w:p>
        </w:tc>
      </w:tr>
      <w:tr w:rsidR="003E3288" w:rsidRPr="0096374D" w:rsidTr="0096374D">
        <w:trPr>
          <w:trHeight w:val="290"/>
        </w:trPr>
        <w:tc>
          <w:tcPr>
            <w:tcW w:w="919" w:type="pct"/>
            <w:tcBorders>
              <w:top w:val="nil"/>
              <w:left w:val="single" w:sz="4" w:space="0" w:color="5B9BD5"/>
              <w:bottom w:val="nil"/>
              <w:right w:val="nil"/>
            </w:tcBorders>
            <w:shd w:val="clear" w:color="000000" w:fill="DDEBF7"/>
            <w:noWrap/>
            <w:vAlign w:val="center"/>
            <w:hideMark/>
          </w:tcPr>
          <w:p w:rsidR="0096374D" w:rsidRPr="00CD1518" w:rsidRDefault="0096374D">
            <w:pPr>
              <w:rPr>
                <w:color w:val="000000"/>
                <w:sz w:val="12"/>
                <w:szCs w:val="12"/>
              </w:rPr>
            </w:pPr>
            <w:r w:rsidRPr="00CD1518">
              <w:rPr>
                <w:color w:val="000000"/>
                <w:sz w:val="12"/>
                <w:szCs w:val="12"/>
              </w:rPr>
              <w:t>Theatre Surgery</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11,506</w:t>
            </w:r>
          </w:p>
        </w:tc>
        <w:tc>
          <w:tcPr>
            <w:tcW w:w="408" w:type="pct"/>
            <w:tcBorders>
              <w:top w:val="nil"/>
              <w:left w:val="nil"/>
              <w:bottom w:val="nil"/>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11,506</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10,256</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1,219</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11,475</w:t>
            </w:r>
          </w:p>
        </w:tc>
        <w:tc>
          <w:tcPr>
            <w:tcW w:w="408" w:type="pct"/>
            <w:tcBorders>
              <w:top w:val="nil"/>
              <w:left w:val="nil"/>
              <w:bottom w:val="nil"/>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31</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pPr>
              <w:jc w:val="right"/>
              <w:rPr>
                <w:sz w:val="12"/>
                <w:szCs w:val="12"/>
              </w:rPr>
            </w:pPr>
            <w:r w:rsidRPr="00CD1518">
              <w:rPr>
                <w:sz w:val="12"/>
                <w:szCs w:val="12"/>
              </w:rPr>
              <w:t>100%</w:t>
            </w:r>
          </w:p>
        </w:tc>
      </w:tr>
      <w:tr w:rsidR="003E3288" w:rsidRPr="0096374D" w:rsidTr="0096374D">
        <w:trPr>
          <w:trHeight w:val="290"/>
        </w:trPr>
        <w:tc>
          <w:tcPr>
            <w:tcW w:w="919" w:type="pct"/>
            <w:tcBorders>
              <w:top w:val="nil"/>
              <w:left w:val="single" w:sz="4" w:space="0" w:color="5B9BD5"/>
              <w:bottom w:val="nil"/>
              <w:right w:val="nil"/>
            </w:tcBorders>
            <w:shd w:val="clear" w:color="000000" w:fill="FFFFFF"/>
            <w:noWrap/>
            <w:vAlign w:val="center"/>
            <w:hideMark/>
          </w:tcPr>
          <w:p w:rsidR="0096374D" w:rsidRPr="00CD1518" w:rsidRDefault="0096374D">
            <w:pPr>
              <w:rPr>
                <w:color w:val="000000"/>
                <w:sz w:val="12"/>
                <w:szCs w:val="12"/>
              </w:rPr>
            </w:pPr>
            <w:r w:rsidRPr="00CD1518">
              <w:rPr>
                <w:color w:val="000000"/>
                <w:sz w:val="12"/>
                <w:szCs w:val="12"/>
              </w:rPr>
              <w:t>ED Resuscitation</w:t>
            </w:r>
          </w:p>
        </w:tc>
        <w:tc>
          <w:tcPr>
            <w:tcW w:w="408"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2,685</w:t>
            </w:r>
          </w:p>
        </w:tc>
        <w:tc>
          <w:tcPr>
            <w:tcW w:w="408" w:type="pct"/>
            <w:tcBorders>
              <w:top w:val="nil"/>
              <w:left w:val="nil"/>
              <w:bottom w:val="nil"/>
              <w:right w:val="nil"/>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2,679</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(6)</w:t>
            </w:r>
          </w:p>
        </w:tc>
        <w:tc>
          <w:tcPr>
            <w:tcW w:w="408" w:type="pct"/>
            <w:tcBorders>
              <w:top w:val="nil"/>
              <w:left w:val="nil"/>
              <w:bottom w:val="nil"/>
              <w:right w:val="nil"/>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169</w:t>
            </w:r>
          </w:p>
        </w:tc>
        <w:tc>
          <w:tcPr>
            <w:tcW w:w="408"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2,509</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2,678</w:t>
            </w:r>
          </w:p>
        </w:tc>
        <w:tc>
          <w:tcPr>
            <w:tcW w:w="408" w:type="pct"/>
            <w:tcBorders>
              <w:top w:val="nil"/>
              <w:left w:val="nil"/>
              <w:bottom w:val="nil"/>
              <w:right w:val="nil"/>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1</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pPr>
              <w:jc w:val="right"/>
              <w:rPr>
                <w:color w:val="000000"/>
                <w:sz w:val="12"/>
                <w:szCs w:val="12"/>
              </w:rPr>
            </w:pPr>
            <w:r w:rsidRPr="00CD1518">
              <w:rPr>
                <w:color w:val="000000"/>
                <w:sz w:val="12"/>
                <w:szCs w:val="12"/>
              </w:rPr>
              <w:t>100%</w:t>
            </w:r>
          </w:p>
        </w:tc>
      </w:tr>
      <w:tr w:rsidR="003E3288" w:rsidRPr="0096374D" w:rsidTr="0096374D">
        <w:trPr>
          <w:trHeight w:val="290"/>
        </w:trPr>
        <w:tc>
          <w:tcPr>
            <w:tcW w:w="919" w:type="pct"/>
            <w:tcBorders>
              <w:top w:val="nil"/>
              <w:left w:val="single" w:sz="4" w:space="0" w:color="5B9BD5"/>
              <w:bottom w:val="nil"/>
              <w:right w:val="nil"/>
            </w:tcBorders>
            <w:shd w:val="clear" w:color="000000" w:fill="DDEBF7"/>
            <w:noWrap/>
            <w:vAlign w:val="center"/>
            <w:hideMark/>
          </w:tcPr>
          <w:p w:rsidR="0096374D" w:rsidRPr="00CD1518" w:rsidRDefault="0096374D">
            <w:pPr>
              <w:rPr>
                <w:color w:val="000000"/>
                <w:sz w:val="12"/>
                <w:szCs w:val="12"/>
              </w:rPr>
            </w:pPr>
            <w:r w:rsidRPr="00CD1518">
              <w:rPr>
                <w:color w:val="000000"/>
                <w:sz w:val="12"/>
                <w:szCs w:val="12"/>
              </w:rPr>
              <w:t>MET Service</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1,167</w:t>
            </w:r>
          </w:p>
        </w:tc>
        <w:tc>
          <w:tcPr>
            <w:tcW w:w="408" w:type="pct"/>
            <w:tcBorders>
              <w:top w:val="nil"/>
              <w:left w:val="nil"/>
              <w:bottom w:val="nil"/>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1,167</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1,109</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35</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12</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1,156</w:t>
            </w:r>
          </w:p>
        </w:tc>
        <w:tc>
          <w:tcPr>
            <w:tcW w:w="408" w:type="pct"/>
            <w:tcBorders>
              <w:top w:val="nil"/>
              <w:left w:val="nil"/>
              <w:bottom w:val="nil"/>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11</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pPr>
              <w:jc w:val="right"/>
              <w:rPr>
                <w:sz w:val="12"/>
                <w:szCs w:val="12"/>
              </w:rPr>
            </w:pPr>
            <w:r w:rsidRPr="00CD1518">
              <w:rPr>
                <w:sz w:val="12"/>
                <w:szCs w:val="12"/>
              </w:rPr>
              <w:t>99%</w:t>
            </w:r>
          </w:p>
        </w:tc>
      </w:tr>
      <w:tr w:rsidR="00CD1518" w:rsidRPr="0096374D" w:rsidTr="00CD1518">
        <w:trPr>
          <w:trHeight w:val="290"/>
        </w:trPr>
        <w:tc>
          <w:tcPr>
            <w:tcW w:w="919" w:type="pct"/>
            <w:tcBorders>
              <w:top w:val="nil"/>
              <w:left w:val="single" w:sz="4" w:space="0" w:color="5B9BD5"/>
              <w:bottom w:val="nil"/>
              <w:right w:val="nil"/>
            </w:tcBorders>
            <w:shd w:val="clear" w:color="auto" w:fill="auto"/>
            <w:noWrap/>
            <w:vAlign w:val="center"/>
            <w:hideMark/>
          </w:tcPr>
          <w:p w:rsidR="0096374D" w:rsidRPr="00CD1518" w:rsidRDefault="0096374D">
            <w:pPr>
              <w:rPr>
                <w:color w:val="000000"/>
                <w:sz w:val="12"/>
                <w:szCs w:val="12"/>
              </w:rPr>
            </w:pPr>
            <w:r w:rsidRPr="00CD1518">
              <w:rPr>
                <w:color w:val="000000"/>
                <w:sz w:val="12"/>
                <w:szCs w:val="12"/>
              </w:rPr>
              <w:t>Pathology - $$</w:t>
            </w:r>
          </w:p>
        </w:tc>
        <w:tc>
          <w:tcPr>
            <w:tcW w:w="408" w:type="pct"/>
            <w:tcBorders>
              <w:top w:val="nil"/>
              <w:left w:val="single" w:sz="4" w:space="0" w:color="5B9BD5"/>
              <w:bottom w:val="nil"/>
              <w:right w:val="single" w:sz="4" w:space="0" w:color="5B9BD5"/>
            </w:tcBorders>
            <w:shd w:val="clear" w:color="auto" w:fill="auto"/>
            <w:noWrap/>
            <w:vAlign w:val="center"/>
            <w:hideMark/>
          </w:tcPr>
          <w:p w:rsidR="0096374D" w:rsidRPr="00CD1518" w:rsidRDefault="0096374D" w:rsidP="00CD1518">
            <w:pPr>
              <w:jc w:val="right"/>
              <w:rPr>
                <w:color w:val="000000"/>
                <w:sz w:val="12"/>
                <w:szCs w:val="12"/>
              </w:rPr>
            </w:pPr>
            <w:r w:rsidRPr="00CD1518">
              <w:rPr>
                <w:color w:val="000000"/>
                <w:sz w:val="12"/>
                <w:szCs w:val="12"/>
              </w:rPr>
              <w:t>317,844</w:t>
            </w:r>
          </w:p>
        </w:tc>
        <w:tc>
          <w:tcPr>
            <w:tcW w:w="408" w:type="pct"/>
            <w:tcBorders>
              <w:top w:val="nil"/>
              <w:left w:val="nil"/>
              <w:bottom w:val="nil"/>
              <w:right w:val="nil"/>
            </w:tcBorders>
            <w:shd w:val="clear" w:color="auto" w:fill="auto"/>
            <w:noWrap/>
            <w:vAlign w:val="center"/>
            <w:hideMark/>
          </w:tcPr>
          <w:p w:rsidR="0096374D" w:rsidRPr="00CD1518" w:rsidRDefault="0096374D" w:rsidP="00CD1518">
            <w:pPr>
              <w:jc w:val="right"/>
              <w:rPr>
                <w:color w:val="000000"/>
                <w:sz w:val="12"/>
                <w:szCs w:val="12"/>
              </w:rPr>
            </w:pPr>
            <w:r w:rsidRPr="00CD1518">
              <w:rPr>
                <w:color w:val="000000"/>
                <w:sz w:val="12"/>
                <w:szCs w:val="12"/>
              </w:rPr>
              <w:t>317,842</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(2)</w:t>
            </w:r>
          </w:p>
        </w:tc>
        <w:tc>
          <w:tcPr>
            <w:tcW w:w="408" w:type="pct"/>
            <w:tcBorders>
              <w:top w:val="nil"/>
              <w:left w:val="nil"/>
              <w:bottom w:val="nil"/>
              <w:right w:val="nil"/>
            </w:tcBorders>
            <w:shd w:val="clear" w:color="auto" w:fill="auto"/>
            <w:noWrap/>
            <w:vAlign w:val="center"/>
            <w:hideMark/>
          </w:tcPr>
          <w:p w:rsidR="0096374D" w:rsidRPr="00CD1518" w:rsidRDefault="0096374D" w:rsidP="00CD1518">
            <w:pPr>
              <w:jc w:val="right"/>
              <w:rPr>
                <w:color w:val="000000"/>
                <w:sz w:val="12"/>
                <w:szCs w:val="12"/>
              </w:rPr>
            </w:pPr>
            <w:r w:rsidRPr="00CD1518">
              <w:rPr>
                <w:color w:val="000000"/>
                <w:sz w:val="12"/>
                <w:szCs w:val="12"/>
              </w:rPr>
              <w:t>154,969</w:t>
            </w:r>
          </w:p>
        </w:tc>
        <w:tc>
          <w:tcPr>
            <w:tcW w:w="408" w:type="pct"/>
            <w:tcBorders>
              <w:top w:val="nil"/>
              <w:left w:val="single" w:sz="4" w:space="0" w:color="5B9BD5"/>
              <w:bottom w:val="nil"/>
              <w:right w:val="single" w:sz="4" w:space="0" w:color="5B9BD5"/>
            </w:tcBorders>
            <w:shd w:val="clear" w:color="auto" w:fill="auto"/>
            <w:noWrap/>
            <w:vAlign w:val="center"/>
            <w:hideMark/>
          </w:tcPr>
          <w:p w:rsidR="0096374D" w:rsidRPr="00CD1518" w:rsidRDefault="0096374D" w:rsidP="00CD1518">
            <w:pPr>
              <w:jc w:val="right"/>
              <w:rPr>
                <w:color w:val="000000"/>
                <w:sz w:val="12"/>
                <w:szCs w:val="12"/>
              </w:rPr>
            </w:pPr>
            <w:r w:rsidRPr="00CD1518">
              <w:rPr>
                <w:color w:val="000000"/>
                <w:sz w:val="12"/>
                <w:szCs w:val="12"/>
              </w:rPr>
              <w:t>116,569</w:t>
            </w:r>
          </w:p>
        </w:tc>
        <w:tc>
          <w:tcPr>
            <w:tcW w:w="408" w:type="pct"/>
            <w:tcBorders>
              <w:top w:val="nil"/>
              <w:left w:val="nil"/>
              <w:bottom w:val="nil"/>
              <w:right w:val="single" w:sz="4" w:space="0" w:color="5B9BD5"/>
            </w:tcBorders>
            <w:shd w:val="clear" w:color="auto" w:fill="auto"/>
            <w:noWrap/>
            <w:vAlign w:val="center"/>
            <w:hideMark/>
          </w:tcPr>
          <w:p w:rsidR="0096374D" w:rsidRPr="00CD1518" w:rsidRDefault="0096374D" w:rsidP="00CD1518">
            <w:pPr>
              <w:jc w:val="right"/>
              <w:rPr>
                <w:color w:val="000000"/>
                <w:sz w:val="12"/>
                <w:szCs w:val="12"/>
              </w:rPr>
            </w:pPr>
            <w:r w:rsidRPr="00CD1518">
              <w:rPr>
                <w:color w:val="000000"/>
                <w:sz w:val="12"/>
                <w:szCs w:val="12"/>
              </w:rPr>
              <w:t>30,953</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302,491</w:t>
            </w:r>
          </w:p>
        </w:tc>
        <w:tc>
          <w:tcPr>
            <w:tcW w:w="408" w:type="pct"/>
            <w:tcBorders>
              <w:top w:val="nil"/>
              <w:left w:val="nil"/>
              <w:bottom w:val="nil"/>
              <w:right w:val="nil"/>
            </w:tcBorders>
            <w:shd w:val="clear" w:color="auto" w:fill="auto"/>
            <w:noWrap/>
            <w:vAlign w:val="center"/>
            <w:hideMark/>
          </w:tcPr>
          <w:p w:rsidR="0096374D" w:rsidRPr="00CD1518" w:rsidRDefault="0096374D" w:rsidP="00CD1518">
            <w:pPr>
              <w:jc w:val="right"/>
              <w:rPr>
                <w:color w:val="000000"/>
                <w:sz w:val="12"/>
                <w:szCs w:val="12"/>
              </w:rPr>
            </w:pPr>
            <w:r w:rsidRPr="00CD1518">
              <w:rPr>
                <w:color w:val="000000"/>
                <w:sz w:val="12"/>
                <w:szCs w:val="12"/>
              </w:rPr>
              <w:t>15,351</w:t>
            </w:r>
          </w:p>
        </w:tc>
        <w:tc>
          <w:tcPr>
            <w:tcW w:w="408" w:type="pct"/>
            <w:tcBorders>
              <w:top w:val="nil"/>
              <w:left w:val="single" w:sz="4" w:space="0" w:color="5B9BD5"/>
              <w:bottom w:val="nil"/>
              <w:right w:val="single" w:sz="4" w:space="0" w:color="5B9BD5"/>
            </w:tcBorders>
            <w:shd w:val="clear" w:color="auto" w:fill="auto"/>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pPr>
              <w:jc w:val="right"/>
              <w:rPr>
                <w:color w:val="000000"/>
                <w:sz w:val="12"/>
                <w:szCs w:val="12"/>
              </w:rPr>
            </w:pPr>
            <w:r w:rsidRPr="00CD1518">
              <w:rPr>
                <w:color w:val="000000"/>
                <w:sz w:val="12"/>
                <w:szCs w:val="12"/>
              </w:rPr>
              <w:t>95%</w:t>
            </w:r>
          </w:p>
        </w:tc>
      </w:tr>
      <w:tr w:rsidR="003E3288" w:rsidRPr="0096374D" w:rsidTr="0096374D">
        <w:trPr>
          <w:trHeight w:val="290"/>
        </w:trPr>
        <w:tc>
          <w:tcPr>
            <w:tcW w:w="919" w:type="pct"/>
            <w:tcBorders>
              <w:top w:val="nil"/>
              <w:left w:val="single" w:sz="4" w:space="0" w:color="5B9BD5"/>
              <w:bottom w:val="nil"/>
              <w:right w:val="nil"/>
            </w:tcBorders>
            <w:shd w:val="clear" w:color="000000" w:fill="DDEBF7"/>
            <w:noWrap/>
            <w:vAlign w:val="center"/>
            <w:hideMark/>
          </w:tcPr>
          <w:p w:rsidR="0096374D" w:rsidRPr="00CD1518" w:rsidRDefault="0096374D">
            <w:pPr>
              <w:rPr>
                <w:color w:val="000000"/>
                <w:sz w:val="12"/>
                <w:szCs w:val="12"/>
              </w:rPr>
            </w:pPr>
            <w:r w:rsidRPr="00CD1518">
              <w:rPr>
                <w:color w:val="000000"/>
                <w:sz w:val="12"/>
                <w:szCs w:val="12"/>
              </w:rPr>
              <w:t>Pharmacy - $$</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171,829</w:t>
            </w:r>
          </w:p>
        </w:tc>
        <w:tc>
          <w:tcPr>
            <w:tcW w:w="408" w:type="pct"/>
            <w:tcBorders>
              <w:top w:val="nil"/>
              <w:left w:val="nil"/>
              <w:bottom w:val="nil"/>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171,655</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(174)</w:t>
            </w:r>
          </w:p>
        </w:tc>
        <w:tc>
          <w:tcPr>
            <w:tcW w:w="408" w:type="pct"/>
            <w:tcBorders>
              <w:top w:val="nil"/>
              <w:left w:val="nil"/>
              <w:bottom w:val="nil"/>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97,705</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47,006</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19,263</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163,974</w:t>
            </w:r>
          </w:p>
        </w:tc>
        <w:tc>
          <w:tcPr>
            <w:tcW w:w="408" w:type="pct"/>
            <w:tcBorders>
              <w:top w:val="nil"/>
              <w:left w:val="nil"/>
              <w:bottom w:val="nil"/>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7,681</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pPr>
              <w:jc w:val="right"/>
              <w:rPr>
                <w:sz w:val="12"/>
                <w:szCs w:val="12"/>
              </w:rPr>
            </w:pPr>
            <w:r w:rsidRPr="00CD1518">
              <w:rPr>
                <w:sz w:val="12"/>
                <w:szCs w:val="12"/>
              </w:rPr>
              <w:t>96%</w:t>
            </w:r>
          </w:p>
        </w:tc>
      </w:tr>
      <w:tr w:rsidR="00CD1518" w:rsidRPr="0096374D" w:rsidTr="00CD1518">
        <w:trPr>
          <w:trHeight w:val="290"/>
        </w:trPr>
        <w:tc>
          <w:tcPr>
            <w:tcW w:w="919" w:type="pct"/>
            <w:tcBorders>
              <w:top w:val="nil"/>
              <w:left w:val="single" w:sz="4" w:space="0" w:color="5B9BD5"/>
              <w:bottom w:val="nil"/>
              <w:right w:val="nil"/>
            </w:tcBorders>
            <w:shd w:val="clear" w:color="auto" w:fill="auto"/>
            <w:noWrap/>
            <w:vAlign w:val="center"/>
            <w:hideMark/>
          </w:tcPr>
          <w:p w:rsidR="0096374D" w:rsidRPr="00CD1518" w:rsidRDefault="0096374D">
            <w:pPr>
              <w:rPr>
                <w:color w:val="000000"/>
                <w:sz w:val="12"/>
                <w:szCs w:val="12"/>
              </w:rPr>
            </w:pPr>
            <w:r w:rsidRPr="00CD1518">
              <w:rPr>
                <w:color w:val="000000"/>
                <w:sz w:val="12"/>
                <w:szCs w:val="12"/>
              </w:rPr>
              <w:t>Pharmacy S100 - $$</w:t>
            </w:r>
          </w:p>
        </w:tc>
        <w:tc>
          <w:tcPr>
            <w:tcW w:w="408" w:type="pct"/>
            <w:tcBorders>
              <w:top w:val="nil"/>
              <w:left w:val="single" w:sz="4" w:space="0" w:color="5B9BD5"/>
              <w:bottom w:val="nil"/>
              <w:right w:val="single" w:sz="4" w:space="0" w:color="5B9BD5"/>
            </w:tcBorders>
            <w:shd w:val="clear" w:color="auto" w:fill="auto"/>
            <w:noWrap/>
            <w:vAlign w:val="center"/>
            <w:hideMark/>
          </w:tcPr>
          <w:p w:rsidR="0096374D" w:rsidRPr="00CD1518" w:rsidRDefault="0096374D" w:rsidP="00CD1518">
            <w:pPr>
              <w:jc w:val="right"/>
              <w:rPr>
                <w:color w:val="000000"/>
                <w:sz w:val="12"/>
                <w:szCs w:val="12"/>
              </w:rPr>
            </w:pPr>
            <w:r w:rsidRPr="00CD1518">
              <w:rPr>
                <w:color w:val="000000"/>
                <w:sz w:val="12"/>
                <w:szCs w:val="12"/>
              </w:rPr>
              <w:t>1,088</w:t>
            </w:r>
          </w:p>
        </w:tc>
        <w:tc>
          <w:tcPr>
            <w:tcW w:w="408" w:type="pct"/>
            <w:tcBorders>
              <w:top w:val="nil"/>
              <w:left w:val="nil"/>
              <w:bottom w:val="nil"/>
              <w:right w:val="nil"/>
            </w:tcBorders>
            <w:shd w:val="clear" w:color="auto" w:fill="auto"/>
            <w:noWrap/>
            <w:vAlign w:val="center"/>
            <w:hideMark/>
          </w:tcPr>
          <w:p w:rsidR="0096374D" w:rsidRPr="00CD1518" w:rsidRDefault="0096374D" w:rsidP="00CD1518">
            <w:pPr>
              <w:jc w:val="right"/>
              <w:rPr>
                <w:color w:val="000000"/>
                <w:sz w:val="12"/>
                <w:szCs w:val="12"/>
              </w:rPr>
            </w:pPr>
            <w:r w:rsidRPr="00CD1518">
              <w:rPr>
                <w:color w:val="000000"/>
                <w:sz w:val="12"/>
                <w:szCs w:val="12"/>
              </w:rPr>
              <w:t>1,056</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(32)</w:t>
            </w:r>
          </w:p>
        </w:tc>
        <w:tc>
          <w:tcPr>
            <w:tcW w:w="408" w:type="pct"/>
            <w:tcBorders>
              <w:top w:val="nil"/>
              <w:left w:val="nil"/>
              <w:bottom w:val="nil"/>
              <w:right w:val="nil"/>
            </w:tcBorders>
            <w:shd w:val="clear" w:color="auto" w:fill="auto"/>
            <w:noWrap/>
            <w:vAlign w:val="center"/>
            <w:hideMark/>
          </w:tcPr>
          <w:p w:rsidR="0096374D" w:rsidRPr="00CD1518" w:rsidRDefault="0096374D" w:rsidP="00CD1518">
            <w:pPr>
              <w:jc w:val="right"/>
              <w:rPr>
                <w:color w:val="000000"/>
                <w:sz w:val="12"/>
                <w:szCs w:val="12"/>
              </w:rPr>
            </w:pPr>
            <w:r w:rsidRPr="00CD1518">
              <w:rPr>
                <w:color w:val="000000"/>
                <w:sz w:val="12"/>
                <w:szCs w:val="12"/>
              </w:rPr>
              <w:t>356</w:t>
            </w:r>
          </w:p>
        </w:tc>
        <w:tc>
          <w:tcPr>
            <w:tcW w:w="408" w:type="pct"/>
            <w:tcBorders>
              <w:top w:val="nil"/>
              <w:left w:val="single" w:sz="4" w:space="0" w:color="5B9BD5"/>
              <w:bottom w:val="nil"/>
              <w:right w:val="single" w:sz="4" w:space="0" w:color="5B9BD5"/>
            </w:tcBorders>
            <w:shd w:val="clear" w:color="auto" w:fill="auto"/>
            <w:noWrap/>
            <w:vAlign w:val="center"/>
            <w:hideMark/>
          </w:tcPr>
          <w:p w:rsidR="0096374D" w:rsidRPr="00CD1518" w:rsidRDefault="0096374D" w:rsidP="00CD1518">
            <w:pPr>
              <w:jc w:val="right"/>
              <w:rPr>
                <w:color w:val="000000"/>
                <w:sz w:val="12"/>
                <w:szCs w:val="12"/>
              </w:rPr>
            </w:pPr>
            <w:r w:rsidRPr="00CD1518">
              <w:rPr>
                <w:color w:val="000000"/>
                <w:sz w:val="12"/>
                <w:szCs w:val="12"/>
              </w:rPr>
              <w:t>2</w:t>
            </w:r>
          </w:p>
        </w:tc>
        <w:tc>
          <w:tcPr>
            <w:tcW w:w="408" w:type="pct"/>
            <w:tcBorders>
              <w:top w:val="nil"/>
              <w:left w:val="nil"/>
              <w:bottom w:val="nil"/>
              <w:right w:val="single" w:sz="4" w:space="0" w:color="5B9BD5"/>
            </w:tcBorders>
            <w:shd w:val="clear" w:color="auto" w:fill="auto"/>
            <w:noWrap/>
            <w:vAlign w:val="center"/>
            <w:hideMark/>
          </w:tcPr>
          <w:p w:rsidR="0096374D" w:rsidRPr="00CD1518" w:rsidRDefault="0096374D" w:rsidP="00CD1518">
            <w:pPr>
              <w:jc w:val="right"/>
              <w:rPr>
                <w:color w:val="000000"/>
                <w:sz w:val="12"/>
                <w:szCs w:val="12"/>
              </w:rPr>
            </w:pPr>
            <w:r w:rsidRPr="00CD1518">
              <w:rPr>
                <w:color w:val="000000"/>
                <w:sz w:val="12"/>
                <w:szCs w:val="12"/>
              </w:rPr>
              <w:t>536</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894</w:t>
            </w:r>
          </w:p>
        </w:tc>
        <w:tc>
          <w:tcPr>
            <w:tcW w:w="408" w:type="pct"/>
            <w:tcBorders>
              <w:top w:val="nil"/>
              <w:left w:val="nil"/>
              <w:bottom w:val="nil"/>
              <w:right w:val="nil"/>
            </w:tcBorders>
            <w:shd w:val="clear" w:color="auto" w:fill="auto"/>
            <w:noWrap/>
            <w:vAlign w:val="center"/>
            <w:hideMark/>
          </w:tcPr>
          <w:p w:rsidR="0096374D" w:rsidRPr="00CD1518" w:rsidRDefault="0096374D" w:rsidP="00CD1518">
            <w:pPr>
              <w:jc w:val="right"/>
              <w:rPr>
                <w:color w:val="000000"/>
                <w:sz w:val="12"/>
                <w:szCs w:val="12"/>
              </w:rPr>
            </w:pPr>
            <w:r w:rsidRPr="00CD1518">
              <w:rPr>
                <w:color w:val="000000"/>
                <w:sz w:val="12"/>
                <w:szCs w:val="12"/>
              </w:rPr>
              <w:t>162</w:t>
            </w:r>
          </w:p>
        </w:tc>
        <w:tc>
          <w:tcPr>
            <w:tcW w:w="408" w:type="pct"/>
            <w:tcBorders>
              <w:top w:val="nil"/>
              <w:left w:val="single" w:sz="4" w:space="0" w:color="5B9BD5"/>
              <w:bottom w:val="nil"/>
              <w:right w:val="single" w:sz="4" w:space="0" w:color="5B9BD5"/>
            </w:tcBorders>
            <w:shd w:val="clear" w:color="auto" w:fill="auto"/>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pPr>
              <w:jc w:val="right"/>
              <w:rPr>
                <w:color w:val="000000"/>
                <w:sz w:val="12"/>
                <w:szCs w:val="12"/>
              </w:rPr>
            </w:pPr>
            <w:r w:rsidRPr="00CD1518">
              <w:rPr>
                <w:color w:val="000000"/>
                <w:sz w:val="12"/>
                <w:szCs w:val="12"/>
              </w:rPr>
              <w:t>85%</w:t>
            </w:r>
          </w:p>
        </w:tc>
      </w:tr>
      <w:tr w:rsidR="003E3288" w:rsidRPr="0096374D" w:rsidTr="0096374D">
        <w:trPr>
          <w:trHeight w:val="290"/>
        </w:trPr>
        <w:tc>
          <w:tcPr>
            <w:tcW w:w="919" w:type="pct"/>
            <w:tcBorders>
              <w:top w:val="nil"/>
              <w:left w:val="single" w:sz="4" w:space="0" w:color="5B9BD5"/>
              <w:bottom w:val="nil"/>
              <w:right w:val="nil"/>
            </w:tcBorders>
            <w:shd w:val="clear" w:color="000000" w:fill="DDEBF7"/>
            <w:noWrap/>
            <w:vAlign w:val="center"/>
            <w:hideMark/>
          </w:tcPr>
          <w:p w:rsidR="0096374D" w:rsidRPr="00CD1518" w:rsidRDefault="0096374D">
            <w:pPr>
              <w:rPr>
                <w:color w:val="000000"/>
                <w:sz w:val="12"/>
                <w:szCs w:val="12"/>
              </w:rPr>
            </w:pPr>
            <w:r w:rsidRPr="00CD1518">
              <w:rPr>
                <w:color w:val="000000"/>
                <w:sz w:val="12"/>
                <w:szCs w:val="12"/>
              </w:rPr>
              <w:t>Imaging</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86,211</w:t>
            </w:r>
          </w:p>
        </w:tc>
        <w:tc>
          <w:tcPr>
            <w:tcW w:w="408" w:type="pct"/>
            <w:tcBorders>
              <w:top w:val="nil"/>
              <w:left w:val="nil"/>
              <w:bottom w:val="nil"/>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86,211</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29,566</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30,487</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19,100</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79,153</w:t>
            </w:r>
          </w:p>
        </w:tc>
        <w:tc>
          <w:tcPr>
            <w:tcW w:w="408" w:type="pct"/>
            <w:tcBorders>
              <w:top w:val="nil"/>
              <w:left w:val="nil"/>
              <w:bottom w:val="nil"/>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7,058</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pPr>
              <w:jc w:val="right"/>
              <w:rPr>
                <w:sz w:val="12"/>
                <w:szCs w:val="12"/>
              </w:rPr>
            </w:pPr>
            <w:r w:rsidRPr="00CD1518">
              <w:rPr>
                <w:sz w:val="12"/>
                <w:szCs w:val="12"/>
              </w:rPr>
              <w:t>92%</w:t>
            </w:r>
          </w:p>
        </w:tc>
      </w:tr>
      <w:tr w:rsidR="003E3288" w:rsidRPr="0096374D" w:rsidTr="0096374D">
        <w:trPr>
          <w:trHeight w:val="290"/>
        </w:trPr>
        <w:tc>
          <w:tcPr>
            <w:tcW w:w="919" w:type="pct"/>
            <w:tcBorders>
              <w:top w:val="nil"/>
              <w:left w:val="single" w:sz="4" w:space="0" w:color="5B9BD5"/>
              <w:bottom w:val="nil"/>
              <w:right w:val="nil"/>
            </w:tcBorders>
            <w:shd w:val="clear" w:color="000000" w:fill="FFFFFF"/>
            <w:noWrap/>
            <w:vAlign w:val="center"/>
            <w:hideMark/>
          </w:tcPr>
          <w:p w:rsidR="0096374D" w:rsidRPr="00CD1518" w:rsidRDefault="0096374D">
            <w:pPr>
              <w:rPr>
                <w:color w:val="000000"/>
                <w:sz w:val="12"/>
                <w:szCs w:val="12"/>
              </w:rPr>
            </w:pPr>
            <w:r w:rsidRPr="00CD1518">
              <w:rPr>
                <w:color w:val="000000"/>
                <w:sz w:val="12"/>
                <w:szCs w:val="12"/>
              </w:rPr>
              <w:t>Allied Health</w:t>
            </w:r>
          </w:p>
        </w:tc>
        <w:tc>
          <w:tcPr>
            <w:tcW w:w="408"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188,051</w:t>
            </w:r>
          </w:p>
        </w:tc>
        <w:tc>
          <w:tcPr>
            <w:tcW w:w="408" w:type="pct"/>
            <w:tcBorders>
              <w:top w:val="nil"/>
              <w:left w:val="nil"/>
              <w:bottom w:val="nil"/>
              <w:right w:val="nil"/>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188,051</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nil"/>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143,393</w:t>
            </w:r>
          </w:p>
        </w:tc>
        <w:tc>
          <w:tcPr>
            <w:tcW w:w="408"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1,837</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42,821</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188,051</w:t>
            </w:r>
          </w:p>
        </w:tc>
        <w:tc>
          <w:tcPr>
            <w:tcW w:w="408" w:type="pct"/>
            <w:tcBorders>
              <w:top w:val="nil"/>
              <w:left w:val="nil"/>
              <w:bottom w:val="nil"/>
              <w:right w:val="nil"/>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pPr>
              <w:jc w:val="right"/>
              <w:rPr>
                <w:color w:val="000000"/>
                <w:sz w:val="12"/>
                <w:szCs w:val="12"/>
              </w:rPr>
            </w:pPr>
            <w:r w:rsidRPr="00CD1518">
              <w:rPr>
                <w:color w:val="000000"/>
                <w:sz w:val="12"/>
                <w:szCs w:val="12"/>
              </w:rPr>
              <w:t>100%</w:t>
            </w:r>
          </w:p>
        </w:tc>
      </w:tr>
      <w:tr w:rsidR="003E3288" w:rsidRPr="0096374D" w:rsidTr="0096374D">
        <w:trPr>
          <w:trHeight w:val="290"/>
        </w:trPr>
        <w:tc>
          <w:tcPr>
            <w:tcW w:w="919" w:type="pct"/>
            <w:tcBorders>
              <w:top w:val="nil"/>
              <w:left w:val="single" w:sz="4" w:space="0" w:color="5B9BD5"/>
              <w:bottom w:val="nil"/>
              <w:right w:val="nil"/>
            </w:tcBorders>
            <w:shd w:val="clear" w:color="000000" w:fill="DDEBF7"/>
            <w:noWrap/>
            <w:vAlign w:val="center"/>
            <w:hideMark/>
          </w:tcPr>
          <w:p w:rsidR="0096374D" w:rsidRPr="00CD1518" w:rsidRDefault="0096374D">
            <w:pPr>
              <w:rPr>
                <w:color w:val="000000"/>
                <w:sz w:val="12"/>
                <w:szCs w:val="12"/>
              </w:rPr>
            </w:pPr>
            <w:r>
              <w:rPr>
                <w:color w:val="000000"/>
                <w:sz w:val="12"/>
                <w:szCs w:val="12"/>
              </w:rPr>
              <w:t>Medical ED</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62,202</w:t>
            </w:r>
          </w:p>
        </w:tc>
        <w:tc>
          <w:tcPr>
            <w:tcW w:w="408" w:type="pct"/>
            <w:tcBorders>
              <w:top w:val="nil"/>
              <w:left w:val="nil"/>
              <w:bottom w:val="nil"/>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62,202</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62,202</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62,202</w:t>
            </w:r>
          </w:p>
        </w:tc>
        <w:tc>
          <w:tcPr>
            <w:tcW w:w="408" w:type="pct"/>
            <w:tcBorders>
              <w:top w:val="nil"/>
              <w:left w:val="nil"/>
              <w:bottom w:val="nil"/>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pPr>
              <w:jc w:val="right"/>
              <w:rPr>
                <w:sz w:val="12"/>
                <w:szCs w:val="12"/>
              </w:rPr>
            </w:pPr>
            <w:r w:rsidRPr="00CD1518">
              <w:rPr>
                <w:sz w:val="12"/>
                <w:szCs w:val="12"/>
              </w:rPr>
              <w:t>100%</w:t>
            </w:r>
          </w:p>
        </w:tc>
      </w:tr>
      <w:tr w:rsidR="003E3288" w:rsidRPr="0096374D" w:rsidTr="0096374D">
        <w:trPr>
          <w:trHeight w:val="280"/>
        </w:trPr>
        <w:tc>
          <w:tcPr>
            <w:tcW w:w="919" w:type="pct"/>
            <w:tcBorders>
              <w:top w:val="nil"/>
              <w:left w:val="single" w:sz="4" w:space="0" w:color="5B9BD5"/>
              <w:bottom w:val="nil"/>
              <w:right w:val="nil"/>
            </w:tcBorders>
            <w:shd w:val="clear" w:color="000000" w:fill="FFFFFF"/>
            <w:noWrap/>
            <w:vAlign w:val="center"/>
            <w:hideMark/>
          </w:tcPr>
          <w:p w:rsidR="0096374D" w:rsidRPr="00CD1518" w:rsidRDefault="0096374D">
            <w:pPr>
              <w:rPr>
                <w:color w:val="000000"/>
                <w:sz w:val="12"/>
                <w:szCs w:val="12"/>
              </w:rPr>
            </w:pPr>
            <w:r w:rsidRPr="00CD1518">
              <w:rPr>
                <w:color w:val="000000"/>
                <w:sz w:val="12"/>
                <w:szCs w:val="12"/>
              </w:rPr>
              <w:t>Nursing ED</w:t>
            </w:r>
          </w:p>
        </w:tc>
        <w:tc>
          <w:tcPr>
            <w:tcW w:w="408"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72,486</w:t>
            </w:r>
          </w:p>
        </w:tc>
        <w:tc>
          <w:tcPr>
            <w:tcW w:w="408" w:type="pct"/>
            <w:tcBorders>
              <w:top w:val="nil"/>
              <w:left w:val="nil"/>
              <w:bottom w:val="nil"/>
              <w:right w:val="nil"/>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72,486</w:t>
            </w:r>
          </w:p>
        </w:tc>
        <w:tc>
          <w:tcPr>
            <w:tcW w:w="408"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nil"/>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72,486</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72,486</w:t>
            </w:r>
          </w:p>
        </w:tc>
        <w:tc>
          <w:tcPr>
            <w:tcW w:w="408" w:type="pct"/>
            <w:tcBorders>
              <w:top w:val="nil"/>
              <w:left w:val="nil"/>
              <w:bottom w:val="nil"/>
              <w:right w:val="nil"/>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nil"/>
              <w:right w:val="single" w:sz="4" w:space="0" w:color="5B9BD5"/>
            </w:tcBorders>
            <w:shd w:val="clear" w:color="000000" w:fill="FFFFFF"/>
            <w:noWrap/>
            <w:vAlign w:val="center"/>
            <w:hideMark/>
          </w:tcPr>
          <w:p w:rsidR="0096374D" w:rsidRPr="00CD1518" w:rsidRDefault="0096374D">
            <w:pPr>
              <w:jc w:val="right"/>
              <w:rPr>
                <w:color w:val="000000"/>
                <w:sz w:val="12"/>
                <w:szCs w:val="12"/>
              </w:rPr>
            </w:pPr>
            <w:r w:rsidRPr="00CD1518">
              <w:rPr>
                <w:color w:val="000000"/>
                <w:sz w:val="12"/>
                <w:szCs w:val="12"/>
              </w:rPr>
              <w:t>100%</w:t>
            </w:r>
          </w:p>
        </w:tc>
      </w:tr>
      <w:tr w:rsidR="003E3288" w:rsidRPr="0096374D" w:rsidTr="0096374D">
        <w:trPr>
          <w:trHeight w:val="290"/>
        </w:trPr>
        <w:tc>
          <w:tcPr>
            <w:tcW w:w="919" w:type="pct"/>
            <w:tcBorders>
              <w:top w:val="nil"/>
              <w:left w:val="single" w:sz="4" w:space="0" w:color="5B9BD5"/>
              <w:bottom w:val="single" w:sz="4" w:space="0" w:color="5B9BD5"/>
              <w:right w:val="nil"/>
            </w:tcBorders>
            <w:shd w:val="clear" w:color="000000" w:fill="DDEBF7"/>
            <w:noWrap/>
            <w:vAlign w:val="center"/>
            <w:hideMark/>
          </w:tcPr>
          <w:p w:rsidR="0096374D" w:rsidRPr="00CD1518" w:rsidRDefault="0096374D">
            <w:pPr>
              <w:rPr>
                <w:color w:val="000000"/>
                <w:sz w:val="12"/>
                <w:szCs w:val="12"/>
              </w:rPr>
            </w:pPr>
            <w:r w:rsidRPr="00CD1518">
              <w:rPr>
                <w:color w:val="000000"/>
                <w:sz w:val="12"/>
                <w:szCs w:val="12"/>
              </w:rPr>
              <w:t>Patient Security Service</w:t>
            </w:r>
          </w:p>
        </w:tc>
        <w:tc>
          <w:tcPr>
            <w:tcW w:w="408" w:type="pct"/>
            <w:tcBorders>
              <w:top w:val="nil"/>
              <w:left w:val="single" w:sz="4" w:space="0" w:color="5B9BD5"/>
              <w:bottom w:val="single" w:sz="4" w:space="0" w:color="5B9BD5"/>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2,524</w:t>
            </w:r>
          </w:p>
        </w:tc>
        <w:tc>
          <w:tcPr>
            <w:tcW w:w="408" w:type="pct"/>
            <w:tcBorders>
              <w:top w:val="nil"/>
              <w:left w:val="nil"/>
              <w:bottom w:val="single" w:sz="4" w:space="0" w:color="5B9BD5"/>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2,524</w:t>
            </w:r>
          </w:p>
        </w:tc>
        <w:tc>
          <w:tcPr>
            <w:tcW w:w="408" w:type="pct"/>
            <w:tcBorders>
              <w:top w:val="nil"/>
              <w:left w:val="single" w:sz="4" w:space="0" w:color="5B9BD5"/>
              <w:bottom w:val="single" w:sz="4" w:space="0" w:color="5B9BD5"/>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single" w:sz="4" w:space="0" w:color="5B9BD5"/>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1,487</w:t>
            </w:r>
          </w:p>
        </w:tc>
        <w:tc>
          <w:tcPr>
            <w:tcW w:w="408" w:type="pct"/>
            <w:tcBorders>
              <w:top w:val="nil"/>
              <w:left w:val="single" w:sz="4" w:space="0" w:color="5B9BD5"/>
              <w:bottom w:val="single" w:sz="4" w:space="0" w:color="5B9BD5"/>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914</w:t>
            </w:r>
          </w:p>
        </w:tc>
        <w:tc>
          <w:tcPr>
            <w:tcW w:w="408"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2,401</w:t>
            </w:r>
          </w:p>
        </w:tc>
        <w:tc>
          <w:tcPr>
            <w:tcW w:w="408" w:type="pct"/>
            <w:tcBorders>
              <w:top w:val="nil"/>
              <w:left w:val="nil"/>
              <w:bottom w:val="single" w:sz="4" w:space="0" w:color="5B9BD5"/>
              <w:right w:val="nil"/>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w:t>
            </w:r>
          </w:p>
        </w:tc>
        <w:tc>
          <w:tcPr>
            <w:tcW w:w="408" w:type="pct"/>
            <w:tcBorders>
              <w:top w:val="nil"/>
              <w:left w:val="single" w:sz="4" w:space="0" w:color="5B9BD5"/>
              <w:bottom w:val="single" w:sz="4" w:space="0" w:color="5B9BD5"/>
              <w:right w:val="single" w:sz="4" w:space="0" w:color="5B9BD5"/>
            </w:tcBorders>
            <w:shd w:val="clear" w:color="000000" w:fill="DDEBF7"/>
            <w:noWrap/>
            <w:vAlign w:val="center"/>
            <w:hideMark/>
          </w:tcPr>
          <w:p w:rsidR="0096374D" w:rsidRPr="00CD1518" w:rsidRDefault="0096374D" w:rsidP="00CD1518">
            <w:pPr>
              <w:jc w:val="right"/>
              <w:rPr>
                <w:color w:val="000000"/>
                <w:sz w:val="12"/>
                <w:szCs w:val="12"/>
              </w:rPr>
            </w:pPr>
            <w:r w:rsidRPr="00CD1518">
              <w:rPr>
                <w:color w:val="000000"/>
                <w:sz w:val="12"/>
                <w:szCs w:val="12"/>
              </w:rPr>
              <w:t>123</w:t>
            </w:r>
          </w:p>
        </w:tc>
        <w:tc>
          <w:tcPr>
            <w:tcW w:w="408"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pPr>
              <w:jc w:val="right"/>
              <w:rPr>
                <w:sz w:val="12"/>
                <w:szCs w:val="12"/>
              </w:rPr>
            </w:pPr>
            <w:r w:rsidRPr="00CD1518">
              <w:rPr>
                <w:sz w:val="12"/>
                <w:szCs w:val="12"/>
              </w:rPr>
              <w:t>95%</w:t>
            </w:r>
          </w:p>
        </w:tc>
      </w:tr>
    </w:tbl>
    <w:p w:rsidR="002E59FA" w:rsidRPr="00975E6B" w:rsidRDefault="0096374D" w:rsidP="002E59FA">
      <w:pPr>
        <w:rPr>
          <w:bCs/>
          <w:i/>
          <w:sz w:val="16"/>
          <w:szCs w:val="16"/>
        </w:rPr>
      </w:pPr>
      <w:r w:rsidRPr="00975E6B">
        <w:rPr>
          <w:bCs/>
          <w:i/>
          <w:sz w:val="16"/>
          <w:szCs w:val="16"/>
        </w:rPr>
        <w:t xml:space="preserve"> </w:t>
      </w:r>
      <w:r w:rsidR="002E59FA" w:rsidRPr="00975E6B">
        <w:rPr>
          <w:bCs/>
          <w:i/>
          <w:sz w:val="16"/>
          <w:szCs w:val="16"/>
        </w:rPr>
        <w:t xml:space="preserve">Source: KPMG based on </w:t>
      </w:r>
      <w:r w:rsidR="003F167A" w:rsidRPr="00975E6B">
        <w:rPr>
          <w:bCs/>
          <w:i/>
          <w:sz w:val="16"/>
          <w:szCs w:val="16"/>
        </w:rPr>
        <w:t xml:space="preserve">Lyell </w:t>
      </w:r>
      <w:proofErr w:type="spellStart"/>
      <w:r w:rsidR="003F167A" w:rsidRPr="00975E6B">
        <w:rPr>
          <w:bCs/>
          <w:i/>
          <w:sz w:val="16"/>
          <w:szCs w:val="16"/>
        </w:rPr>
        <w:t>McEwin</w:t>
      </w:r>
      <w:proofErr w:type="spellEnd"/>
      <w:r w:rsidR="002E59FA" w:rsidRPr="00975E6B">
        <w:rPr>
          <w:bCs/>
          <w:i/>
          <w:sz w:val="16"/>
          <w:szCs w:val="16"/>
        </w:rPr>
        <w:t xml:space="preserve"> IFR templates</w:t>
      </w:r>
    </w:p>
    <w:p w:rsidR="002E59FA" w:rsidRPr="00975E6B" w:rsidRDefault="002E59FA" w:rsidP="002E59FA">
      <w:pPr>
        <w:pStyle w:val="BodyText"/>
      </w:pPr>
      <w:r w:rsidRPr="00975E6B">
        <w:t xml:space="preserve">The following should be noted about the activity and feeder data for </w:t>
      </w:r>
      <w:r w:rsidR="003F167A" w:rsidRPr="00975E6B">
        <w:t xml:space="preserve">Lyell </w:t>
      </w:r>
      <w:proofErr w:type="spellStart"/>
      <w:r w:rsidR="003F167A" w:rsidRPr="00975E6B">
        <w:t>McEwin</w:t>
      </w:r>
      <w:proofErr w:type="spellEnd"/>
      <w:r w:rsidRPr="00975E6B">
        <w:t>:</w:t>
      </w:r>
    </w:p>
    <w:p w:rsidR="002E59FA" w:rsidRPr="00975E6B" w:rsidRDefault="002E59FA" w:rsidP="00F26328">
      <w:pPr>
        <w:pStyle w:val="BodyText"/>
        <w:numPr>
          <w:ilvl w:val="0"/>
          <w:numId w:val="35"/>
        </w:numPr>
      </w:pPr>
      <w:r w:rsidRPr="00975E6B">
        <w:t>There are 14 feeders reported from hospital source systems</w:t>
      </w:r>
      <w:r w:rsidR="0031210D" w:rsidRPr="00975E6B">
        <w:t xml:space="preserve"> </w:t>
      </w:r>
      <w:r w:rsidR="007155A1" w:rsidRPr="00975E6B">
        <w:t>and they appear to represent major hospital departments providing resource activity</w:t>
      </w:r>
      <w:r w:rsidRPr="00975E6B">
        <w:t>.</w:t>
      </w:r>
    </w:p>
    <w:p w:rsidR="002E59FA" w:rsidRPr="00975E6B" w:rsidRDefault="002E59FA" w:rsidP="00F26328">
      <w:pPr>
        <w:pStyle w:val="BodyText"/>
        <w:numPr>
          <w:ilvl w:val="0"/>
          <w:numId w:val="35"/>
        </w:numPr>
      </w:pPr>
      <w:r w:rsidRPr="00975E6B">
        <w:t xml:space="preserve">The number of records linked from source to product </w:t>
      </w:r>
      <w:r w:rsidR="0074117C" w:rsidRPr="00975E6B">
        <w:t xml:space="preserve">was </w:t>
      </w:r>
      <w:r w:rsidRPr="00975E6B">
        <w:t>significant, with all feeders having a greater than 85</w:t>
      </w:r>
      <w:r w:rsidR="009D47EB" w:rsidRPr="00975E6B">
        <w:t xml:space="preserve"> percent</w:t>
      </w:r>
      <w:r w:rsidRPr="00975E6B">
        <w:t xml:space="preserve"> link or match</w:t>
      </w:r>
      <w:r w:rsidR="009D47EB" w:rsidRPr="00975E6B">
        <w:t>.</w:t>
      </w:r>
      <w:r w:rsidR="0031210D" w:rsidRPr="00975E6B">
        <w:t xml:space="preserve"> This would suggest that there is robustness in the level of feeder activity reported back to episodes.</w:t>
      </w:r>
    </w:p>
    <w:p w:rsidR="002E59FA" w:rsidRPr="00975E6B" w:rsidRDefault="002E59FA" w:rsidP="00F26328">
      <w:pPr>
        <w:pStyle w:val="BodyText"/>
        <w:numPr>
          <w:ilvl w:val="0"/>
          <w:numId w:val="35"/>
        </w:numPr>
      </w:pPr>
      <w:r w:rsidRPr="00975E6B">
        <w:t>Variances in pharmacy</w:t>
      </w:r>
      <w:r w:rsidR="009D47EB" w:rsidRPr="00975E6B">
        <w:t xml:space="preserve"> </w:t>
      </w:r>
      <w:r w:rsidRPr="00975E6B">
        <w:t>occurred, mostly in relation to S100 Drugs. These variances reflect issues with matching scripts that are for a 12</w:t>
      </w:r>
      <w:r w:rsidR="005E2379" w:rsidRPr="00975E6B">
        <w:t xml:space="preserve"> </w:t>
      </w:r>
      <w:r w:rsidRPr="00975E6B">
        <w:t>month period from the original encounter.</w:t>
      </w:r>
    </w:p>
    <w:p w:rsidR="002E59FA" w:rsidRPr="00975E6B" w:rsidRDefault="002E59FA" w:rsidP="00F26328">
      <w:pPr>
        <w:pStyle w:val="BodyText"/>
        <w:numPr>
          <w:ilvl w:val="0"/>
          <w:numId w:val="35"/>
        </w:numPr>
      </w:pPr>
      <w:r w:rsidRPr="00975E6B">
        <w:t xml:space="preserve">Variances in imaging and pathology occurred as these records could not be matched based on episode numbers. </w:t>
      </w:r>
    </w:p>
    <w:p w:rsidR="002E59FA" w:rsidRPr="00B464CA" w:rsidRDefault="002E59FA" w:rsidP="00B464CA">
      <w:pPr>
        <w:spacing w:before="120" w:after="120" w:line="280" w:lineRule="atLeast"/>
        <w:jc w:val="both"/>
        <w:rPr>
          <w:bCs/>
        </w:rPr>
      </w:pPr>
      <w:r w:rsidRPr="00B464CA">
        <w:rPr>
          <w:bCs/>
        </w:rPr>
        <w:fldChar w:fldCharType="begin"/>
      </w:r>
      <w:r w:rsidRPr="00B464CA">
        <w:rPr>
          <w:bCs/>
        </w:rPr>
        <w:instrText xml:space="preserve"> REF _Ref433373622 \h </w:instrText>
      </w:r>
      <w:r w:rsidR="00975E6B" w:rsidRPr="00B464CA">
        <w:rPr>
          <w:bCs/>
        </w:rPr>
        <w:instrText xml:space="preserve"> \* MERGEFORMAT </w:instrText>
      </w:r>
      <w:r w:rsidRPr="00B464CA">
        <w:rPr>
          <w:bCs/>
        </w:rPr>
      </w:r>
      <w:r w:rsidRPr="00B464CA">
        <w:rPr>
          <w:bCs/>
        </w:rPr>
        <w:fldChar w:fldCharType="separate"/>
      </w:r>
      <w:r w:rsidR="00154CF7" w:rsidRPr="00154CF7">
        <w:rPr>
          <w:bCs/>
        </w:rPr>
        <w:t>Table 59</w:t>
      </w:r>
      <w:r w:rsidRPr="00B464CA">
        <w:rPr>
          <w:bCs/>
        </w:rPr>
        <w:fldChar w:fldCharType="end"/>
      </w:r>
      <w:r w:rsidRPr="00B464CA">
        <w:rPr>
          <w:bCs/>
        </w:rPr>
        <w:t xml:space="preserve"> </w:t>
      </w:r>
      <w:r w:rsidR="005E2379" w:rsidRPr="00B464CA">
        <w:rPr>
          <w:bCs/>
        </w:rPr>
        <w:t xml:space="preserve">shows </w:t>
      </w:r>
      <w:r w:rsidRPr="00B464CA">
        <w:rPr>
          <w:bCs/>
        </w:rPr>
        <w:t xml:space="preserve">the transfer of activity data from </w:t>
      </w:r>
      <w:r w:rsidR="003F167A" w:rsidRPr="00B464CA">
        <w:rPr>
          <w:bCs/>
        </w:rPr>
        <w:t xml:space="preserve">Lyell </w:t>
      </w:r>
      <w:proofErr w:type="spellStart"/>
      <w:r w:rsidR="003F167A" w:rsidRPr="00B464CA">
        <w:rPr>
          <w:bCs/>
        </w:rPr>
        <w:t>McEwin</w:t>
      </w:r>
      <w:proofErr w:type="spellEnd"/>
      <w:r w:rsidRPr="00B464CA">
        <w:rPr>
          <w:bCs/>
        </w:rPr>
        <w:t xml:space="preserve"> to SA</w:t>
      </w:r>
      <w:r w:rsidR="003F167A" w:rsidRPr="00B464CA">
        <w:rPr>
          <w:bCs/>
        </w:rPr>
        <w:t> </w:t>
      </w:r>
      <w:r w:rsidRPr="00B464CA">
        <w:rPr>
          <w:bCs/>
        </w:rPr>
        <w:t>Health and then through to IHPA submission and finalisation.</w:t>
      </w:r>
    </w:p>
    <w:p w:rsidR="0096374D" w:rsidRPr="00975E6B" w:rsidRDefault="002E59FA" w:rsidP="00CD1518">
      <w:pPr>
        <w:pStyle w:val="Caption"/>
      </w:pPr>
      <w:bookmarkStart w:id="762" w:name="_Ref433373622"/>
      <w:bookmarkStart w:id="763" w:name="_Ref441088200"/>
      <w:r w:rsidRPr="00975E6B">
        <w:lastRenderedPageBreak/>
        <w:t xml:space="preserve">Table </w:t>
      </w:r>
      <w:r w:rsidR="003E3288">
        <w:rPr>
          <w:bCs w:val="0"/>
          <w:i w:val="0"/>
        </w:rPr>
        <w:fldChar w:fldCharType="begin"/>
      </w:r>
      <w:r w:rsidR="003E3288">
        <w:rPr>
          <w:bCs w:val="0"/>
          <w:i w:val="0"/>
        </w:rPr>
        <w:instrText xml:space="preserve"> SEQ Table \* ARABIC </w:instrText>
      </w:r>
      <w:r w:rsidR="003E3288">
        <w:rPr>
          <w:bCs w:val="0"/>
          <w:i w:val="0"/>
        </w:rPr>
        <w:fldChar w:fldCharType="separate"/>
      </w:r>
      <w:r w:rsidR="00154CF7">
        <w:rPr>
          <w:bCs w:val="0"/>
          <w:i w:val="0"/>
          <w:noProof/>
        </w:rPr>
        <w:t>59</w:t>
      </w:r>
      <w:r w:rsidR="003E3288">
        <w:rPr>
          <w:bCs w:val="0"/>
          <w:i w:val="0"/>
          <w:noProof/>
        </w:rPr>
        <w:fldChar w:fldCharType="end"/>
      </w:r>
      <w:bookmarkEnd w:id="762"/>
      <w:bookmarkEnd w:id="763"/>
      <w:r w:rsidRPr="00975E6B">
        <w:t xml:space="preserve"> – Activity data submission – Lyell </w:t>
      </w:r>
      <w:proofErr w:type="spellStart"/>
      <w:r w:rsidRPr="00975E6B">
        <w:t>McEwin</w:t>
      </w:r>
      <w:proofErr w:type="spellEnd"/>
      <w:r w:rsidRPr="00975E6B">
        <w:t xml:space="preserve"> Hospital</w:t>
      </w:r>
    </w:p>
    <w:tbl>
      <w:tblPr>
        <w:tblW w:w="5000" w:type="pct"/>
        <w:tblLayout w:type="fixed"/>
        <w:tblLook w:val="04A0" w:firstRow="1" w:lastRow="0" w:firstColumn="1" w:lastColumn="0" w:noHBand="0" w:noVBand="1"/>
        <w:tblCaption w:val="Table 59 - Activity submission - Lyell McEwin Hospital"/>
        <w:tblDescription w:val="This table highlights the transfer of activity data from Lyell McEwin Hospital to SA Health and then through to IHPA submission and finalisation. There are 9 columns. Column 1 is the NHCDC product type, Column 2 is the activity related to 2013-14 costs, column 3 is the adjustments to Column 2, column 4 is the activity submitted to the jurisdiction, column 5 is the adjustments to column 4, column 6 is the activity submitted to IHPA, Column 7 is the activity received by IHPA, column 8 is the adjustments to column 7 and column 9 is the total activity submitted for the Round 18 NHCDC."/>
      </w:tblPr>
      <w:tblGrid>
        <w:gridCol w:w="1245"/>
        <w:gridCol w:w="933"/>
        <w:gridCol w:w="935"/>
        <w:gridCol w:w="935"/>
        <w:gridCol w:w="935"/>
        <w:gridCol w:w="933"/>
        <w:gridCol w:w="935"/>
        <w:gridCol w:w="935"/>
        <w:gridCol w:w="935"/>
      </w:tblGrid>
      <w:tr w:rsidR="0096374D" w:rsidRPr="0096374D" w:rsidTr="00E14378">
        <w:trPr>
          <w:trHeight w:val="1090"/>
        </w:trPr>
        <w:tc>
          <w:tcPr>
            <w:tcW w:w="713"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96374D" w:rsidRPr="00CD1518" w:rsidRDefault="0096374D" w:rsidP="0096374D">
            <w:pPr>
              <w:spacing w:line="240" w:lineRule="auto"/>
              <w:rPr>
                <w:b/>
                <w:bCs/>
                <w:color w:val="FFFFFF"/>
                <w:sz w:val="14"/>
                <w:szCs w:val="14"/>
                <w:lang w:eastAsia="en-AU"/>
              </w:rPr>
            </w:pPr>
            <w:r w:rsidRPr="00CD1518">
              <w:rPr>
                <w:b/>
                <w:bCs/>
                <w:color w:val="FFFFFF"/>
                <w:sz w:val="14"/>
                <w:szCs w:val="14"/>
                <w:lang w:eastAsia="en-AU"/>
              </w:rPr>
              <w:t>Product</w:t>
            </w:r>
          </w:p>
        </w:tc>
        <w:tc>
          <w:tcPr>
            <w:tcW w:w="535" w:type="pct"/>
            <w:tcBorders>
              <w:top w:val="single" w:sz="4" w:space="0" w:color="5B9BD5"/>
              <w:left w:val="nil"/>
              <w:bottom w:val="single" w:sz="4" w:space="0" w:color="5B9BD5"/>
              <w:right w:val="single" w:sz="4" w:space="0" w:color="5B9BD5"/>
            </w:tcBorders>
            <w:shd w:val="clear" w:color="auto" w:fill="002060"/>
            <w:vAlign w:val="bottom"/>
            <w:hideMark/>
          </w:tcPr>
          <w:p w:rsidR="0096374D" w:rsidRPr="00CD1518" w:rsidRDefault="0096374D" w:rsidP="0096374D">
            <w:pPr>
              <w:spacing w:line="240" w:lineRule="auto"/>
              <w:jc w:val="center"/>
              <w:rPr>
                <w:b/>
                <w:bCs/>
                <w:color w:val="FFFFFF"/>
                <w:sz w:val="12"/>
                <w:szCs w:val="12"/>
                <w:lang w:eastAsia="en-AU"/>
              </w:rPr>
            </w:pPr>
            <w:r w:rsidRPr="00CD1518">
              <w:rPr>
                <w:b/>
                <w:bCs/>
                <w:color w:val="FFFFFF"/>
                <w:sz w:val="12"/>
                <w:szCs w:val="12"/>
                <w:lang w:eastAsia="en-AU"/>
              </w:rPr>
              <w:t>Activity related to 2013-14 Costs</w:t>
            </w:r>
          </w:p>
        </w:tc>
        <w:tc>
          <w:tcPr>
            <w:tcW w:w="536" w:type="pct"/>
            <w:tcBorders>
              <w:top w:val="single" w:sz="4" w:space="0" w:color="5B9BD5"/>
              <w:left w:val="nil"/>
              <w:bottom w:val="single" w:sz="4" w:space="0" w:color="5B9BD5"/>
              <w:right w:val="single" w:sz="4" w:space="0" w:color="5B9BD5"/>
            </w:tcBorders>
            <w:shd w:val="clear" w:color="auto" w:fill="002060"/>
            <w:vAlign w:val="bottom"/>
            <w:hideMark/>
          </w:tcPr>
          <w:p w:rsidR="0096374D" w:rsidRPr="00CD1518" w:rsidRDefault="0096374D" w:rsidP="0096374D">
            <w:pPr>
              <w:spacing w:line="240" w:lineRule="auto"/>
              <w:jc w:val="center"/>
              <w:rPr>
                <w:b/>
                <w:bCs/>
                <w:color w:val="FFFFFF"/>
                <w:sz w:val="12"/>
                <w:szCs w:val="12"/>
                <w:lang w:eastAsia="en-AU"/>
              </w:rPr>
            </w:pPr>
            <w:r>
              <w:rPr>
                <w:b/>
                <w:bCs/>
                <w:color w:val="FFFFFF"/>
                <w:sz w:val="12"/>
                <w:szCs w:val="12"/>
                <w:lang w:eastAsia="en-AU"/>
              </w:rPr>
              <w:t>Adjustment</w:t>
            </w:r>
          </w:p>
        </w:tc>
        <w:tc>
          <w:tcPr>
            <w:tcW w:w="536" w:type="pct"/>
            <w:tcBorders>
              <w:top w:val="single" w:sz="4" w:space="0" w:color="5B9BD5"/>
              <w:left w:val="nil"/>
              <w:bottom w:val="single" w:sz="4" w:space="0" w:color="5B9BD5"/>
              <w:right w:val="single" w:sz="4" w:space="0" w:color="5B9BD5"/>
            </w:tcBorders>
            <w:shd w:val="clear" w:color="auto" w:fill="002060"/>
            <w:vAlign w:val="bottom"/>
            <w:hideMark/>
          </w:tcPr>
          <w:p w:rsidR="0096374D" w:rsidRPr="00CD1518" w:rsidRDefault="0096374D" w:rsidP="0096374D">
            <w:pPr>
              <w:spacing w:line="240" w:lineRule="auto"/>
              <w:jc w:val="center"/>
              <w:rPr>
                <w:b/>
                <w:bCs/>
                <w:color w:val="FFFFFF"/>
                <w:sz w:val="12"/>
                <w:szCs w:val="12"/>
                <w:lang w:eastAsia="en-AU"/>
              </w:rPr>
            </w:pPr>
            <w:r w:rsidRPr="00CD1518">
              <w:rPr>
                <w:b/>
                <w:bCs/>
                <w:color w:val="FFFFFF"/>
                <w:sz w:val="12"/>
                <w:szCs w:val="12"/>
                <w:lang w:eastAsia="en-AU"/>
              </w:rPr>
              <w:t>Activity submitted to jurisdiction</w:t>
            </w:r>
          </w:p>
        </w:tc>
        <w:tc>
          <w:tcPr>
            <w:tcW w:w="536" w:type="pct"/>
            <w:tcBorders>
              <w:top w:val="single" w:sz="4" w:space="0" w:color="5B9BD5"/>
              <w:left w:val="nil"/>
              <w:bottom w:val="single" w:sz="4" w:space="0" w:color="5B9BD5"/>
              <w:right w:val="single" w:sz="4" w:space="0" w:color="5B9BD5"/>
            </w:tcBorders>
            <w:shd w:val="clear" w:color="auto" w:fill="002060"/>
            <w:vAlign w:val="bottom"/>
            <w:hideMark/>
          </w:tcPr>
          <w:p w:rsidR="0096374D" w:rsidRPr="00CD1518" w:rsidRDefault="0096374D" w:rsidP="0096374D">
            <w:pPr>
              <w:spacing w:line="240" w:lineRule="auto"/>
              <w:jc w:val="center"/>
              <w:rPr>
                <w:b/>
                <w:bCs/>
                <w:color w:val="FFFFFF"/>
                <w:sz w:val="12"/>
                <w:szCs w:val="12"/>
                <w:lang w:eastAsia="en-AU"/>
              </w:rPr>
            </w:pPr>
            <w:r>
              <w:rPr>
                <w:b/>
                <w:bCs/>
                <w:color w:val="FFFFFF"/>
                <w:sz w:val="12"/>
                <w:szCs w:val="12"/>
                <w:lang w:eastAsia="en-AU"/>
              </w:rPr>
              <w:t>Adjustment</w:t>
            </w:r>
          </w:p>
        </w:tc>
        <w:tc>
          <w:tcPr>
            <w:tcW w:w="535" w:type="pct"/>
            <w:tcBorders>
              <w:top w:val="single" w:sz="4" w:space="0" w:color="5B9BD5"/>
              <w:left w:val="nil"/>
              <w:bottom w:val="single" w:sz="4" w:space="0" w:color="5B9BD5"/>
              <w:right w:val="single" w:sz="4" w:space="0" w:color="5B9BD5"/>
            </w:tcBorders>
            <w:shd w:val="clear" w:color="auto" w:fill="002060"/>
            <w:vAlign w:val="bottom"/>
            <w:hideMark/>
          </w:tcPr>
          <w:p w:rsidR="0096374D" w:rsidRPr="00CD1518" w:rsidRDefault="0096374D" w:rsidP="0096374D">
            <w:pPr>
              <w:spacing w:line="240" w:lineRule="auto"/>
              <w:jc w:val="center"/>
              <w:rPr>
                <w:b/>
                <w:bCs/>
                <w:color w:val="FFFFFF"/>
                <w:sz w:val="12"/>
                <w:szCs w:val="12"/>
                <w:lang w:eastAsia="en-AU"/>
              </w:rPr>
            </w:pPr>
            <w:r w:rsidRPr="00CD1518">
              <w:rPr>
                <w:b/>
                <w:bCs/>
                <w:color w:val="FFFFFF"/>
                <w:sz w:val="12"/>
                <w:szCs w:val="12"/>
                <w:lang w:eastAsia="en-AU"/>
              </w:rPr>
              <w:t>Activity submitted to IHPA</w:t>
            </w:r>
          </w:p>
        </w:tc>
        <w:tc>
          <w:tcPr>
            <w:tcW w:w="536" w:type="pct"/>
            <w:tcBorders>
              <w:top w:val="single" w:sz="4" w:space="0" w:color="5B9BD5"/>
              <w:left w:val="nil"/>
              <w:bottom w:val="single" w:sz="4" w:space="0" w:color="5B9BD5"/>
              <w:right w:val="single" w:sz="4" w:space="0" w:color="5B9BD5"/>
            </w:tcBorders>
            <w:shd w:val="clear" w:color="auto" w:fill="002060"/>
            <w:vAlign w:val="bottom"/>
            <w:hideMark/>
          </w:tcPr>
          <w:p w:rsidR="0096374D" w:rsidRPr="00CD1518" w:rsidRDefault="0096374D" w:rsidP="0096374D">
            <w:pPr>
              <w:spacing w:line="240" w:lineRule="auto"/>
              <w:jc w:val="center"/>
              <w:rPr>
                <w:b/>
                <w:bCs/>
                <w:color w:val="FFFFFF"/>
                <w:sz w:val="12"/>
                <w:szCs w:val="12"/>
                <w:lang w:eastAsia="en-AU"/>
              </w:rPr>
            </w:pPr>
            <w:r w:rsidRPr="00CD1518">
              <w:rPr>
                <w:b/>
                <w:bCs/>
                <w:color w:val="FFFFFF"/>
                <w:sz w:val="12"/>
                <w:szCs w:val="12"/>
                <w:lang w:eastAsia="en-AU"/>
              </w:rPr>
              <w:t>Activity received by IHPA</w:t>
            </w:r>
          </w:p>
        </w:tc>
        <w:tc>
          <w:tcPr>
            <w:tcW w:w="536" w:type="pct"/>
            <w:tcBorders>
              <w:top w:val="single" w:sz="4" w:space="0" w:color="5B9BD5"/>
              <w:left w:val="nil"/>
              <w:bottom w:val="single" w:sz="4" w:space="0" w:color="5B9BD5"/>
              <w:right w:val="single" w:sz="4" w:space="0" w:color="5B9BD5"/>
            </w:tcBorders>
            <w:shd w:val="clear" w:color="auto" w:fill="002060"/>
            <w:vAlign w:val="bottom"/>
            <w:hideMark/>
          </w:tcPr>
          <w:p w:rsidR="0096374D" w:rsidRPr="00CD1518" w:rsidRDefault="0096374D" w:rsidP="0096374D">
            <w:pPr>
              <w:spacing w:line="240" w:lineRule="auto"/>
              <w:jc w:val="center"/>
              <w:rPr>
                <w:b/>
                <w:bCs/>
                <w:color w:val="FFFFFF"/>
                <w:sz w:val="12"/>
                <w:szCs w:val="12"/>
                <w:lang w:eastAsia="en-AU"/>
              </w:rPr>
            </w:pPr>
            <w:r>
              <w:rPr>
                <w:b/>
                <w:bCs/>
                <w:color w:val="FFFFFF"/>
                <w:sz w:val="12"/>
                <w:szCs w:val="12"/>
                <w:lang w:eastAsia="en-AU"/>
              </w:rPr>
              <w:t>Adjustment</w:t>
            </w:r>
          </w:p>
        </w:tc>
        <w:tc>
          <w:tcPr>
            <w:tcW w:w="536" w:type="pct"/>
            <w:tcBorders>
              <w:top w:val="single" w:sz="4" w:space="0" w:color="5B9BD5"/>
              <w:left w:val="nil"/>
              <w:bottom w:val="single" w:sz="4" w:space="0" w:color="5B9BD5"/>
              <w:right w:val="single" w:sz="4" w:space="0" w:color="5B9BD5"/>
            </w:tcBorders>
            <w:shd w:val="clear" w:color="auto" w:fill="002060"/>
            <w:vAlign w:val="bottom"/>
            <w:hideMark/>
          </w:tcPr>
          <w:p w:rsidR="0096374D" w:rsidRPr="00CD1518" w:rsidRDefault="0096374D" w:rsidP="0096374D">
            <w:pPr>
              <w:spacing w:line="240" w:lineRule="auto"/>
              <w:jc w:val="center"/>
              <w:rPr>
                <w:b/>
                <w:bCs/>
                <w:color w:val="FFFFFF"/>
                <w:sz w:val="12"/>
                <w:szCs w:val="12"/>
                <w:lang w:eastAsia="en-AU"/>
              </w:rPr>
            </w:pPr>
            <w:r w:rsidRPr="00CD1518">
              <w:rPr>
                <w:b/>
                <w:bCs/>
                <w:color w:val="FFFFFF"/>
                <w:sz w:val="12"/>
                <w:szCs w:val="12"/>
                <w:lang w:eastAsia="en-AU"/>
              </w:rPr>
              <w:t>Total Activity submitted for Round 18 NHCDC</w:t>
            </w:r>
          </w:p>
        </w:tc>
      </w:tr>
      <w:tr w:rsidR="0096374D" w:rsidRPr="0096374D" w:rsidTr="00CD1518">
        <w:trPr>
          <w:trHeight w:val="290"/>
        </w:trPr>
        <w:tc>
          <w:tcPr>
            <w:tcW w:w="713" w:type="pct"/>
            <w:tcBorders>
              <w:top w:val="nil"/>
              <w:left w:val="single" w:sz="4" w:space="0" w:color="5B9BD5"/>
              <w:bottom w:val="single" w:sz="4" w:space="0" w:color="5B9BD5"/>
              <w:right w:val="single" w:sz="4" w:space="0" w:color="5B9BD5"/>
            </w:tcBorders>
            <w:shd w:val="clear" w:color="000000" w:fill="FFFFFF"/>
            <w:noWrap/>
            <w:vAlign w:val="center"/>
            <w:hideMark/>
          </w:tcPr>
          <w:p w:rsidR="0096374D" w:rsidRPr="00CD1518" w:rsidRDefault="0096374D">
            <w:pPr>
              <w:spacing w:line="240" w:lineRule="auto"/>
              <w:rPr>
                <w:color w:val="000000"/>
                <w:sz w:val="14"/>
                <w:szCs w:val="14"/>
                <w:lang w:eastAsia="en-AU"/>
              </w:rPr>
            </w:pPr>
            <w:r w:rsidRPr="00CD1518">
              <w:rPr>
                <w:color w:val="000000"/>
                <w:sz w:val="14"/>
                <w:szCs w:val="14"/>
                <w:lang w:eastAsia="en-AU"/>
              </w:rPr>
              <w:t>Acute</w:t>
            </w:r>
          </w:p>
        </w:tc>
        <w:tc>
          <w:tcPr>
            <w:tcW w:w="535"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42,784</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42,784</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(338)</w:t>
            </w:r>
          </w:p>
        </w:tc>
        <w:tc>
          <w:tcPr>
            <w:tcW w:w="535"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42,446</w:t>
            </w:r>
          </w:p>
        </w:tc>
        <w:tc>
          <w:tcPr>
            <w:tcW w:w="536"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41,494</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41,494</w:t>
            </w:r>
          </w:p>
        </w:tc>
      </w:tr>
      <w:tr w:rsidR="0096374D" w:rsidRPr="0096374D" w:rsidTr="00CD1518">
        <w:trPr>
          <w:trHeight w:val="290"/>
        </w:trPr>
        <w:tc>
          <w:tcPr>
            <w:tcW w:w="713" w:type="pct"/>
            <w:tcBorders>
              <w:top w:val="nil"/>
              <w:left w:val="single" w:sz="4" w:space="0" w:color="5B9BD5"/>
              <w:bottom w:val="single" w:sz="4" w:space="0" w:color="5B9BD5"/>
              <w:right w:val="single" w:sz="4" w:space="0" w:color="5B9BD5"/>
            </w:tcBorders>
            <w:shd w:val="clear" w:color="000000" w:fill="DDEBF7"/>
            <w:noWrap/>
            <w:vAlign w:val="center"/>
            <w:hideMark/>
          </w:tcPr>
          <w:p w:rsidR="0096374D" w:rsidRPr="00CD1518" w:rsidRDefault="0096374D">
            <w:pPr>
              <w:spacing w:line="240" w:lineRule="auto"/>
              <w:rPr>
                <w:color w:val="000000"/>
                <w:sz w:val="14"/>
                <w:szCs w:val="14"/>
                <w:lang w:eastAsia="en-AU"/>
              </w:rPr>
            </w:pPr>
            <w:r w:rsidRPr="00CD1518">
              <w:rPr>
                <w:color w:val="000000"/>
                <w:sz w:val="14"/>
                <w:szCs w:val="14"/>
                <w:lang w:eastAsia="en-AU"/>
              </w:rPr>
              <w:t>Non-admitted</w:t>
            </w:r>
          </w:p>
        </w:tc>
        <w:tc>
          <w:tcPr>
            <w:tcW w:w="535"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5"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r>
      <w:tr w:rsidR="0096374D" w:rsidRPr="0096374D" w:rsidTr="00CD1518">
        <w:trPr>
          <w:trHeight w:val="290"/>
        </w:trPr>
        <w:tc>
          <w:tcPr>
            <w:tcW w:w="713" w:type="pct"/>
            <w:tcBorders>
              <w:top w:val="nil"/>
              <w:left w:val="single" w:sz="4" w:space="0" w:color="5B9BD5"/>
              <w:bottom w:val="single" w:sz="4" w:space="0" w:color="5B9BD5"/>
              <w:right w:val="single" w:sz="4" w:space="0" w:color="5B9BD5"/>
            </w:tcBorders>
            <w:shd w:val="clear" w:color="000000" w:fill="FFFFFF"/>
            <w:noWrap/>
            <w:vAlign w:val="center"/>
            <w:hideMark/>
          </w:tcPr>
          <w:p w:rsidR="0096374D" w:rsidRPr="00CD1518" w:rsidRDefault="0096374D">
            <w:pPr>
              <w:spacing w:line="240" w:lineRule="auto"/>
              <w:rPr>
                <w:color w:val="000000"/>
                <w:sz w:val="14"/>
                <w:szCs w:val="14"/>
                <w:lang w:eastAsia="en-AU"/>
              </w:rPr>
            </w:pPr>
            <w:r w:rsidRPr="00CD1518">
              <w:rPr>
                <w:color w:val="000000"/>
                <w:sz w:val="14"/>
                <w:szCs w:val="14"/>
                <w:lang w:eastAsia="en-AU"/>
              </w:rPr>
              <w:t>Emergency</w:t>
            </w:r>
          </w:p>
        </w:tc>
        <w:tc>
          <w:tcPr>
            <w:tcW w:w="535"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72,486</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(18)</w:t>
            </w:r>
          </w:p>
        </w:tc>
        <w:tc>
          <w:tcPr>
            <w:tcW w:w="536"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72,468</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(7,904)</w:t>
            </w:r>
          </w:p>
        </w:tc>
        <w:tc>
          <w:tcPr>
            <w:tcW w:w="535"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64,564</w:t>
            </w:r>
          </w:p>
        </w:tc>
        <w:tc>
          <w:tcPr>
            <w:tcW w:w="536"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64,564</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64,564</w:t>
            </w:r>
          </w:p>
        </w:tc>
      </w:tr>
      <w:tr w:rsidR="0096374D" w:rsidRPr="0096374D" w:rsidTr="00CD1518">
        <w:trPr>
          <w:trHeight w:val="290"/>
        </w:trPr>
        <w:tc>
          <w:tcPr>
            <w:tcW w:w="713" w:type="pct"/>
            <w:tcBorders>
              <w:top w:val="nil"/>
              <w:left w:val="single" w:sz="4" w:space="0" w:color="5B9BD5"/>
              <w:bottom w:val="single" w:sz="4" w:space="0" w:color="5B9BD5"/>
              <w:right w:val="single" w:sz="4" w:space="0" w:color="5B9BD5"/>
            </w:tcBorders>
            <w:shd w:val="clear" w:color="000000" w:fill="DDEBF7"/>
            <w:noWrap/>
            <w:vAlign w:val="center"/>
            <w:hideMark/>
          </w:tcPr>
          <w:p w:rsidR="0096374D" w:rsidRPr="00CD1518" w:rsidRDefault="0096374D">
            <w:pPr>
              <w:spacing w:line="240" w:lineRule="auto"/>
              <w:rPr>
                <w:color w:val="000000"/>
                <w:sz w:val="14"/>
                <w:szCs w:val="14"/>
                <w:lang w:eastAsia="en-AU"/>
              </w:rPr>
            </w:pPr>
            <w:proofErr w:type="spellStart"/>
            <w:r w:rsidRPr="00CD1518">
              <w:rPr>
                <w:color w:val="000000"/>
                <w:sz w:val="14"/>
                <w:szCs w:val="14"/>
                <w:lang w:eastAsia="en-AU"/>
              </w:rPr>
              <w:t>Sub Acute</w:t>
            </w:r>
            <w:proofErr w:type="spellEnd"/>
          </w:p>
        </w:tc>
        <w:tc>
          <w:tcPr>
            <w:tcW w:w="535"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325</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325</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(51)</w:t>
            </w:r>
          </w:p>
        </w:tc>
        <w:tc>
          <w:tcPr>
            <w:tcW w:w="535"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274</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274</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274</w:t>
            </w:r>
          </w:p>
        </w:tc>
      </w:tr>
      <w:tr w:rsidR="0096374D" w:rsidRPr="0096374D" w:rsidTr="00CD1518">
        <w:trPr>
          <w:trHeight w:val="290"/>
        </w:trPr>
        <w:tc>
          <w:tcPr>
            <w:tcW w:w="713" w:type="pct"/>
            <w:tcBorders>
              <w:top w:val="nil"/>
              <w:left w:val="single" w:sz="4" w:space="0" w:color="5B9BD5"/>
              <w:bottom w:val="single" w:sz="4" w:space="0" w:color="5B9BD5"/>
              <w:right w:val="single" w:sz="4" w:space="0" w:color="5B9BD5"/>
            </w:tcBorders>
            <w:shd w:val="clear" w:color="000000" w:fill="FFFFFF"/>
            <w:noWrap/>
            <w:vAlign w:val="center"/>
            <w:hideMark/>
          </w:tcPr>
          <w:p w:rsidR="0096374D" w:rsidRPr="00CD1518" w:rsidRDefault="0096374D">
            <w:pPr>
              <w:spacing w:line="240" w:lineRule="auto"/>
              <w:rPr>
                <w:color w:val="000000"/>
                <w:sz w:val="14"/>
                <w:szCs w:val="14"/>
                <w:lang w:eastAsia="en-AU"/>
              </w:rPr>
            </w:pPr>
            <w:r w:rsidRPr="00CD1518">
              <w:rPr>
                <w:color w:val="000000"/>
                <w:sz w:val="14"/>
                <w:szCs w:val="14"/>
                <w:lang w:eastAsia="en-AU"/>
              </w:rPr>
              <w:t>Mental Health</w:t>
            </w:r>
          </w:p>
        </w:tc>
        <w:tc>
          <w:tcPr>
            <w:tcW w:w="535"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5"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r>
      <w:tr w:rsidR="0096374D" w:rsidRPr="0096374D" w:rsidTr="00CD1518">
        <w:trPr>
          <w:trHeight w:val="290"/>
        </w:trPr>
        <w:tc>
          <w:tcPr>
            <w:tcW w:w="713" w:type="pct"/>
            <w:tcBorders>
              <w:top w:val="nil"/>
              <w:left w:val="single" w:sz="4" w:space="0" w:color="5B9BD5"/>
              <w:bottom w:val="single" w:sz="4" w:space="0" w:color="5B9BD5"/>
              <w:right w:val="single" w:sz="4" w:space="0" w:color="5B9BD5"/>
            </w:tcBorders>
            <w:shd w:val="clear" w:color="000000" w:fill="DDEBF7"/>
            <w:noWrap/>
            <w:vAlign w:val="center"/>
            <w:hideMark/>
          </w:tcPr>
          <w:p w:rsidR="0096374D" w:rsidRPr="00CD1518" w:rsidRDefault="0096374D">
            <w:pPr>
              <w:spacing w:line="240" w:lineRule="auto"/>
              <w:rPr>
                <w:color w:val="000000"/>
                <w:sz w:val="14"/>
                <w:szCs w:val="14"/>
                <w:lang w:eastAsia="en-AU"/>
              </w:rPr>
            </w:pPr>
            <w:r w:rsidRPr="00CD1518">
              <w:rPr>
                <w:color w:val="000000"/>
                <w:sz w:val="14"/>
                <w:szCs w:val="14"/>
                <w:lang w:eastAsia="en-AU"/>
              </w:rPr>
              <w:t>Other</w:t>
            </w:r>
          </w:p>
        </w:tc>
        <w:tc>
          <w:tcPr>
            <w:tcW w:w="535"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5"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952</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952</w:t>
            </w:r>
          </w:p>
        </w:tc>
      </w:tr>
      <w:tr w:rsidR="0096374D" w:rsidRPr="0096374D" w:rsidTr="00CD1518">
        <w:trPr>
          <w:trHeight w:val="290"/>
        </w:trPr>
        <w:tc>
          <w:tcPr>
            <w:tcW w:w="713" w:type="pct"/>
            <w:tcBorders>
              <w:top w:val="nil"/>
              <w:left w:val="single" w:sz="4" w:space="0" w:color="5B9BD5"/>
              <w:bottom w:val="single" w:sz="4" w:space="0" w:color="5B9BD5"/>
              <w:right w:val="single" w:sz="4" w:space="0" w:color="5B9BD5"/>
            </w:tcBorders>
            <w:shd w:val="clear" w:color="000000" w:fill="FFFFFF"/>
            <w:noWrap/>
            <w:vAlign w:val="center"/>
            <w:hideMark/>
          </w:tcPr>
          <w:p w:rsidR="0096374D" w:rsidRPr="00CD1518" w:rsidRDefault="0096374D">
            <w:pPr>
              <w:spacing w:line="240" w:lineRule="auto"/>
              <w:rPr>
                <w:color w:val="000000"/>
                <w:sz w:val="14"/>
                <w:szCs w:val="14"/>
                <w:lang w:eastAsia="en-AU"/>
              </w:rPr>
            </w:pPr>
            <w:r w:rsidRPr="00CD1518">
              <w:rPr>
                <w:color w:val="000000"/>
                <w:sz w:val="14"/>
                <w:szCs w:val="14"/>
                <w:lang w:eastAsia="en-AU"/>
              </w:rPr>
              <w:t>Research</w:t>
            </w:r>
          </w:p>
        </w:tc>
        <w:tc>
          <w:tcPr>
            <w:tcW w:w="535"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5"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r>
      <w:tr w:rsidR="0096374D" w:rsidRPr="0096374D" w:rsidTr="00CD1518">
        <w:trPr>
          <w:trHeight w:val="290"/>
        </w:trPr>
        <w:tc>
          <w:tcPr>
            <w:tcW w:w="713" w:type="pct"/>
            <w:tcBorders>
              <w:top w:val="nil"/>
              <w:left w:val="single" w:sz="4" w:space="0" w:color="5B9BD5"/>
              <w:bottom w:val="single" w:sz="4" w:space="0" w:color="5B9BD5"/>
              <w:right w:val="single" w:sz="4" w:space="0" w:color="5B9BD5"/>
            </w:tcBorders>
            <w:shd w:val="clear" w:color="000000" w:fill="DDEBF7"/>
            <w:noWrap/>
            <w:vAlign w:val="center"/>
            <w:hideMark/>
          </w:tcPr>
          <w:p w:rsidR="0096374D" w:rsidRPr="00CD1518" w:rsidRDefault="0096374D">
            <w:pPr>
              <w:spacing w:line="240" w:lineRule="auto"/>
              <w:rPr>
                <w:color w:val="000000"/>
                <w:sz w:val="14"/>
                <w:szCs w:val="14"/>
                <w:lang w:eastAsia="en-AU"/>
              </w:rPr>
            </w:pPr>
            <w:r w:rsidRPr="00CD1518">
              <w:rPr>
                <w:color w:val="000000"/>
                <w:sz w:val="14"/>
                <w:szCs w:val="14"/>
                <w:lang w:eastAsia="en-AU"/>
              </w:rPr>
              <w:t>Teaching and Training</w:t>
            </w:r>
          </w:p>
        </w:tc>
        <w:tc>
          <w:tcPr>
            <w:tcW w:w="535"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5"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4"/>
                <w:szCs w:val="14"/>
                <w:lang w:eastAsia="en-AU"/>
              </w:rPr>
            </w:pPr>
            <w:r w:rsidRPr="00CD1518">
              <w:rPr>
                <w:color w:val="000000"/>
                <w:sz w:val="14"/>
                <w:szCs w:val="14"/>
                <w:lang w:eastAsia="en-AU"/>
              </w:rPr>
              <w:t>-</w:t>
            </w:r>
          </w:p>
        </w:tc>
      </w:tr>
      <w:tr w:rsidR="0096374D" w:rsidRPr="0096374D" w:rsidTr="00CD1518">
        <w:trPr>
          <w:trHeight w:val="290"/>
        </w:trPr>
        <w:tc>
          <w:tcPr>
            <w:tcW w:w="713" w:type="pct"/>
            <w:tcBorders>
              <w:top w:val="nil"/>
              <w:left w:val="single" w:sz="4" w:space="0" w:color="5B9BD5"/>
              <w:bottom w:val="single" w:sz="4" w:space="0" w:color="5B9BD5"/>
              <w:right w:val="single" w:sz="4" w:space="0" w:color="5B9BD5"/>
            </w:tcBorders>
            <w:shd w:val="clear" w:color="000000" w:fill="D0CECE"/>
            <w:noWrap/>
            <w:vAlign w:val="center"/>
            <w:hideMark/>
          </w:tcPr>
          <w:p w:rsidR="0096374D" w:rsidRPr="00CD1518" w:rsidRDefault="0096374D">
            <w:pPr>
              <w:spacing w:line="240" w:lineRule="auto"/>
              <w:rPr>
                <w:b/>
                <w:bCs/>
                <w:color w:val="000000"/>
                <w:sz w:val="14"/>
                <w:szCs w:val="14"/>
                <w:lang w:eastAsia="en-AU"/>
              </w:rPr>
            </w:pPr>
            <w:r w:rsidRPr="00CD1518">
              <w:rPr>
                <w:b/>
                <w:bCs/>
                <w:color w:val="000000"/>
                <w:sz w:val="14"/>
                <w:szCs w:val="14"/>
                <w:lang w:eastAsia="en-AU"/>
              </w:rPr>
              <w:t>Total</w:t>
            </w:r>
          </w:p>
        </w:tc>
        <w:tc>
          <w:tcPr>
            <w:tcW w:w="535" w:type="pct"/>
            <w:tcBorders>
              <w:top w:val="nil"/>
              <w:left w:val="nil"/>
              <w:bottom w:val="single" w:sz="4" w:space="0" w:color="5B9BD5"/>
              <w:right w:val="single" w:sz="4" w:space="0" w:color="5B9BD5"/>
            </w:tcBorders>
            <w:shd w:val="clear" w:color="000000" w:fill="D0CECE"/>
            <w:noWrap/>
            <w:vAlign w:val="center"/>
            <w:hideMark/>
          </w:tcPr>
          <w:p w:rsidR="0096374D" w:rsidRPr="00CD1518" w:rsidRDefault="0096374D" w:rsidP="00CD1518">
            <w:pPr>
              <w:spacing w:line="240" w:lineRule="auto"/>
              <w:jc w:val="right"/>
              <w:rPr>
                <w:b/>
                <w:bCs/>
                <w:color w:val="000000"/>
                <w:sz w:val="14"/>
                <w:szCs w:val="14"/>
                <w:lang w:eastAsia="en-AU"/>
              </w:rPr>
            </w:pPr>
            <w:r w:rsidRPr="00CD1518">
              <w:rPr>
                <w:b/>
                <w:bCs/>
                <w:color w:val="000000"/>
                <w:sz w:val="14"/>
                <w:szCs w:val="14"/>
                <w:lang w:eastAsia="en-AU"/>
              </w:rPr>
              <w:t>115,595</w:t>
            </w:r>
          </w:p>
        </w:tc>
        <w:tc>
          <w:tcPr>
            <w:tcW w:w="536" w:type="pct"/>
            <w:tcBorders>
              <w:top w:val="nil"/>
              <w:left w:val="nil"/>
              <w:bottom w:val="single" w:sz="4" w:space="0" w:color="5B9BD5"/>
              <w:right w:val="single" w:sz="4" w:space="0" w:color="5B9BD5"/>
            </w:tcBorders>
            <w:shd w:val="clear" w:color="000000" w:fill="D0CECE"/>
            <w:noWrap/>
            <w:vAlign w:val="center"/>
            <w:hideMark/>
          </w:tcPr>
          <w:p w:rsidR="0096374D" w:rsidRPr="00CD1518" w:rsidRDefault="0096374D" w:rsidP="00CD1518">
            <w:pPr>
              <w:spacing w:line="240" w:lineRule="auto"/>
              <w:jc w:val="right"/>
              <w:rPr>
                <w:b/>
                <w:bCs/>
                <w:color w:val="000000"/>
                <w:sz w:val="14"/>
                <w:szCs w:val="14"/>
                <w:lang w:eastAsia="en-AU"/>
              </w:rPr>
            </w:pPr>
            <w:r w:rsidRPr="00CD1518">
              <w:rPr>
                <w:b/>
                <w:bCs/>
                <w:color w:val="000000"/>
                <w:sz w:val="14"/>
                <w:szCs w:val="14"/>
                <w:lang w:eastAsia="en-AU"/>
              </w:rPr>
              <w:t>(18)</w:t>
            </w:r>
          </w:p>
        </w:tc>
        <w:tc>
          <w:tcPr>
            <w:tcW w:w="536" w:type="pct"/>
            <w:tcBorders>
              <w:top w:val="nil"/>
              <w:left w:val="nil"/>
              <w:bottom w:val="single" w:sz="4" w:space="0" w:color="5B9BD5"/>
              <w:right w:val="single" w:sz="4" w:space="0" w:color="5B9BD5"/>
            </w:tcBorders>
            <w:shd w:val="clear" w:color="000000" w:fill="D0CECE"/>
            <w:noWrap/>
            <w:vAlign w:val="center"/>
            <w:hideMark/>
          </w:tcPr>
          <w:p w:rsidR="0096374D" w:rsidRPr="00CD1518" w:rsidRDefault="0096374D" w:rsidP="00CD1518">
            <w:pPr>
              <w:spacing w:line="240" w:lineRule="auto"/>
              <w:jc w:val="right"/>
              <w:rPr>
                <w:b/>
                <w:bCs/>
                <w:color w:val="000000"/>
                <w:sz w:val="14"/>
                <w:szCs w:val="14"/>
                <w:lang w:eastAsia="en-AU"/>
              </w:rPr>
            </w:pPr>
            <w:r w:rsidRPr="00CD1518">
              <w:rPr>
                <w:b/>
                <w:bCs/>
                <w:color w:val="000000"/>
                <w:sz w:val="14"/>
                <w:szCs w:val="14"/>
                <w:lang w:eastAsia="en-AU"/>
              </w:rPr>
              <w:t>115,577</w:t>
            </w:r>
          </w:p>
        </w:tc>
        <w:tc>
          <w:tcPr>
            <w:tcW w:w="536" w:type="pct"/>
            <w:tcBorders>
              <w:top w:val="nil"/>
              <w:left w:val="nil"/>
              <w:bottom w:val="single" w:sz="4" w:space="0" w:color="5B9BD5"/>
              <w:right w:val="single" w:sz="4" w:space="0" w:color="5B9BD5"/>
            </w:tcBorders>
            <w:shd w:val="clear" w:color="000000" w:fill="D0CECE"/>
            <w:noWrap/>
            <w:vAlign w:val="center"/>
            <w:hideMark/>
          </w:tcPr>
          <w:p w:rsidR="0096374D" w:rsidRPr="00CD1518" w:rsidRDefault="0096374D" w:rsidP="00CD1518">
            <w:pPr>
              <w:spacing w:line="240" w:lineRule="auto"/>
              <w:jc w:val="right"/>
              <w:rPr>
                <w:b/>
                <w:bCs/>
                <w:color w:val="000000"/>
                <w:sz w:val="14"/>
                <w:szCs w:val="14"/>
                <w:lang w:eastAsia="en-AU"/>
              </w:rPr>
            </w:pPr>
            <w:r w:rsidRPr="00CD1518">
              <w:rPr>
                <w:b/>
                <w:bCs/>
                <w:color w:val="000000"/>
                <w:sz w:val="14"/>
                <w:szCs w:val="14"/>
                <w:lang w:eastAsia="en-AU"/>
              </w:rPr>
              <w:t>(8,293)</w:t>
            </w:r>
          </w:p>
        </w:tc>
        <w:tc>
          <w:tcPr>
            <w:tcW w:w="535" w:type="pct"/>
            <w:tcBorders>
              <w:top w:val="nil"/>
              <w:left w:val="nil"/>
              <w:bottom w:val="single" w:sz="4" w:space="0" w:color="5B9BD5"/>
              <w:right w:val="single" w:sz="4" w:space="0" w:color="5B9BD5"/>
            </w:tcBorders>
            <w:shd w:val="clear" w:color="000000" w:fill="D0CECE"/>
            <w:noWrap/>
            <w:vAlign w:val="center"/>
            <w:hideMark/>
          </w:tcPr>
          <w:p w:rsidR="0096374D" w:rsidRPr="00CD1518" w:rsidRDefault="0096374D" w:rsidP="00CD1518">
            <w:pPr>
              <w:spacing w:line="240" w:lineRule="auto"/>
              <w:jc w:val="right"/>
              <w:rPr>
                <w:b/>
                <w:bCs/>
                <w:color w:val="000000"/>
                <w:sz w:val="14"/>
                <w:szCs w:val="14"/>
                <w:lang w:eastAsia="en-AU"/>
              </w:rPr>
            </w:pPr>
            <w:r w:rsidRPr="00CD1518">
              <w:rPr>
                <w:b/>
                <w:bCs/>
                <w:color w:val="000000"/>
                <w:sz w:val="14"/>
                <w:szCs w:val="14"/>
                <w:lang w:eastAsia="en-AU"/>
              </w:rPr>
              <w:t>107,284</w:t>
            </w:r>
          </w:p>
        </w:tc>
        <w:tc>
          <w:tcPr>
            <w:tcW w:w="536" w:type="pct"/>
            <w:tcBorders>
              <w:top w:val="nil"/>
              <w:left w:val="nil"/>
              <w:bottom w:val="single" w:sz="4" w:space="0" w:color="5B9BD5"/>
              <w:right w:val="single" w:sz="4" w:space="0" w:color="5B9BD5"/>
            </w:tcBorders>
            <w:shd w:val="clear" w:color="000000" w:fill="D0CECE"/>
            <w:noWrap/>
            <w:vAlign w:val="center"/>
            <w:hideMark/>
          </w:tcPr>
          <w:p w:rsidR="0096374D" w:rsidRPr="00CD1518" w:rsidRDefault="0096374D" w:rsidP="00CD1518">
            <w:pPr>
              <w:spacing w:line="240" w:lineRule="auto"/>
              <w:jc w:val="right"/>
              <w:rPr>
                <w:b/>
                <w:bCs/>
                <w:color w:val="000000"/>
                <w:sz w:val="14"/>
                <w:szCs w:val="14"/>
                <w:lang w:eastAsia="en-AU"/>
              </w:rPr>
            </w:pPr>
            <w:r w:rsidRPr="00CD1518">
              <w:rPr>
                <w:b/>
                <w:bCs/>
                <w:color w:val="000000"/>
                <w:sz w:val="14"/>
                <w:szCs w:val="14"/>
                <w:lang w:eastAsia="en-AU"/>
              </w:rPr>
              <w:t>107,284</w:t>
            </w:r>
          </w:p>
        </w:tc>
        <w:tc>
          <w:tcPr>
            <w:tcW w:w="536" w:type="pct"/>
            <w:tcBorders>
              <w:top w:val="nil"/>
              <w:left w:val="nil"/>
              <w:bottom w:val="single" w:sz="4" w:space="0" w:color="5B9BD5"/>
              <w:right w:val="single" w:sz="4" w:space="0" w:color="5B9BD5"/>
            </w:tcBorders>
            <w:shd w:val="clear" w:color="000000" w:fill="D0CECE"/>
            <w:noWrap/>
            <w:vAlign w:val="center"/>
            <w:hideMark/>
          </w:tcPr>
          <w:p w:rsidR="0096374D" w:rsidRPr="00CD1518" w:rsidRDefault="0096374D" w:rsidP="00CD1518">
            <w:pPr>
              <w:spacing w:line="240" w:lineRule="auto"/>
              <w:jc w:val="right"/>
              <w:rPr>
                <w:b/>
                <w:bCs/>
                <w:color w:val="000000"/>
                <w:sz w:val="14"/>
                <w:szCs w:val="14"/>
                <w:lang w:eastAsia="en-AU"/>
              </w:rPr>
            </w:pPr>
            <w:r w:rsidRPr="00CD1518">
              <w:rPr>
                <w:b/>
                <w:bCs/>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0CECE"/>
            <w:noWrap/>
            <w:vAlign w:val="center"/>
            <w:hideMark/>
          </w:tcPr>
          <w:p w:rsidR="0096374D" w:rsidRPr="00CD1518" w:rsidRDefault="0096374D" w:rsidP="00CD1518">
            <w:pPr>
              <w:spacing w:line="240" w:lineRule="auto"/>
              <w:jc w:val="right"/>
              <w:rPr>
                <w:b/>
                <w:bCs/>
                <w:color w:val="000000"/>
                <w:sz w:val="14"/>
                <w:szCs w:val="14"/>
                <w:lang w:eastAsia="en-AU"/>
              </w:rPr>
            </w:pPr>
            <w:r w:rsidRPr="00CD1518">
              <w:rPr>
                <w:b/>
                <w:bCs/>
                <w:color w:val="000000"/>
                <w:sz w:val="14"/>
                <w:szCs w:val="14"/>
                <w:lang w:eastAsia="en-AU"/>
              </w:rPr>
              <w:t>107,284</w:t>
            </w:r>
          </w:p>
        </w:tc>
      </w:tr>
    </w:tbl>
    <w:p w:rsidR="002E59FA" w:rsidRPr="00975E6B" w:rsidRDefault="002E59FA" w:rsidP="002E59FA">
      <w:pPr>
        <w:pStyle w:val="FootnoteText"/>
        <w:rPr>
          <w:bCs/>
          <w:i/>
          <w:sz w:val="16"/>
          <w:szCs w:val="16"/>
        </w:rPr>
      </w:pPr>
      <w:r w:rsidRPr="00975E6B">
        <w:rPr>
          <w:bCs/>
          <w:i/>
          <w:sz w:val="16"/>
          <w:szCs w:val="16"/>
        </w:rPr>
        <w:t xml:space="preserve">Source: KPMG based on data supplied by </w:t>
      </w:r>
      <w:r w:rsidR="003F167A" w:rsidRPr="00975E6B">
        <w:rPr>
          <w:bCs/>
          <w:i/>
          <w:sz w:val="16"/>
          <w:szCs w:val="16"/>
        </w:rPr>
        <w:t xml:space="preserve">Lyell </w:t>
      </w:r>
      <w:proofErr w:type="spellStart"/>
      <w:r w:rsidR="003F167A" w:rsidRPr="00975E6B">
        <w:rPr>
          <w:bCs/>
          <w:i/>
          <w:sz w:val="16"/>
          <w:szCs w:val="16"/>
        </w:rPr>
        <w:t>McEwin</w:t>
      </w:r>
      <w:proofErr w:type="spellEnd"/>
      <w:r w:rsidRPr="00975E6B">
        <w:rPr>
          <w:bCs/>
          <w:i/>
          <w:sz w:val="16"/>
          <w:szCs w:val="16"/>
        </w:rPr>
        <w:t xml:space="preserve">, NSW Health and IHPA </w:t>
      </w:r>
    </w:p>
    <w:p w:rsidR="002E59FA" w:rsidRPr="00975E6B" w:rsidRDefault="002E59FA" w:rsidP="002E59FA">
      <w:pPr>
        <w:pStyle w:val="BodyText"/>
      </w:pPr>
      <w:r w:rsidRPr="00975E6B">
        <w:t xml:space="preserve">The following should be noted about the transfer of activity data for </w:t>
      </w:r>
      <w:r w:rsidR="003F167A" w:rsidRPr="00975E6B">
        <w:t xml:space="preserve">Lyell </w:t>
      </w:r>
      <w:proofErr w:type="spellStart"/>
      <w:r w:rsidR="003F167A" w:rsidRPr="00975E6B">
        <w:t>McEwin</w:t>
      </w:r>
      <w:proofErr w:type="spellEnd"/>
      <w:r w:rsidRPr="00975E6B">
        <w:t>:</w:t>
      </w:r>
    </w:p>
    <w:p w:rsidR="002E59FA" w:rsidRPr="00975E6B" w:rsidRDefault="002E59FA" w:rsidP="00F26328">
      <w:pPr>
        <w:pStyle w:val="BodyText"/>
        <w:numPr>
          <w:ilvl w:val="0"/>
          <w:numId w:val="35"/>
        </w:numPr>
      </w:pPr>
      <w:r w:rsidRPr="00975E6B">
        <w:t>SA Health did not submit activity and cost data related to non-admitted patients due to issues with the quality and completeness of the activity data. Non-admitted patients are costed at the hospital level, but are removed prior to submission to SA Health.</w:t>
      </w:r>
      <w:r w:rsidR="009550C2">
        <w:t xml:space="preserve"> This explains the </w:t>
      </w:r>
      <w:r w:rsidR="0096374D">
        <w:t xml:space="preserve">variance between </w:t>
      </w:r>
      <w:r w:rsidR="00417884">
        <w:t xml:space="preserve">total records from source </w:t>
      </w:r>
      <w:r w:rsidR="00417884" w:rsidRPr="00C264CF">
        <w:t>detailed</w:t>
      </w:r>
      <w:r w:rsidR="00417884">
        <w:t xml:space="preserve"> in </w:t>
      </w:r>
      <w:r w:rsidR="0096374D" w:rsidRPr="00B464CA">
        <w:rPr>
          <w:bCs/>
          <w:szCs w:val="20"/>
        </w:rPr>
        <w:fldChar w:fldCharType="begin"/>
      </w:r>
      <w:r w:rsidR="0096374D" w:rsidRPr="00B464CA">
        <w:rPr>
          <w:bCs/>
          <w:szCs w:val="20"/>
        </w:rPr>
        <w:instrText xml:space="preserve"> REF _Ref433364916 \h </w:instrText>
      </w:r>
      <w:r w:rsidR="00B464CA">
        <w:rPr>
          <w:bCs/>
          <w:szCs w:val="20"/>
        </w:rPr>
        <w:instrText xml:space="preserve"> \* MERGEFORMAT </w:instrText>
      </w:r>
      <w:r w:rsidR="0096374D" w:rsidRPr="00B464CA">
        <w:rPr>
          <w:bCs/>
          <w:szCs w:val="20"/>
        </w:rPr>
      </w:r>
      <w:r w:rsidR="0096374D" w:rsidRPr="00B464CA">
        <w:rPr>
          <w:bCs/>
          <w:szCs w:val="20"/>
        </w:rPr>
        <w:fldChar w:fldCharType="separate"/>
      </w:r>
      <w:r w:rsidR="00154CF7" w:rsidRPr="00154CF7">
        <w:rPr>
          <w:bCs/>
          <w:szCs w:val="20"/>
        </w:rPr>
        <w:t>Table 58</w:t>
      </w:r>
      <w:r w:rsidR="0096374D" w:rsidRPr="00B464CA">
        <w:rPr>
          <w:bCs/>
          <w:szCs w:val="20"/>
        </w:rPr>
        <w:fldChar w:fldCharType="end"/>
      </w:r>
      <w:r w:rsidR="0096374D" w:rsidRPr="00B464CA">
        <w:rPr>
          <w:bCs/>
          <w:szCs w:val="20"/>
        </w:rPr>
        <w:t xml:space="preserve"> </w:t>
      </w:r>
      <w:r w:rsidR="009550C2" w:rsidRPr="00B464CA">
        <w:rPr>
          <w:bCs/>
          <w:szCs w:val="20"/>
        </w:rPr>
        <w:t xml:space="preserve">(269,481 records) </w:t>
      </w:r>
      <w:r w:rsidR="0096374D" w:rsidRPr="00B464CA">
        <w:rPr>
          <w:bCs/>
          <w:szCs w:val="20"/>
        </w:rPr>
        <w:t xml:space="preserve">and total activity related to 2013-14 costs by NHCDC product type in </w:t>
      </w:r>
      <w:r w:rsidR="0096374D" w:rsidRPr="00B464CA">
        <w:rPr>
          <w:bCs/>
          <w:szCs w:val="20"/>
        </w:rPr>
        <w:fldChar w:fldCharType="begin"/>
      </w:r>
      <w:r w:rsidR="0096374D" w:rsidRPr="00B464CA">
        <w:rPr>
          <w:bCs/>
          <w:szCs w:val="20"/>
        </w:rPr>
        <w:instrText xml:space="preserve"> REF _Ref441088200 \h </w:instrText>
      </w:r>
      <w:r w:rsidR="00B464CA">
        <w:rPr>
          <w:bCs/>
          <w:szCs w:val="20"/>
        </w:rPr>
        <w:instrText xml:space="preserve"> \* MERGEFORMAT </w:instrText>
      </w:r>
      <w:r w:rsidR="0096374D" w:rsidRPr="00B464CA">
        <w:rPr>
          <w:bCs/>
          <w:szCs w:val="20"/>
        </w:rPr>
      </w:r>
      <w:r w:rsidR="0096374D" w:rsidRPr="00B464CA">
        <w:rPr>
          <w:bCs/>
          <w:szCs w:val="20"/>
        </w:rPr>
        <w:fldChar w:fldCharType="separate"/>
      </w:r>
      <w:r w:rsidR="00154CF7" w:rsidRPr="00154CF7">
        <w:rPr>
          <w:bCs/>
          <w:szCs w:val="20"/>
        </w:rPr>
        <w:t>Table 59</w:t>
      </w:r>
      <w:r w:rsidR="0096374D" w:rsidRPr="00B464CA">
        <w:rPr>
          <w:bCs/>
          <w:szCs w:val="20"/>
        </w:rPr>
        <w:fldChar w:fldCharType="end"/>
      </w:r>
      <w:r w:rsidR="009550C2" w:rsidRPr="00B464CA">
        <w:rPr>
          <w:bCs/>
          <w:szCs w:val="20"/>
        </w:rPr>
        <w:t xml:space="preserve"> (115,595 </w:t>
      </w:r>
      <w:r w:rsidR="009550C2">
        <w:t>records)</w:t>
      </w:r>
      <w:r w:rsidR="0096374D">
        <w:t>.</w:t>
      </w:r>
    </w:p>
    <w:p w:rsidR="002E59FA" w:rsidRPr="00975E6B" w:rsidRDefault="002E59FA" w:rsidP="00F26328">
      <w:pPr>
        <w:pStyle w:val="BodyText"/>
        <w:numPr>
          <w:ilvl w:val="0"/>
          <w:numId w:val="35"/>
        </w:numPr>
      </w:pPr>
      <w:r w:rsidRPr="00975E6B">
        <w:t xml:space="preserve">The adjustment made by </w:t>
      </w:r>
      <w:r w:rsidR="003F167A" w:rsidRPr="00975E6B">
        <w:t xml:space="preserve">Lyell </w:t>
      </w:r>
      <w:proofErr w:type="spellStart"/>
      <w:r w:rsidR="003F167A" w:rsidRPr="00975E6B">
        <w:t>McEwin</w:t>
      </w:r>
      <w:proofErr w:type="spellEnd"/>
      <w:r w:rsidRPr="00975E6B">
        <w:t xml:space="preserve"> to </w:t>
      </w:r>
      <w:r w:rsidR="005E2379" w:rsidRPr="00975E6B">
        <w:t>e</w:t>
      </w:r>
      <w:r w:rsidRPr="00975E6B">
        <w:t>mergency product</w:t>
      </w:r>
      <w:r w:rsidR="005E2379" w:rsidRPr="00975E6B">
        <w:t>s</w:t>
      </w:r>
      <w:r w:rsidRPr="00975E6B">
        <w:t xml:space="preserve"> relates to zero cost records.</w:t>
      </w:r>
    </w:p>
    <w:p w:rsidR="002E59FA" w:rsidRPr="00975E6B" w:rsidRDefault="002E59FA" w:rsidP="00F26328">
      <w:pPr>
        <w:pStyle w:val="BodyText"/>
        <w:numPr>
          <w:ilvl w:val="0"/>
          <w:numId w:val="35"/>
        </w:numPr>
      </w:pPr>
      <w:r w:rsidRPr="00975E6B">
        <w:t xml:space="preserve">Adjustments made by SA Health relate to </w:t>
      </w:r>
      <w:r w:rsidR="00D52AA9" w:rsidRPr="00975E6B">
        <w:t xml:space="preserve">the </w:t>
      </w:r>
      <w:r w:rsidR="00D52AA9">
        <w:t>activity associated with the</w:t>
      </w:r>
      <w:r w:rsidR="00D52AA9" w:rsidRPr="00975E6B" w:rsidDel="00D52AA9">
        <w:t xml:space="preserve"> </w:t>
      </w:r>
      <w:r w:rsidRPr="00975E6B">
        <w:t xml:space="preserve">exclusion of costs </w:t>
      </w:r>
      <w:r w:rsidR="009E6082" w:rsidRPr="00975E6B">
        <w:t>(at Item G of the financial reconciliation) such as current WIP records and unmapped/mismatched records</w:t>
      </w:r>
      <w:r w:rsidRPr="00975E6B">
        <w:t>.</w:t>
      </w:r>
    </w:p>
    <w:p w:rsidR="002E59FA" w:rsidRPr="00975E6B" w:rsidRDefault="002E59FA" w:rsidP="00F26328">
      <w:pPr>
        <w:pStyle w:val="BodyText"/>
        <w:numPr>
          <w:ilvl w:val="0"/>
          <w:numId w:val="35"/>
        </w:numPr>
      </w:pPr>
      <w:r w:rsidRPr="00975E6B">
        <w:t xml:space="preserve">Adjustments made by IHPA relating to admitted emergency reallocations </w:t>
      </w:r>
      <w:r w:rsidR="009E6082" w:rsidRPr="00975E6B">
        <w:t xml:space="preserve">for reporting and analysis purposes </w:t>
      </w:r>
      <w:r w:rsidRPr="00975E6B">
        <w:t>(as discussed in Item J of the explanation of reconciliation items) has no impact on the reported activity.</w:t>
      </w:r>
    </w:p>
    <w:p w:rsidR="002E59FA" w:rsidRPr="00975E6B" w:rsidRDefault="002E59FA" w:rsidP="003B387A">
      <w:pPr>
        <w:pStyle w:val="Heading3"/>
        <w:numPr>
          <w:ilvl w:val="2"/>
          <w:numId w:val="77"/>
        </w:numPr>
      </w:pPr>
      <w:r w:rsidRPr="00DB29E8">
        <w:t>Treatment</w:t>
      </w:r>
      <w:r w:rsidRPr="00975E6B">
        <w:t xml:space="preserve"> of </w:t>
      </w:r>
      <w:r w:rsidR="00DA7807" w:rsidRPr="00975E6B">
        <w:t>WIP</w:t>
      </w:r>
    </w:p>
    <w:p w:rsidR="002E59FA" w:rsidRPr="00B464CA" w:rsidRDefault="0072515F" w:rsidP="00B464CA">
      <w:pPr>
        <w:spacing w:before="120" w:after="120" w:line="280" w:lineRule="atLeast"/>
        <w:jc w:val="both"/>
        <w:rPr>
          <w:bCs/>
        </w:rPr>
      </w:pPr>
      <w:r>
        <w:rPr>
          <w:bCs/>
        </w:rPr>
        <w:fldChar w:fldCharType="begin"/>
      </w:r>
      <w:r>
        <w:rPr>
          <w:bCs/>
        </w:rPr>
        <w:instrText xml:space="preserve"> REF _Ref444516888 \h </w:instrText>
      </w:r>
      <w:r>
        <w:rPr>
          <w:bCs/>
        </w:rPr>
      </w:r>
      <w:r>
        <w:rPr>
          <w:bCs/>
        </w:rPr>
        <w:fldChar w:fldCharType="separate"/>
      </w:r>
      <w:r w:rsidR="00154CF7" w:rsidRPr="00975E6B">
        <w:t xml:space="preserve">Table </w:t>
      </w:r>
      <w:r w:rsidR="00154CF7">
        <w:rPr>
          <w:noProof/>
        </w:rPr>
        <w:t>60</w:t>
      </w:r>
      <w:r>
        <w:rPr>
          <w:bCs/>
        </w:rPr>
        <w:fldChar w:fldCharType="end"/>
      </w:r>
      <w:r>
        <w:rPr>
          <w:bCs/>
        </w:rPr>
        <w:t xml:space="preserve"> </w:t>
      </w:r>
      <w:r w:rsidR="002E59FA" w:rsidRPr="00B464CA">
        <w:rPr>
          <w:bCs/>
        </w:rPr>
        <w:t xml:space="preserve">demonstrates models for WIP and what was included in the </w:t>
      </w:r>
      <w:r w:rsidR="003F167A" w:rsidRPr="00B464CA">
        <w:rPr>
          <w:bCs/>
        </w:rPr>
        <w:t xml:space="preserve">Lyell </w:t>
      </w:r>
      <w:proofErr w:type="spellStart"/>
      <w:r w:rsidR="003F167A" w:rsidRPr="00B464CA">
        <w:rPr>
          <w:bCs/>
        </w:rPr>
        <w:t>McEwin</w:t>
      </w:r>
      <w:proofErr w:type="spellEnd"/>
      <w:r w:rsidR="002E59FA" w:rsidRPr="00B464CA">
        <w:rPr>
          <w:bCs/>
        </w:rPr>
        <w:t xml:space="preserve"> Round 18 NHCDC submission.</w:t>
      </w:r>
    </w:p>
    <w:p w:rsidR="002E59FA" w:rsidRPr="00975E6B" w:rsidRDefault="002E59FA" w:rsidP="0072515F">
      <w:pPr>
        <w:pStyle w:val="Caption"/>
        <w:pageBreakBefore/>
      </w:pPr>
      <w:bookmarkStart w:id="764" w:name="_Ref432509858"/>
      <w:bookmarkStart w:id="765" w:name="_Ref444516888"/>
      <w:r w:rsidRPr="00975E6B">
        <w:lastRenderedPageBreak/>
        <w:t xml:space="preserve">Table </w:t>
      </w:r>
      <w:r w:rsidR="00AC3838">
        <w:fldChar w:fldCharType="begin"/>
      </w:r>
      <w:r w:rsidR="00AC3838">
        <w:instrText xml:space="preserve"> SEQ Table \* ARABIC </w:instrText>
      </w:r>
      <w:r w:rsidR="00AC3838">
        <w:fldChar w:fldCharType="separate"/>
      </w:r>
      <w:proofErr w:type="gramStart"/>
      <w:r w:rsidR="00154CF7">
        <w:rPr>
          <w:noProof/>
        </w:rPr>
        <w:t>60</w:t>
      </w:r>
      <w:r w:rsidR="00AC3838">
        <w:rPr>
          <w:noProof/>
        </w:rPr>
        <w:fldChar w:fldCharType="end"/>
      </w:r>
      <w:bookmarkEnd w:id="764"/>
      <w:bookmarkEnd w:id="765"/>
      <w:r w:rsidRPr="00975E6B">
        <w:t xml:space="preserve"> – </w:t>
      </w:r>
      <w:r w:rsidR="00D01E4A" w:rsidRPr="00975E6B">
        <w:t>WIP</w:t>
      </w:r>
      <w:r w:rsidRPr="00975E6B">
        <w:t xml:space="preserve"> – Lyell </w:t>
      </w:r>
      <w:proofErr w:type="spellStart"/>
      <w:r w:rsidRPr="00975E6B">
        <w:t>McEwin</w:t>
      </w:r>
      <w:proofErr w:type="spellEnd"/>
      <w:r w:rsidRPr="00975E6B">
        <w:t xml:space="preserve"> Hospital</w:t>
      </w:r>
      <w:proofErr w:type="gramEnd"/>
    </w:p>
    <w:tbl>
      <w:tblPr>
        <w:tblStyle w:val="ListTable4-Accent11"/>
        <w:tblW w:w="5000" w:type="pct"/>
        <w:tblLayout w:type="fixed"/>
        <w:tblLook w:val="0620" w:firstRow="1" w:lastRow="0" w:firstColumn="0" w:lastColumn="0" w:noHBand="1" w:noVBand="1"/>
        <w:tblCaption w:val="Table 60 - Models for Work In Progress - Lyell McEwin Hospital"/>
        <w:tblDescription w:val="This table describes the models for Work In Progress and how that applied to Lyell McEwin Hospital.  The first column is the model number, the second column is the description and the third column is how that model was applied for the relevant hospital.&#10;"/>
      </w:tblPr>
      <w:tblGrid>
        <w:gridCol w:w="873"/>
        <w:gridCol w:w="4217"/>
        <w:gridCol w:w="3631"/>
      </w:tblGrid>
      <w:tr w:rsidR="002E59FA" w:rsidRPr="00975E6B" w:rsidTr="00E14378">
        <w:trPr>
          <w:cnfStyle w:val="100000000000" w:firstRow="1" w:lastRow="0" w:firstColumn="0" w:lastColumn="0" w:oddVBand="0" w:evenVBand="0" w:oddHBand="0" w:evenHBand="0" w:firstRowFirstColumn="0" w:firstRowLastColumn="0" w:lastRowFirstColumn="0" w:lastRowLastColumn="0"/>
          <w:tblHeader/>
        </w:trPr>
        <w:tc>
          <w:tcPr>
            <w:tcW w:w="500" w:type="pct"/>
            <w:tcBorders>
              <w:right w:val="single" w:sz="4" w:space="0" w:color="548DD4" w:themeColor="text2" w:themeTint="99"/>
            </w:tcBorders>
            <w:shd w:val="clear" w:color="auto" w:fill="002060"/>
            <w:noWrap/>
          </w:tcPr>
          <w:p w:rsidR="002E59FA" w:rsidRPr="00975E6B" w:rsidRDefault="002E59FA" w:rsidP="0029344A">
            <w:r w:rsidRPr="00975E6B">
              <w:t>Model</w:t>
            </w:r>
          </w:p>
        </w:tc>
        <w:tc>
          <w:tcPr>
            <w:tcW w:w="2418" w:type="pct"/>
            <w:tcBorders>
              <w:left w:val="single" w:sz="4" w:space="0" w:color="548DD4" w:themeColor="text2" w:themeTint="99"/>
            </w:tcBorders>
            <w:shd w:val="clear" w:color="auto" w:fill="002060"/>
          </w:tcPr>
          <w:p w:rsidR="002E59FA" w:rsidRPr="00975E6B" w:rsidRDefault="002E59FA" w:rsidP="0029344A">
            <w:r w:rsidRPr="00975E6B">
              <w:t>Description</w:t>
            </w:r>
          </w:p>
        </w:tc>
        <w:tc>
          <w:tcPr>
            <w:tcW w:w="2082" w:type="pct"/>
            <w:tcBorders>
              <w:left w:val="single" w:sz="4" w:space="0" w:color="548DD4" w:themeColor="text2" w:themeTint="99"/>
            </w:tcBorders>
            <w:shd w:val="clear" w:color="auto" w:fill="002060"/>
          </w:tcPr>
          <w:p w:rsidR="002E59FA" w:rsidRPr="00975E6B" w:rsidRDefault="002E59FA" w:rsidP="0029344A">
            <w:pPr>
              <w:jc w:val="center"/>
            </w:pPr>
            <w:r w:rsidRPr="00975E6B">
              <w:t>Submitted to Round 18 NHCDC</w:t>
            </w:r>
          </w:p>
        </w:tc>
      </w:tr>
      <w:tr w:rsidR="002E59FA" w:rsidRPr="00975E6B" w:rsidTr="0029344A">
        <w:tc>
          <w:tcPr>
            <w:tcW w:w="499" w:type="pct"/>
            <w:tcBorders>
              <w:right w:val="single" w:sz="4" w:space="0" w:color="548DD4" w:themeColor="text2" w:themeTint="99"/>
            </w:tcBorders>
            <w:noWrap/>
          </w:tcPr>
          <w:p w:rsidR="00D01E4A" w:rsidRPr="00975E6B" w:rsidRDefault="002E59FA" w:rsidP="001140D3">
            <w:pPr>
              <w:jc w:val="center"/>
            </w:pPr>
            <w:r w:rsidRPr="00975E6B">
              <w:t>1</w:t>
            </w:r>
          </w:p>
        </w:tc>
        <w:tc>
          <w:tcPr>
            <w:tcW w:w="2418" w:type="pct"/>
            <w:tcBorders>
              <w:left w:val="single" w:sz="4" w:space="0" w:color="548DD4" w:themeColor="text2" w:themeTint="99"/>
            </w:tcBorders>
          </w:tcPr>
          <w:p w:rsidR="002E59FA" w:rsidRPr="00975E6B" w:rsidRDefault="002E59FA" w:rsidP="0029344A">
            <w:r w:rsidRPr="00975E6B">
              <w:t>Admitted and Discharged Patients in 2013/14 only</w:t>
            </w:r>
          </w:p>
        </w:tc>
        <w:tc>
          <w:tcPr>
            <w:tcW w:w="2082" w:type="pct"/>
            <w:tcBorders>
              <w:left w:val="single" w:sz="4" w:space="0" w:color="548DD4" w:themeColor="text2" w:themeTint="99"/>
            </w:tcBorders>
          </w:tcPr>
          <w:p w:rsidR="002E59FA" w:rsidRPr="00975E6B" w:rsidRDefault="002E59FA" w:rsidP="0029344A">
            <w:pPr>
              <w:jc w:val="center"/>
            </w:pPr>
            <w:r w:rsidRPr="00975E6B">
              <w:t>Submitted to Round 18 of the NHCDC</w:t>
            </w:r>
          </w:p>
        </w:tc>
      </w:tr>
      <w:tr w:rsidR="002E59FA" w:rsidRPr="00975E6B" w:rsidTr="0029344A">
        <w:tc>
          <w:tcPr>
            <w:tcW w:w="499" w:type="pct"/>
            <w:tcBorders>
              <w:right w:val="single" w:sz="4" w:space="0" w:color="548DD4" w:themeColor="text2" w:themeTint="99"/>
            </w:tcBorders>
            <w:noWrap/>
          </w:tcPr>
          <w:p w:rsidR="002E59FA" w:rsidRPr="00975E6B" w:rsidRDefault="002E59FA" w:rsidP="001140D3">
            <w:pPr>
              <w:jc w:val="center"/>
            </w:pPr>
            <w:r w:rsidRPr="00975E6B">
              <w:t>2</w:t>
            </w:r>
          </w:p>
        </w:tc>
        <w:tc>
          <w:tcPr>
            <w:tcW w:w="2418" w:type="pct"/>
            <w:tcBorders>
              <w:left w:val="single" w:sz="4" w:space="0" w:color="548DD4" w:themeColor="text2" w:themeTint="99"/>
            </w:tcBorders>
          </w:tcPr>
          <w:p w:rsidR="002E59FA" w:rsidRPr="00975E6B" w:rsidRDefault="002E59FA" w:rsidP="0029344A">
            <w:r w:rsidRPr="00975E6B">
              <w:t>Costs for patients discharged in 2013/14 but admitted prior to 2013/14</w:t>
            </w:r>
          </w:p>
        </w:tc>
        <w:tc>
          <w:tcPr>
            <w:tcW w:w="2082" w:type="pct"/>
            <w:tcBorders>
              <w:left w:val="single" w:sz="4" w:space="0" w:color="548DD4" w:themeColor="text2" w:themeTint="99"/>
            </w:tcBorders>
          </w:tcPr>
          <w:p w:rsidR="002E59FA" w:rsidRPr="00975E6B" w:rsidRDefault="002E59FA" w:rsidP="0029344A">
            <w:pPr>
              <w:jc w:val="center"/>
            </w:pPr>
            <w:r w:rsidRPr="00975E6B">
              <w:t>Submitted to Round 18 of the NHCDC</w:t>
            </w:r>
          </w:p>
        </w:tc>
      </w:tr>
      <w:tr w:rsidR="002E59FA" w:rsidRPr="00975E6B" w:rsidTr="0029344A">
        <w:tc>
          <w:tcPr>
            <w:tcW w:w="499" w:type="pct"/>
            <w:tcBorders>
              <w:right w:val="single" w:sz="4" w:space="0" w:color="548DD4" w:themeColor="text2" w:themeTint="99"/>
            </w:tcBorders>
            <w:noWrap/>
          </w:tcPr>
          <w:p w:rsidR="002E59FA" w:rsidRPr="00975E6B" w:rsidRDefault="002E59FA" w:rsidP="001140D3">
            <w:pPr>
              <w:jc w:val="center"/>
            </w:pPr>
            <w:r w:rsidRPr="00975E6B">
              <w:t>3</w:t>
            </w:r>
          </w:p>
        </w:tc>
        <w:tc>
          <w:tcPr>
            <w:tcW w:w="2418" w:type="pct"/>
            <w:tcBorders>
              <w:left w:val="single" w:sz="4" w:space="0" w:color="548DD4" w:themeColor="text2" w:themeTint="99"/>
            </w:tcBorders>
          </w:tcPr>
          <w:p w:rsidR="002E59FA" w:rsidRPr="00975E6B" w:rsidRDefault="002E59FA" w:rsidP="0029344A">
            <w:r w:rsidRPr="00975E6B">
              <w:t>Costs for patients admitted prior to or in 2013/14 and remain admitted at 30/06/2014</w:t>
            </w:r>
          </w:p>
        </w:tc>
        <w:tc>
          <w:tcPr>
            <w:tcW w:w="2082" w:type="pct"/>
            <w:tcBorders>
              <w:left w:val="single" w:sz="4" w:space="0" w:color="548DD4" w:themeColor="text2" w:themeTint="99"/>
            </w:tcBorders>
          </w:tcPr>
          <w:p w:rsidR="002E59FA" w:rsidRPr="00975E6B" w:rsidRDefault="002E59FA" w:rsidP="0029344A">
            <w:pPr>
              <w:jc w:val="center"/>
            </w:pPr>
            <w:r w:rsidRPr="00975E6B">
              <w:t>Not submitted to Round 18 of the NHCDC</w:t>
            </w:r>
          </w:p>
        </w:tc>
      </w:tr>
      <w:tr w:rsidR="00B1592B" w:rsidRPr="00975E6B" w:rsidTr="0029344A">
        <w:tc>
          <w:tcPr>
            <w:tcW w:w="499" w:type="pct"/>
            <w:tcBorders>
              <w:right w:val="single" w:sz="4" w:space="0" w:color="548DD4" w:themeColor="text2" w:themeTint="99"/>
            </w:tcBorders>
            <w:noWrap/>
          </w:tcPr>
          <w:p w:rsidR="00B1592B" w:rsidRPr="00975E6B" w:rsidRDefault="00B1592B" w:rsidP="001140D3">
            <w:pPr>
              <w:jc w:val="center"/>
            </w:pPr>
            <w:r w:rsidRPr="00975E6B">
              <w:t>4</w:t>
            </w:r>
          </w:p>
        </w:tc>
        <w:tc>
          <w:tcPr>
            <w:tcW w:w="2418" w:type="pct"/>
            <w:tcBorders>
              <w:left w:val="single" w:sz="4" w:space="0" w:color="548DD4" w:themeColor="text2" w:themeTint="99"/>
            </w:tcBorders>
          </w:tcPr>
          <w:p w:rsidR="00B1592B" w:rsidRPr="00975E6B" w:rsidRDefault="00B1592B" w:rsidP="00B1592B">
            <w:r w:rsidRPr="00975E6B">
              <w:t>Costs for patients admitted prior to 2013/14 and still admitted at 30/06/2014</w:t>
            </w:r>
          </w:p>
        </w:tc>
        <w:tc>
          <w:tcPr>
            <w:tcW w:w="2082" w:type="pct"/>
            <w:tcBorders>
              <w:left w:val="single" w:sz="4" w:space="0" w:color="548DD4" w:themeColor="text2" w:themeTint="99"/>
            </w:tcBorders>
          </w:tcPr>
          <w:p w:rsidR="00B1592B" w:rsidRPr="00975E6B" w:rsidRDefault="00B1592B" w:rsidP="00B1592B">
            <w:pPr>
              <w:jc w:val="center"/>
            </w:pPr>
            <w:r w:rsidRPr="00975E6B">
              <w:t>Not submitted to Round 18 of the NHCDC</w:t>
            </w:r>
          </w:p>
        </w:tc>
      </w:tr>
    </w:tbl>
    <w:p w:rsidR="002E59FA" w:rsidRPr="00975E6B" w:rsidRDefault="002E59FA" w:rsidP="002E59FA">
      <w:pPr>
        <w:pStyle w:val="FootnoteText"/>
        <w:rPr>
          <w:bCs/>
          <w:i/>
          <w:sz w:val="16"/>
          <w:szCs w:val="16"/>
        </w:rPr>
      </w:pPr>
      <w:r w:rsidRPr="00975E6B">
        <w:rPr>
          <w:bCs/>
          <w:i/>
          <w:sz w:val="16"/>
          <w:szCs w:val="16"/>
        </w:rPr>
        <w:t xml:space="preserve">Source: KPMG, based on </w:t>
      </w:r>
      <w:r w:rsidR="003F167A" w:rsidRPr="00975E6B">
        <w:rPr>
          <w:bCs/>
          <w:i/>
          <w:sz w:val="16"/>
          <w:szCs w:val="16"/>
        </w:rPr>
        <w:t xml:space="preserve">Lyell </w:t>
      </w:r>
      <w:proofErr w:type="spellStart"/>
      <w:r w:rsidR="003F167A" w:rsidRPr="00975E6B">
        <w:rPr>
          <w:bCs/>
          <w:i/>
          <w:sz w:val="16"/>
          <w:szCs w:val="16"/>
        </w:rPr>
        <w:t>McEwin</w:t>
      </w:r>
      <w:proofErr w:type="spellEnd"/>
      <w:r w:rsidRPr="00975E6B">
        <w:rPr>
          <w:bCs/>
          <w:i/>
          <w:sz w:val="16"/>
          <w:szCs w:val="16"/>
        </w:rPr>
        <w:t xml:space="preserve"> templates and review discussions</w:t>
      </w:r>
      <w:r w:rsidR="00BA3F4B" w:rsidRPr="00975E6B">
        <w:rPr>
          <w:bCs/>
          <w:i/>
          <w:sz w:val="16"/>
          <w:szCs w:val="16"/>
        </w:rPr>
        <w:t xml:space="preserve"> </w:t>
      </w:r>
    </w:p>
    <w:p w:rsidR="002E59FA" w:rsidRPr="00975E6B" w:rsidRDefault="002E59FA" w:rsidP="002E59FA">
      <w:pPr>
        <w:pStyle w:val="BodyText"/>
      </w:pPr>
      <w:r w:rsidRPr="00975E6B">
        <w:t xml:space="preserve">In summary, </w:t>
      </w:r>
      <w:r w:rsidR="003F167A" w:rsidRPr="00975E6B">
        <w:t xml:space="preserve">Lyell </w:t>
      </w:r>
      <w:proofErr w:type="spellStart"/>
      <w:r w:rsidR="003F167A" w:rsidRPr="00975E6B">
        <w:t>McEwin</w:t>
      </w:r>
      <w:proofErr w:type="spellEnd"/>
      <w:r w:rsidRPr="00975E6B">
        <w:t xml:space="preserve"> submitted </w:t>
      </w:r>
      <w:r w:rsidR="00B7080E" w:rsidRPr="00975E6B">
        <w:t xml:space="preserve">WIP </w:t>
      </w:r>
      <w:r w:rsidRPr="00975E6B">
        <w:t xml:space="preserve">costs for admitted and discharged patients in 2013/14 and the 2012/13 </w:t>
      </w:r>
      <w:r w:rsidR="00B7080E" w:rsidRPr="00975E6B">
        <w:t xml:space="preserve">WIP </w:t>
      </w:r>
      <w:r w:rsidRPr="00975E6B">
        <w:t>costs incurred for patients admitted prior to, but discharged, in 2013/14.</w:t>
      </w:r>
    </w:p>
    <w:p w:rsidR="002E59FA" w:rsidRPr="00975E6B" w:rsidRDefault="002E59FA" w:rsidP="00DB29E8">
      <w:pPr>
        <w:pStyle w:val="Heading4"/>
        <w:numPr>
          <w:ilvl w:val="0"/>
          <w:numId w:val="0"/>
        </w:numPr>
        <w:ind w:left="720" w:hanging="720"/>
      </w:pPr>
      <w:r w:rsidRPr="00975E6B">
        <w:t>Escalation factor</w:t>
      </w:r>
    </w:p>
    <w:p w:rsidR="002E59FA" w:rsidRPr="00975E6B" w:rsidRDefault="002E59FA" w:rsidP="002E59FA">
      <w:pPr>
        <w:pStyle w:val="BodyText"/>
      </w:pPr>
      <w:r w:rsidRPr="00975E6B">
        <w:t>SA Health applied the escalation factors provided by IHPA for prior years to the costs associated with WIP as part of the Round 18 submission to the NHCDC.</w:t>
      </w:r>
    </w:p>
    <w:p w:rsidR="002E59FA" w:rsidRPr="00975E6B" w:rsidRDefault="002E59FA" w:rsidP="003B387A">
      <w:pPr>
        <w:pStyle w:val="Heading3"/>
        <w:numPr>
          <w:ilvl w:val="2"/>
          <w:numId w:val="77"/>
        </w:numPr>
      </w:pPr>
      <w:r w:rsidRPr="00DB29E8">
        <w:t>Treatment</w:t>
      </w:r>
      <w:r w:rsidRPr="00975E6B">
        <w:t xml:space="preserve"> of other specific cost items</w:t>
      </w:r>
    </w:p>
    <w:p w:rsidR="002E59FA" w:rsidRPr="00975E6B" w:rsidRDefault="00EB4E48" w:rsidP="002E59FA">
      <w:r w:rsidRPr="00975E6B">
        <w:t xml:space="preserve">The following items were discussed during the reviews to understand their treatment in the costing process. The cost data is used to inform the </w:t>
      </w:r>
      <w:r w:rsidR="005E2379" w:rsidRPr="00975E6B">
        <w:t>National Efficient Price (</w:t>
      </w:r>
      <w:r w:rsidRPr="00975E6B">
        <w:t>NEP</w:t>
      </w:r>
      <w:r w:rsidR="005E2379" w:rsidRPr="00975E6B">
        <w:t>)</w:t>
      </w:r>
      <w:r w:rsidRPr="00975E6B">
        <w:t xml:space="preserve"> and specific funding model adjustments for particular patient cohorts</w:t>
      </w:r>
      <w:r w:rsidR="002E59FA" w:rsidRPr="00975E6B">
        <w:t xml:space="preserve">. Treatment of each of the items is summarised in </w:t>
      </w:r>
      <w:r w:rsidR="002E59FA" w:rsidRPr="00975E6B">
        <w:fldChar w:fldCharType="begin"/>
      </w:r>
      <w:r w:rsidR="002E59FA" w:rsidRPr="00975E6B">
        <w:instrText xml:space="preserve"> REF _Ref432505958 \h </w:instrText>
      </w:r>
      <w:r w:rsidR="00975E6B">
        <w:instrText xml:space="preserve"> \* MERGEFORMAT </w:instrText>
      </w:r>
      <w:r w:rsidR="002E59FA" w:rsidRPr="00975E6B">
        <w:fldChar w:fldCharType="separate"/>
      </w:r>
      <w:r w:rsidR="00154CF7" w:rsidRPr="00975E6B">
        <w:t xml:space="preserve">Table </w:t>
      </w:r>
      <w:r w:rsidR="00154CF7">
        <w:rPr>
          <w:noProof/>
        </w:rPr>
        <w:t>61</w:t>
      </w:r>
      <w:r w:rsidR="002E59FA" w:rsidRPr="00975E6B">
        <w:fldChar w:fldCharType="end"/>
      </w:r>
      <w:r w:rsidR="002E59FA" w:rsidRPr="00975E6B">
        <w:t>.</w:t>
      </w:r>
    </w:p>
    <w:p w:rsidR="002E59FA" w:rsidRPr="00975E6B" w:rsidRDefault="002E59FA" w:rsidP="002E59FA">
      <w:pPr>
        <w:pStyle w:val="Caption"/>
      </w:pPr>
      <w:bookmarkStart w:id="766" w:name="_Ref432505958"/>
      <w:r w:rsidRPr="00975E6B">
        <w:t xml:space="preserve">Table </w:t>
      </w:r>
      <w:fldSimple w:instr=" SEQ Table \* ARABIC ">
        <w:r w:rsidR="00154CF7">
          <w:rPr>
            <w:noProof/>
          </w:rPr>
          <w:t>61</w:t>
        </w:r>
      </w:fldSimple>
      <w:bookmarkEnd w:id="766"/>
      <w:r w:rsidRPr="00975E6B">
        <w:t xml:space="preserve"> – Treatment of other specific cost items – Lyell </w:t>
      </w:r>
      <w:proofErr w:type="spellStart"/>
      <w:r w:rsidRPr="00975E6B">
        <w:t>McEwin</w:t>
      </w:r>
      <w:proofErr w:type="spellEnd"/>
      <w:r w:rsidRPr="00975E6B">
        <w:t xml:space="preserve"> Hospital</w:t>
      </w:r>
    </w:p>
    <w:tbl>
      <w:tblPr>
        <w:tblStyle w:val="ListTable4-Accent11"/>
        <w:tblW w:w="5000" w:type="pct"/>
        <w:tblLayout w:type="fixed"/>
        <w:tblLook w:val="0620" w:firstRow="1" w:lastRow="0" w:firstColumn="0" w:lastColumn="0" w:noHBand="1" w:noVBand="1"/>
        <w:tblCaption w:val="Table 61 - Treatment of specific items - Lyell McEwin Hospital"/>
        <w:tblDescription w:val="This table describes how Lyell McEwin Hospital treated specific items in their Round 18 NHCDC Submission.  The first column is the item and the second column is the description of the treatment.&#10;"/>
      </w:tblPr>
      <w:tblGrid>
        <w:gridCol w:w="3342"/>
        <w:gridCol w:w="5379"/>
      </w:tblGrid>
      <w:tr w:rsidR="002E59FA" w:rsidRPr="00975E6B" w:rsidTr="00E14378">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tcPr>
          <w:p w:rsidR="002E59FA" w:rsidRPr="00975E6B" w:rsidRDefault="002E59FA" w:rsidP="0029344A">
            <w:r w:rsidRPr="00975E6B">
              <w:t>Item</w:t>
            </w:r>
          </w:p>
        </w:tc>
        <w:tc>
          <w:tcPr>
            <w:tcW w:w="3084" w:type="pct"/>
            <w:tcBorders>
              <w:left w:val="single" w:sz="4" w:space="0" w:color="548DD4" w:themeColor="text2" w:themeTint="99"/>
            </w:tcBorders>
            <w:shd w:val="clear" w:color="auto" w:fill="002060"/>
          </w:tcPr>
          <w:p w:rsidR="002E59FA" w:rsidRPr="00975E6B" w:rsidRDefault="002E59FA" w:rsidP="0029344A">
            <w:r w:rsidRPr="00975E6B">
              <w:t>Treatment</w:t>
            </w:r>
          </w:p>
        </w:tc>
      </w:tr>
      <w:tr w:rsidR="002E59FA" w:rsidRPr="00975E6B" w:rsidTr="0029344A">
        <w:tc>
          <w:tcPr>
            <w:tcW w:w="1916" w:type="pct"/>
            <w:tcBorders>
              <w:right w:val="single" w:sz="4" w:space="0" w:color="548DD4" w:themeColor="text2" w:themeTint="99"/>
            </w:tcBorders>
            <w:noWrap/>
          </w:tcPr>
          <w:p w:rsidR="002E59FA" w:rsidRPr="00975E6B" w:rsidRDefault="002E59FA" w:rsidP="0029344A">
            <w:pPr>
              <w:pStyle w:val="BodyText"/>
              <w:jc w:val="left"/>
            </w:pPr>
            <w:r w:rsidRPr="00975E6B">
              <w:t>Research</w:t>
            </w:r>
          </w:p>
        </w:tc>
        <w:tc>
          <w:tcPr>
            <w:tcW w:w="3084" w:type="pct"/>
            <w:tcBorders>
              <w:left w:val="single" w:sz="4" w:space="0" w:color="548DD4" w:themeColor="text2" w:themeTint="99"/>
            </w:tcBorders>
          </w:tcPr>
          <w:p w:rsidR="002E59FA" w:rsidRPr="00975E6B" w:rsidRDefault="002E59FA" w:rsidP="0029344A">
            <w:pPr>
              <w:pStyle w:val="BodyText"/>
              <w:jc w:val="left"/>
            </w:pPr>
            <w:r w:rsidRPr="00975E6B">
              <w:t>Research costs are not submitted to the NHCDC as they are not costed to patients.</w:t>
            </w:r>
          </w:p>
        </w:tc>
      </w:tr>
      <w:tr w:rsidR="002E59FA" w:rsidRPr="00975E6B" w:rsidTr="0029344A">
        <w:tc>
          <w:tcPr>
            <w:tcW w:w="1916" w:type="pct"/>
            <w:tcBorders>
              <w:right w:val="single" w:sz="4" w:space="0" w:color="548DD4" w:themeColor="text2" w:themeTint="99"/>
            </w:tcBorders>
            <w:noWrap/>
          </w:tcPr>
          <w:p w:rsidR="002E59FA" w:rsidRPr="00975E6B" w:rsidRDefault="002E59FA" w:rsidP="0029344A">
            <w:pPr>
              <w:pStyle w:val="BodyText"/>
              <w:jc w:val="left"/>
            </w:pPr>
            <w:r w:rsidRPr="00975E6B">
              <w:t>Teaching and Training</w:t>
            </w:r>
          </w:p>
        </w:tc>
        <w:tc>
          <w:tcPr>
            <w:tcW w:w="3084" w:type="pct"/>
            <w:tcBorders>
              <w:left w:val="single" w:sz="4" w:space="0" w:color="548DD4" w:themeColor="text2" w:themeTint="99"/>
            </w:tcBorders>
          </w:tcPr>
          <w:p w:rsidR="002E59FA" w:rsidRPr="00975E6B" w:rsidRDefault="002E59FA" w:rsidP="0029344A">
            <w:pPr>
              <w:pStyle w:val="BodyText"/>
              <w:jc w:val="left"/>
            </w:pPr>
            <w:r w:rsidRPr="00975E6B">
              <w:t xml:space="preserve">Teaching and </w:t>
            </w:r>
            <w:r w:rsidR="005E2379" w:rsidRPr="00975E6B">
              <w:t>t</w:t>
            </w:r>
            <w:r w:rsidRPr="00975E6B">
              <w:t>raining are not submitted to the NHCDC as they are not costed to patients.</w:t>
            </w:r>
          </w:p>
        </w:tc>
      </w:tr>
      <w:tr w:rsidR="002E59FA" w:rsidRPr="00975E6B" w:rsidTr="0029344A">
        <w:tc>
          <w:tcPr>
            <w:tcW w:w="1916" w:type="pct"/>
            <w:tcBorders>
              <w:right w:val="single" w:sz="4" w:space="0" w:color="548DD4" w:themeColor="text2" w:themeTint="99"/>
            </w:tcBorders>
            <w:noWrap/>
          </w:tcPr>
          <w:p w:rsidR="002E59FA" w:rsidRPr="00975E6B" w:rsidRDefault="002E59FA" w:rsidP="0029344A">
            <w:pPr>
              <w:pStyle w:val="BodyText"/>
              <w:jc w:val="left"/>
            </w:pPr>
            <w:r w:rsidRPr="00975E6B">
              <w:t>Shared/Other commercial entities</w:t>
            </w:r>
          </w:p>
        </w:tc>
        <w:tc>
          <w:tcPr>
            <w:tcW w:w="3084" w:type="pct"/>
            <w:tcBorders>
              <w:left w:val="single" w:sz="4" w:space="0" w:color="548DD4" w:themeColor="text2" w:themeTint="99"/>
            </w:tcBorders>
          </w:tcPr>
          <w:p w:rsidR="002E59FA" w:rsidRPr="00975E6B" w:rsidRDefault="002E59FA" w:rsidP="0029344A">
            <w:pPr>
              <w:pStyle w:val="BodyText"/>
              <w:jc w:val="left"/>
            </w:pPr>
            <w:r w:rsidRPr="00975E6B">
              <w:t>Based on a review of the templates and discussions during the site visit, shared and other commercial entities are removed from the GL.</w:t>
            </w:r>
          </w:p>
        </w:tc>
      </w:tr>
      <w:tr w:rsidR="00901115" w:rsidRPr="00975E6B" w:rsidTr="0029344A">
        <w:tc>
          <w:tcPr>
            <w:tcW w:w="1916" w:type="pct"/>
            <w:tcBorders>
              <w:right w:val="single" w:sz="4" w:space="0" w:color="548DD4" w:themeColor="text2" w:themeTint="99"/>
            </w:tcBorders>
            <w:noWrap/>
          </w:tcPr>
          <w:p w:rsidR="00901115" w:rsidRPr="00975E6B" w:rsidRDefault="00901115" w:rsidP="00901115">
            <w:pPr>
              <w:pStyle w:val="BodyText"/>
              <w:jc w:val="left"/>
            </w:pPr>
            <w:r w:rsidRPr="00975E6B">
              <w:t xml:space="preserve">Intensive Care Unit </w:t>
            </w:r>
          </w:p>
        </w:tc>
        <w:tc>
          <w:tcPr>
            <w:tcW w:w="3084" w:type="pct"/>
            <w:tcBorders>
              <w:left w:val="single" w:sz="4" w:space="0" w:color="548DD4" w:themeColor="text2" w:themeTint="99"/>
            </w:tcBorders>
          </w:tcPr>
          <w:p w:rsidR="00901115" w:rsidRPr="00975E6B" w:rsidRDefault="00901115" w:rsidP="00901115">
            <w:pPr>
              <w:pStyle w:val="BodyText"/>
              <w:jc w:val="left"/>
            </w:pPr>
            <w:r w:rsidRPr="00975E6B">
              <w:t xml:space="preserve">No change to the costing methodology. No ICU weights or adjustments made. </w:t>
            </w:r>
          </w:p>
        </w:tc>
      </w:tr>
      <w:tr w:rsidR="00901115" w:rsidRPr="00975E6B" w:rsidTr="0029344A">
        <w:tc>
          <w:tcPr>
            <w:tcW w:w="1916" w:type="pct"/>
            <w:tcBorders>
              <w:right w:val="single" w:sz="4" w:space="0" w:color="548DD4" w:themeColor="text2" w:themeTint="99"/>
            </w:tcBorders>
            <w:noWrap/>
          </w:tcPr>
          <w:p w:rsidR="00901115" w:rsidRPr="00975E6B" w:rsidRDefault="00EE5E5B" w:rsidP="00901115">
            <w:pPr>
              <w:pStyle w:val="BodyText"/>
              <w:jc w:val="left"/>
            </w:pPr>
            <w:r w:rsidRPr="00975E6B">
              <w:t>Aboriginal and Torres Strait Islander</w:t>
            </w:r>
            <w:r w:rsidR="00901115" w:rsidRPr="00975E6B">
              <w:t xml:space="preserve"> patients</w:t>
            </w:r>
          </w:p>
        </w:tc>
        <w:tc>
          <w:tcPr>
            <w:tcW w:w="3084" w:type="pct"/>
            <w:tcBorders>
              <w:left w:val="single" w:sz="4" w:space="0" w:color="548DD4" w:themeColor="text2" w:themeTint="99"/>
            </w:tcBorders>
          </w:tcPr>
          <w:p w:rsidR="00901115" w:rsidRPr="00975E6B" w:rsidRDefault="00901115" w:rsidP="00901115">
            <w:pPr>
              <w:pStyle w:val="BodyText"/>
              <w:jc w:val="left"/>
            </w:pPr>
            <w:r w:rsidRPr="00975E6B">
              <w:t>No change to the costing methodology. No ATSI weights or adjustments made. Costs based on resources linked.</w:t>
            </w:r>
          </w:p>
        </w:tc>
      </w:tr>
      <w:tr w:rsidR="00901115" w:rsidRPr="00975E6B" w:rsidTr="0029344A">
        <w:trPr>
          <w:trHeight w:val="516"/>
        </w:trPr>
        <w:tc>
          <w:tcPr>
            <w:tcW w:w="1916" w:type="pct"/>
            <w:tcBorders>
              <w:right w:val="single" w:sz="4" w:space="0" w:color="548DD4" w:themeColor="text2" w:themeTint="99"/>
            </w:tcBorders>
            <w:noWrap/>
          </w:tcPr>
          <w:p w:rsidR="00901115" w:rsidRPr="00975E6B" w:rsidRDefault="00901115" w:rsidP="00901115">
            <w:pPr>
              <w:pStyle w:val="BodyText"/>
              <w:jc w:val="left"/>
            </w:pPr>
            <w:r w:rsidRPr="00975E6B">
              <w:t xml:space="preserve">Private Patients </w:t>
            </w:r>
          </w:p>
        </w:tc>
        <w:tc>
          <w:tcPr>
            <w:tcW w:w="3084" w:type="pct"/>
            <w:tcBorders>
              <w:left w:val="single" w:sz="4" w:space="0" w:color="548DD4" w:themeColor="text2" w:themeTint="99"/>
            </w:tcBorders>
          </w:tcPr>
          <w:p w:rsidR="00901115" w:rsidRPr="00975E6B" w:rsidRDefault="00901115" w:rsidP="00901115">
            <w:pPr>
              <w:pStyle w:val="BodyText"/>
              <w:jc w:val="left"/>
            </w:pPr>
            <w:r w:rsidRPr="00975E6B">
              <w:t xml:space="preserve">No change to the costing methodology. No Private Patient weights or adjustments made. </w:t>
            </w:r>
          </w:p>
        </w:tc>
      </w:tr>
      <w:tr w:rsidR="00901115" w:rsidRPr="00975E6B" w:rsidTr="0029344A">
        <w:tc>
          <w:tcPr>
            <w:tcW w:w="1916" w:type="pct"/>
            <w:tcBorders>
              <w:right w:val="single" w:sz="4" w:space="0" w:color="548DD4" w:themeColor="text2" w:themeTint="99"/>
            </w:tcBorders>
            <w:noWrap/>
          </w:tcPr>
          <w:p w:rsidR="00901115" w:rsidRPr="00975E6B" w:rsidRDefault="00901115" w:rsidP="00901115">
            <w:pPr>
              <w:pStyle w:val="BodyText"/>
              <w:jc w:val="left"/>
            </w:pPr>
            <w:r w:rsidRPr="00975E6B">
              <w:t>PBS drugs</w:t>
            </w:r>
          </w:p>
        </w:tc>
        <w:tc>
          <w:tcPr>
            <w:tcW w:w="3084" w:type="pct"/>
            <w:tcBorders>
              <w:left w:val="single" w:sz="4" w:space="0" w:color="548DD4" w:themeColor="text2" w:themeTint="99"/>
            </w:tcBorders>
          </w:tcPr>
          <w:p w:rsidR="00901115" w:rsidRPr="00975E6B" w:rsidRDefault="00901115" w:rsidP="00901115">
            <w:pPr>
              <w:pStyle w:val="BodyText"/>
              <w:jc w:val="left"/>
            </w:pPr>
            <w:r w:rsidRPr="00975E6B">
              <w:t>Included in Round 18, no revenue offsets processed.</w:t>
            </w:r>
          </w:p>
        </w:tc>
      </w:tr>
    </w:tbl>
    <w:p w:rsidR="002E59FA" w:rsidRPr="00975E6B" w:rsidRDefault="002E59FA" w:rsidP="002E59FA">
      <w:pPr>
        <w:pStyle w:val="FootnoteText"/>
        <w:rPr>
          <w:bCs/>
          <w:i/>
          <w:sz w:val="16"/>
          <w:szCs w:val="16"/>
        </w:rPr>
      </w:pPr>
      <w:r w:rsidRPr="00975E6B">
        <w:rPr>
          <w:bCs/>
          <w:i/>
          <w:sz w:val="16"/>
          <w:szCs w:val="16"/>
        </w:rPr>
        <w:lastRenderedPageBreak/>
        <w:t>Source: KPMG</w:t>
      </w:r>
    </w:p>
    <w:p w:rsidR="002E59FA" w:rsidRPr="00975E6B" w:rsidRDefault="002E59FA" w:rsidP="003B387A">
      <w:pPr>
        <w:pStyle w:val="Heading3"/>
        <w:numPr>
          <w:ilvl w:val="2"/>
          <w:numId w:val="77"/>
        </w:numPr>
      </w:pPr>
      <w:r w:rsidRPr="00975E6B">
        <w:t>Sample patient data</w:t>
      </w:r>
    </w:p>
    <w:p w:rsidR="002E59FA" w:rsidRPr="00975E6B" w:rsidRDefault="002E59FA" w:rsidP="001140D3">
      <w:pPr>
        <w:pStyle w:val="BodyText"/>
      </w:pPr>
      <w:r w:rsidRPr="00975E6B">
        <w:t xml:space="preserve">IHPA selected a sample of five patients from </w:t>
      </w:r>
      <w:r w:rsidR="003F167A" w:rsidRPr="00975E6B">
        <w:t xml:space="preserve">Lyell </w:t>
      </w:r>
      <w:proofErr w:type="spellStart"/>
      <w:r w:rsidR="003F167A" w:rsidRPr="00975E6B">
        <w:t>McEwin</w:t>
      </w:r>
      <w:proofErr w:type="spellEnd"/>
      <w:r w:rsidRPr="00975E6B">
        <w:t xml:space="preserve"> for the purposes of testing the data flow from jurisdictions to IHPA at the patient level. SA Health provided the patient level costs for all five patients and these reconciled to IHPA records (with minor $1 variances noted for two acute records). The results are summarised in </w:t>
      </w:r>
      <w:r w:rsidRPr="00975E6B">
        <w:fldChar w:fldCharType="begin"/>
      </w:r>
      <w:r w:rsidRPr="00975E6B">
        <w:instrText xml:space="preserve"> REF _Ref433827638 \h  \* MERGEFORMAT </w:instrText>
      </w:r>
      <w:r w:rsidRPr="00975E6B">
        <w:fldChar w:fldCharType="separate"/>
      </w:r>
      <w:r w:rsidR="00154CF7" w:rsidRPr="00975E6B">
        <w:t xml:space="preserve">Table </w:t>
      </w:r>
      <w:r w:rsidR="00154CF7" w:rsidRPr="00154CF7">
        <w:t>62</w:t>
      </w:r>
      <w:r w:rsidRPr="00975E6B">
        <w:fldChar w:fldCharType="end"/>
      </w:r>
      <w:r w:rsidRPr="00975E6B">
        <w:t>.</w:t>
      </w:r>
    </w:p>
    <w:p w:rsidR="0096374D" w:rsidRPr="00975E6B" w:rsidRDefault="002E59FA" w:rsidP="00CD1518">
      <w:pPr>
        <w:pStyle w:val="Caption"/>
      </w:pPr>
      <w:bookmarkStart w:id="767" w:name="_Ref433827638"/>
      <w:r w:rsidRPr="00975E6B">
        <w:t xml:space="preserve">Table </w:t>
      </w:r>
      <w:r w:rsidR="003E3288">
        <w:rPr>
          <w:bCs w:val="0"/>
          <w:i w:val="0"/>
        </w:rPr>
        <w:fldChar w:fldCharType="begin"/>
      </w:r>
      <w:r w:rsidR="003E3288">
        <w:rPr>
          <w:bCs w:val="0"/>
          <w:i w:val="0"/>
        </w:rPr>
        <w:instrText xml:space="preserve"> SEQ Table \* ARABIC </w:instrText>
      </w:r>
      <w:r w:rsidR="003E3288">
        <w:rPr>
          <w:bCs w:val="0"/>
          <w:i w:val="0"/>
        </w:rPr>
        <w:fldChar w:fldCharType="separate"/>
      </w:r>
      <w:r w:rsidR="00154CF7">
        <w:rPr>
          <w:bCs w:val="0"/>
          <w:i w:val="0"/>
          <w:noProof/>
        </w:rPr>
        <w:t>62</w:t>
      </w:r>
      <w:r w:rsidR="003E3288">
        <w:rPr>
          <w:bCs w:val="0"/>
          <w:i w:val="0"/>
          <w:noProof/>
        </w:rPr>
        <w:fldChar w:fldCharType="end"/>
      </w:r>
      <w:bookmarkEnd w:id="767"/>
      <w:r w:rsidRPr="00975E6B">
        <w:t xml:space="preserve"> – Sample patients – Lyell </w:t>
      </w:r>
      <w:proofErr w:type="spellStart"/>
      <w:r w:rsidRPr="00975E6B">
        <w:t>McEwin</w:t>
      </w:r>
      <w:proofErr w:type="spellEnd"/>
      <w:r w:rsidRPr="00975E6B">
        <w:t xml:space="preserve"> Hospital</w:t>
      </w:r>
    </w:p>
    <w:tbl>
      <w:tblPr>
        <w:tblW w:w="5000" w:type="pct"/>
        <w:tblLook w:val="04A0" w:firstRow="1" w:lastRow="0" w:firstColumn="1" w:lastColumn="0" w:noHBand="0" w:noVBand="1"/>
        <w:tblCaption w:val="Table 62 - Sample patients - Lyell McEwin Hospital"/>
        <w:tblDescription w:val="This table presents the results of the 5 sample patients tested for the data flow from jurisdictions to IHPA at the patient level for Lyell McEwin Hospital. There are 5 columns.  Column 1 is the sample number, Column 2 is the product type, column 3 is the amount in  jurisdiction records, Column 4 is the amount received by IHPA and Column 5 is the variance between jurisdiction and IHPA.&#10;"/>
      </w:tblPr>
      <w:tblGrid>
        <w:gridCol w:w="498"/>
        <w:gridCol w:w="2267"/>
        <w:gridCol w:w="2267"/>
        <w:gridCol w:w="2267"/>
        <w:gridCol w:w="1422"/>
      </w:tblGrid>
      <w:tr w:rsidR="0096374D" w:rsidRPr="0096374D" w:rsidTr="00E14378">
        <w:trPr>
          <w:trHeight w:val="260"/>
        </w:trPr>
        <w:tc>
          <w:tcPr>
            <w:tcW w:w="285"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96374D" w:rsidRPr="0096374D" w:rsidRDefault="0096374D" w:rsidP="0096374D">
            <w:pPr>
              <w:spacing w:line="240" w:lineRule="auto"/>
              <w:jc w:val="center"/>
              <w:rPr>
                <w:b/>
                <w:bCs/>
                <w:color w:val="FFFFFF"/>
                <w:lang w:eastAsia="en-AU"/>
              </w:rPr>
            </w:pPr>
            <w:r w:rsidRPr="0096374D">
              <w:rPr>
                <w:b/>
                <w:bCs/>
                <w:color w:val="FFFFFF"/>
                <w:lang w:eastAsia="en-AU"/>
              </w:rPr>
              <w:t>#</w:t>
            </w:r>
          </w:p>
        </w:tc>
        <w:tc>
          <w:tcPr>
            <w:tcW w:w="1300" w:type="pct"/>
            <w:tcBorders>
              <w:top w:val="single" w:sz="4" w:space="0" w:color="5B9BD5"/>
              <w:left w:val="nil"/>
              <w:bottom w:val="single" w:sz="4" w:space="0" w:color="5B9BD5"/>
              <w:right w:val="single" w:sz="4" w:space="0" w:color="5B9BD5"/>
            </w:tcBorders>
            <w:shd w:val="clear" w:color="auto" w:fill="002060"/>
            <w:vAlign w:val="bottom"/>
            <w:hideMark/>
          </w:tcPr>
          <w:p w:rsidR="0096374D" w:rsidRPr="0096374D" w:rsidRDefault="0096374D" w:rsidP="0096374D">
            <w:pPr>
              <w:spacing w:line="240" w:lineRule="auto"/>
              <w:rPr>
                <w:b/>
                <w:bCs/>
                <w:color w:val="FFFFFF"/>
                <w:lang w:eastAsia="en-AU"/>
              </w:rPr>
            </w:pPr>
            <w:r w:rsidRPr="0096374D">
              <w:rPr>
                <w:b/>
                <w:bCs/>
                <w:color w:val="FFFFFF"/>
                <w:lang w:eastAsia="en-AU"/>
              </w:rPr>
              <w:t>Product</w:t>
            </w:r>
          </w:p>
        </w:tc>
        <w:tc>
          <w:tcPr>
            <w:tcW w:w="1300" w:type="pct"/>
            <w:tcBorders>
              <w:top w:val="single" w:sz="4" w:space="0" w:color="5B9BD5"/>
              <w:left w:val="nil"/>
              <w:bottom w:val="single" w:sz="4" w:space="0" w:color="5B9BD5"/>
              <w:right w:val="single" w:sz="4" w:space="0" w:color="5B9BD5"/>
            </w:tcBorders>
            <w:shd w:val="clear" w:color="auto" w:fill="002060"/>
            <w:vAlign w:val="bottom"/>
            <w:hideMark/>
          </w:tcPr>
          <w:p w:rsidR="0096374D" w:rsidRPr="0096374D" w:rsidRDefault="0096374D" w:rsidP="0096374D">
            <w:pPr>
              <w:spacing w:line="240" w:lineRule="auto"/>
              <w:jc w:val="center"/>
              <w:rPr>
                <w:b/>
                <w:bCs/>
                <w:color w:val="FFFFFF"/>
                <w:lang w:eastAsia="en-AU"/>
              </w:rPr>
            </w:pPr>
            <w:r w:rsidRPr="0096374D">
              <w:rPr>
                <w:b/>
                <w:bCs/>
                <w:color w:val="FFFFFF"/>
                <w:lang w:eastAsia="en-AU"/>
              </w:rPr>
              <w:t>Jurisdiction records</w:t>
            </w:r>
          </w:p>
        </w:tc>
        <w:tc>
          <w:tcPr>
            <w:tcW w:w="1300" w:type="pct"/>
            <w:tcBorders>
              <w:top w:val="single" w:sz="4" w:space="0" w:color="5B9BD5"/>
              <w:left w:val="nil"/>
              <w:bottom w:val="single" w:sz="4" w:space="0" w:color="5B9BD5"/>
              <w:right w:val="single" w:sz="4" w:space="0" w:color="5B9BD5"/>
            </w:tcBorders>
            <w:shd w:val="clear" w:color="auto" w:fill="002060"/>
            <w:vAlign w:val="bottom"/>
            <w:hideMark/>
          </w:tcPr>
          <w:p w:rsidR="0096374D" w:rsidRPr="0096374D" w:rsidRDefault="0096374D" w:rsidP="0096374D">
            <w:pPr>
              <w:spacing w:line="240" w:lineRule="auto"/>
              <w:jc w:val="center"/>
              <w:rPr>
                <w:b/>
                <w:bCs/>
                <w:color w:val="FFFFFF"/>
                <w:lang w:eastAsia="en-AU"/>
              </w:rPr>
            </w:pPr>
            <w:r w:rsidRPr="0096374D">
              <w:rPr>
                <w:b/>
                <w:bCs/>
                <w:color w:val="FFFFFF"/>
                <w:lang w:eastAsia="en-AU"/>
              </w:rPr>
              <w:t>Received by IHPA</w:t>
            </w:r>
          </w:p>
        </w:tc>
        <w:tc>
          <w:tcPr>
            <w:tcW w:w="815" w:type="pct"/>
            <w:tcBorders>
              <w:top w:val="nil"/>
              <w:left w:val="nil"/>
              <w:bottom w:val="nil"/>
              <w:right w:val="single" w:sz="4" w:space="0" w:color="5B9BD5"/>
            </w:tcBorders>
            <w:shd w:val="clear" w:color="auto" w:fill="002060"/>
            <w:vAlign w:val="bottom"/>
            <w:hideMark/>
          </w:tcPr>
          <w:p w:rsidR="0096374D" w:rsidRPr="0096374D" w:rsidRDefault="0096374D" w:rsidP="0096374D">
            <w:pPr>
              <w:spacing w:line="240" w:lineRule="auto"/>
              <w:jc w:val="center"/>
              <w:rPr>
                <w:b/>
                <w:bCs/>
                <w:color w:val="FFFFFF"/>
                <w:lang w:eastAsia="en-AU"/>
              </w:rPr>
            </w:pPr>
            <w:r w:rsidRPr="0096374D">
              <w:rPr>
                <w:b/>
                <w:bCs/>
                <w:color w:val="FFFFFF"/>
                <w:lang w:eastAsia="en-AU"/>
              </w:rPr>
              <w:t>Variance</w:t>
            </w:r>
          </w:p>
        </w:tc>
      </w:tr>
      <w:tr w:rsidR="009C3210" w:rsidRPr="0096374D" w:rsidTr="00CD1518">
        <w:trPr>
          <w:trHeight w:val="260"/>
        </w:trPr>
        <w:tc>
          <w:tcPr>
            <w:tcW w:w="285"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96374D" w:rsidRDefault="009C3210" w:rsidP="009C3210">
            <w:pPr>
              <w:spacing w:line="240" w:lineRule="auto"/>
              <w:jc w:val="center"/>
              <w:rPr>
                <w:color w:val="000000"/>
                <w:lang w:eastAsia="en-AU"/>
              </w:rPr>
            </w:pPr>
            <w:r w:rsidRPr="0096374D">
              <w:rPr>
                <w:color w:val="000000"/>
                <w:lang w:eastAsia="en-AU"/>
              </w:rPr>
              <w:t>1</w:t>
            </w:r>
          </w:p>
        </w:tc>
        <w:tc>
          <w:tcPr>
            <w:tcW w:w="1300"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96374D" w:rsidRDefault="009C3210" w:rsidP="009C3210">
            <w:pPr>
              <w:spacing w:line="240" w:lineRule="auto"/>
              <w:rPr>
                <w:color w:val="000000"/>
                <w:lang w:eastAsia="en-AU"/>
              </w:rPr>
            </w:pPr>
            <w:r w:rsidRPr="0096374D">
              <w:rPr>
                <w:color w:val="000000"/>
                <w:lang w:eastAsia="en-AU"/>
              </w:rPr>
              <w:t xml:space="preserve"> Admitted ED </w:t>
            </w:r>
          </w:p>
        </w:tc>
        <w:tc>
          <w:tcPr>
            <w:tcW w:w="1300" w:type="pct"/>
            <w:tcBorders>
              <w:top w:val="nil"/>
              <w:left w:val="nil"/>
              <w:bottom w:val="single" w:sz="4" w:space="0" w:color="5B9BD5"/>
              <w:right w:val="single" w:sz="4" w:space="0" w:color="5B9BD5"/>
            </w:tcBorders>
            <w:shd w:val="clear" w:color="000000" w:fill="FFFFFF"/>
            <w:noWrap/>
            <w:vAlign w:val="bottom"/>
            <w:hideMark/>
          </w:tcPr>
          <w:p w:rsidR="009C3210" w:rsidRPr="0096374D" w:rsidRDefault="009C3210" w:rsidP="00CD1518">
            <w:pPr>
              <w:spacing w:line="240" w:lineRule="auto"/>
              <w:jc w:val="right"/>
              <w:rPr>
                <w:color w:val="000000"/>
                <w:lang w:eastAsia="en-AU"/>
              </w:rPr>
            </w:pPr>
            <w:r w:rsidRPr="0096374D">
              <w:rPr>
                <w:color w:val="000000"/>
                <w:lang w:eastAsia="en-AU"/>
              </w:rPr>
              <w:t xml:space="preserve"> $1,926 </w:t>
            </w:r>
          </w:p>
        </w:tc>
        <w:tc>
          <w:tcPr>
            <w:tcW w:w="1300" w:type="pct"/>
            <w:tcBorders>
              <w:top w:val="nil"/>
              <w:left w:val="nil"/>
              <w:bottom w:val="single" w:sz="4" w:space="0" w:color="5B9BD5"/>
              <w:right w:val="single" w:sz="4" w:space="0" w:color="5B9BD5"/>
            </w:tcBorders>
            <w:shd w:val="clear" w:color="000000" w:fill="FFFFFF"/>
            <w:noWrap/>
            <w:vAlign w:val="bottom"/>
            <w:hideMark/>
          </w:tcPr>
          <w:p w:rsidR="009C3210" w:rsidRPr="0096374D" w:rsidRDefault="009C3210" w:rsidP="00CD1518">
            <w:pPr>
              <w:spacing w:line="240" w:lineRule="auto"/>
              <w:jc w:val="right"/>
              <w:rPr>
                <w:color w:val="000000"/>
                <w:lang w:eastAsia="en-AU"/>
              </w:rPr>
            </w:pPr>
            <w:r w:rsidRPr="0096374D">
              <w:rPr>
                <w:color w:val="000000"/>
                <w:lang w:eastAsia="en-AU"/>
              </w:rPr>
              <w:t xml:space="preserve"> $1,926 </w:t>
            </w:r>
          </w:p>
        </w:tc>
        <w:tc>
          <w:tcPr>
            <w:tcW w:w="815" w:type="pct"/>
            <w:tcBorders>
              <w:top w:val="single" w:sz="4" w:space="0" w:color="5B9BD5"/>
              <w:left w:val="nil"/>
              <w:bottom w:val="single" w:sz="4" w:space="0" w:color="5B9BD5"/>
              <w:right w:val="single" w:sz="4" w:space="0" w:color="5B9BD5"/>
            </w:tcBorders>
            <w:shd w:val="clear" w:color="000000" w:fill="FFFFFF"/>
            <w:noWrap/>
            <w:vAlign w:val="bottom"/>
            <w:hideMark/>
          </w:tcPr>
          <w:p w:rsidR="009C3210" w:rsidRPr="0096374D" w:rsidRDefault="009C3210" w:rsidP="00CD1518">
            <w:pPr>
              <w:spacing w:line="240" w:lineRule="auto"/>
              <w:jc w:val="right"/>
              <w:rPr>
                <w:color w:val="000000"/>
                <w:lang w:eastAsia="en-AU"/>
              </w:rPr>
            </w:pPr>
            <w:r w:rsidRPr="0096374D">
              <w:rPr>
                <w:color w:val="000000"/>
                <w:lang w:eastAsia="en-AU"/>
              </w:rPr>
              <w:t xml:space="preserve"> $-   </w:t>
            </w:r>
          </w:p>
        </w:tc>
      </w:tr>
      <w:tr w:rsidR="009C3210" w:rsidRPr="0096374D" w:rsidTr="00CD1518">
        <w:trPr>
          <w:trHeight w:val="260"/>
        </w:trPr>
        <w:tc>
          <w:tcPr>
            <w:tcW w:w="285"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96374D" w:rsidRDefault="009C3210" w:rsidP="009C3210">
            <w:pPr>
              <w:spacing w:line="240" w:lineRule="auto"/>
              <w:jc w:val="center"/>
              <w:rPr>
                <w:color w:val="000000"/>
                <w:lang w:eastAsia="en-AU"/>
              </w:rPr>
            </w:pPr>
            <w:r w:rsidRPr="0096374D">
              <w:rPr>
                <w:color w:val="000000"/>
                <w:lang w:eastAsia="en-AU"/>
              </w:rPr>
              <w:t>2</w:t>
            </w:r>
          </w:p>
        </w:tc>
        <w:tc>
          <w:tcPr>
            <w:tcW w:w="1300"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96374D" w:rsidRDefault="009C3210" w:rsidP="009C3210">
            <w:pPr>
              <w:spacing w:line="240" w:lineRule="auto"/>
              <w:rPr>
                <w:color w:val="000000"/>
                <w:lang w:eastAsia="en-AU"/>
              </w:rPr>
            </w:pPr>
            <w:r w:rsidRPr="0096374D">
              <w:rPr>
                <w:color w:val="000000"/>
                <w:lang w:eastAsia="en-AU"/>
              </w:rPr>
              <w:t xml:space="preserve"> Non-Admitted ED </w:t>
            </w:r>
          </w:p>
        </w:tc>
        <w:tc>
          <w:tcPr>
            <w:tcW w:w="1300" w:type="pct"/>
            <w:tcBorders>
              <w:top w:val="nil"/>
              <w:left w:val="nil"/>
              <w:bottom w:val="single" w:sz="4" w:space="0" w:color="5B9BD5"/>
              <w:right w:val="single" w:sz="4" w:space="0" w:color="5B9BD5"/>
            </w:tcBorders>
            <w:shd w:val="clear" w:color="000000" w:fill="DDEBF7"/>
            <w:noWrap/>
            <w:vAlign w:val="bottom"/>
            <w:hideMark/>
          </w:tcPr>
          <w:p w:rsidR="009C3210" w:rsidRPr="0096374D" w:rsidRDefault="009C3210" w:rsidP="00CD1518">
            <w:pPr>
              <w:spacing w:line="240" w:lineRule="auto"/>
              <w:jc w:val="right"/>
              <w:rPr>
                <w:color w:val="000000"/>
                <w:lang w:eastAsia="en-AU"/>
              </w:rPr>
            </w:pPr>
            <w:r w:rsidRPr="0096374D">
              <w:rPr>
                <w:color w:val="000000"/>
                <w:lang w:eastAsia="en-AU"/>
              </w:rPr>
              <w:t xml:space="preserve"> $530 </w:t>
            </w:r>
          </w:p>
        </w:tc>
        <w:tc>
          <w:tcPr>
            <w:tcW w:w="1300" w:type="pct"/>
            <w:tcBorders>
              <w:top w:val="nil"/>
              <w:left w:val="nil"/>
              <w:bottom w:val="single" w:sz="4" w:space="0" w:color="5B9BD5"/>
              <w:right w:val="single" w:sz="4" w:space="0" w:color="5B9BD5"/>
            </w:tcBorders>
            <w:shd w:val="clear" w:color="000000" w:fill="DDEBF7"/>
            <w:noWrap/>
            <w:vAlign w:val="bottom"/>
            <w:hideMark/>
          </w:tcPr>
          <w:p w:rsidR="009C3210" w:rsidRPr="0096374D" w:rsidRDefault="009C3210" w:rsidP="00CD1518">
            <w:pPr>
              <w:spacing w:line="240" w:lineRule="auto"/>
              <w:jc w:val="right"/>
              <w:rPr>
                <w:color w:val="000000"/>
                <w:lang w:eastAsia="en-AU"/>
              </w:rPr>
            </w:pPr>
            <w:r w:rsidRPr="0096374D">
              <w:rPr>
                <w:color w:val="000000"/>
                <w:lang w:eastAsia="en-AU"/>
              </w:rPr>
              <w:t xml:space="preserve"> $530 </w:t>
            </w:r>
          </w:p>
        </w:tc>
        <w:tc>
          <w:tcPr>
            <w:tcW w:w="815" w:type="pct"/>
            <w:tcBorders>
              <w:top w:val="nil"/>
              <w:left w:val="nil"/>
              <w:bottom w:val="single" w:sz="4" w:space="0" w:color="5B9BD5"/>
              <w:right w:val="single" w:sz="4" w:space="0" w:color="5B9BD5"/>
            </w:tcBorders>
            <w:shd w:val="clear" w:color="000000" w:fill="DDEBF7"/>
            <w:noWrap/>
            <w:vAlign w:val="bottom"/>
            <w:hideMark/>
          </w:tcPr>
          <w:p w:rsidR="009C3210" w:rsidRPr="0096374D" w:rsidRDefault="009C3210" w:rsidP="00CD1518">
            <w:pPr>
              <w:spacing w:line="240" w:lineRule="auto"/>
              <w:jc w:val="right"/>
              <w:rPr>
                <w:color w:val="000000"/>
                <w:lang w:eastAsia="en-AU"/>
              </w:rPr>
            </w:pPr>
            <w:r w:rsidRPr="0096374D">
              <w:rPr>
                <w:color w:val="000000"/>
                <w:lang w:eastAsia="en-AU"/>
              </w:rPr>
              <w:t xml:space="preserve"> $-   </w:t>
            </w:r>
          </w:p>
        </w:tc>
      </w:tr>
      <w:tr w:rsidR="0096374D" w:rsidRPr="0096374D" w:rsidTr="00CD1518">
        <w:trPr>
          <w:trHeight w:val="260"/>
        </w:trPr>
        <w:tc>
          <w:tcPr>
            <w:tcW w:w="285" w:type="pct"/>
            <w:tcBorders>
              <w:top w:val="nil"/>
              <w:left w:val="single" w:sz="4" w:space="0" w:color="5B9BD5"/>
              <w:bottom w:val="single" w:sz="4" w:space="0" w:color="5B9BD5"/>
              <w:right w:val="single" w:sz="4" w:space="0" w:color="5B9BD5"/>
            </w:tcBorders>
            <w:shd w:val="clear" w:color="000000" w:fill="FFFFFF"/>
            <w:noWrap/>
            <w:vAlign w:val="bottom"/>
            <w:hideMark/>
          </w:tcPr>
          <w:p w:rsidR="0096374D" w:rsidRPr="0096374D" w:rsidRDefault="0096374D" w:rsidP="0096374D">
            <w:pPr>
              <w:spacing w:line="240" w:lineRule="auto"/>
              <w:jc w:val="center"/>
              <w:rPr>
                <w:color w:val="000000"/>
                <w:lang w:eastAsia="en-AU"/>
              </w:rPr>
            </w:pPr>
            <w:r w:rsidRPr="0096374D">
              <w:rPr>
                <w:color w:val="000000"/>
                <w:lang w:eastAsia="en-AU"/>
              </w:rPr>
              <w:t>3</w:t>
            </w:r>
          </w:p>
        </w:tc>
        <w:tc>
          <w:tcPr>
            <w:tcW w:w="1300" w:type="pct"/>
            <w:tcBorders>
              <w:top w:val="nil"/>
              <w:left w:val="single" w:sz="4" w:space="0" w:color="5B9BD5"/>
              <w:bottom w:val="single" w:sz="4" w:space="0" w:color="5B9BD5"/>
              <w:right w:val="single" w:sz="4" w:space="0" w:color="5B9BD5"/>
            </w:tcBorders>
            <w:shd w:val="clear" w:color="000000" w:fill="FFFFFF"/>
            <w:noWrap/>
            <w:vAlign w:val="bottom"/>
            <w:hideMark/>
          </w:tcPr>
          <w:p w:rsidR="0096374D" w:rsidRPr="0096374D" w:rsidRDefault="0096374D" w:rsidP="0096374D">
            <w:pPr>
              <w:spacing w:line="240" w:lineRule="auto"/>
              <w:rPr>
                <w:color w:val="000000"/>
                <w:lang w:eastAsia="en-AU"/>
              </w:rPr>
            </w:pPr>
            <w:r w:rsidRPr="0096374D">
              <w:rPr>
                <w:color w:val="000000"/>
                <w:lang w:eastAsia="en-AU"/>
              </w:rPr>
              <w:t xml:space="preserve"> Acute </w:t>
            </w:r>
          </w:p>
        </w:tc>
        <w:tc>
          <w:tcPr>
            <w:tcW w:w="1300" w:type="pct"/>
            <w:tcBorders>
              <w:top w:val="nil"/>
              <w:left w:val="nil"/>
              <w:bottom w:val="single" w:sz="4" w:space="0" w:color="5B9BD5"/>
              <w:right w:val="single" w:sz="4" w:space="0" w:color="5B9BD5"/>
            </w:tcBorders>
            <w:shd w:val="clear" w:color="000000" w:fill="FFFFFF"/>
            <w:noWrap/>
            <w:vAlign w:val="bottom"/>
            <w:hideMark/>
          </w:tcPr>
          <w:p w:rsidR="0096374D" w:rsidRPr="0096374D" w:rsidRDefault="0096374D" w:rsidP="00CD1518">
            <w:pPr>
              <w:spacing w:line="240" w:lineRule="auto"/>
              <w:jc w:val="right"/>
              <w:rPr>
                <w:color w:val="000000"/>
                <w:lang w:eastAsia="en-AU"/>
              </w:rPr>
            </w:pPr>
            <w:r w:rsidRPr="0096374D">
              <w:rPr>
                <w:color w:val="000000"/>
                <w:lang w:eastAsia="en-AU"/>
              </w:rPr>
              <w:t xml:space="preserve"> $291,300 </w:t>
            </w:r>
          </w:p>
        </w:tc>
        <w:tc>
          <w:tcPr>
            <w:tcW w:w="1300" w:type="pct"/>
            <w:tcBorders>
              <w:top w:val="nil"/>
              <w:left w:val="nil"/>
              <w:bottom w:val="single" w:sz="4" w:space="0" w:color="5B9BD5"/>
              <w:right w:val="single" w:sz="4" w:space="0" w:color="5B9BD5"/>
            </w:tcBorders>
            <w:shd w:val="clear" w:color="000000" w:fill="FFFFFF"/>
            <w:noWrap/>
            <w:vAlign w:val="bottom"/>
            <w:hideMark/>
          </w:tcPr>
          <w:p w:rsidR="0096374D" w:rsidRPr="0096374D" w:rsidRDefault="0096374D" w:rsidP="00CD1518">
            <w:pPr>
              <w:spacing w:line="240" w:lineRule="auto"/>
              <w:jc w:val="right"/>
              <w:rPr>
                <w:color w:val="000000"/>
                <w:lang w:eastAsia="en-AU"/>
              </w:rPr>
            </w:pPr>
            <w:r w:rsidRPr="0096374D">
              <w:rPr>
                <w:color w:val="000000"/>
                <w:lang w:eastAsia="en-AU"/>
              </w:rPr>
              <w:t xml:space="preserve"> $291,298 </w:t>
            </w:r>
          </w:p>
        </w:tc>
        <w:tc>
          <w:tcPr>
            <w:tcW w:w="815" w:type="pct"/>
            <w:tcBorders>
              <w:top w:val="nil"/>
              <w:left w:val="nil"/>
              <w:bottom w:val="single" w:sz="4" w:space="0" w:color="5B9BD5"/>
              <w:right w:val="single" w:sz="4" w:space="0" w:color="5B9BD5"/>
            </w:tcBorders>
            <w:shd w:val="clear" w:color="000000" w:fill="FFFFFF"/>
            <w:noWrap/>
            <w:vAlign w:val="bottom"/>
            <w:hideMark/>
          </w:tcPr>
          <w:p w:rsidR="0096374D" w:rsidRPr="0096374D" w:rsidRDefault="009C3210" w:rsidP="00CD1518">
            <w:pPr>
              <w:spacing w:line="240" w:lineRule="auto"/>
              <w:jc w:val="right"/>
              <w:rPr>
                <w:color w:val="000000"/>
                <w:lang w:eastAsia="en-AU"/>
              </w:rPr>
            </w:pPr>
            <w:r>
              <w:rPr>
                <w:color w:val="000000"/>
                <w:lang w:eastAsia="en-AU"/>
              </w:rPr>
              <w:t xml:space="preserve"> $</w:t>
            </w:r>
            <w:r w:rsidR="0096374D" w:rsidRPr="0096374D">
              <w:rPr>
                <w:color w:val="000000"/>
                <w:lang w:eastAsia="en-AU"/>
              </w:rPr>
              <w:t>(1.33)</w:t>
            </w:r>
          </w:p>
        </w:tc>
      </w:tr>
      <w:tr w:rsidR="0096374D" w:rsidRPr="0096374D" w:rsidTr="00CD1518">
        <w:trPr>
          <w:trHeight w:val="260"/>
        </w:trPr>
        <w:tc>
          <w:tcPr>
            <w:tcW w:w="285" w:type="pct"/>
            <w:tcBorders>
              <w:top w:val="nil"/>
              <w:left w:val="single" w:sz="4" w:space="0" w:color="5B9BD5"/>
              <w:bottom w:val="single" w:sz="4" w:space="0" w:color="5B9BD5"/>
              <w:right w:val="single" w:sz="4" w:space="0" w:color="5B9BD5"/>
            </w:tcBorders>
            <w:shd w:val="clear" w:color="000000" w:fill="DDEBF7"/>
            <w:noWrap/>
            <w:vAlign w:val="bottom"/>
            <w:hideMark/>
          </w:tcPr>
          <w:p w:rsidR="0096374D" w:rsidRPr="0096374D" w:rsidRDefault="0096374D" w:rsidP="0096374D">
            <w:pPr>
              <w:spacing w:line="240" w:lineRule="auto"/>
              <w:jc w:val="center"/>
              <w:rPr>
                <w:color w:val="000000"/>
                <w:lang w:eastAsia="en-AU"/>
              </w:rPr>
            </w:pPr>
            <w:r w:rsidRPr="0096374D">
              <w:rPr>
                <w:color w:val="000000"/>
                <w:lang w:eastAsia="en-AU"/>
              </w:rPr>
              <w:t>4</w:t>
            </w:r>
          </w:p>
        </w:tc>
        <w:tc>
          <w:tcPr>
            <w:tcW w:w="1300" w:type="pct"/>
            <w:tcBorders>
              <w:top w:val="nil"/>
              <w:left w:val="single" w:sz="4" w:space="0" w:color="5B9BD5"/>
              <w:bottom w:val="single" w:sz="4" w:space="0" w:color="5B9BD5"/>
              <w:right w:val="single" w:sz="4" w:space="0" w:color="5B9BD5"/>
            </w:tcBorders>
            <w:shd w:val="clear" w:color="000000" w:fill="DDEBF7"/>
            <w:noWrap/>
            <w:vAlign w:val="bottom"/>
            <w:hideMark/>
          </w:tcPr>
          <w:p w:rsidR="0096374D" w:rsidRPr="0096374D" w:rsidRDefault="0096374D" w:rsidP="0096374D">
            <w:pPr>
              <w:spacing w:line="240" w:lineRule="auto"/>
              <w:rPr>
                <w:color w:val="000000"/>
                <w:lang w:eastAsia="en-AU"/>
              </w:rPr>
            </w:pPr>
            <w:r w:rsidRPr="0096374D">
              <w:rPr>
                <w:color w:val="000000"/>
                <w:lang w:eastAsia="en-AU"/>
              </w:rPr>
              <w:t xml:space="preserve"> Acute </w:t>
            </w:r>
          </w:p>
        </w:tc>
        <w:tc>
          <w:tcPr>
            <w:tcW w:w="1300" w:type="pct"/>
            <w:tcBorders>
              <w:top w:val="nil"/>
              <w:left w:val="nil"/>
              <w:bottom w:val="single" w:sz="4" w:space="0" w:color="5B9BD5"/>
              <w:right w:val="single" w:sz="4" w:space="0" w:color="5B9BD5"/>
            </w:tcBorders>
            <w:shd w:val="clear" w:color="000000" w:fill="DDEBF7"/>
            <w:noWrap/>
            <w:vAlign w:val="bottom"/>
            <w:hideMark/>
          </w:tcPr>
          <w:p w:rsidR="0096374D" w:rsidRPr="0096374D" w:rsidRDefault="00CA7B4E" w:rsidP="00CD1518">
            <w:pPr>
              <w:spacing w:line="240" w:lineRule="auto"/>
              <w:jc w:val="right"/>
              <w:rPr>
                <w:color w:val="000000"/>
                <w:lang w:eastAsia="en-AU"/>
              </w:rPr>
            </w:pPr>
            <w:r>
              <w:rPr>
                <w:color w:val="000000"/>
                <w:lang w:eastAsia="en-AU"/>
              </w:rPr>
              <w:t xml:space="preserve"> $</w:t>
            </w:r>
            <w:r w:rsidR="0096374D" w:rsidRPr="0096374D">
              <w:rPr>
                <w:color w:val="000000"/>
                <w:lang w:eastAsia="en-AU"/>
              </w:rPr>
              <w:t xml:space="preserve">405 </w:t>
            </w:r>
          </w:p>
        </w:tc>
        <w:tc>
          <w:tcPr>
            <w:tcW w:w="1300" w:type="pct"/>
            <w:tcBorders>
              <w:top w:val="nil"/>
              <w:left w:val="nil"/>
              <w:bottom w:val="single" w:sz="4" w:space="0" w:color="5B9BD5"/>
              <w:right w:val="single" w:sz="4" w:space="0" w:color="5B9BD5"/>
            </w:tcBorders>
            <w:shd w:val="clear" w:color="000000" w:fill="DDEBF7"/>
            <w:noWrap/>
            <w:vAlign w:val="bottom"/>
            <w:hideMark/>
          </w:tcPr>
          <w:p w:rsidR="0096374D" w:rsidRPr="0096374D" w:rsidRDefault="0096374D" w:rsidP="00CD1518">
            <w:pPr>
              <w:spacing w:line="240" w:lineRule="auto"/>
              <w:jc w:val="right"/>
              <w:rPr>
                <w:color w:val="000000"/>
                <w:lang w:eastAsia="en-AU"/>
              </w:rPr>
            </w:pPr>
            <w:r w:rsidRPr="0096374D">
              <w:rPr>
                <w:color w:val="000000"/>
                <w:lang w:eastAsia="en-AU"/>
              </w:rPr>
              <w:t xml:space="preserve"> $405 </w:t>
            </w:r>
          </w:p>
        </w:tc>
        <w:tc>
          <w:tcPr>
            <w:tcW w:w="815" w:type="pct"/>
            <w:tcBorders>
              <w:top w:val="nil"/>
              <w:left w:val="nil"/>
              <w:bottom w:val="single" w:sz="4" w:space="0" w:color="5B9BD5"/>
              <w:right w:val="single" w:sz="4" w:space="0" w:color="5B9BD5"/>
            </w:tcBorders>
            <w:shd w:val="clear" w:color="000000" w:fill="DDEBF7"/>
            <w:noWrap/>
            <w:vAlign w:val="bottom"/>
            <w:hideMark/>
          </w:tcPr>
          <w:p w:rsidR="0096374D" w:rsidRPr="0096374D" w:rsidRDefault="009C3210" w:rsidP="00CD1518">
            <w:pPr>
              <w:spacing w:line="240" w:lineRule="auto"/>
              <w:jc w:val="right"/>
              <w:rPr>
                <w:color w:val="000000"/>
                <w:lang w:eastAsia="en-AU"/>
              </w:rPr>
            </w:pPr>
            <w:r>
              <w:rPr>
                <w:color w:val="000000"/>
                <w:lang w:eastAsia="en-AU"/>
              </w:rPr>
              <w:t xml:space="preserve"> $</w:t>
            </w:r>
            <w:r w:rsidR="0096374D" w:rsidRPr="0096374D">
              <w:rPr>
                <w:color w:val="000000"/>
                <w:lang w:eastAsia="en-AU"/>
              </w:rPr>
              <w:t xml:space="preserve">-   </w:t>
            </w:r>
          </w:p>
        </w:tc>
      </w:tr>
      <w:tr w:rsidR="009C3210" w:rsidRPr="0096374D" w:rsidTr="00CD1518">
        <w:trPr>
          <w:trHeight w:val="260"/>
        </w:trPr>
        <w:tc>
          <w:tcPr>
            <w:tcW w:w="285"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96374D" w:rsidRDefault="009C3210" w:rsidP="009C3210">
            <w:pPr>
              <w:spacing w:line="240" w:lineRule="auto"/>
              <w:jc w:val="center"/>
              <w:rPr>
                <w:color w:val="000000"/>
                <w:lang w:eastAsia="en-AU"/>
              </w:rPr>
            </w:pPr>
            <w:r w:rsidRPr="0096374D">
              <w:rPr>
                <w:color w:val="000000"/>
                <w:lang w:eastAsia="en-AU"/>
              </w:rPr>
              <w:t>5</w:t>
            </w:r>
          </w:p>
        </w:tc>
        <w:tc>
          <w:tcPr>
            <w:tcW w:w="1300"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96374D" w:rsidRDefault="009C3210" w:rsidP="009C3210">
            <w:pPr>
              <w:spacing w:line="240" w:lineRule="auto"/>
              <w:rPr>
                <w:color w:val="000000"/>
                <w:lang w:eastAsia="en-AU"/>
              </w:rPr>
            </w:pPr>
            <w:r w:rsidRPr="0096374D">
              <w:rPr>
                <w:color w:val="000000"/>
                <w:lang w:eastAsia="en-AU"/>
              </w:rPr>
              <w:t xml:space="preserve"> Acute </w:t>
            </w:r>
          </w:p>
        </w:tc>
        <w:tc>
          <w:tcPr>
            <w:tcW w:w="1300" w:type="pct"/>
            <w:tcBorders>
              <w:top w:val="nil"/>
              <w:left w:val="nil"/>
              <w:bottom w:val="single" w:sz="4" w:space="0" w:color="5B9BD5"/>
              <w:right w:val="single" w:sz="4" w:space="0" w:color="5B9BD5"/>
            </w:tcBorders>
            <w:shd w:val="clear" w:color="000000" w:fill="FFFFFF"/>
            <w:noWrap/>
            <w:vAlign w:val="bottom"/>
            <w:hideMark/>
          </w:tcPr>
          <w:p w:rsidR="009C3210" w:rsidRPr="0096374D" w:rsidRDefault="009C3210" w:rsidP="00CD1518">
            <w:pPr>
              <w:spacing w:line="240" w:lineRule="auto"/>
              <w:jc w:val="right"/>
              <w:rPr>
                <w:color w:val="000000"/>
                <w:lang w:eastAsia="en-AU"/>
              </w:rPr>
            </w:pPr>
            <w:r w:rsidRPr="0096374D">
              <w:rPr>
                <w:color w:val="000000"/>
                <w:lang w:eastAsia="en-AU"/>
              </w:rPr>
              <w:t xml:space="preserve"> $25,723 </w:t>
            </w:r>
          </w:p>
        </w:tc>
        <w:tc>
          <w:tcPr>
            <w:tcW w:w="1300" w:type="pct"/>
            <w:tcBorders>
              <w:top w:val="nil"/>
              <w:left w:val="nil"/>
              <w:bottom w:val="single" w:sz="4" w:space="0" w:color="5B9BD5"/>
              <w:right w:val="single" w:sz="4" w:space="0" w:color="5B9BD5"/>
            </w:tcBorders>
            <w:shd w:val="clear" w:color="000000" w:fill="FFFFFF"/>
            <w:noWrap/>
            <w:vAlign w:val="bottom"/>
            <w:hideMark/>
          </w:tcPr>
          <w:p w:rsidR="009C3210" w:rsidRPr="0096374D" w:rsidRDefault="009C3210" w:rsidP="00CD1518">
            <w:pPr>
              <w:spacing w:line="240" w:lineRule="auto"/>
              <w:jc w:val="right"/>
              <w:rPr>
                <w:color w:val="000000"/>
                <w:lang w:eastAsia="en-AU"/>
              </w:rPr>
            </w:pPr>
            <w:r w:rsidRPr="0096374D">
              <w:rPr>
                <w:color w:val="000000"/>
                <w:lang w:eastAsia="en-AU"/>
              </w:rPr>
              <w:t xml:space="preserve"> $25,723 </w:t>
            </w:r>
          </w:p>
        </w:tc>
        <w:tc>
          <w:tcPr>
            <w:tcW w:w="815" w:type="pct"/>
            <w:tcBorders>
              <w:top w:val="nil"/>
              <w:left w:val="nil"/>
              <w:bottom w:val="single" w:sz="4" w:space="0" w:color="5B9BD5"/>
              <w:right w:val="single" w:sz="4" w:space="0" w:color="5B9BD5"/>
            </w:tcBorders>
            <w:shd w:val="clear" w:color="000000" w:fill="FFFFFF"/>
            <w:noWrap/>
            <w:vAlign w:val="bottom"/>
            <w:hideMark/>
          </w:tcPr>
          <w:p w:rsidR="009C3210" w:rsidRPr="0096374D" w:rsidRDefault="009C3210" w:rsidP="00CD1518">
            <w:pPr>
              <w:spacing w:line="240" w:lineRule="auto"/>
              <w:jc w:val="right"/>
              <w:rPr>
                <w:color w:val="000000"/>
                <w:lang w:eastAsia="en-AU"/>
              </w:rPr>
            </w:pPr>
            <w:r w:rsidRPr="0096374D">
              <w:rPr>
                <w:color w:val="000000"/>
                <w:lang w:eastAsia="en-AU"/>
              </w:rPr>
              <w:t xml:space="preserve"> $(0.51)</w:t>
            </w:r>
          </w:p>
        </w:tc>
      </w:tr>
    </w:tbl>
    <w:p w:rsidR="002E59FA" w:rsidRPr="00975E6B" w:rsidRDefault="002E59FA" w:rsidP="002E59FA">
      <w:pPr>
        <w:pStyle w:val="FootnoteText"/>
        <w:rPr>
          <w:bCs/>
          <w:i/>
          <w:sz w:val="16"/>
          <w:szCs w:val="16"/>
        </w:rPr>
      </w:pPr>
      <w:r w:rsidRPr="00975E6B">
        <w:rPr>
          <w:bCs/>
          <w:i/>
          <w:sz w:val="16"/>
          <w:szCs w:val="16"/>
        </w:rPr>
        <w:t xml:space="preserve">Source: KPMG, based on </w:t>
      </w:r>
      <w:r w:rsidR="003F167A" w:rsidRPr="00975E6B">
        <w:rPr>
          <w:bCs/>
          <w:i/>
          <w:sz w:val="16"/>
          <w:szCs w:val="16"/>
        </w:rPr>
        <w:t xml:space="preserve">Lyell </w:t>
      </w:r>
      <w:proofErr w:type="spellStart"/>
      <w:r w:rsidR="003F167A" w:rsidRPr="00975E6B">
        <w:rPr>
          <w:bCs/>
          <w:i/>
          <w:sz w:val="16"/>
          <w:szCs w:val="16"/>
        </w:rPr>
        <w:t>McEwin</w:t>
      </w:r>
      <w:proofErr w:type="spellEnd"/>
      <w:r w:rsidRPr="00975E6B">
        <w:rPr>
          <w:bCs/>
          <w:i/>
          <w:sz w:val="16"/>
          <w:szCs w:val="16"/>
        </w:rPr>
        <w:t xml:space="preserve"> and IHPA data</w:t>
      </w:r>
    </w:p>
    <w:p w:rsidR="002E59FA" w:rsidRPr="00975E6B" w:rsidRDefault="002E59FA" w:rsidP="002E59FA">
      <w:pPr>
        <w:pStyle w:val="BodyText"/>
        <w:rPr>
          <w:i/>
          <w:color w:val="1F497D" w:themeColor="text2"/>
          <w:sz w:val="22"/>
          <w:szCs w:val="20"/>
        </w:rPr>
      </w:pPr>
    </w:p>
    <w:p w:rsidR="002E59FA" w:rsidRPr="00975E6B" w:rsidRDefault="002E59FA" w:rsidP="002E59FA">
      <w:pPr>
        <w:spacing w:line="240" w:lineRule="auto"/>
        <w:rPr>
          <w:i/>
          <w:szCs w:val="22"/>
        </w:rPr>
      </w:pPr>
      <w:r w:rsidRPr="00975E6B">
        <w:rPr>
          <w:i/>
        </w:rPr>
        <w:br w:type="page"/>
      </w:r>
    </w:p>
    <w:p w:rsidR="002E59FA" w:rsidRPr="00975E6B" w:rsidRDefault="002E59FA" w:rsidP="003B387A">
      <w:pPr>
        <w:pStyle w:val="Heading2"/>
        <w:numPr>
          <w:ilvl w:val="1"/>
          <w:numId w:val="77"/>
        </w:numPr>
      </w:pPr>
      <w:bookmarkStart w:id="768" w:name="_Toc444523671"/>
      <w:r w:rsidRPr="00DB29E8">
        <w:lastRenderedPageBreak/>
        <w:t>Modbury</w:t>
      </w:r>
      <w:r w:rsidRPr="00975E6B">
        <w:t xml:space="preserve"> Hospital</w:t>
      </w:r>
      <w:bookmarkEnd w:id="768"/>
    </w:p>
    <w:p w:rsidR="002E59FA" w:rsidRPr="00975E6B" w:rsidRDefault="002E59FA" w:rsidP="003B387A">
      <w:pPr>
        <w:pStyle w:val="Heading3"/>
        <w:numPr>
          <w:ilvl w:val="2"/>
          <w:numId w:val="77"/>
        </w:numPr>
      </w:pPr>
      <w:r w:rsidRPr="00DB29E8">
        <w:t>Overview</w:t>
      </w:r>
    </w:p>
    <w:p w:rsidR="002E59FA" w:rsidRPr="00975E6B" w:rsidRDefault="005E2379" w:rsidP="002E59FA">
      <w:pPr>
        <w:pStyle w:val="BodyText"/>
      </w:pPr>
      <w:r w:rsidRPr="00975E6B">
        <w:t>Modbury Hospital</w:t>
      </w:r>
      <w:r w:rsidR="002E59FA" w:rsidRPr="00975E6B">
        <w:t xml:space="preserve"> is part of</w:t>
      </w:r>
      <w:r w:rsidR="00673681" w:rsidRPr="00975E6B">
        <w:t xml:space="preserve"> the</w:t>
      </w:r>
      <w:r w:rsidR="002E59FA" w:rsidRPr="00975E6B">
        <w:t xml:space="preserve"> </w:t>
      </w:r>
      <w:r w:rsidR="000F57A5" w:rsidRPr="00975E6B">
        <w:t>Northern Adelaide LHN</w:t>
      </w:r>
      <w:r w:rsidR="002E59FA" w:rsidRPr="00975E6B">
        <w:t xml:space="preserve"> and is located in Modbury in </w:t>
      </w:r>
      <w:r w:rsidR="00673681" w:rsidRPr="00975E6B">
        <w:t xml:space="preserve">northern </w:t>
      </w:r>
      <w:r w:rsidR="002E59FA" w:rsidRPr="00975E6B">
        <w:t xml:space="preserve">Adelaide. Through its close ties with </w:t>
      </w:r>
      <w:r w:rsidR="003F167A" w:rsidRPr="00975E6B">
        <w:t xml:space="preserve">Lyell </w:t>
      </w:r>
      <w:proofErr w:type="spellStart"/>
      <w:r w:rsidR="003F167A" w:rsidRPr="00975E6B">
        <w:t>McEwin</w:t>
      </w:r>
      <w:proofErr w:type="spellEnd"/>
      <w:r w:rsidR="002E59FA" w:rsidRPr="00975E6B">
        <w:t xml:space="preserve">, </w:t>
      </w:r>
      <w:r w:rsidRPr="00975E6B">
        <w:t>Modbury Hospital</w:t>
      </w:r>
      <w:r w:rsidR="002E59FA" w:rsidRPr="00975E6B">
        <w:t xml:space="preserve"> is focused on general medicine and general surgery, with a specific emphasis on rehabilitation, aged care and palliative care services for all northern residents. It is a 164 bed, acute care teaching hospital, with Woodleigh House (which is a 20</w:t>
      </w:r>
      <w:r w:rsidRPr="00975E6B">
        <w:t xml:space="preserve"> </w:t>
      </w:r>
      <w:r w:rsidR="002E59FA" w:rsidRPr="00975E6B">
        <w:t xml:space="preserve">bed, acute-care mental health facility for adults) also located at </w:t>
      </w:r>
      <w:r w:rsidRPr="00975E6B">
        <w:t>Modbury Hospital</w:t>
      </w:r>
      <w:r w:rsidR="002E59FA" w:rsidRPr="00975E6B">
        <w:t>.</w:t>
      </w:r>
    </w:p>
    <w:p w:rsidR="002E59FA" w:rsidRPr="00975E6B" w:rsidRDefault="002E59FA" w:rsidP="002E59FA">
      <w:pPr>
        <w:pStyle w:val="BodyText"/>
      </w:pPr>
      <w:r w:rsidRPr="00975E6B">
        <w:t xml:space="preserve">The </w:t>
      </w:r>
      <w:r w:rsidR="005E2379" w:rsidRPr="00975E6B">
        <w:t>Modbury Hospital</w:t>
      </w:r>
      <w:r w:rsidRPr="00975E6B">
        <w:t xml:space="preserve"> Emergency Department underwent a $17.4 million redevelopment, completed in 2014. Twenty-four hour emergency services remain on-site at Modbury Hospital including paediatric emergency services. Surgical services in the north are managed across </w:t>
      </w:r>
      <w:r w:rsidR="005E2379" w:rsidRPr="00975E6B">
        <w:t>Modbury Hospital</w:t>
      </w:r>
      <w:r w:rsidRPr="00975E6B">
        <w:t xml:space="preserve"> and </w:t>
      </w:r>
      <w:r w:rsidR="003F167A" w:rsidRPr="00975E6B">
        <w:t xml:space="preserve">Lyell </w:t>
      </w:r>
      <w:proofErr w:type="spellStart"/>
      <w:r w:rsidR="003F167A" w:rsidRPr="00975E6B">
        <w:t>McEwin</w:t>
      </w:r>
      <w:proofErr w:type="spellEnd"/>
      <w:r w:rsidRPr="00975E6B">
        <w:t xml:space="preserve"> with complex cases focused to </w:t>
      </w:r>
      <w:r w:rsidR="003F167A" w:rsidRPr="00975E6B">
        <w:t xml:space="preserve">Lyell </w:t>
      </w:r>
      <w:proofErr w:type="spellStart"/>
      <w:r w:rsidR="003F167A" w:rsidRPr="00975E6B">
        <w:t>McEwin</w:t>
      </w:r>
      <w:proofErr w:type="spellEnd"/>
      <w:r w:rsidRPr="00975E6B">
        <w:t xml:space="preserve">. Day surgery and procedures are managed across </w:t>
      </w:r>
      <w:r w:rsidR="005E2379" w:rsidRPr="00975E6B">
        <w:t>Modbury Hospital</w:t>
      </w:r>
      <w:r w:rsidRPr="00975E6B">
        <w:t xml:space="preserve"> and </w:t>
      </w:r>
      <w:r w:rsidR="003F167A" w:rsidRPr="00975E6B">
        <w:t xml:space="preserve">Lyell </w:t>
      </w:r>
      <w:proofErr w:type="spellStart"/>
      <w:r w:rsidR="003F167A" w:rsidRPr="00975E6B">
        <w:t>McEwin</w:t>
      </w:r>
      <w:proofErr w:type="spellEnd"/>
      <w:r w:rsidRPr="00975E6B">
        <w:t xml:space="preserve"> with </w:t>
      </w:r>
      <w:r w:rsidR="00AE5BD0" w:rsidRPr="00975E6B">
        <w:t>increasing procedures directed</w:t>
      </w:r>
      <w:r w:rsidRPr="00975E6B">
        <w:t xml:space="preserve"> towards Modbury. </w:t>
      </w:r>
      <w:r w:rsidR="005E2379" w:rsidRPr="00975E6B">
        <w:t>Modbury Hospital</w:t>
      </w:r>
      <w:r w:rsidRPr="00975E6B">
        <w:t xml:space="preserve"> is affiliated with the University of Adelaide and enjoys a close relationship with general practitioners in its catchment area.</w:t>
      </w:r>
      <w:r w:rsidRPr="00975E6B">
        <w:rPr>
          <w:rStyle w:val="FootnoteReference"/>
        </w:rPr>
        <w:footnoteReference w:id="9"/>
      </w:r>
    </w:p>
    <w:p w:rsidR="002E59FA" w:rsidRPr="00975E6B" w:rsidRDefault="002E59FA" w:rsidP="003B387A">
      <w:pPr>
        <w:pStyle w:val="Heading3"/>
        <w:numPr>
          <w:ilvl w:val="2"/>
          <w:numId w:val="77"/>
        </w:numPr>
      </w:pPr>
      <w:r w:rsidRPr="00DB29E8">
        <w:t>Financial</w:t>
      </w:r>
      <w:r w:rsidRPr="00975E6B">
        <w:t xml:space="preserve"> data</w:t>
      </w:r>
    </w:p>
    <w:p w:rsidR="002E59FA" w:rsidRPr="00975E6B" w:rsidRDefault="002E59FA" w:rsidP="002E59FA">
      <w:pPr>
        <w:pStyle w:val="BodyText"/>
      </w:pPr>
      <w:r w:rsidRPr="00975E6B">
        <w:t xml:space="preserve">For the Round 18 IFR, SA Health staff from the Funding Models Unit completed the IFR templates and participated in consultations during the review. Representatives of </w:t>
      </w:r>
      <w:r w:rsidR="005E2379" w:rsidRPr="00975E6B">
        <w:t>Modbury Hospital</w:t>
      </w:r>
      <w:r w:rsidRPr="00975E6B">
        <w:t xml:space="preserve"> and the clinical costing software vendor</w:t>
      </w:r>
      <w:r w:rsidR="007663A0" w:rsidRPr="00975E6B">
        <w:t>,</w:t>
      </w:r>
      <w:r w:rsidRPr="00975E6B">
        <w:t xml:space="preserve"> </w:t>
      </w:r>
      <w:proofErr w:type="spellStart"/>
      <w:r w:rsidRPr="00975E6B">
        <w:t>PowerHealth</w:t>
      </w:r>
      <w:proofErr w:type="spellEnd"/>
      <w:r w:rsidRPr="00975E6B">
        <w:t xml:space="preserve"> Solutions, also attended the site visit.</w:t>
      </w:r>
    </w:p>
    <w:p w:rsidR="002E59FA" w:rsidRPr="00975E6B" w:rsidRDefault="002E59FA" w:rsidP="002E59FA">
      <w:pPr>
        <w:pStyle w:val="BodyText"/>
      </w:pPr>
      <w:r w:rsidRPr="00975E6B">
        <w:rPr>
          <w:bCs/>
          <w:i/>
        </w:rPr>
        <w:fldChar w:fldCharType="begin"/>
      </w:r>
      <w:r w:rsidRPr="00975E6B">
        <w:instrText xml:space="preserve"> REF _Ref433365830 \h </w:instrText>
      </w:r>
      <w:r w:rsidR="00975E6B">
        <w:rPr>
          <w:bCs/>
          <w:i/>
        </w:rPr>
        <w:instrText xml:space="preserve"> \* MERGEFORMAT </w:instrText>
      </w:r>
      <w:r w:rsidRPr="00975E6B">
        <w:rPr>
          <w:bCs/>
          <w:i/>
        </w:rPr>
      </w:r>
      <w:r w:rsidRPr="00975E6B">
        <w:rPr>
          <w:bCs/>
          <w:i/>
        </w:rPr>
        <w:fldChar w:fldCharType="separate"/>
      </w:r>
      <w:r w:rsidR="00154CF7" w:rsidRPr="00975E6B">
        <w:t xml:space="preserve">Table </w:t>
      </w:r>
      <w:r w:rsidR="00154CF7">
        <w:rPr>
          <w:noProof/>
        </w:rPr>
        <w:t>63</w:t>
      </w:r>
      <w:r w:rsidRPr="00975E6B">
        <w:rPr>
          <w:bCs/>
          <w:i/>
        </w:rPr>
        <w:fldChar w:fldCharType="end"/>
      </w:r>
      <w:r w:rsidRPr="00975E6B">
        <w:t xml:space="preserve"> presents an overview of the template results for expenditures used for costing (at the hospital level), the jurisdictional process for cost data received and the IHPA process for cost data received.</w:t>
      </w:r>
    </w:p>
    <w:p w:rsidR="002E59FA" w:rsidRPr="00975E6B" w:rsidRDefault="002E59FA" w:rsidP="002E59FA">
      <w:pPr>
        <w:pStyle w:val="Caption"/>
        <w:sectPr w:rsidR="002E59FA" w:rsidRPr="00975E6B" w:rsidSect="00835E8A">
          <w:endnotePr>
            <w:numFmt w:val="decimal"/>
          </w:endnotePr>
          <w:pgSz w:w="11907" w:h="16840" w:code="9"/>
          <w:pgMar w:top="1962" w:right="1474" w:bottom="1588" w:left="1474" w:header="958" w:footer="737" w:gutter="454"/>
          <w:cols w:space="720"/>
          <w:docGrid w:linePitch="272"/>
        </w:sectPr>
      </w:pPr>
    </w:p>
    <w:p w:rsidR="002E59FA" w:rsidRPr="00975E6B" w:rsidRDefault="002E59FA" w:rsidP="002E59FA">
      <w:pPr>
        <w:pStyle w:val="Caption"/>
      </w:pPr>
      <w:bookmarkStart w:id="769" w:name="_Ref433365830"/>
      <w:r w:rsidRPr="00975E6B">
        <w:lastRenderedPageBreak/>
        <w:t xml:space="preserve">Table </w:t>
      </w:r>
      <w:fldSimple w:instr=" SEQ Table \* ARABIC ">
        <w:r w:rsidR="00154CF7">
          <w:rPr>
            <w:noProof/>
          </w:rPr>
          <w:t>63</w:t>
        </w:r>
      </w:fldSimple>
      <w:bookmarkEnd w:id="769"/>
      <w:r w:rsidRPr="00975E6B">
        <w:t xml:space="preserve"> – </w:t>
      </w:r>
      <w:proofErr w:type="gramStart"/>
      <w:r w:rsidRPr="00975E6B">
        <w:t>Round 18 NHCDC Reconciliation – Modbury Hospital</w:t>
      </w:r>
      <w:proofErr w:type="gramEnd"/>
    </w:p>
    <w:p w:rsidR="002E59FA" w:rsidRPr="00975E6B" w:rsidRDefault="00E52E03" w:rsidP="002E59FA">
      <w:r w:rsidRPr="00E52E03">
        <w:rPr>
          <w:noProof/>
          <w:lang w:eastAsia="en-AU"/>
        </w:rPr>
        <w:drawing>
          <wp:inline distT="0" distB="0" distL="0" distR="0" wp14:anchorId="5581555E" wp14:editId="5DB4EA3D">
            <wp:extent cx="8439150" cy="3813847"/>
            <wp:effectExtent l="0" t="0" r="0" b="0"/>
            <wp:docPr id="18" name="Picture 18" descr="This table presents the financial reconciliation of hospital expenditure for Round 18 for Modbury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10;" title="Table 63 - Round 18 NHCDC Reconciliation – Modbury Hospi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8439150" cy="3813847"/>
                    </a:xfrm>
                    <a:prstGeom prst="rect">
                      <a:avLst/>
                    </a:prstGeom>
                    <a:noFill/>
                    <a:ln>
                      <a:noFill/>
                    </a:ln>
                  </pic:spPr>
                </pic:pic>
              </a:graphicData>
            </a:graphic>
          </wp:inline>
        </w:drawing>
      </w:r>
    </w:p>
    <w:p w:rsidR="002E59FA" w:rsidRPr="00975E6B" w:rsidRDefault="002E59FA" w:rsidP="002E59FA">
      <w:pPr>
        <w:rPr>
          <w:bCs/>
          <w:i/>
          <w:sz w:val="16"/>
          <w:szCs w:val="16"/>
        </w:rPr>
      </w:pPr>
      <w:r w:rsidRPr="00975E6B">
        <w:rPr>
          <w:bCs/>
          <w:i/>
          <w:sz w:val="16"/>
          <w:szCs w:val="16"/>
        </w:rPr>
        <w:t xml:space="preserve">Source: KPMG based on </w:t>
      </w:r>
      <w:r w:rsidR="005E2379" w:rsidRPr="00975E6B">
        <w:rPr>
          <w:bCs/>
          <w:i/>
          <w:sz w:val="16"/>
          <w:szCs w:val="16"/>
        </w:rPr>
        <w:t>Modbury Hospital</w:t>
      </w:r>
      <w:r w:rsidRPr="00975E6B">
        <w:rPr>
          <w:bCs/>
          <w:i/>
          <w:sz w:val="16"/>
          <w:szCs w:val="16"/>
        </w:rPr>
        <w:t xml:space="preserve"> IFR templates</w:t>
      </w:r>
    </w:p>
    <w:p w:rsidR="002E59FA" w:rsidRPr="00975E6B" w:rsidRDefault="002E59FA" w:rsidP="002E59FA">
      <w:pPr>
        <w:rPr>
          <w:bCs/>
          <w:i/>
          <w:sz w:val="16"/>
          <w:szCs w:val="16"/>
        </w:rPr>
      </w:pPr>
      <w:r w:rsidRPr="00975E6B">
        <w:rPr>
          <w:bCs/>
          <w:i/>
          <w:sz w:val="16"/>
          <w:szCs w:val="16"/>
        </w:rPr>
        <w:t>* These figures include admitted emergency costs.</w:t>
      </w:r>
    </w:p>
    <w:p w:rsidR="002E59FA" w:rsidRPr="00975E6B" w:rsidRDefault="002E59FA" w:rsidP="002E59FA">
      <w:pPr>
        <w:rPr>
          <w:bCs/>
          <w:i/>
          <w:sz w:val="16"/>
          <w:szCs w:val="16"/>
        </w:rPr>
      </w:pPr>
    </w:p>
    <w:p w:rsidR="002E59FA" w:rsidRPr="00975E6B" w:rsidRDefault="002E59FA" w:rsidP="002E59FA">
      <w:pPr>
        <w:pStyle w:val="Heading4"/>
        <w:sectPr w:rsidR="002E59FA" w:rsidRPr="00975E6B" w:rsidSect="00835E8A">
          <w:endnotePr>
            <w:numFmt w:val="decimal"/>
          </w:endnotePr>
          <w:pgSz w:w="16840" w:h="11907" w:orient="landscape" w:code="9"/>
          <w:pgMar w:top="1474" w:right="1962" w:bottom="1474" w:left="1588" w:header="958" w:footer="737" w:gutter="454"/>
          <w:cols w:space="720"/>
          <w:docGrid w:linePitch="272"/>
        </w:sectPr>
      </w:pPr>
    </w:p>
    <w:p w:rsidR="002E59FA" w:rsidRPr="00975E6B" w:rsidRDefault="002E59FA" w:rsidP="004B31EB">
      <w:pPr>
        <w:pStyle w:val="Heading4"/>
        <w:numPr>
          <w:ilvl w:val="0"/>
          <w:numId w:val="0"/>
        </w:numPr>
      </w:pPr>
      <w:r w:rsidRPr="00975E6B">
        <w:lastRenderedPageBreak/>
        <w:t>Explanation of reconciliation items</w:t>
      </w:r>
    </w:p>
    <w:p w:rsidR="002E59FA" w:rsidRPr="00975E6B" w:rsidRDefault="002E59FA" w:rsidP="002E59FA">
      <w:pPr>
        <w:pStyle w:val="BodyText"/>
      </w:pPr>
      <w:r w:rsidRPr="00975E6B">
        <w:fldChar w:fldCharType="begin"/>
      </w:r>
      <w:r w:rsidRPr="00975E6B">
        <w:instrText xml:space="preserve"> REF _Ref433365910 \h </w:instrText>
      </w:r>
      <w:r w:rsidR="00975E6B">
        <w:instrText xml:space="preserve"> \* MERGEFORMAT </w:instrText>
      </w:r>
      <w:r w:rsidRPr="00975E6B">
        <w:fldChar w:fldCharType="separate"/>
      </w:r>
      <w:r w:rsidR="00154CF7" w:rsidRPr="00975E6B">
        <w:t xml:space="preserve">Table </w:t>
      </w:r>
      <w:r w:rsidR="00154CF7">
        <w:rPr>
          <w:noProof/>
        </w:rPr>
        <w:t>64</w:t>
      </w:r>
      <w:r w:rsidRPr="00975E6B">
        <w:fldChar w:fldCharType="end"/>
      </w:r>
      <w:r w:rsidRPr="00975E6B">
        <w:t xml:space="preserve"> discusses each of the reconciliation items including adjustments, inclusions and exclusions to the </w:t>
      </w:r>
      <w:r w:rsidR="007663A0" w:rsidRPr="00975E6B">
        <w:t>GL</w:t>
      </w:r>
      <w:r w:rsidRPr="00975E6B">
        <w:t>.</w:t>
      </w:r>
    </w:p>
    <w:p w:rsidR="002E59FA" w:rsidRPr="00975E6B" w:rsidRDefault="002E59FA" w:rsidP="002E59FA">
      <w:pPr>
        <w:pStyle w:val="Caption"/>
      </w:pPr>
      <w:bookmarkStart w:id="770" w:name="_Ref433365910"/>
      <w:r w:rsidRPr="00975E6B">
        <w:t xml:space="preserve">Table </w:t>
      </w:r>
      <w:fldSimple w:instr=" SEQ Table \* ARABIC ">
        <w:r w:rsidR="00154CF7">
          <w:rPr>
            <w:noProof/>
          </w:rPr>
          <w:t>64</w:t>
        </w:r>
      </w:fldSimple>
      <w:bookmarkEnd w:id="770"/>
      <w:r w:rsidRPr="00975E6B">
        <w:t xml:space="preserve"> – </w:t>
      </w:r>
      <w:r w:rsidR="00704A46" w:rsidRPr="00975E6B">
        <w:t>Financial Reconciliation, explanation of items</w:t>
      </w:r>
      <w:r w:rsidRPr="00975E6B">
        <w:t xml:space="preserve"> – Modbury Hospital</w:t>
      </w:r>
    </w:p>
    <w:tbl>
      <w:tblPr>
        <w:tblStyle w:val="ListTable4-Accent11"/>
        <w:tblW w:w="5000" w:type="pct"/>
        <w:tblLayout w:type="fixed"/>
        <w:tblLook w:val="0620" w:firstRow="1" w:lastRow="0" w:firstColumn="0" w:lastColumn="0" w:noHBand="1" w:noVBand="1"/>
        <w:tblCaption w:val="Table 64 - Financial reconciliation, explanation of items - Modbury Hospital"/>
        <w:tblDescription w:val="This table describes the information presented in Table 63.  The first column is the item number (A to K), the second column is the title of the item number and the third column is a description of the financial information included at that item.&#10;"/>
      </w:tblPr>
      <w:tblGrid>
        <w:gridCol w:w="722"/>
        <w:gridCol w:w="2622"/>
        <w:gridCol w:w="5377"/>
      </w:tblGrid>
      <w:tr w:rsidR="002E59FA"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14" w:type="pct"/>
            <w:tcBorders>
              <w:right w:val="single" w:sz="4" w:space="0" w:color="548DD4" w:themeColor="text2" w:themeTint="99"/>
            </w:tcBorders>
            <w:shd w:val="clear" w:color="auto" w:fill="002060"/>
            <w:noWrap/>
          </w:tcPr>
          <w:p w:rsidR="002E59FA" w:rsidRPr="00975E6B" w:rsidRDefault="002E59FA" w:rsidP="0029344A">
            <w:r w:rsidRPr="00975E6B">
              <w:t>Item</w:t>
            </w:r>
          </w:p>
        </w:tc>
        <w:tc>
          <w:tcPr>
            <w:tcW w:w="1503" w:type="pct"/>
            <w:tcBorders>
              <w:left w:val="single" w:sz="4" w:space="0" w:color="548DD4" w:themeColor="text2" w:themeTint="99"/>
            </w:tcBorders>
            <w:shd w:val="clear" w:color="auto" w:fill="002060"/>
          </w:tcPr>
          <w:p w:rsidR="002E59FA" w:rsidRPr="00975E6B" w:rsidRDefault="002E59FA" w:rsidP="0029344A">
            <w:r w:rsidRPr="00975E6B">
              <w:t>Heading</w:t>
            </w:r>
          </w:p>
        </w:tc>
        <w:tc>
          <w:tcPr>
            <w:tcW w:w="3083" w:type="pct"/>
            <w:tcBorders>
              <w:left w:val="single" w:sz="4" w:space="0" w:color="548DD4" w:themeColor="text2" w:themeTint="99"/>
            </w:tcBorders>
            <w:shd w:val="clear" w:color="auto" w:fill="002060"/>
          </w:tcPr>
          <w:p w:rsidR="002E59FA" w:rsidRPr="00975E6B" w:rsidRDefault="002E59FA" w:rsidP="0029344A">
            <w:r w:rsidRPr="00975E6B">
              <w:t>Discussion</w:t>
            </w:r>
          </w:p>
        </w:tc>
      </w:tr>
      <w:tr w:rsidR="002E59FA" w:rsidRPr="00975E6B" w:rsidTr="00F034D9">
        <w:tc>
          <w:tcPr>
            <w:tcW w:w="414" w:type="pct"/>
            <w:tcBorders>
              <w:right w:val="single" w:sz="4" w:space="0" w:color="548DD4" w:themeColor="text2" w:themeTint="99"/>
            </w:tcBorders>
            <w:noWrap/>
          </w:tcPr>
          <w:p w:rsidR="002E59FA" w:rsidRPr="00975E6B" w:rsidRDefault="002E59FA" w:rsidP="0029344A">
            <w:pPr>
              <w:pStyle w:val="BodyText"/>
            </w:pPr>
            <w:r w:rsidRPr="00975E6B">
              <w:t>A</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General Ledger</w:t>
            </w:r>
          </w:p>
        </w:tc>
        <w:tc>
          <w:tcPr>
            <w:tcW w:w="3083" w:type="pct"/>
            <w:tcBorders>
              <w:left w:val="single" w:sz="4" w:space="0" w:color="548DD4" w:themeColor="text2" w:themeTint="99"/>
            </w:tcBorders>
          </w:tcPr>
          <w:p w:rsidR="002E59FA" w:rsidRPr="00975E6B" w:rsidRDefault="002E59FA" w:rsidP="00EC75FC">
            <w:pPr>
              <w:pStyle w:val="BodyText"/>
            </w:pPr>
            <w:r w:rsidRPr="00975E6B">
              <w:t>The GL amount of $135.04 million represent</w:t>
            </w:r>
            <w:r w:rsidR="00D01E4A" w:rsidRPr="00975E6B">
              <w:t>ed</w:t>
            </w:r>
            <w:r w:rsidRPr="00975E6B">
              <w:t xml:space="preserve"> the </w:t>
            </w:r>
            <w:r w:rsidR="005E2379" w:rsidRPr="00975E6B">
              <w:t>Modbury Hospital</w:t>
            </w:r>
            <w:r w:rsidRPr="00975E6B">
              <w:t xml:space="preserve"> share of the total </w:t>
            </w:r>
            <w:r w:rsidR="000F57A5" w:rsidRPr="00975E6B">
              <w:t>Northern Adelaide LHN</w:t>
            </w:r>
            <w:r w:rsidRPr="00975E6B">
              <w:t xml:space="preserve"> expenditure of $472.51 million.</w:t>
            </w:r>
          </w:p>
        </w:tc>
      </w:tr>
      <w:tr w:rsidR="002E59FA" w:rsidRPr="00975E6B" w:rsidTr="00F034D9">
        <w:tc>
          <w:tcPr>
            <w:tcW w:w="414" w:type="pct"/>
            <w:tcBorders>
              <w:right w:val="single" w:sz="4" w:space="0" w:color="548DD4" w:themeColor="text2" w:themeTint="99"/>
            </w:tcBorders>
            <w:noWrap/>
          </w:tcPr>
          <w:p w:rsidR="002E59FA" w:rsidRPr="00975E6B" w:rsidRDefault="002E59FA" w:rsidP="0029344A">
            <w:pPr>
              <w:pStyle w:val="BodyText"/>
            </w:pPr>
            <w:r w:rsidRPr="00975E6B">
              <w:t>B</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Adjustments to the GL</w:t>
            </w:r>
          </w:p>
        </w:tc>
        <w:tc>
          <w:tcPr>
            <w:tcW w:w="3083" w:type="pct"/>
            <w:tcBorders>
              <w:left w:val="single" w:sz="4" w:space="0" w:color="548DD4" w:themeColor="text2" w:themeTint="99"/>
            </w:tcBorders>
          </w:tcPr>
          <w:p w:rsidR="002E59FA" w:rsidRPr="00975E6B" w:rsidRDefault="002E59FA" w:rsidP="0029344A">
            <w:pPr>
              <w:pStyle w:val="BodyText"/>
            </w:pPr>
            <w:r w:rsidRPr="00975E6B">
              <w:t>A number of adjustments are made to the GL. Expenditure items excluded totals $</w:t>
            </w:r>
            <w:r w:rsidR="00172EBF" w:rsidRPr="00975E6B">
              <w:t>335,570</w:t>
            </w:r>
            <w:r w:rsidRPr="00975E6B">
              <w:t xml:space="preserve"> and relates to the following</w:t>
            </w:r>
            <w:r w:rsidR="00D01E4A" w:rsidRPr="00975E6B">
              <w:t>:</w:t>
            </w:r>
          </w:p>
          <w:p w:rsidR="002E59FA" w:rsidRPr="00975E6B" w:rsidRDefault="002E59FA" w:rsidP="00F26328">
            <w:pPr>
              <w:pStyle w:val="BodyText"/>
              <w:numPr>
                <w:ilvl w:val="0"/>
                <w:numId w:val="37"/>
              </w:numPr>
            </w:pPr>
            <w:r w:rsidRPr="00975E6B">
              <w:t>Bad Debts expense of $73</w:t>
            </w:r>
            <w:r w:rsidR="00D01E4A" w:rsidRPr="00975E6B">
              <w:t>.</w:t>
            </w:r>
          </w:p>
          <w:p w:rsidR="002E59FA" w:rsidRPr="00975E6B" w:rsidRDefault="002E59FA" w:rsidP="00F26328">
            <w:pPr>
              <w:pStyle w:val="BodyText"/>
              <w:numPr>
                <w:ilvl w:val="0"/>
                <w:numId w:val="37"/>
              </w:numPr>
            </w:pPr>
            <w:r w:rsidRPr="00975E6B">
              <w:t>Medical Salaries back pay from a prior financial year of $</w:t>
            </w:r>
            <w:r w:rsidR="00172EBF" w:rsidRPr="00975E6B">
              <w:t>335,497</w:t>
            </w:r>
            <w:r w:rsidR="00D01E4A" w:rsidRPr="00975E6B">
              <w:t>.</w:t>
            </w:r>
          </w:p>
          <w:p w:rsidR="002E59FA" w:rsidRPr="00975E6B" w:rsidRDefault="002E59FA" w:rsidP="0029344A">
            <w:pPr>
              <w:pStyle w:val="BodyText"/>
            </w:pPr>
            <w:r w:rsidRPr="00975E6B">
              <w:t>Expenditure items included total</w:t>
            </w:r>
            <w:r w:rsidR="00D01E4A" w:rsidRPr="00975E6B">
              <w:t>led</w:t>
            </w:r>
            <w:r w:rsidRPr="00975E6B">
              <w:t xml:space="preserve"> $8.7 million and relate</w:t>
            </w:r>
            <w:r w:rsidR="00D01E4A" w:rsidRPr="00975E6B">
              <w:t>d</w:t>
            </w:r>
            <w:r w:rsidRPr="00975E6B">
              <w:t xml:space="preserve"> to services or functions not recharged through the </w:t>
            </w:r>
            <w:r w:rsidR="00D01E4A" w:rsidRPr="00975E6B">
              <w:t>G</w:t>
            </w:r>
            <w:r w:rsidR="00172EBF" w:rsidRPr="00975E6B">
              <w:t>L</w:t>
            </w:r>
            <w:r w:rsidRPr="00975E6B">
              <w:t>, e.g. centralised procurement and ICT costs ($10.1</w:t>
            </w:r>
            <w:r w:rsidR="00172EBF" w:rsidRPr="00975E6B">
              <w:t> </w:t>
            </w:r>
            <w:r w:rsidRPr="00975E6B">
              <w:t xml:space="preserve">million). The inclusions are </w:t>
            </w:r>
            <w:r w:rsidR="00AE5BD0" w:rsidRPr="00975E6B">
              <w:t>offset</w:t>
            </w:r>
            <w:r w:rsidRPr="00975E6B">
              <w:t xml:space="preserve"> by recharges and reclassification of costs to other services ($1.4</w:t>
            </w:r>
            <w:r w:rsidR="00172EBF" w:rsidRPr="00975E6B">
              <w:t> </w:t>
            </w:r>
            <w:r w:rsidRPr="00975E6B">
              <w:t>million).</w:t>
            </w:r>
          </w:p>
          <w:p w:rsidR="002E59FA" w:rsidRPr="00975E6B" w:rsidRDefault="002E59FA" w:rsidP="0029344A">
            <w:pPr>
              <w:pStyle w:val="BodyText"/>
            </w:pPr>
            <w:r w:rsidRPr="00975E6B">
              <w:t xml:space="preserve">These adjustments established an expenditure base for costing of $143.4 million for </w:t>
            </w:r>
            <w:r w:rsidR="005E2379" w:rsidRPr="00975E6B">
              <w:t>Modbury Hospital</w:t>
            </w:r>
            <w:r w:rsidRPr="00975E6B">
              <w:t>. This was approximately 106</w:t>
            </w:r>
            <w:r w:rsidR="00DA7807" w:rsidRPr="00975E6B">
              <w:t> percent</w:t>
            </w:r>
            <w:r w:rsidRPr="00975E6B">
              <w:t xml:space="preserve"> of total expenditure reported in the </w:t>
            </w:r>
            <w:r w:rsidR="005E2379" w:rsidRPr="00975E6B">
              <w:t>Modbury Hospital</w:t>
            </w:r>
            <w:r w:rsidRPr="00975E6B">
              <w:t xml:space="preserve"> GL.</w:t>
            </w:r>
          </w:p>
        </w:tc>
      </w:tr>
      <w:tr w:rsidR="002E59FA" w:rsidRPr="00975E6B" w:rsidTr="00F034D9">
        <w:tc>
          <w:tcPr>
            <w:tcW w:w="414" w:type="pct"/>
            <w:tcBorders>
              <w:right w:val="single" w:sz="4" w:space="0" w:color="548DD4" w:themeColor="text2" w:themeTint="99"/>
            </w:tcBorders>
            <w:noWrap/>
          </w:tcPr>
          <w:p w:rsidR="002E59FA" w:rsidRPr="00975E6B" w:rsidRDefault="002E59FA" w:rsidP="0029344A">
            <w:pPr>
              <w:pStyle w:val="BodyText"/>
            </w:pPr>
            <w:r w:rsidRPr="00975E6B">
              <w:t>C</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Allocation of Costs</w:t>
            </w:r>
          </w:p>
        </w:tc>
        <w:tc>
          <w:tcPr>
            <w:tcW w:w="3083" w:type="pct"/>
            <w:tcBorders>
              <w:left w:val="single" w:sz="4" w:space="0" w:color="548DD4" w:themeColor="text2" w:themeTint="99"/>
            </w:tcBorders>
          </w:tcPr>
          <w:p w:rsidR="002E59FA" w:rsidRPr="00975E6B" w:rsidRDefault="002E59FA" w:rsidP="0029344A">
            <w:pPr>
              <w:pStyle w:val="BodyText"/>
            </w:pPr>
            <w:r w:rsidRPr="00975E6B">
              <w:t>Once all adjustments are made, costs are allocated to patients.</w:t>
            </w:r>
          </w:p>
          <w:p w:rsidR="002E59FA" w:rsidRPr="00975E6B" w:rsidRDefault="002E59FA" w:rsidP="00F26328">
            <w:pPr>
              <w:pStyle w:val="BodyText"/>
              <w:numPr>
                <w:ilvl w:val="0"/>
                <w:numId w:val="38"/>
              </w:numPr>
            </w:pPr>
            <w:r w:rsidRPr="00975E6B">
              <w:t>The template demonstrated that the total of all direct cost centres of $101.7 million w</w:t>
            </w:r>
            <w:r w:rsidR="00EC75FC" w:rsidRPr="00975E6B">
              <w:t>ere</w:t>
            </w:r>
            <w:r w:rsidRPr="00975E6B">
              <w:t xml:space="preserve"> allocated post allocation.</w:t>
            </w:r>
          </w:p>
          <w:p w:rsidR="002E59FA" w:rsidRPr="00975E6B" w:rsidRDefault="002E59FA" w:rsidP="00F26328">
            <w:pPr>
              <w:pStyle w:val="BodyText"/>
              <w:numPr>
                <w:ilvl w:val="0"/>
                <w:numId w:val="38"/>
              </w:numPr>
            </w:pPr>
            <w:r w:rsidRPr="00975E6B">
              <w:t>The template demonstrated that overheads of $41.5 million were allocated to direct cost centres post allocation.</w:t>
            </w:r>
          </w:p>
          <w:p w:rsidR="002E59FA" w:rsidRPr="00975E6B" w:rsidRDefault="002E59FA" w:rsidP="00172EBF">
            <w:pPr>
              <w:pStyle w:val="BodyText"/>
            </w:pPr>
            <w:r w:rsidRPr="00975E6B">
              <w:t>We note a variance of $</w:t>
            </w:r>
            <w:r w:rsidR="00172EBF" w:rsidRPr="00975E6B">
              <w:t xml:space="preserve">119,440 </w:t>
            </w:r>
            <w:r w:rsidRPr="00975E6B">
              <w:t>that relate</w:t>
            </w:r>
            <w:r w:rsidR="00D01E4A" w:rsidRPr="00975E6B">
              <w:t>d</w:t>
            </w:r>
            <w:r w:rsidRPr="00975E6B">
              <w:t xml:space="preserve"> to costs shared across activity with other hospitals. This amount was adjusted during post allocation adjustments.</w:t>
            </w:r>
          </w:p>
        </w:tc>
      </w:tr>
      <w:tr w:rsidR="002E59FA" w:rsidRPr="00975E6B" w:rsidTr="00F034D9">
        <w:tc>
          <w:tcPr>
            <w:tcW w:w="414" w:type="pct"/>
            <w:tcBorders>
              <w:right w:val="single" w:sz="4" w:space="0" w:color="548DD4" w:themeColor="text2" w:themeTint="99"/>
            </w:tcBorders>
            <w:noWrap/>
          </w:tcPr>
          <w:p w:rsidR="002E59FA" w:rsidRPr="00975E6B" w:rsidRDefault="002E59FA" w:rsidP="0029344A">
            <w:pPr>
              <w:pStyle w:val="BodyText"/>
            </w:pPr>
            <w:r w:rsidRPr="00975E6B">
              <w:t>D</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Post Allocation Adjustments</w:t>
            </w:r>
          </w:p>
        </w:tc>
        <w:tc>
          <w:tcPr>
            <w:tcW w:w="3083" w:type="pct"/>
            <w:tcBorders>
              <w:left w:val="single" w:sz="4" w:space="0" w:color="548DD4" w:themeColor="text2" w:themeTint="99"/>
            </w:tcBorders>
          </w:tcPr>
          <w:p w:rsidR="002E59FA" w:rsidRPr="00975E6B" w:rsidRDefault="002E59FA" w:rsidP="0029344A">
            <w:pPr>
              <w:pStyle w:val="BodyText"/>
            </w:pPr>
            <w:r w:rsidRPr="00975E6B">
              <w:t>A range of costs were excluded after the allocation of costs in Item C. The amounts excluded include</w:t>
            </w:r>
            <w:r w:rsidR="00D01E4A" w:rsidRPr="00975E6B">
              <w:t>d</w:t>
            </w:r>
            <w:r w:rsidRPr="00975E6B">
              <w:t xml:space="preserve">: </w:t>
            </w:r>
          </w:p>
          <w:p w:rsidR="002E59FA" w:rsidRPr="00975E6B" w:rsidRDefault="00366F39" w:rsidP="00F26328">
            <w:pPr>
              <w:pStyle w:val="BodyText"/>
              <w:numPr>
                <w:ilvl w:val="0"/>
                <w:numId w:val="36"/>
              </w:numPr>
            </w:pPr>
            <w:r w:rsidRPr="00975E6B">
              <w:t>Non-admitted patients</w:t>
            </w:r>
            <w:r w:rsidR="002E59FA" w:rsidRPr="00975E6B">
              <w:t xml:space="preserve"> - $18.51 million</w:t>
            </w:r>
            <w:r w:rsidR="004C3D61" w:rsidRPr="00975E6B">
              <w:t>.</w:t>
            </w:r>
          </w:p>
          <w:p w:rsidR="002E59FA" w:rsidRPr="00975E6B" w:rsidRDefault="00140C9F" w:rsidP="00F26328">
            <w:pPr>
              <w:pStyle w:val="BodyText"/>
              <w:numPr>
                <w:ilvl w:val="0"/>
                <w:numId w:val="36"/>
              </w:numPr>
            </w:pPr>
            <w:r w:rsidRPr="00975E6B">
              <w:t>TTR</w:t>
            </w:r>
            <w:r w:rsidR="002E59FA" w:rsidRPr="00975E6B">
              <w:t xml:space="preserve"> - $3.27 million</w:t>
            </w:r>
            <w:r w:rsidR="004C3D61" w:rsidRPr="00975E6B">
              <w:t>.</w:t>
            </w:r>
          </w:p>
          <w:p w:rsidR="002E59FA" w:rsidRPr="00975E6B" w:rsidRDefault="002E59FA" w:rsidP="00F26328">
            <w:pPr>
              <w:pStyle w:val="BodyText"/>
              <w:numPr>
                <w:ilvl w:val="0"/>
                <w:numId w:val="36"/>
              </w:numPr>
            </w:pPr>
            <w:r w:rsidRPr="00975E6B">
              <w:lastRenderedPageBreak/>
              <w:t>Other - $</w:t>
            </w:r>
            <w:r w:rsidR="00172EBF" w:rsidRPr="00975E6B">
              <w:t>352,968</w:t>
            </w:r>
            <w:r w:rsidRPr="00975E6B">
              <w:t xml:space="preserve"> (dummy and non</w:t>
            </w:r>
            <w:r w:rsidR="00D01E4A" w:rsidRPr="00975E6B">
              <w:t>-</w:t>
            </w:r>
            <w:proofErr w:type="spellStart"/>
            <w:r w:rsidRPr="00975E6B">
              <w:t>casemix</w:t>
            </w:r>
            <w:proofErr w:type="spellEnd"/>
            <w:r w:rsidRPr="00975E6B">
              <w:t xml:space="preserve"> records)</w:t>
            </w:r>
            <w:r w:rsidR="004C3D61" w:rsidRPr="00975E6B">
              <w:t>.</w:t>
            </w:r>
          </w:p>
          <w:p w:rsidR="002E59FA" w:rsidRPr="00975E6B" w:rsidRDefault="002E59FA" w:rsidP="0029344A">
            <w:pPr>
              <w:pStyle w:val="BodyText"/>
            </w:pPr>
            <w:r w:rsidRPr="00975E6B">
              <w:t>Costs shared with activity across hospitals totalling $</w:t>
            </w:r>
            <w:r w:rsidR="00172EBF" w:rsidRPr="00975E6B">
              <w:t>119,443</w:t>
            </w:r>
            <w:r w:rsidRPr="00975E6B">
              <w:t xml:space="preserve"> were included. This amount relates to the variance identified at Item C.</w:t>
            </w:r>
          </w:p>
          <w:p w:rsidR="002E59FA" w:rsidRPr="00975E6B" w:rsidRDefault="002E59FA" w:rsidP="00172EBF">
            <w:pPr>
              <w:pStyle w:val="BodyText"/>
            </w:pPr>
            <w:r w:rsidRPr="00975E6B">
              <w:t>The total expenditure allocated to patients was $121.3 million which represent</w:t>
            </w:r>
            <w:r w:rsidR="00EC75FC" w:rsidRPr="00975E6B">
              <w:t>ed</w:t>
            </w:r>
            <w:r w:rsidRPr="00975E6B">
              <w:t xml:space="preserve"> approximately 90</w:t>
            </w:r>
            <w:r w:rsidR="00172EBF" w:rsidRPr="00975E6B">
              <w:t> </w:t>
            </w:r>
            <w:r w:rsidR="00EC75FC" w:rsidRPr="00975E6B">
              <w:t>percent</w:t>
            </w:r>
            <w:r w:rsidRPr="00975E6B">
              <w:t xml:space="preserve"> of the </w:t>
            </w:r>
            <w:r w:rsidR="005E2379" w:rsidRPr="00975E6B">
              <w:t>Modbury Hospital</w:t>
            </w:r>
            <w:r w:rsidRPr="00975E6B">
              <w:t xml:space="preserve"> GL.</w:t>
            </w:r>
          </w:p>
        </w:tc>
      </w:tr>
      <w:tr w:rsidR="002E59FA" w:rsidRPr="00975E6B" w:rsidTr="00F034D9">
        <w:tc>
          <w:tcPr>
            <w:tcW w:w="414" w:type="pct"/>
            <w:tcBorders>
              <w:right w:val="single" w:sz="4" w:space="0" w:color="548DD4" w:themeColor="text2" w:themeTint="99"/>
            </w:tcBorders>
            <w:noWrap/>
          </w:tcPr>
          <w:p w:rsidR="002E59FA" w:rsidRPr="00975E6B" w:rsidRDefault="002E59FA" w:rsidP="0029344A">
            <w:pPr>
              <w:pStyle w:val="BodyText"/>
            </w:pPr>
            <w:r w:rsidRPr="00975E6B">
              <w:lastRenderedPageBreak/>
              <w:t>E</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Costed Products Submitted to jurisdiction</w:t>
            </w:r>
          </w:p>
        </w:tc>
        <w:tc>
          <w:tcPr>
            <w:tcW w:w="3083" w:type="pct"/>
            <w:tcBorders>
              <w:left w:val="single" w:sz="4" w:space="0" w:color="548DD4" w:themeColor="text2" w:themeTint="99"/>
            </w:tcBorders>
          </w:tcPr>
          <w:p w:rsidR="002E59FA" w:rsidRPr="00975E6B" w:rsidRDefault="002E59FA">
            <w:pPr>
              <w:pStyle w:val="BodyText"/>
            </w:pPr>
            <w:r w:rsidRPr="00975E6B">
              <w:t xml:space="preserve">Costs derived by the hospital and reported at product level </w:t>
            </w:r>
            <w:r w:rsidR="00EC75FC" w:rsidRPr="00975E6B">
              <w:t xml:space="preserve">equalled </w:t>
            </w:r>
            <w:r w:rsidRPr="00975E6B">
              <w:t xml:space="preserve">$121.3 million. </w:t>
            </w:r>
            <w:r w:rsidR="005E2379" w:rsidRPr="00975E6B">
              <w:t>Modbury Hospital</w:t>
            </w:r>
            <w:r w:rsidRPr="00975E6B">
              <w:t xml:space="preserve"> included </w:t>
            </w:r>
            <w:r w:rsidR="00172EBF" w:rsidRPr="00975E6B">
              <w:t>a</w:t>
            </w:r>
            <w:r w:rsidRPr="00975E6B">
              <w:t xml:space="preserve">cute, </w:t>
            </w:r>
            <w:r w:rsidR="00172EBF" w:rsidRPr="00975E6B">
              <w:t>e</w:t>
            </w:r>
            <w:r w:rsidRPr="00975E6B">
              <w:t xml:space="preserve">mergency and </w:t>
            </w:r>
            <w:r w:rsidR="001E2D16" w:rsidRPr="00975E6B">
              <w:t>subacute</w:t>
            </w:r>
            <w:r w:rsidRPr="00975E6B">
              <w:t xml:space="preserve"> costed products.</w:t>
            </w:r>
          </w:p>
        </w:tc>
      </w:tr>
      <w:tr w:rsidR="002E59FA" w:rsidRPr="00975E6B" w:rsidTr="00F034D9">
        <w:trPr>
          <w:trHeight w:val="285"/>
        </w:trPr>
        <w:tc>
          <w:tcPr>
            <w:tcW w:w="414" w:type="pct"/>
            <w:tcBorders>
              <w:right w:val="single" w:sz="4" w:space="0" w:color="548DD4" w:themeColor="text2" w:themeTint="99"/>
            </w:tcBorders>
            <w:noWrap/>
          </w:tcPr>
          <w:p w:rsidR="002E59FA" w:rsidRPr="00975E6B" w:rsidRDefault="002E59FA" w:rsidP="0029344A">
            <w:pPr>
              <w:pStyle w:val="BodyText"/>
            </w:pPr>
            <w:r w:rsidRPr="00975E6B">
              <w:t>F</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Costed Products received by jurisdiction</w:t>
            </w:r>
          </w:p>
        </w:tc>
        <w:tc>
          <w:tcPr>
            <w:tcW w:w="3083" w:type="pct"/>
            <w:tcBorders>
              <w:left w:val="single" w:sz="4" w:space="0" w:color="548DD4" w:themeColor="text2" w:themeTint="99"/>
            </w:tcBorders>
          </w:tcPr>
          <w:p w:rsidR="002E59FA" w:rsidRPr="00975E6B" w:rsidRDefault="002E59FA" w:rsidP="0029344A">
            <w:pPr>
              <w:pStyle w:val="BodyText"/>
            </w:pPr>
            <w:r w:rsidRPr="00975E6B">
              <w:t>No variance was noted between Items E and F.</w:t>
            </w:r>
          </w:p>
        </w:tc>
      </w:tr>
      <w:tr w:rsidR="002E59FA" w:rsidRPr="00975E6B" w:rsidTr="00F034D9">
        <w:tc>
          <w:tcPr>
            <w:tcW w:w="414" w:type="pct"/>
            <w:tcBorders>
              <w:right w:val="single" w:sz="4" w:space="0" w:color="548DD4" w:themeColor="text2" w:themeTint="99"/>
            </w:tcBorders>
            <w:noWrap/>
          </w:tcPr>
          <w:p w:rsidR="002E59FA" w:rsidRPr="00975E6B" w:rsidRDefault="002E59FA" w:rsidP="0029344A">
            <w:pPr>
              <w:pStyle w:val="BodyText"/>
            </w:pPr>
            <w:r w:rsidRPr="00975E6B">
              <w:t>G</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Final Adjustments</w:t>
            </w:r>
          </w:p>
        </w:tc>
        <w:tc>
          <w:tcPr>
            <w:tcW w:w="3083" w:type="pct"/>
            <w:tcBorders>
              <w:left w:val="single" w:sz="4" w:space="0" w:color="548DD4" w:themeColor="text2" w:themeTint="99"/>
            </w:tcBorders>
          </w:tcPr>
          <w:p w:rsidR="002E59FA" w:rsidRPr="00975E6B" w:rsidRDefault="002E59FA" w:rsidP="00172EBF">
            <w:pPr>
              <w:pStyle w:val="BodyText"/>
            </w:pPr>
            <w:r w:rsidRPr="00975E6B">
              <w:t>Final adjustments were processed for WIP and escalation of costs from prior years. These adjustments totalled $</w:t>
            </w:r>
            <w:r w:rsidR="00172EBF" w:rsidRPr="00975E6B">
              <w:t>549</w:t>
            </w:r>
            <w:r w:rsidR="006B0BC6" w:rsidRPr="00975E6B">
              <w:t>,327</w:t>
            </w:r>
            <w:r w:rsidRPr="00975E6B">
              <w:t>. The total cost after these adjustments was $120.7</w:t>
            </w:r>
            <w:r w:rsidR="00172EBF" w:rsidRPr="00975E6B">
              <w:t> </w:t>
            </w:r>
            <w:r w:rsidRPr="00975E6B">
              <w:t>million.</w:t>
            </w:r>
          </w:p>
        </w:tc>
      </w:tr>
      <w:tr w:rsidR="002E59FA" w:rsidRPr="00975E6B" w:rsidTr="00F034D9">
        <w:tc>
          <w:tcPr>
            <w:tcW w:w="414" w:type="pct"/>
            <w:tcBorders>
              <w:right w:val="single" w:sz="4" w:space="0" w:color="548DD4" w:themeColor="text2" w:themeTint="99"/>
            </w:tcBorders>
            <w:noWrap/>
          </w:tcPr>
          <w:p w:rsidR="002E59FA" w:rsidRPr="00975E6B" w:rsidRDefault="002E59FA" w:rsidP="0029344A">
            <w:pPr>
              <w:pStyle w:val="BodyText"/>
            </w:pPr>
            <w:r w:rsidRPr="00975E6B">
              <w:t>H</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Costed products submitted to IHPA</w:t>
            </w:r>
          </w:p>
        </w:tc>
        <w:tc>
          <w:tcPr>
            <w:tcW w:w="3083" w:type="pct"/>
            <w:tcBorders>
              <w:left w:val="single" w:sz="4" w:space="0" w:color="548DD4" w:themeColor="text2" w:themeTint="99"/>
            </w:tcBorders>
          </w:tcPr>
          <w:p w:rsidR="002E59FA" w:rsidRPr="00975E6B" w:rsidRDefault="002E59FA">
            <w:pPr>
              <w:pStyle w:val="BodyText"/>
            </w:pPr>
            <w:r w:rsidRPr="00975E6B">
              <w:t>Costs derived by the jurisdiction and reported at product level reconcile</w:t>
            </w:r>
            <w:r w:rsidR="00EC75FC" w:rsidRPr="00975E6B">
              <w:t>d</w:t>
            </w:r>
            <w:r w:rsidRPr="00975E6B">
              <w:t xml:space="preserve"> to $120.7 million. SA health included </w:t>
            </w:r>
            <w:r w:rsidR="006B0BC6" w:rsidRPr="00975E6B">
              <w:t xml:space="preserve">acute, emergency and subacute </w:t>
            </w:r>
            <w:r w:rsidRPr="00975E6B">
              <w:t xml:space="preserve">products. </w:t>
            </w:r>
          </w:p>
        </w:tc>
      </w:tr>
      <w:tr w:rsidR="002E59FA" w:rsidRPr="00975E6B" w:rsidTr="00F034D9">
        <w:tc>
          <w:tcPr>
            <w:tcW w:w="414" w:type="pct"/>
            <w:tcBorders>
              <w:right w:val="single" w:sz="4" w:space="0" w:color="548DD4" w:themeColor="text2" w:themeTint="99"/>
            </w:tcBorders>
            <w:noWrap/>
          </w:tcPr>
          <w:p w:rsidR="002E59FA" w:rsidRPr="00975E6B" w:rsidRDefault="002E59FA" w:rsidP="0029344A">
            <w:pPr>
              <w:pStyle w:val="BodyText"/>
            </w:pPr>
            <w:r w:rsidRPr="00975E6B">
              <w:t>I</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Total costed products received by IHPA</w:t>
            </w:r>
          </w:p>
        </w:tc>
        <w:tc>
          <w:tcPr>
            <w:tcW w:w="3083" w:type="pct"/>
            <w:tcBorders>
              <w:left w:val="single" w:sz="4" w:space="0" w:color="548DD4" w:themeColor="text2" w:themeTint="99"/>
            </w:tcBorders>
          </w:tcPr>
          <w:p w:rsidR="002E59FA" w:rsidRPr="00975E6B" w:rsidRDefault="002E59FA">
            <w:pPr>
              <w:pStyle w:val="BodyText"/>
            </w:pPr>
            <w:r w:rsidRPr="00975E6B">
              <w:t>Costs received by IHPA totalled $</w:t>
            </w:r>
            <w:r w:rsidR="00EC75FC" w:rsidRPr="00975E6B">
              <w:t>120.7</w:t>
            </w:r>
            <w:r w:rsidRPr="00975E6B">
              <w:t xml:space="preserve"> million. </w:t>
            </w:r>
            <w:r w:rsidR="00FD2F5D" w:rsidRPr="00975E6B">
              <w:t xml:space="preserve">A variance of </w:t>
            </w:r>
            <w:r w:rsidRPr="00975E6B">
              <w:t>$12,435 between Item I and Item H</w:t>
            </w:r>
            <w:r w:rsidR="00FD2F5D" w:rsidRPr="00975E6B">
              <w:t xml:space="preserve"> was identified</w:t>
            </w:r>
            <w:r w:rsidRPr="00975E6B">
              <w:t>.</w:t>
            </w:r>
            <w:r w:rsidR="00FD2F5D" w:rsidRPr="00975E6B">
              <w:t xml:space="preserve"> This variance represents 0.01 percent of the costs submitted to IHPA.</w:t>
            </w:r>
          </w:p>
        </w:tc>
      </w:tr>
      <w:tr w:rsidR="002E59FA" w:rsidRPr="00975E6B" w:rsidTr="00F034D9">
        <w:tc>
          <w:tcPr>
            <w:tcW w:w="414" w:type="pct"/>
            <w:tcBorders>
              <w:right w:val="single" w:sz="4" w:space="0" w:color="548DD4" w:themeColor="text2" w:themeTint="99"/>
            </w:tcBorders>
            <w:noWrap/>
          </w:tcPr>
          <w:p w:rsidR="002E59FA" w:rsidRPr="00975E6B" w:rsidRDefault="002E59FA" w:rsidP="0029344A">
            <w:pPr>
              <w:pStyle w:val="BodyText"/>
            </w:pPr>
            <w:r w:rsidRPr="00975E6B">
              <w:t>J</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IHPA Adjustments</w:t>
            </w:r>
          </w:p>
        </w:tc>
        <w:tc>
          <w:tcPr>
            <w:tcW w:w="3083" w:type="pct"/>
            <w:tcBorders>
              <w:left w:val="single" w:sz="4" w:space="0" w:color="548DD4" w:themeColor="text2" w:themeTint="99"/>
            </w:tcBorders>
          </w:tcPr>
          <w:p w:rsidR="002E59FA" w:rsidRPr="00975E6B" w:rsidRDefault="002E59FA" w:rsidP="0029344A">
            <w:pPr>
              <w:pStyle w:val="BodyText"/>
              <w:rPr>
                <w:i/>
              </w:rPr>
            </w:pPr>
            <w:r w:rsidRPr="00975E6B">
              <w:rPr>
                <w:i/>
              </w:rPr>
              <w:t>Admitted Emergency</w:t>
            </w:r>
          </w:p>
          <w:p w:rsidR="002E59FA" w:rsidRPr="00975E6B" w:rsidRDefault="002E59FA">
            <w:pPr>
              <w:pStyle w:val="BodyText"/>
            </w:pPr>
            <w:r w:rsidRPr="00975E6B">
              <w:t xml:space="preserve">Upon receipt of cost data, IHPA allocates the admitted emergency costs back to admitted patients for the purposes of reporting and analysis. Within IHPA’s reconciliation this amount </w:t>
            </w:r>
            <w:r w:rsidR="0074117C" w:rsidRPr="00975E6B">
              <w:t xml:space="preserve">was </w:t>
            </w:r>
            <w:r w:rsidRPr="00975E6B">
              <w:t xml:space="preserve">a duplication of admitted emergency costs and not an additional cost. For </w:t>
            </w:r>
            <w:r w:rsidR="005E2379" w:rsidRPr="00975E6B">
              <w:t>Modbury Hospital</w:t>
            </w:r>
            <w:r w:rsidRPr="00975E6B">
              <w:t xml:space="preserve"> this amounted to $8.2 million.</w:t>
            </w:r>
          </w:p>
        </w:tc>
      </w:tr>
      <w:tr w:rsidR="002E59FA" w:rsidRPr="00975E6B" w:rsidTr="00F034D9">
        <w:tc>
          <w:tcPr>
            <w:tcW w:w="414" w:type="pct"/>
            <w:tcBorders>
              <w:right w:val="single" w:sz="4" w:space="0" w:color="548DD4" w:themeColor="text2" w:themeTint="99"/>
            </w:tcBorders>
            <w:noWrap/>
          </w:tcPr>
          <w:p w:rsidR="002E59FA" w:rsidRPr="00975E6B" w:rsidRDefault="002E59FA" w:rsidP="0029344A">
            <w:pPr>
              <w:pStyle w:val="BodyText"/>
            </w:pPr>
            <w:r w:rsidRPr="00975E6B">
              <w:t>K</w:t>
            </w:r>
          </w:p>
        </w:tc>
        <w:tc>
          <w:tcPr>
            <w:tcW w:w="1503" w:type="pct"/>
            <w:tcBorders>
              <w:left w:val="single" w:sz="4" w:space="0" w:color="548DD4" w:themeColor="text2" w:themeTint="99"/>
            </w:tcBorders>
          </w:tcPr>
          <w:p w:rsidR="002E59FA" w:rsidRPr="00975E6B" w:rsidRDefault="002E59FA" w:rsidP="0029344A">
            <w:pPr>
              <w:pStyle w:val="BodyText"/>
              <w:jc w:val="left"/>
            </w:pPr>
            <w:r w:rsidRPr="00975E6B">
              <w:t>Final NHCDC costed products</w:t>
            </w:r>
          </w:p>
        </w:tc>
        <w:tc>
          <w:tcPr>
            <w:tcW w:w="3083" w:type="pct"/>
            <w:tcBorders>
              <w:left w:val="single" w:sz="4" w:space="0" w:color="548DD4" w:themeColor="text2" w:themeTint="99"/>
            </w:tcBorders>
          </w:tcPr>
          <w:p w:rsidR="002E59FA" w:rsidRPr="00975E6B" w:rsidRDefault="002E59FA" w:rsidP="006B0BC6">
            <w:pPr>
              <w:pStyle w:val="BodyText"/>
            </w:pPr>
            <w:r w:rsidRPr="00975E6B">
              <w:t xml:space="preserve">The final NHCDC costed data for </w:t>
            </w:r>
            <w:r w:rsidR="005E2379" w:rsidRPr="00975E6B">
              <w:t>Modbury Hospital</w:t>
            </w:r>
            <w:r w:rsidRPr="00975E6B">
              <w:t xml:space="preserve"> that was loaded into the </w:t>
            </w:r>
            <w:r w:rsidR="006B0BC6" w:rsidRPr="00975E6B">
              <w:t xml:space="preserve">NHCDC </w:t>
            </w:r>
            <w:r w:rsidRPr="00975E6B">
              <w:t>Round 18 cost data set was $128.9 million which includes the admitted emergency cost of $8.2 million.</w:t>
            </w:r>
          </w:p>
        </w:tc>
      </w:tr>
    </w:tbl>
    <w:p w:rsidR="002E59FA" w:rsidRPr="00975E6B" w:rsidRDefault="00F034D9" w:rsidP="002E59FA">
      <w:pPr>
        <w:pStyle w:val="FootnoteText"/>
        <w:rPr>
          <w:bCs/>
          <w:i/>
          <w:sz w:val="16"/>
          <w:szCs w:val="16"/>
        </w:rPr>
      </w:pPr>
      <w:r w:rsidRPr="00975E6B">
        <w:rPr>
          <w:bCs/>
          <w:i/>
          <w:sz w:val="16"/>
          <w:szCs w:val="16"/>
        </w:rPr>
        <w:t>Source: KPMG, based on Modbury Hospital templates and review discussions</w:t>
      </w:r>
      <w:r w:rsidRPr="00975E6B" w:rsidDel="00F034D9">
        <w:rPr>
          <w:bCs/>
          <w:i/>
          <w:sz w:val="16"/>
          <w:szCs w:val="16"/>
        </w:rPr>
        <w:t xml:space="preserve"> </w:t>
      </w:r>
    </w:p>
    <w:p w:rsidR="002E59FA" w:rsidRPr="00975E6B" w:rsidRDefault="002E59FA" w:rsidP="003B387A">
      <w:pPr>
        <w:pStyle w:val="Heading3"/>
        <w:numPr>
          <w:ilvl w:val="2"/>
          <w:numId w:val="77"/>
        </w:numPr>
      </w:pPr>
      <w:r w:rsidRPr="004B31EB">
        <w:lastRenderedPageBreak/>
        <w:t>Activity</w:t>
      </w:r>
      <w:r w:rsidRPr="00975E6B">
        <w:t xml:space="preserve"> data</w:t>
      </w:r>
    </w:p>
    <w:p w:rsidR="002E59FA" w:rsidRPr="00B464CA" w:rsidRDefault="002E59FA" w:rsidP="00B464CA">
      <w:pPr>
        <w:spacing w:before="120" w:after="120" w:line="280" w:lineRule="atLeast"/>
        <w:jc w:val="both"/>
        <w:rPr>
          <w:bCs/>
        </w:rPr>
      </w:pPr>
      <w:r w:rsidRPr="00B464CA">
        <w:rPr>
          <w:bCs/>
        </w:rPr>
        <w:fldChar w:fldCharType="begin"/>
      </w:r>
      <w:r w:rsidRPr="00B464CA">
        <w:rPr>
          <w:bCs/>
        </w:rPr>
        <w:instrText xml:space="preserve"> REF _Ref433366978 \h </w:instrText>
      </w:r>
      <w:r w:rsidR="00975E6B" w:rsidRPr="00B464CA">
        <w:rPr>
          <w:bCs/>
        </w:rPr>
        <w:instrText xml:space="preserve"> \* MERGEFORMAT </w:instrText>
      </w:r>
      <w:r w:rsidRPr="00B464CA">
        <w:rPr>
          <w:bCs/>
        </w:rPr>
      </w:r>
      <w:r w:rsidRPr="00B464CA">
        <w:rPr>
          <w:bCs/>
        </w:rPr>
        <w:fldChar w:fldCharType="separate"/>
      </w:r>
      <w:r w:rsidR="00154CF7" w:rsidRPr="00154CF7">
        <w:rPr>
          <w:bCs/>
        </w:rPr>
        <w:t>Table 65</w:t>
      </w:r>
      <w:r w:rsidRPr="00B464CA">
        <w:rPr>
          <w:bCs/>
        </w:rPr>
        <w:fldChar w:fldCharType="end"/>
      </w:r>
      <w:r w:rsidRPr="00B464CA">
        <w:rPr>
          <w:bCs/>
        </w:rPr>
        <w:t xml:space="preserve"> presents activity and feeder data for </w:t>
      </w:r>
      <w:r w:rsidR="005E2379" w:rsidRPr="00B464CA">
        <w:rPr>
          <w:bCs/>
        </w:rPr>
        <w:t>Modbury Hospital</w:t>
      </w:r>
      <w:r w:rsidRPr="00B464CA">
        <w:rPr>
          <w:bCs/>
        </w:rPr>
        <w:t>.</w:t>
      </w:r>
    </w:p>
    <w:p w:rsidR="0096374D" w:rsidRPr="00975E6B" w:rsidRDefault="002E59FA" w:rsidP="00CD1518">
      <w:pPr>
        <w:pStyle w:val="Caption"/>
      </w:pPr>
      <w:bookmarkStart w:id="771" w:name="_Ref433366978"/>
      <w:r w:rsidRPr="00975E6B">
        <w:t xml:space="preserve">Table </w:t>
      </w:r>
      <w:r w:rsidR="003E3288">
        <w:rPr>
          <w:bCs w:val="0"/>
          <w:i w:val="0"/>
        </w:rPr>
        <w:fldChar w:fldCharType="begin"/>
      </w:r>
      <w:r w:rsidR="003E3288">
        <w:rPr>
          <w:bCs w:val="0"/>
          <w:i w:val="0"/>
        </w:rPr>
        <w:instrText xml:space="preserve"> SEQ Table \* ARABIC </w:instrText>
      </w:r>
      <w:r w:rsidR="003E3288">
        <w:rPr>
          <w:bCs w:val="0"/>
          <w:i w:val="0"/>
        </w:rPr>
        <w:fldChar w:fldCharType="separate"/>
      </w:r>
      <w:r w:rsidR="00154CF7">
        <w:rPr>
          <w:bCs w:val="0"/>
          <w:i w:val="0"/>
          <w:noProof/>
        </w:rPr>
        <w:t>65</w:t>
      </w:r>
      <w:r w:rsidR="003E3288">
        <w:rPr>
          <w:bCs w:val="0"/>
          <w:i w:val="0"/>
          <w:noProof/>
        </w:rPr>
        <w:fldChar w:fldCharType="end"/>
      </w:r>
      <w:bookmarkEnd w:id="771"/>
      <w:r w:rsidR="00BA3F4B" w:rsidRPr="00975E6B">
        <w:t xml:space="preserve"> </w:t>
      </w:r>
      <w:r w:rsidRPr="00975E6B">
        <w:t>– Activity data – Modbury Hospital</w:t>
      </w:r>
    </w:p>
    <w:tbl>
      <w:tblPr>
        <w:tblW w:w="5000" w:type="pct"/>
        <w:tblLayout w:type="fixed"/>
        <w:tblLook w:val="04A0" w:firstRow="1" w:lastRow="0" w:firstColumn="1" w:lastColumn="0" w:noHBand="0" w:noVBand="1"/>
        <w:tblCaption w:val="Table 65 - Activity data - Modbury Hospital"/>
        <w:tblDescription w:val="This table presents activity and feeder data for Modbury Hospital.  There are 11 columns.  Column 1 is the Data source, Column 2 is the number of records from source, Column 3 is the number of records in costing system, Column 4 is the variance between Column 2 and 3, Column 5 is the number of records linked to acute, column 6 is the number of records linked to emergency, Column 7 is the number of records linked to non-admitted, column 8 is the total linked records, column 9 is the number linked to other, column 10 is the number of unlinked records and column 11 is the % of linked to source."/>
      </w:tblPr>
      <w:tblGrid>
        <w:gridCol w:w="1178"/>
        <w:gridCol w:w="754"/>
        <w:gridCol w:w="754"/>
        <w:gridCol w:w="756"/>
        <w:gridCol w:w="754"/>
        <w:gridCol w:w="756"/>
        <w:gridCol w:w="753"/>
        <w:gridCol w:w="753"/>
        <w:gridCol w:w="755"/>
        <w:gridCol w:w="753"/>
        <w:gridCol w:w="755"/>
      </w:tblGrid>
      <w:tr w:rsidR="003E3288" w:rsidRPr="0096374D" w:rsidTr="00E14378">
        <w:trPr>
          <w:trHeight w:val="794"/>
        </w:trPr>
        <w:tc>
          <w:tcPr>
            <w:tcW w:w="675" w:type="pct"/>
            <w:tcBorders>
              <w:top w:val="single" w:sz="4" w:space="0" w:color="5B9BD5"/>
              <w:left w:val="single" w:sz="4" w:space="0" w:color="5B9BD5"/>
              <w:bottom w:val="nil"/>
              <w:right w:val="nil"/>
            </w:tcBorders>
            <w:shd w:val="clear" w:color="auto" w:fill="002060"/>
            <w:vAlign w:val="bottom"/>
            <w:hideMark/>
          </w:tcPr>
          <w:p w:rsidR="0096374D" w:rsidRPr="00CD1518" w:rsidRDefault="0096374D" w:rsidP="0096374D">
            <w:pPr>
              <w:spacing w:line="240" w:lineRule="auto"/>
              <w:rPr>
                <w:b/>
                <w:bCs/>
                <w:color w:val="FFFFFF"/>
                <w:sz w:val="12"/>
                <w:szCs w:val="12"/>
                <w:lang w:eastAsia="en-AU"/>
              </w:rPr>
            </w:pPr>
            <w:r w:rsidRPr="00CD1518">
              <w:rPr>
                <w:b/>
                <w:bCs/>
                <w:color w:val="FFFFFF"/>
                <w:sz w:val="12"/>
                <w:szCs w:val="12"/>
                <w:lang w:eastAsia="en-AU"/>
              </w:rPr>
              <w:t>Data</w:t>
            </w:r>
          </w:p>
        </w:tc>
        <w:tc>
          <w:tcPr>
            <w:tcW w:w="432" w:type="pct"/>
            <w:tcBorders>
              <w:top w:val="single" w:sz="4" w:space="0" w:color="5B9BD5"/>
              <w:left w:val="single" w:sz="4" w:space="0" w:color="5B9BD5"/>
              <w:bottom w:val="nil"/>
              <w:right w:val="single" w:sz="4" w:space="0" w:color="5B9BD5"/>
            </w:tcBorders>
            <w:shd w:val="clear" w:color="auto" w:fill="002060"/>
            <w:vAlign w:val="bottom"/>
            <w:hideMark/>
          </w:tcPr>
          <w:p w:rsidR="0096374D" w:rsidRPr="00CD1518" w:rsidRDefault="0096374D" w:rsidP="0096374D">
            <w:pPr>
              <w:spacing w:line="240" w:lineRule="auto"/>
              <w:jc w:val="center"/>
              <w:rPr>
                <w:b/>
                <w:bCs/>
                <w:color w:val="FFFFFF"/>
                <w:sz w:val="12"/>
                <w:szCs w:val="12"/>
                <w:lang w:eastAsia="en-AU"/>
              </w:rPr>
            </w:pPr>
            <w:r w:rsidRPr="00CD1518">
              <w:rPr>
                <w:b/>
                <w:bCs/>
                <w:color w:val="FFFFFF"/>
                <w:sz w:val="12"/>
                <w:szCs w:val="12"/>
                <w:lang w:eastAsia="en-AU"/>
              </w:rPr>
              <w:t># Records from Source</w:t>
            </w:r>
          </w:p>
        </w:tc>
        <w:tc>
          <w:tcPr>
            <w:tcW w:w="432" w:type="pct"/>
            <w:tcBorders>
              <w:top w:val="single" w:sz="4" w:space="0" w:color="5B9BD5"/>
              <w:left w:val="nil"/>
              <w:bottom w:val="nil"/>
              <w:right w:val="nil"/>
            </w:tcBorders>
            <w:shd w:val="clear" w:color="auto" w:fill="002060"/>
            <w:vAlign w:val="bottom"/>
            <w:hideMark/>
          </w:tcPr>
          <w:p w:rsidR="0096374D" w:rsidRPr="00CD1518" w:rsidRDefault="0096374D" w:rsidP="0096374D">
            <w:pPr>
              <w:spacing w:line="240" w:lineRule="auto"/>
              <w:jc w:val="center"/>
              <w:rPr>
                <w:b/>
                <w:bCs/>
                <w:color w:val="FFFFFF"/>
                <w:sz w:val="12"/>
                <w:szCs w:val="12"/>
                <w:lang w:eastAsia="en-AU"/>
              </w:rPr>
            </w:pPr>
            <w:r w:rsidRPr="00CD1518">
              <w:rPr>
                <w:b/>
                <w:bCs/>
                <w:color w:val="FFFFFF"/>
                <w:sz w:val="12"/>
                <w:szCs w:val="12"/>
                <w:lang w:eastAsia="en-AU"/>
              </w:rPr>
              <w:t># Records in costing system</w:t>
            </w:r>
          </w:p>
        </w:tc>
        <w:tc>
          <w:tcPr>
            <w:tcW w:w="433" w:type="pct"/>
            <w:tcBorders>
              <w:top w:val="single" w:sz="4" w:space="0" w:color="5B9BD5"/>
              <w:left w:val="single" w:sz="4" w:space="0" w:color="5B9BD5"/>
              <w:bottom w:val="nil"/>
              <w:right w:val="single" w:sz="4" w:space="0" w:color="5B9BD5"/>
            </w:tcBorders>
            <w:shd w:val="clear" w:color="auto" w:fill="002060"/>
            <w:vAlign w:val="bottom"/>
            <w:hideMark/>
          </w:tcPr>
          <w:p w:rsidR="0096374D" w:rsidRPr="00CD1518" w:rsidRDefault="0096374D" w:rsidP="0096374D">
            <w:pPr>
              <w:spacing w:line="240" w:lineRule="auto"/>
              <w:jc w:val="center"/>
              <w:rPr>
                <w:b/>
                <w:bCs/>
                <w:color w:val="FFFFFF"/>
                <w:sz w:val="12"/>
                <w:szCs w:val="12"/>
                <w:lang w:eastAsia="en-AU"/>
              </w:rPr>
            </w:pPr>
            <w:r w:rsidRPr="00CD1518">
              <w:rPr>
                <w:b/>
                <w:bCs/>
                <w:color w:val="FFFFFF"/>
                <w:sz w:val="12"/>
                <w:szCs w:val="12"/>
                <w:lang w:eastAsia="en-AU"/>
              </w:rPr>
              <w:t>Variance</w:t>
            </w:r>
          </w:p>
        </w:tc>
        <w:tc>
          <w:tcPr>
            <w:tcW w:w="432" w:type="pct"/>
            <w:tcBorders>
              <w:top w:val="single" w:sz="4" w:space="0" w:color="5B9BD5"/>
              <w:left w:val="nil"/>
              <w:bottom w:val="nil"/>
              <w:right w:val="nil"/>
            </w:tcBorders>
            <w:shd w:val="clear" w:color="auto" w:fill="002060"/>
            <w:vAlign w:val="bottom"/>
            <w:hideMark/>
          </w:tcPr>
          <w:p w:rsidR="0096374D" w:rsidRPr="00CD1518" w:rsidRDefault="0096374D" w:rsidP="0096374D">
            <w:pPr>
              <w:spacing w:line="240" w:lineRule="auto"/>
              <w:jc w:val="center"/>
              <w:rPr>
                <w:b/>
                <w:bCs/>
                <w:color w:val="FFFFFF"/>
                <w:sz w:val="12"/>
                <w:szCs w:val="12"/>
                <w:lang w:eastAsia="en-AU"/>
              </w:rPr>
            </w:pPr>
            <w:r w:rsidRPr="00CD1518">
              <w:rPr>
                <w:b/>
                <w:bCs/>
                <w:color w:val="FFFFFF"/>
                <w:sz w:val="12"/>
                <w:szCs w:val="12"/>
                <w:lang w:eastAsia="en-AU"/>
              </w:rPr>
              <w:t># Records linked to Acute</w:t>
            </w:r>
          </w:p>
        </w:tc>
        <w:tc>
          <w:tcPr>
            <w:tcW w:w="433" w:type="pct"/>
            <w:tcBorders>
              <w:top w:val="single" w:sz="4" w:space="0" w:color="5B9BD5"/>
              <w:left w:val="single" w:sz="4" w:space="0" w:color="5B9BD5"/>
              <w:bottom w:val="nil"/>
              <w:right w:val="single" w:sz="4" w:space="0" w:color="5B9BD5"/>
            </w:tcBorders>
            <w:shd w:val="clear" w:color="auto" w:fill="002060"/>
            <w:vAlign w:val="bottom"/>
            <w:hideMark/>
          </w:tcPr>
          <w:p w:rsidR="0096374D" w:rsidRPr="00CD1518" w:rsidRDefault="0096374D">
            <w:pPr>
              <w:spacing w:line="240" w:lineRule="auto"/>
              <w:jc w:val="center"/>
              <w:rPr>
                <w:b/>
                <w:bCs/>
                <w:color w:val="FFFFFF"/>
                <w:sz w:val="12"/>
                <w:szCs w:val="12"/>
                <w:lang w:eastAsia="en-AU"/>
              </w:rPr>
            </w:pPr>
            <w:r w:rsidRPr="00CD1518">
              <w:rPr>
                <w:b/>
                <w:bCs/>
                <w:color w:val="FFFFFF"/>
                <w:sz w:val="12"/>
                <w:szCs w:val="12"/>
                <w:lang w:eastAsia="en-AU"/>
              </w:rPr>
              <w:t xml:space="preserve"># Records linked to </w:t>
            </w:r>
            <w:proofErr w:type="spellStart"/>
            <w:r w:rsidRPr="00CD1518">
              <w:rPr>
                <w:b/>
                <w:bCs/>
                <w:color w:val="FFFFFF"/>
                <w:sz w:val="12"/>
                <w:szCs w:val="12"/>
                <w:lang w:eastAsia="en-AU"/>
              </w:rPr>
              <w:t>Emerg</w:t>
            </w:r>
            <w:proofErr w:type="spellEnd"/>
            <w:r w:rsidR="008977A0">
              <w:rPr>
                <w:b/>
                <w:bCs/>
                <w:color w:val="FFFFFF"/>
                <w:sz w:val="12"/>
                <w:szCs w:val="12"/>
                <w:lang w:eastAsia="en-AU"/>
              </w:rPr>
              <w:t>.</w:t>
            </w:r>
          </w:p>
        </w:tc>
        <w:tc>
          <w:tcPr>
            <w:tcW w:w="432" w:type="pct"/>
            <w:tcBorders>
              <w:top w:val="single" w:sz="4" w:space="0" w:color="5B9BD5"/>
              <w:left w:val="nil"/>
              <w:bottom w:val="nil"/>
              <w:right w:val="single" w:sz="4" w:space="0" w:color="5B9BD5"/>
            </w:tcBorders>
            <w:shd w:val="clear" w:color="auto" w:fill="002060"/>
            <w:vAlign w:val="bottom"/>
            <w:hideMark/>
          </w:tcPr>
          <w:p w:rsidR="0096374D" w:rsidRPr="00CD1518" w:rsidRDefault="0096374D" w:rsidP="0096374D">
            <w:pPr>
              <w:spacing w:line="240" w:lineRule="auto"/>
              <w:jc w:val="center"/>
              <w:rPr>
                <w:b/>
                <w:bCs/>
                <w:color w:val="FFFFFF"/>
                <w:sz w:val="12"/>
                <w:szCs w:val="12"/>
                <w:lang w:eastAsia="en-AU"/>
              </w:rPr>
            </w:pPr>
            <w:r w:rsidRPr="00CD1518">
              <w:rPr>
                <w:b/>
                <w:bCs/>
                <w:color w:val="FFFFFF"/>
                <w:sz w:val="12"/>
                <w:szCs w:val="12"/>
                <w:lang w:eastAsia="en-AU"/>
              </w:rPr>
              <w:t xml:space="preserve"># Records linked to Non-admitted </w:t>
            </w:r>
          </w:p>
        </w:tc>
        <w:tc>
          <w:tcPr>
            <w:tcW w:w="432" w:type="pct"/>
            <w:tcBorders>
              <w:top w:val="single" w:sz="4" w:space="0" w:color="5B9BD5"/>
              <w:left w:val="nil"/>
              <w:bottom w:val="nil"/>
              <w:right w:val="single" w:sz="4" w:space="0" w:color="5B9BD5"/>
            </w:tcBorders>
            <w:shd w:val="clear" w:color="auto" w:fill="002060"/>
            <w:vAlign w:val="bottom"/>
            <w:hideMark/>
          </w:tcPr>
          <w:p w:rsidR="0096374D" w:rsidRPr="00CD1518" w:rsidRDefault="0096374D" w:rsidP="0096374D">
            <w:pPr>
              <w:spacing w:line="240" w:lineRule="auto"/>
              <w:jc w:val="center"/>
              <w:rPr>
                <w:b/>
                <w:bCs/>
                <w:color w:val="FFFFFF"/>
                <w:sz w:val="12"/>
                <w:szCs w:val="12"/>
                <w:lang w:eastAsia="en-AU"/>
              </w:rPr>
            </w:pPr>
            <w:r w:rsidRPr="00CD1518">
              <w:rPr>
                <w:b/>
                <w:bCs/>
                <w:color w:val="FFFFFF"/>
                <w:sz w:val="12"/>
                <w:szCs w:val="12"/>
                <w:lang w:eastAsia="en-AU"/>
              </w:rPr>
              <w:t>Total Linking Process</w:t>
            </w:r>
          </w:p>
        </w:tc>
        <w:tc>
          <w:tcPr>
            <w:tcW w:w="433" w:type="pct"/>
            <w:tcBorders>
              <w:top w:val="single" w:sz="4" w:space="0" w:color="5B9BD5"/>
              <w:left w:val="nil"/>
              <w:bottom w:val="nil"/>
              <w:right w:val="nil"/>
            </w:tcBorders>
            <w:shd w:val="clear" w:color="auto" w:fill="002060"/>
            <w:vAlign w:val="bottom"/>
            <w:hideMark/>
          </w:tcPr>
          <w:p w:rsidR="0096374D" w:rsidRPr="00CD1518" w:rsidRDefault="0096374D" w:rsidP="0096374D">
            <w:pPr>
              <w:spacing w:line="240" w:lineRule="auto"/>
              <w:jc w:val="center"/>
              <w:rPr>
                <w:b/>
                <w:bCs/>
                <w:color w:val="FFFFFF"/>
                <w:sz w:val="12"/>
                <w:szCs w:val="12"/>
                <w:lang w:eastAsia="en-AU"/>
              </w:rPr>
            </w:pPr>
            <w:r w:rsidRPr="00CD1518">
              <w:rPr>
                <w:b/>
                <w:bCs/>
                <w:color w:val="FFFFFF"/>
                <w:sz w:val="12"/>
                <w:szCs w:val="12"/>
                <w:lang w:eastAsia="en-AU"/>
              </w:rPr>
              <w:t># Records linked to Other</w:t>
            </w:r>
          </w:p>
        </w:tc>
        <w:tc>
          <w:tcPr>
            <w:tcW w:w="432" w:type="pct"/>
            <w:tcBorders>
              <w:top w:val="single" w:sz="4" w:space="0" w:color="5B9BD5"/>
              <w:left w:val="single" w:sz="4" w:space="0" w:color="5B9BD5"/>
              <w:bottom w:val="nil"/>
              <w:right w:val="single" w:sz="4" w:space="0" w:color="5B9BD5"/>
            </w:tcBorders>
            <w:shd w:val="clear" w:color="auto" w:fill="002060"/>
            <w:vAlign w:val="bottom"/>
            <w:hideMark/>
          </w:tcPr>
          <w:p w:rsidR="0096374D" w:rsidRPr="00CD1518" w:rsidRDefault="0096374D" w:rsidP="0096374D">
            <w:pPr>
              <w:spacing w:line="240" w:lineRule="auto"/>
              <w:jc w:val="center"/>
              <w:rPr>
                <w:b/>
                <w:bCs/>
                <w:color w:val="FFFFFF"/>
                <w:sz w:val="12"/>
                <w:szCs w:val="12"/>
                <w:lang w:eastAsia="en-AU"/>
              </w:rPr>
            </w:pPr>
            <w:r w:rsidRPr="00CD1518">
              <w:rPr>
                <w:b/>
                <w:bCs/>
                <w:color w:val="FFFFFF"/>
                <w:sz w:val="12"/>
                <w:szCs w:val="12"/>
                <w:lang w:eastAsia="en-AU"/>
              </w:rPr>
              <w:t># Unlinked records</w:t>
            </w:r>
          </w:p>
        </w:tc>
        <w:tc>
          <w:tcPr>
            <w:tcW w:w="433" w:type="pct"/>
            <w:tcBorders>
              <w:top w:val="single" w:sz="4" w:space="0" w:color="5B9BD5"/>
              <w:left w:val="nil"/>
              <w:bottom w:val="nil"/>
              <w:right w:val="single" w:sz="4" w:space="0" w:color="5B9BD5"/>
            </w:tcBorders>
            <w:shd w:val="clear" w:color="auto" w:fill="002060"/>
            <w:vAlign w:val="bottom"/>
            <w:hideMark/>
          </w:tcPr>
          <w:p w:rsidR="0096374D" w:rsidRPr="00CD1518" w:rsidRDefault="0096374D" w:rsidP="0096374D">
            <w:pPr>
              <w:spacing w:line="240" w:lineRule="auto"/>
              <w:jc w:val="center"/>
              <w:rPr>
                <w:b/>
                <w:bCs/>
                <w:color w:val="FFFFFF"/>
                <w:sz w:val="12"/>
                <w:szCs w:val="12"/>
                <w:lang w:eastAsia="en-AU"/>
              </w:rPr>
            </w:pPr>
            <w:r w:rsidRPr="00CD1518">
              <w:rPr>
                <w:b/>
                <w:bCs/>
                <w:color w:val="FFFFFF"/>
                <w:sz w:val="12"/>
                <w:szCs w:val="12"/>
                <w:lang w:eastAsia="en-AU"/>
              </w:rPr>
              <w:t>% Linked</w:t>
            </w:r>
          </w:p>
        </w:tc>
      </w:tr>
      <w:tr w:rsidR="003E3288" w:rsidRPr="0096374D" w:rsidTr="008977A0">
        <w:trPr>
          <w:trHeight w:val="260"/>
        </w:trPr>
        <w:tc>
          <w:tcPr>
            <w:tcW w:w="675" w:type="pct"/>
            <w:tcBorders>
              <w:top w:val="nil"/>
              <w:left w:val="single" w:sz="4" w:space="0" w:color="5B9BD5"/>
              <w:bottom w:val="nil"/>
              <w:right w:val="nil"/>
            </w:tcBorders>
            <w:shd w:val="clear" w:color="000000" w:fill="D0CECE"/>
            <w:noWrap/>
            <w:vAlign w:val="center"/>
            <w:hideMark/>
          </w:tcPr>
          <w:p w:rsidR="0096374D" w:rsidRPr="00CD1518" w:rsidRDefault="0096374D">
            <w:pPr>
              <w:spacing w:line="240" w:lineRule="auto"/>
              <w:rPr>
                <w:b/>
                <w:bCs/>
                <w:color w:val="000000"/>
                <w:sz w:val="12"/>
                <w:szCs w:val="12"/>
                <w:lang w:eastAsia="en-AU"/>
              </w:rPr>
            </w:pPr>
            <w:r w:rsidRPr="00CD1518">
              <w:rPr>
                <w:b/>
                <w:bCs/>
                <w:color w:val="000000"/>
                <w:sz w:val="12"/>
                <w:szCs w:val="12"/>
                <w:lang w:eastAsia="en-AU"/>
              </w:rPr>
              <w:t>Activity Data</w:t>
            </w:r>
          </w:p>
        </w:tc>
        <w:tc>
          <w:tcPr>
            <w:tcW w:w="432" w:type="pct"/>
            <w:tcBorders>
              <w:top w:val="nil"/>
              <w:left w:val="single" w:sz="4" w:space="0" w:color="5B9BD5"/>
              <w:bottom w:val="nil"/>
              <w:right w:val="single" w:sz="4" w:space="0" w:color="5B9BD5"/>
            </w:tcBorders>
            <w:shd w:val="clear" w:color="000000" w:fill="D0CECE"/>
            <w:noWrap/>
            <w:vAlign w:val="center"/>
            <w:hideMark/>
          </w:tcPr>
          <w:p w:rsidR="0096374D" w:rsidRPr="00CD1518" w:rsidRDefault="0096374D">
            <w:pPr>
              <w:spacing w:line="240" w:lineRule="auto"/>
              <w:rPr>
                <w:b/>
                <w:bCs/>
                <w:color w:val="000000"/>
                <w:sz w:val="12"/>
                <w:szCs w:val="12"/>
                <w:lang w:eastAsia="en-AU"/>
              </w:rPr>
            </w:pPr>
          </w:p>
        </w:tc>
        <w:tc>
          <w:tcPr>
            <w:tcW w:w="432" w:type="pct"/>
            <w:tcBorders>
              <w:top w:val="nil"/>
              <w:left w:val="nil"/>
              <w:bottom w:val="nil"/>
              <w:right w:val="nil"/>
            </w:tcBorders>
            <w:shd w:val="clear" w:color="000000" w:fill="D0CECE"/>
            <w:noWrap/>
            <w:vAlign w:val="center"/>
            <w:hideMark/>
          </w:tcPr>
          <w:p w:rsidR="0096374D" w:rsidRPr="00CD1518" w:rsidRDefault="0096374D">
            <w:pPr>
              <w:spacing w:line="240" w:lineRule="auto"/>
              <w:rPr>
                <w:b/>
                <w:bCs/>
                <w:color w:val="000000"/>
                <w:sz w:val="12"/>
                <w:szCs w:val="12"/>
                <w:lang w:eastAsia="en-AU"/>
              </w:rPr>
            </w:pPr>
          </w:p>
        </w:tc>
        <w:tc>
          <w:tcPr>
            <w:tcW w:w="433" w:type="pct"/>
            <w:tcBorders>
              <w:top w:val="nil"/>
              <w:left w:val="single" w:sz="4" w:space="0" w:color="5B9BD5"/>
              <w:bottom w:val="nil"/>
              <w:right w:val="single" w:sz="4" w:space="0" w:color="5B9BD5"/>
            </w:tcBorders>
            <w:shd w:val="clear" w:color="000000" w:fill="D0CECE"/>
            <w:noWrap/>
            <w:vAlign w:val="center"/>
            <w:hideMark/>
          </w:tcPr>
          <w:p w:rsidR="0096374D" w:rsidRPr="00CD1518" w:rsidRDefault="0096374D">
            <w:pPr>
              <w:spacing w:line="240" w:lineRule="auto"/>
              <w:rPr>
                <w:b/>
                <w:bCs/>
                <w:color w:val="000000"/>
                <w:sz w:val="12"/>
                <w:szCs w:val="12"/>
                <w:lang w:eastAsia="en-AU"/>
              </w:rPr>
            </w:pPr>
          </w:p>
        </w:tc>
        <w:tc>
          <w:tcPr>
            <w:tcW w:w="432" w:type="pct"/>
            <w:tcBorders>
              <w:top w:val="nil"/>
              <w:left w:val="nil"/>
              <w:bottom w:val="nil"/>
              <w:right w:val="nil"/>
            </w:tcBorders>
            <w:shd w:val="clear" w:color="000000" w:fill="D0CECE"/>
            <w:noWrap/>
            <w:vAlign w:val="center"/>
            <w:hideMark/>
          </w:tcPr>
          <w:p w:rsidR="0096374D" w:rsidRPr="00CD1518" w:rsidRDefault="0096374D">
            <w:pPr>
              <w:spacing w:line="240" w:lineRule="auto"/>
              <w:rPr>
                <w:b/>
                <w:bCs/>
                <w:color w:val="000000"/>
                <w:sz w:val="12"/>
                <w:szCs w:val="12"/>
                <w:lang w:eastAsia="en-AU"/>
              </w:rPr>
            </w:pPr>
          </w:p>
        </w:tc>
        <w:tc>
          <w:tcPr>
            <w:tcW w:w="433" w:type="pct"/>
            <w:tcBorders>
              <w:top w:val="nil"/>
              <w:left w:val="single" w:sz="4" w:space="0" w:color="5B9BD5"/>
              <w:bottom w:val="nil"/>
              <w:right w:val="single" w:sz="4" w:space="0" w:color="5B9BD5"/>
            </w:tcBorders>
            <w:shd w:val="clear" w:color="000000" w:fill="D0CECE"/>
            <w:noWrap/>
            <w:vAlign w:val="center"/>
            <w:hideMark/>
          </w:tcPr>
          <w:p w:rsidR="0096374D" w:rsidRPr="00CD1518" w:rsidRDefault="0096374D">
            <w:pPr>
              <w:spacing w:line="240" w:lineRule="auto"/>
              <w:rPr>
                <w:b/>
                <w:bCs/>
                <w:color w:val="000000"/>
                <w:sz w:val="12"/>
                <w:szCs w:val="12"/>
                <w:lang w:eastAsia="en-AU"/>
              </w:rPr>
            </w:pPr>
          </w:p>
        </w:tc>
        <w:tc>
          <w:tcPr>
            <w:tcW w:w="432" w:type="pct"/>
            <w:tcBorders>
              <w:top w:val="nil"/>
              <w:left w:val="nil"/>
              <w:bottom w:val="nil"/>
              <w:right w:val="single" w:sz="4" w:space="0" w:color="5B9BD5"/>
            </w:tcBorders>
            <w:shd w:val="clear" w:color="000000" w:fill="D0CECE"/>
            <w:noWrap/>
            <w:vAlign w:val="center"/>
            <w:hideMark/>
          </w:tcPr>
          <w:p w:rsidR="0096374D" w:rsidRPr="00CD1518" w:rsidRDefault="0096374D">
            <w:pPr>
              <w:spacing w:line="240" w:lineRule="auto"/>
              <w:rPr>
                <w:b/>
                <w:bCs/>
                <w:color w:val="000000"/>
                <w:sz w:val="12"/>
                <w:szCs w:val="12"/>
                <w:lang w:eastAsia="en-AU"/>
              </w:rPr>
            </w:pPr>
          </w:p>
        </w:tc>
        <w:tc>
          <w:tcPr>
            <w:tcW w:w="432" w:type="pct"/>
            <w:tcBorders>
              <w:top w:val="nil"/>
              <w:left w:val="nil"/>
              <w:bottom w:val="nil"/>
              <w:right w:val="single" w:sz="4" w:space="0" w:color="5B9BD5"/>
            </w:tcBorders>
            <w:shd w:val="clear" w:color="000000" w:fill="D0CECE"/>
            <w:noWrap/>
            <w:vAlign w:val="center"/>
            <w:hideMark/>
          </w:tcPr>
          <w:p w:rsidR="0096374D" w:rsidRPr="00CD1518" w:rsidRDefault="0096374D">
            <w:pPr>
              <w:spacing w:line="240" w:lineRule="auto"/>
              <w:rPr>
                <w:b/>
                <w:bCs/>
                <w:color w:val="000000"/>
                <w:sz w:val="12"/>
                <w:szCs w:val="12"/>
                <w:lang w:eastAsia="en-AU"/>
              </w:rPr>
            </w:pPr>
          </w:p>
        </w:tc>
        <w:tc>
          <w:tcPr>
            <w:tcW w:w="433" w:type="pct"/>
            <w:tcBorders>
              <w:top w:val="nil"/>
              <w:left w:val="nil"/>
              <w:bottom w:val="nil"/>
              <w:right w:val="nil"/>
            </w:tcBorders>
            <w:shd w:val="clear" w:color="000000" w:fill="D0CECE"/>
            <w:noWrap/>
            <w:vAlign w:val="center"/>
            <w:hideMark/>
          </w:tcPr>
          <w:p w:rsidR="0096374D" w:rsidRPr="00CD1518" w:rsidRDefault="0096374D">
            <w:pPr>
              <w:spacing w:line="240" w:lineRule="auto"/>
              <w:rPr>
                <w:b/>
                <w:bCs/>
                <w:color w:val="000000"/>
                <w:sz w:val="12"/>
                <w:szCs w:val="12"/>
                <w:lang w:eastAsia="en-AU"/>
              </w:rPr>
            </w:pPr>
          </w:p>
        </w:tc>
        <w:tc>
          <w:tcPr>
            <w:tcW w:w="432" w:type="pct"/>
            <w:tcBorders>
              <w:top w:val="nil"/>
              <w:left w:val="single" w:sz="4" w:space="0" w:color="5B9BD5"/>
              <w:bottom w:val="nil"/>
              <w:right w:val="single" w:sz="4" w:space="0" w:color="5B9BD5"/>
            </w:tcBorders>
            <w:shd w:val="clear" w:color="000000" w:fill="D0CECE"/>
            <w:noWrap/>
            <w:vAlign w:val="center"/>
            <w:hideMark/>
          </w:tcPr>
          <w:p w:rsidR="0096374D" w:rsidRPr="00CD1518" w:rsidRDefault="0096374D">
            <w:pPr>
              <w:spacing w:line="240" w:lineRule="auto"/>
              <w:rPr>
                <w:b/>
                <w:bCs/>
                <w:color w:val="000000"/>
                <w:sz w:val="12"/>
                <w:szCs w:val="12"/>
                <w:lang w:eastAsia="en-AU"/>
              </w:rPr>
            </w:pPr>
          </w:p>
        </w:tc>
        <w:tc>
          <w:tcPr>
            <w:tcW w:w="433" w:type="pct"/>
            <w:tcBorders>
              <w:top w:val="nil"/>
              <w:left w:val="nil"/>
              <w:bottom w:val="nil"/>
              <w:right w:val="single" w:sz="4" w:space="0" w:color="5B9BD5"/>
            </w:tcBorders>
            <w:shd w:val="clear" w:color="000000" w:fill="D0CECE"/>
            <w:noWrap/>
            <w:vAlign w:val="center"/>
            <w:hideMark/>
          </w:tcPr>
          <w:p w:rsidR="0096374D" w:rsidRPr="00CD1518" w:rsidRDefault="0096374D">
            <w:pPr>
              <w:spacing w:line="240" w:lineRule="auto"/>
              <w:rPr>
                <w:b/>
                <w:bCs/>
                <w:color w:val="000000"/>
                <w:sz w:val="12"/>
                <w:szCs w:val="12"/>
                <w:lang w:eastAsia="en-AU"/>
              </w:rPr>
            </w:pPr>
          </w:p>
        </w:tc>
      </w:tr>
      <w:tr w:rsidR="008900DD" w:rsidRPr="0096374D" w:rsidTr="008977A0">
        <w:trPr>
          <w:trHeight w:val="260"/>
        </w:trPr>
        <w:tc>
          <w:tcPr>
            <w:tcW w:w="675" w:type="pct"/>
            <w:tcBorders>
              <w:top w:val="nil"/>
              <w:left w:val="single" w:sz="4" w:space="0" w:color="5B9BD5"/>
              <w:bottom w:val="nil"/>
              <w:right w:val="nil"/>
            </w:tcBorders>
            <w:shd w:val="clear" w:color="000000" w:fill="FFFFFF"/>
            <w:noWrap/>
            <w:vAlign w:val="center"/>
            <w:hideMark/>
          </w:tcPr>
          <w:p w:rsidR="0096374D" w:rsidRPr="00CD1518" w:rsidRDefault="0096374D">
            <w:pPr>
              <w:spacing w:line="240" w:lineRule="auto"/>
              <w:rPr>
                <w:color w:val="000000"/>
                <w:sz w:val="12"/>
                <w:szCs w:val="12"/>
                <w:lang w:eastAsia="en-AU"/>
              </w:rPr>
            </w:pPr>
            <w:r w:rsidRPr="00CD1518">
              <w:rPr>
                <w:color w:val="000000"/>
                <w:sz w:val="12"/>
                <w:szCs w:val="12"/>
                <w:lang w:eastAsia="en-AU"/>
              </w:rPr>
              <w:t>PAS</w:t>
            </w:r>
          </w:p>
        </w:tc>
        <w:tc>
          <w:tcPr>
            <w:tcW w:w="432"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16,708</w:t>
            </w:r>
          </w:p>
        </w:tc>
        <w:tc>
          <w:tcPr>
            <w:tcW w:w="432"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16,708</w:t>
            </w:r>
          </w:p>
        </w:tc>
        <w:tc>
          <w:tcPr>
            <w:tcW w:w="433"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r>
      <w:tr w:rsidR="008900DD" w:rsidRPr="0096374D" w:rsidTr="008977A0">
        <w:trPr>
          <w:trHeight w:val="260"/>
        </w:trPr>
        <w:tc>
          <w:tcPr>
            <w:tcW w:w="675" w:type="pct"/>
            <w:tcBorders>
              <w:top w:val="nil"/>
              <w:left w:val="single" w:sz="4" w:space="0" w:color="5B9BD5"/>
              <w:bottom w:val="nil"/>
              <w:right w:val="nil"/>
            </w:tcBorders>
            <w:shd w:val="clear" w:color="000000" w:fill="DDEBF7"/>
            <w:noWrap/>
            <w:vAlign w:val="center"/>
            <w:hideMark/>
          </w:tcPr>
          <w:p w:rsidR="0096374D" w:rsidRPr="00CD1518" w:rsidRDefault="0096374D">
            <w:pPr>
              <w:spacing w:line="240" w:lineRule="auto"/>
              <w:rPr>
                <w:sz w:val="12"/>
                <w:szCs w:val="12"/>
                <w:lang w:eastAsia="en-AU"/>
              </w:rPr>
            </w:pPr>
            <w:r w:rsidRPr="00CD1518">
              <w:rPr>
                <w:sz w:val="12"/>
                <w:szCs w:val="12"/>
                <w:lang w:eastAsia="en-AU"/>
              </w:rPr>
              <w:t>Emergency</w:t>
            </w:r>
          </w:p>
        </w:tc>
        <w:tc>
          <w:tcPr>
            <w:tcW w:w="432"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sz w:val="12"/>
                <w:szCs w:val="12"/>
                <w:lang w:eastAsia="en-AU"/>
              </w:rPr>
            </w:pPr>
            <w:r w:rsidRPr="00CD1518">
              <w:rPr>
                <w:sz w:val="12"/>
                <w:szCs w:val="12"/>
                <w:lang w:eastAsia="en-AU"/>
              </w:rPr>
              <w:t>35,639</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sz w:val="12"/>
                <w:szCs w:val="12"/>
                <w:lang w:eastAsia="en-AU"/>
              </w:rPr>
            </w:pPr>
            <w:r w:rsidRPr="00CD1518">
              <w:rPr>
                <w:sz w:val="12"/>
                <w:szCs w:val="12"/>
                <w:lang w:eastAsia="en-AU"/>
              </w:rPr>
              <w:t>35,158</w:t>
            </w:r>
          </w:p>
        </w:tc>
        <w:tc>
          <w:tcPr>
            <w:tcW w:w="433"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(481)</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sz w:val="12"/>
                <w:szCs w:val="12"/>
                <w:lang w:eastAsia="en-AU"/>
              </w:rPr>
            </w:pPr>
            <w:r w:rsidRPr="00CD1518">
              <w:rPr>
                <w:sz w:val="12"/>
                <w:szCs w:val="12"/>
                <w:lang w:eastAsia="en-AU"/>
              </w:rPr>
              <w:t>-</w:t>
            </w:r>
          </w:p>
        </w:tc>
        <w:tc>
          <w:tcPr>
            <w:tcW w:w="433"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sz w:val="12"/>
                <w:szCs w:val="12"/>
                <w:lang w:eastAsia="en-AU"/>
              </w:rPr>
            </w:pPr>
            <w:r w:rsidRPr="00CD1518">
              <w:rPr>
                <w:sz w:val="12"/>
                <w:szCs w:val="12"/>
                <w:lang w:eastAsia="en-AU"/>
              </w:rPr>
              <w:t>-</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sz w:val="12"/>
                <w:szCs w:val="12"/>
                <w:lang w:eastAsia="en-AU"/>
              </w:rPr>
            </w:pPr>
            <w:r w:rsidRPr="00CD1518">
              <w:rPr>
                <w:sz w:val="12"/>
                <w:szCs w:val="12"/>
                <w:lang w:eastAsia="en-AU"/>
              </w:rPr>
              <w:t>-</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sz w:val="12"/>
                <w:szCs w:val="12"/>
                <w:lang w:eastAsia="en-AU"/>
              </w:rPr>
            </w:pPr>
            <w:r w:rsidRPr="00CD1518">
              <w:rPr>
                <w:sz w:val="12"/>
                <w:szCs w:val="12"/>
                <w:lang w:eastAsia="en-AU"/>
              </w:rPr>
              <w:t>-</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sz w:val="12"/>
                <w:szCs w:val="12"/>
                <w:lang w:eastAsia="en-AU"/>
              </w:rPr>
            </w:pPr>
            <w:r w:rsidRPr="00CD1518">
              <w:rPr>
                <w:sz w:val="12"/>
                <w:szCs w:val="12"/>
                <w:lang w:eastAsia="en-AU"/>
              </w:rPr>
              <w:t>-</w:t>
            </w:r>
          </w:p>
        </w:tc>
        <w:tc>
          <w:tcPr>
            <w:tcW w:w="433"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sz w:val="12"/>
                <w:szCs w:val="12"/>
                <w:lang w:eastAsia="en-AU"/>
              </w:rPr>
            </w:pPr>
            <w:r w:rsidRPr="00CD1518">
              <w:rPr>
                <w:sz w:val="12"/>
                <w:szCs w:val="12"/>
                <w:lang w:eastAsia="en-AU"/>
              </w:rPr>
              <w:t>-</w:t>
            </w:r>
          </w:p>
        </w:tc>
      </w:tr>
      <w:tr w:rsidR="008900DD" w:rsidRPr="0096374D" w:rsidTr="008977A0">
        <w:trPr>
          <w:trHeight w:val="260"/>
        </w:trPr>
        <w:tc>
          <w:tcPr>
            <w:tcW w:w="675" w:type="pct"/>
            <w:tcBorders>
              <w:top w:val="nil"/>
              <w:left w:val="single" w:sz="4" w:space="0" w:color="5B9BD5"/>
              <w:bottom w:val="single" w:sz="4" w:space="0" w:color="5B9BD5"/>
              <w:right w:val="nil"/>
            </w:tcBorders>
            <w:shd w:val="clear" w:color="000000" w:fill="FFFFFF"/>
            <w:noWrap/>
            <w:vAlign w:val="center"/>
            <w:hideMark/>
          </w:tcPr>
          <w:p w:rsidR="0096374D" w:rsidRPr="00CD1518" w:rsidRDefault="0096374D">
            <w:pPr>
              <w:spacing w:line="240" w:lineRule="auto"/>
              <w:rPr>
                <w:color w:val="000000"/>
                <w:sz w:val="12"/>
                <w:szCs w:val="12"/>
                <w:lang w:eastAsia="en-AU"/>
              </w:rPr>
            </w:pPr>
            <w:r w:rsidRPr="00CD1518">
              <w:rPr>
                <w:color w:val="000000"/>
                <w:sz w:val="12"/>
                <w:szCs w:val="12"/>
                <w:lang w:eastAsia="en-AU"/>
              </w:rPr>
              <w:t>Non-admitted</w:t>
            </w:r>
          </w:p>
        </w:tc>
        <w:tc>
          <w:tcPr>
            <w:tcW w:w="432" w:type="pct"/>
            <w:tcBorders>
              <w:top w:val="nil"/>
              <w:left w:val="single" w:sz="4" w:space="0" w:color="5B9BD5"/>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45,743</w:t>
            </w:r>
          </w:p>
        </w:tc>
        <w:tc>
          <w:tcPr>
            <w:tcW w:w="432"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45,743</w:t>
            </w:r>
          </w:p>
        </w:tc>
        <w:tc>
          <w:tcPr>
            <w:tcW w:w="433"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r>
      <w:tr w:rsidR="008900DD" w:rsidRPr="0096374D" w:rsidTr="008977A0">
        <w:trPr>
          <w:trHeight w:val="260"/>
        </w:trPr>
        <w:tc>
          <w:tcPr>
            <w:tcW w:w="675" w:type="pct"/>
            <w:tcBorders>
              <w:top w:val="nil"/>
              <w:left w:val="single" w:sz="4" w:space="0" w:color="5B9BD5"/>
              <w:bottom w:val="nil"/>
              <w:right w:val="nil"/>
            </w:tcBorders>
            <w:shd w:val="clear" w:color="000000" w:fill="DDEBF7"/>
            <w:noWrap/>
            <w:vAlign w:val="center"/>
            <w:hideMark/>
          </w:tcPr>
          <w:p w:rsidR="0096374D" w:rsidRPr="00CD1518" w:rsidRDefault="0096374D">
            <w:pPr>
              <w:spacing w:line="240" w:lineRule="auto"/>
              <w:rPr>
                <w:b/>
                <w:bCs/>
                <w:color w:val="000000"/>
                <w:sz w:val="12"/>
                <w:szCs w:val="12"/>
                <w:lang w:eastAsia="en-AU"/>
              </w:rPr>
            </w:pPr>
            <w:r w:rsidRPr="00CD1518">
              <w:rPr>
                <w:b/>
                <w:bCs/>
                <w:color w:val="000000"/>
                <w:sz w:val="12"/>
                <w:szCs w:val="12"/>
                <w:lang w:eastAsia="en-AU"/>
              </w:rPr>
              <w:t>TOTAL</w:t>
            </w:r>
          </w:p>
        </w:tc>
        <w:tc>
          <w:tcPr>
            <w:tcW w:w="432"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b/>
                <w:bCs/>
                <w:color w:val="000000"/>
                <w:sz w:val="12"/>
                <w:szCs w:val="12"/>
                <w:lang w:eastAsia="en-AU"/>
              </w:rPr>
            </w:pPr>
            <w:r w:rsidRPr="00CD1518">
              <w:rPr>
                <w:b/>
                <w:bCs/>
                <w:color w:val="000000"/>
                <w:sz w:val="12"/>
                <w:szCs w:val="12"/>
                <w:lang w:eastAsia="en-AU"/>
              </w:rPr>
              <w:t>98,090</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b/>
                <w:bCs/>
                <w:color w:val="000000"/>
                <w:sz w:val="12"/>
                <w:szCs w:val="12"/>
                <w:lang w:eastAsia="en-AU"/>
              </w:rPr>
            </w:pPr>
            <w:r w:rsidRPr="00CD1518">
              <w:rPr>
                <w:b/>
                <w:bCs/>
                <w:color w:val="000000"/>
                <w:sz w:val="12"/>
                <w:szCs w:val="12"/>
                <w:lang w:eastAsia="en-AU"/>
              </w:rPr>
              <w:t>97,609</w:t>
            </w:r>
          </w:p>
        </w:tc>
        <w:tc>
          <w:tcPr>
            <w:tcW w:w="433"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b/>
                <w:bCs/>
                <w:color w:val="000000"/>
                <w:sz w:val="12"/>
                <w:szCs w:val="12"/>
                <w:lang w:eastAsia="en-AU"/>
              </w:rPr>
            </w:pPr>
            <w:r w:rsidRPr="00CD1518">
              <w:rPr>
                <w:b/>
                <w:bCs/>
                <w:color w:val="000000"/>
                <w:sz w:val="12"/>
                <w:szCs w:val="12"/>
                <w:lang w:eastAsia="en-AU"/>
              </w:rPr>
              <w:t>(481)</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433"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433"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433"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b/>
                <w:bCs/>
                <w:color w:val="000000"/>
                <w:sz w:val="12"/>
                <w:szCs w:val="12"/>
                <w:lang w:eastAsia="en-AU"/>
              </w:rPr>
            </w:pPr>
          </w:p>
        </w:tc>
      </w:tr>
      <w:tr w:rsidR="003E3288" w:rsidRPr="0096374D" w:rsidTr="008977A0">
        <w:trPr>
          <w:trHeight w:val="260"/>
        </w:trPr>
        <w:tc>
          <w:tcPr>
            <w:tcW w:w="675" w:type="pct"/>
            <w:tcBorders>
              <w:top w:val="nil"/>
              <w:left w:val="single" w:sz="4" w:space="0" w:color="5B9BD5"/>
              <w:bottom w:val="nil"/>
              <w:right w:val="nil"/>
            </w:tcBorders>
            <w:shd w:val="clear" w:color="000000" w:fill="D0CECE"/>
            <w:noWrap/>
            <w:vAlign w:val="center"/>
            <w:hideMark/>
          </w:tcPr>
          <w:p w:rsidR="0096374D" w:rsidRPr="00CD1518" w:rsidRDefault="0096374D">
            <w:pPr>
              <w:spacing w:line="240" w:lineRule="auto"/>
              <w:rPr>
                <w:b/>
                <w:bCs/>
                <w:color w:val="000000"/>
                <w:sz w:val="12"/>
                <w:szCs w:val="12"/>
                <w:lang w:eastAsia="en-AU"/>
              </w:rPr>
            </w:pPr>
            <w:r w:rsidRPr="00CD1518">
              <w:rPr>
                <w:b/>
                <w:bCs/>
                <w:color w:val="000000"/>
                <w:sz w:val="12"/>
                <w:szCs w:val="12"/>
                <w:lang w:eastAsia="en-AU"/>
              </w:rPr>
              <w:t>Feeder Data</w:t>
            </w:r>
          </w:p>
        </w:tc>
        <w:tc>
          <w:tcPr>
            <w:tcW w:w="432" w:type="pct"/>
            <w:tcBorders>
              <w:top w:val="nil"/>
              <w:left w:val="single" w:sz="4" w:space="0" w:color="5B9BD5"/>
              <w:bottom w:val="nil"/>
              <w:right w:val="single" w:sz="4" w:space="0" w:color="5B9BD5"/>
            </w:tcBorders>
            <w:shd w:val="clear" w:color="000000" w:fill="D0CECE"/>
            <w:noWrap/>
            <w:vAlign w:val="center"/>
            <w:hideMark/>
          </w:tcPr>
          <w:p w:rsidR="0096374D" w:rsidRPr="00CD1518" w:rsidRDefault="0096374D" w:rsidP="00CD1518">
            <w:pPr>
              <w:spacing w:line="240" w:lineRule="auto"/>
              <w:jc w:val="right"/>
              <w:rPr>
                <w:b/>
                <w:bCs/>
                <w:color w:val="000000"/>
                <w:sz w:val="12"/>
                <w:szCs w:val="12"/>
                <w:lang w:eastAsia="en-AU"/>
              </w:rPr>
            </w:pPr>
          </w:p>
        </w:tc>
        <w:tc>
          <w:tcPr>
            <w:tcW w:w="432" w:type="pct"/>
            <w:tcBorders>
              <w:top w:val="nil"/>
              <w:left w:val="nil"/>
              <w:bottom w:val="nil"/>
              <w:right w:val="nil"/>
            </w:tcBorders>
            <w:shd w:val="clear" w:color="000000" w:fill="D0CECE"/>
            <w:noWrap/>
            <w:vAlign w:val="center"/>
            <w:hideMark/>
          </w:tcPr>
          <w:p w:rsidR="0096374D" w:rsidRPr="00CD1518" w:rsidRDefault="0096374D" w:rsidP="00CD1518">
            <w:pPr>
              <w:spacing w:line="240" w:lineRule="auto"/>
              <w:jc w:val="right"/>
              <w:rPr>
                <w:b/>
                <w:bCs/>
                <w:color w:val="000000"/>
                <w:sz w:val="12"/>
                <w:szCs w:val="12"/>
                <w:lang w:eastAsia="en-AU"/>
              </w:rPr>
            </w:pPr>
          </w:p>
        </w:tc>
        <w:tc>
          <w:tcPr>
            <w:tcW w:w="433" w:type="pct"/>
            <w:tcBorders>
              <w:top w:val="nil"/>
              <w:left w:val="single" w:sz="4" w:space="0" w:color="5B9BD5"/>
              <w:bottom w:val="nil"/>
              <w:right w:val="single" w:sz="4" w:space="0" w:color="5B9BD5"/>
            </w:tcBorders>
            <w:shd w:val="clear" w:color="000000" w:fill="D0CECE"/>
            <w:noWrap/>
            <w:vAlign w:val="center"/>
            <w:hideMark/>
          </w:tcPr>
          <w:p w:rsidR="0096374D" w:rsidRPr="00CD1518" w:rsidRDefault="0096374D" w:rsidP="00CD1518">
            <w:pPr>
              <w:spacing w:line="240" w:lineRule="auto"/>
              <w:jc w:val="right"/>
              <w:rPr>
                <w:b/>
                <w:bCs/>
                <w:color w:val="000000"/>
                <w:sz w:val="12"/>
                <w:szCs w:val="12"/>
                <w:lang w:eastAsia="en-AU"/>
              </w:rPr>
            </w:pPr>
          </w:p>
        </w:tc>
        <w:tc>
          <w:tcPr>
            <w:tcW w:w="432" w:type="pct"/>
            <w:tcBorders>
              <w:top w:val="nil"/>
              <w:left w:val="nil"/>
              <w:bottom w:val="nil"/>
              <w:right w:val="nil"/>
            </w:tcBorders>
            <w:shd w:val="clear" w:color="000000" w:fill="D0CECE"/>
            <w:noWrap/>
            <w:vAlign w:val="center"/>
            <w:hideMark/>
          </w:tcPr>
          <w:p w:rsidR="0096374D" w:rsidRPr="00CD1518" w:rsidRDefault="0096374D" w:rsidP="00CD1518">
            <w:pPr>
              <w:spacing w:line="240" w:lineRule="auto"/>
              <w:jc w:val="right"/>
              <w:rPr>
                <w:b/>
                <w:bCs/>
                <w:color w:val="000000"/>
                <w:sz w:val="12"/>
                <w:szCs w:val="12"/>
                <w:lang w:eastAsia="en-AU"/>
              </w:rPr>
            </w:pPr>
          </w:p>
        </w:tc>
        <w:tc>
          <w:tcPr>
            <w:tcW w:w="433" w:type="pct"/>
            <w:tcBorders>
              <w:top w:val="nil"/>
              <w:left w:val="single" w:sz="4" w:space="0" w:color="5B9BD5"/>
              <w:bottom w:val="nil"/>
              <w:right w:val="single" w:sz="4" w:space="0" w:color="5B9BD5"/>
            </w:tcBorders>
            <w:shd w:val="clear" w:color="000000" w:fill="D0CECE"/>
            <w:noWrap/>
            <w:vAlign w:val="center"/>
            <w:hideMark/>
          </w:tcPr>
          <w:p w:rsidR="0096374D" w:rsidRPr="00CD1518" w:rsidRDefault="0096374D" w:rsidP="00CD1518">
            <w:pPr>
              <w:spacing w:line="240" w:lineRule="auto"/>
              <w:jc w:val="right"/>
              <w:rPr>
                <w:b/>
                <w:bCs/>
                <w:color w:val="000000"/>
                <w:sz w:val="12"/>
                <w:szCs w:val="12"/>
                <w:lang w:eastAsia="en-AU"/>
              </w:rPr>
            </w:pPr>
          </w:p>
        </w:tc>
        <w:tc>
          <w:tcPr>
            <w:tcW w:w="432" w:type="pct"/>
            <w:tcBorders>
              <w:top w:val="nil"/>
              <w:left w:val="nil"/>
              <w:bottom w:val="nil"/>
              <w:right w:val="single" w:sz="4" w:space="0" w:color="5B9BD5"/>
            </w:tcBorders>
            <w:shd w:val="clear" w:color="000000" w:fill="D0CECE"/>
            <w:noWrap/>
            <w:vAlign w:val="center"/>
            <w:hideMark/>
          </w:tcPr>
          <w:p w:rsidR="0096374D" w:rsidRPr="00CD1518" w:rsidRDefault="0096374D" w:rsidP="00CD1518">
            <w:pPr>
              <w:spacing w:line="240" w:lineRule="auto"/>
              <w:jc w:val="right"/>
              <w:rPr>
                <w:b/>
                <w:bCs/>
                <w:color w:val="000000"/>
                <w:sz w:val="12"/>
                <w:szCs w:val="12"/>
                <w:lang w:eastAsia="en-AU"/>
              </w:rPr>
            </w:pPr>
          </w:p>
        </w:tc>
        <w:tc>
          <w:tcPr>
            <w:tcW w:w="432" w:type="pct"/>
            <w:tcBorders>
              <w:top w:val="nil"/>
              <w:left w:val="nil"/>
              <w:bottom w:val="nil"/>
              <w:right w:val="single" w:sz="4" w:space="0" w:color="5B9BD5"/>
            </w:tcBorders>
            <w:shd w:val="clear" w:color="000000" w:fill="D0CECE"/>
            <w:noWrap/>
            <w:vAlign w:val="center"/>
            <w:hideMark/>
          </w:tcPr>
          <w:p w:rsidR="0096374D" w:rsidRPr="00CD1518" w:rsidRDefault="0096374D" w:rsidP="00CD1518">
            <w:pPr>
              <w:spacing w:line="240" w:lineRule="auto"/>
              <w:jc w:val="right"/>
              <w:rPr>
                <w:b/>
                <w:bCs/>
                <w:color w:val="000000"/>
                <w:sz w:val="12"/>
                <w:szCs w:val="12"/>
                <w:lang w:eastAsia="en-AU"/>
              </w:rPr>
            </w:pPr>
          </w:p>
        </w:tc>
        <w:tc>
          <w:tcPr>
            <w:tcW w:w="433" w:type="pct"/>
            <w:tcBorders>
              <w:top w:val="nil"/>
              <w:left w:val="nil"/>
              <w:bottom w:val="nil"/>
              <w:right w:val="nil"/>
            </w:tcBorders>
            <w:shd w:val="clear" w:color="000000" w:fill="D0CECE"/>
            <w:noWrap/>
            <w:vAlign w:val="center"/>
            <w:hideMark/>
          </w:tcPr>
          <w:p w:rsidR="0096374D" w:rsidRPr="00CD1518" w:rsidRDefault="0096374D" w:rsidP="00CD1518">
            <w:pPr>
              <w:spacing w:line="240" w:lineRule="auto"/>
              <w:jc w:val="right"/>
              <w:rPr>
                <w:b/>
                <w:bCs/>
                <w:color w:val="000000"/>
                <w:sz w:val="12"/>
                <w:szCs w:val="12"/>
                <w:lang w:eastAsia="en-AU"/>
              </w:rPr>
            </w:pPr>
          </w:p>
        </w:tc>
        <w:tc>
          <w:tcPr>
            <w:tcW w:w="432" w:type="pct"/>
            <w:tcBorders>
              <w:top w:val="nil"/>
              <w:left w:val="single" w:sz="4" w:space="0" w:color="5B9BD5"/>
              <w:bottom w:val="nil"/>
              <w:right w:val="single" w:sz="4" w:space="0" w:color="5B9BD5"/>
            </w:tcBorders>
            <w:shd w:val="clear" w:color="000000" w:fill="D0CECE"/>
            <w:noWrap/>
            <w:vAlign w:val="center"/>
            <w:hideMark/>
          </w:tcPr>
          <w:p w:rsidR="0096374D" w:rsidRPr="00CD1518" w:rsidRDefault="0096374D" w:rsidP="00CD1518">
            <w:pPr>
              <w:spacing w:line="240" w:lineRule="auto"/>
              <w:jc w:val="right"/>
              <w:rPr>
                <w:b/>
                <w:bCs/>
                <w:color w:val="000000"/>
                <w:sz w:val="12"/>
                <w:szCs w:val="12"/>
                <w:lang w:eastAsia="en-AU"/>
              </w:rPr>
            </w:pPr>
          </w:p>
        </w:tc>
        <w:tc>
          <w:tcPr>
            <w:tcW w:w="433" w:type="pct"/>
            <w:tcBorders>
              <w:top w:val="nil"/>
              <w:left w:val="nil"/>
              <w:bottom w:val="nil"/>
              <w:right w:val="single" w:sz="4" w:space="0" w:color="5B9BD5"/>
            </w:tcBorders>
            <w:shd w:val="clear" w:color="000000" w:fill="D0CECE"/>
            <w:noWrap/>
            <w:vAlign w:val="center"/>
            <w:hideMark/>
          </w:tcPr>
          <w:p w:rsidR="0096374D" w:rsidRPr="00CD1518" w:rsidRDefault="0096374D" w:rsidP="00CD1518">
            <w:pPr>
              <w:spacing w:line="240" w:lineRule="auto"/>
              <w:jc w:val="right"/>
              <w:rPr>
                <w:b/>
                <w:bCs/>
                <w:color w:val="000000"/>
                <w:sz w:val="12"/>
                <w:szCs w:val="12"/>
                <w:lang w:eastAsia="en-AU"/>
              </w:rPr>
            </w:pPr>
          </w:p>
        </w:tc>
      </w:tr>
      <w:tr w:rsidR="008900DD" w:rsidRPr="0096374D" w:rsidTr="008977A0">
        <w:trPr>
          <w:trHeight w:val="260"/>
        </w:trPr>
        <w:tc>
          <w:tcPr>
            <w:tcW w:w="675" w:type="pct"/>
            <w:tcBorders>
              <w:top w:val="nil"/>
              <w:left w:val="single" w:sz="4" w:space="0" w:color="5B9BD5"/>
              <w:bottom w:val="nil"/>
              <w:right w:val="nil"/>
            </w:tcBorders>
            <w:shd w:val="clear" w:color="000000" w:fill="FFFFFF"/>
            <w:noWrap/>
            <w:vAlign w:val="center"/>
            <w:hideMark/>
          </w:tcPr>
          <w:p w:rsidR="0096374D" w:rsidRPr="00CD1518" w:rsidRDefault="0096374D">
            <w:pPr>
              <w:spacing w:line="240" w:lineRule="auto"/>
              <w:rPr>
                <w:color w:val="000000"/>
                <w:sz w:val="12"/>
                <w:szCs w:val="12"/>
                <w:lang w:eastAsia="en-AU"/>
              </w:rPr>
            </w:pPr>
            <w:r w:rsidRPr="00CD1518">
              <w:rPr>
                <w:color w:val="000000"/>
                <w:sz w:val="12"/>
                <w:szCs w:val="12"/>
                <w:lang w:eastAsia="en-AU"/>
              </w:rPr>
              <w:t>Allied Health</w:t>
            </w:r>
          </w:p>
        </w:tc>
        <w:tc>
          <w:tcPr>
            <w:tcW w:w="432"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33,623</w:t>
            </w:r>
          </w:p>
        </w:tc>
        <w:tc>
          <w:tcPr>
            <w:tcW w:w="432"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33,623</w:t>
            </w:r>
          </w:p>
        </w:tc>
        <w:tc>
          <w:tcPr>
            <w:tcW w:w="433"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21,880</w:t>
            </w:r>
          </w:p>
        </w:tc>
        <w:tc>
          <w:tcPr>
            <w:tcW w:w="433"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164</w:t>
            </w:r>
          </w:p>
        </w:tc>
        <w:tc>
          <w:tcPr>
            <w:tcW w:w="432"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11,579</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33,623</w:t>
            </w:r>
          </w:p>
        </w:tc>
        <w:tc>
          <w:tcPr>
            <w:tcW w:w="433"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5B9BD5"/>
            </w:tcBorders>
            <w:shd w:val="clear" w:color="000000" w:fill="FFFFFF"/>
            <w:noWrap/>
            <w:vAlign w:val="center"/>
            <w:hideMark/>
          </w:tcPr>
          <w:p w:rsidR="0096374D" w:rsidRPr="00CD1518" w:rsidRDefault="0096374D">
            <w:pPr>
              <w:spacing w:line="240" w:lineRule="auto"/>
              <w:jc w:val="right"/>
              <w:rPr>
                <w:color w:val="000000"/>
                <w:sz w:val="12"/>
                <w:szCs w:val="12"/>
                <w:lang w:eastAsia="en-AU"/>
              </w:rPr>
            </w:pPr>
            <w:r w:rsidRPr="00CD1518">
              <w:rPr>
                <w:color w:val="000000"/>
                <w:sz w:val="12"/>
                <w:szCs w:val="12"/>
                <w:lang w:eastAsia="en-AU"/>
              </w:rPr>
              <w:t>100.0%</w:t>
            </w:r>
          </w:p>
        </w:tc>
      </w:tr>
      <w:tr w:rsidR="003E3288" w:rsidRPr="0096374D" w:rsidTr="008977A0">
        <w:trPr>
          <w:trHeight w:val="260"/>
        </w:trPr>
        <w:tc>
          <w:tcPr>
            <w:tcW w:w="675" w:type="pct"/>
            <w:tcBorders>
              <w:top w:val="nil"/>
              <w:left w:val="single" w:sz="4" w:space="0" w:color="5B9BD5"/>
              <w:bottom w:val="nil"/>
              <w:right w:val="nil"/>
            </w:tcBorders>
            <w:shd w:val="clear" w:color="000000" w:fill="DDEBF7"/>
            <w:noWrap/>
            <w:vAlign w:val="center"/>
            <w:hideMark/>
          </w:tcPr>
          <w:p w:rsidR="0096374D" w:rsidRPr="00CD1518" w:rsidRDefault="0096374D">
            <w:pPr>
              <w:spacing w:line="240" w:lineRule="auto"/>
              <w:rPr>
                <w:color w:val="000000"/>
                <w:sz w:val="12"/>
                <w:szCs w:val="12"/>
                <w:lang w:eastAsia="en-AU"/>
              </w:rPr>
            </w:pPr>
            <w:r w:rsidRPr="00CD1518">
              <w:rPr>
                <w:color w:val="000000"/>
                <w:sz w:val="12"/>
                <w:szCs w:val="12"/>
                <w:lang w:eastAsia="en-AU"/>
              </w:rPr>
              <w:t>ED Resuscitation</w:t>
            </w:r>
          </w:p>
        </w:tc>
        <w:tc>
          <w:tcPr>
            <w:tcW w:w="432"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1,765</w:t>
            </w:r>
          </w:p>
        </w:tc>
        <w:tc>
          <w:tcPr>
            <w:tcW w:w="432" w:type="pct"/>
            <w:tcBorders>
              <w:top w:val="nil"/>
              <w:left w:val="nil"/>
              <w:bottom w:val="nil"/>
              <w:right w:val="nil"/>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1,765</w:t>
            </w:r>
          </w:p>
        </w:tc>
        <w:tc>
          <w:tcPr>
            <w:tcW w:w="433"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nil"/>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26</w:t>
            </w:r>
          </w:p>
        </w:tc>
        <w:tc>
          <w:tcPr>
            <w:tcW w:w="433"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1,718</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1,744</w:t>
            </w:r>
          </w:p>
        </w:tc>
        <w:tc>
          <w:tcPr>
            <w:tcW w:w="433" w:type="pct"/>
            <w:tcBorders>
              <w:top w:val="nil"/>
              <w:left w:val="nil"/>
              <w:bottom w:val="nil"/>
              <w:right w:val="nil"/>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21</w:t>
            </w:r>
          </w:p>
        </w:tc>
        <w:tc>
          <w:tcPr>
            <w:tcW w:w="433" w:type="pct"/>
            <w:tcBorders>
              <w:top w:val="nil"/>
              <w:left w:val="nil"/>
              <w:bottom w:val="nil"/>
              <w:right w:val="single" w:sz="4" w:space="0" w:color="5B9BD5"/>
            </w:tcBorders>
            <w:shd w:val="clear" w:color="000000" w:fill="DDEBF7"/>
            <w:noWrap/>
            <w:vAlign w:val="center"/>
            <w:hideMark/>
          </w:tcPr>
          <w:p w:rsidR="0096374D" w:rsidRPr="00CD1518" w:rsidRDefault="0096374D">
            <w:pPr>
              <w:spacing w:line="240" w:lineRule="auto"/>
              <w:jc w:val="right"/>
              <w:rPr>
                <w:color w:val="000000"/>
                <w:sz w:val="12"/>
                <w:szCs w:val="12"/>
                <w:lang w:eastAsia="en-AU"/>
              </w:rPr>
            </w:pPr>
            <w:r w:rsidRPr="00CD1518">
              <w:rPr>
                <w:color w:val="000000"/>
                <w:sz w:val="12"/>
                <w:szCs w:val="12"/>
                <w:lang w:eastAsia="en-AU"/>
              </w:rPr>
              <w:t>98.8%</w:t>
            </w:r>
          </w:p>
        </w:tc>
      </w:tr>
      <w:tr w:rsidR="003E3288" w:rsidRPr="0096374D" w:rsidTr="008977A0">
        <w:trPr>
          <w:trHeight w:val="260"/>
        </w:trPr>
        <w:tc>
          <w:tcPr>
            <w:tcW w:w="675" w:type="pct"/>
            <w:tcBorders>
              <w:top w:val="nil"/>
              <w:left w:val="single" w:sz="4" w:space="0" w:color="5B9BD5"/>
              <w:bottom w:val="nil"/>
              <w:right w:val="nil"/>
            </w:tcBorders>
            <w:shd w:val="clear" w:color="000000" w:fill="FFFFFF"/>
            <w:noWrap/>
            <w:vAlign w:val="center"/>
            <w:hideMark/>
          </w:tcPr>
          <w:p w:rsidR="0096374D" w:rsidRPr="00CD1518" w:rsidRDefault="0096374D">
            <w:pPr>
              <w:spacing w:line="240" w:lineRule="auto"/>
              <w:rPr>
                <w:color w:val="000000"/>
                <w:sz w:val="12"/>
                <w:szCs w:val="12"/>
                <w:lang w:eastAsia="en-AU"/>
              </w:rPr>
            </w:pPr>
            <w:r w:rsidRPr="00CD1518">
              <w:rPr>
                <w:color w:val="000000"/>
                <w:sz w:val="12"/>
                <w:szCs w:val="12"/>
                <w:lang w:eastAsia="en-AU"/>
              </w:rPr>
              <w:t>Imaging</w:t>
            </w:r>
          </w:p>
        </w:tc>
        <w:tc>
          <w:tcPr>
            <w:tcW w:w="432"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36,101</w:t>
            </w:r>
          </w:p>
        </w:tc>
        <w:tc>
          <w:tcPr>
            <w:tcW w:w="432" w:type="pct"/>
            <w:tcBorders>
              <w:top w:val="nil"/>
              <w:left w:val="nil"/>
              <w:bottom w:val="nil"/>
              <w:right w:val="nil"/>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36,101</w:t>
            </w:r>
          </w:p>
        </w:tc>
        <w:tc>
          <w:tcPr>
            <w:tcW w:w="433"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nil"/>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11,653</w:t>
            </w:r>
          </w:p>
        </w:tc>
        <w:tc>
          <w:tcPr>
            <w:tcW w:w="433"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20,027</w:t>
            </w:r>
          </w:p>
        </w:tc>
        <w:tc>
          <w:tcPr>
            <w:tcW w:w="432"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3,704</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35,384</w:t>
            </w:r>
          </w:p>
        </w:tc>
        <w:tc>
          <w:tcPr>
            <w:tcW w:w="433" w:type="pct"/>
            <w:tcBorders>
              <w:top w:val="nil"/>
              <w:left w:val="nil"/>
              <w:bottom w:val="nil"/>
              <w:right w:val="nil"/>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717</w:t>
            </w:r>
          </w:p>
        </w:tc>
        <w:tc>
          <w:tcPr>
            <w:tcW w:w="432"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5B9BD5"/>
            </w:tcBorders>
            <w:shd w:val="clear" w:color="000000" w:fill="FFFFFF"/>
            <w:noWrap/>
            <w:vAlign w:val="center"/>
            <w:hideMark/>
          </w:tcPr>
          <w:p w:rsidR="0096374D" w:rsidRPr="00CD1518" w:rsidRDefault="0096374D">
            <w:pPr>
              <w:spacing w:line="240" w:lineRule="auto"/>
              <w:jc w:val="right"/>
              <w:rPr>
                <w:color w:val="000000"/>
                <w:sz w:val="12"/>
                <w:szCs w:val="12"/>
                <w:lang w:eastAsia="en-AU"/>
              </w:rPr>
            </w:pPr>
            <w:r w:rsidRPr="00CD1518">
              <w:rPr>
                <w:color w:val="000000"/>
                <w:sz w:val="12"/>
                <w:szCs w:val="12"/>
                <w:lang w:eastAsia="en-AU"/>
              </w:rPr>
              <w:t>98.0%</w:t>
            </w:r>
          </w:p>
        </w:tc>
      </w:tr>
      <w:tr w:rsidR="003E3288" w:rsidRPr="0096374D" w:rsidTr="008977A0">
        <w:trPr>
          <w:trHeight w:val="260"/>
        </w:trPr>
        <w:tc>
          <w:tcPr>
            <w:tcW w:w="675" w:type="pct"/>
            <w:tcBorders>
              <w:top w:val="nil"/>
              <w:left w:val="single" w:sz="4" w:space="0" w:color="5B9BD5"/>
              <w:bottom w:val="nil"/>
              <w:right w:val="nil"/>
            </w:tcBorders>
            <w:shd w:val="clear" w:color="000000" w:fill="DDEBF7"/>
            <w:noWrap/>
            <w:vAlign w:val="center"/>
            <w:hideMark/>
          </w:tcPr>
          <w:p w:rsidR="0096374D" w:rsidRPr="00CD1518" w:rsidRDefault="0096374D">
            <w:pPr>
              <w:spacing w:line="240" w:lineRule="auto"/>
              <w:rPr>
                <w:color w:val="000000"/>
                <w:sz w:val="12"/>
                <w:szCs w:val="12"/>
                <w:lang w:eastAsia="en-AU"/>
              </w:rPr>
            </w:pPr>
            <w:r w:rsidRPr="00CD1518">
              <w:rPr>
                <w:color w:val="000000"/>
                <w:sz w:val="12"/>
                <w:szCs w:val="12"/>
                <w:lang w:eastAsia="en-AU"/>
              </w:rPr>
              <w:t>Medical ED</w:t>
            </w:r>
          </w:p>
        </w:tc>
        <w:tc>
          <w:tcPr>
            <w:tcW w:w="432"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35,158</w:t>
            </w:r>
          </w:p>
        </w:tc>
        <w:tc>
          <w:tcPr>
            <w:tcW w:w="432" w:type="pct"/>
            <w:tcBorders>
              <w:top w:val="nil"/>
              <w:left w:val="nil"/>
              <w:bottom w:val="nil"/>
              <w:right w:val="nil"/>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35,158</w:t>
            </w:r>
          </w:p>
        </w:tc>
        <w:tc>
          <w:tcPr>
            <w:tcW w:w="433"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nil"/>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35,158</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35,158</w:t>
            </w:r>
          </w:p>
        </w:tc>
        <w:tc>
          <w:tcPr>
            <w:tcW w:w="433" w:type="pct"/>
            <w:tcBorders>
              <w:top w:val="nil"/>
              <w:left w:val="nil"/>
              <w:bottom w:val="nil"/>
              <w:right w:val="nil"/>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5B9BD5"/>
            </w:tcBorders>
            <w:shd w:val="clear" w:color="000000" w:fill="DDEBF7"/>
            <w:noWrap/>
            <w:vAlign w:val="center"/>
            <w:hideMark/>
          </w:tcPr>
          <w:p w:rsidR="0096374D" w:rsidRPr="00CD1518" w:rsidRDefault="0096374D">
            <w:pPr>
              <w:spacing w:line="240" w:lineRule="auto"/>
              <w:jc w:val="right"/>
              <w:rPr>
                <w:color w:val="000000"/>
                <w:sz w:val="12"/>
                <w:szCs w:val="12"/>
                <w:lang w:eastAsia="en-AU"/>
              </w:rPr>
            </w:pPr>
            <w:r w:rsidRPr="00CD1518">
              <w:rPr>
                <w:color w:val="000000"/>
                <w:sz w:val="12"/>
                <w:szCs w:val="12"/>
                <w:lang w:eastAsia="en-AU"/>
              </w:rPr>
              <w:t>100.0%</w:t>
            </w:r>
          </w:p>
        </w:tc>
      </w:tr>
      <w:tr w:rsidR="003E3288" w:rsidRPr="0096374D" w:rsidTr="008977A0">
        <w:trPr>
          <w:trHeight w:val="260"/>
        </w:trPr>
        <w:tc>
          <w:tcPr>
            <w:tcW w:w="675" w:type="pct"/>
            <w:tcBorders>
              <w:top w:val="nil"/>
              <w:left w:val="single" w:sz="4" w:space="0" w:color="5B9BD5"/>
              <w:bottom w:val="nil"/>
              <w:right w:val="nil"/>
            </w:tcBorders>
            <w:shd w:val="clear" w:color="000000" w:fill="FFFFFF"/>
            <w:noWrap/>
            <w:vAlign w:val="center"/>
            <w:hideMark/>
          </w:tcPr>
          <w:p w:rsidR="0096374D" w:rsidRPr="00CD1518" w:rsidRDefault="0096374D">
            <w:pPr>
              <w:spacing w:line="240" w:lineRule="auto"/>
              <w:rPr>
                <w:color w:val="000000"/>
                <w:sz w:val="12"/>
                <w:szCs w:val="12"/>
                <w:lang w:eastAsia="en-AU"/>
              </w:rPr>
            </w:pPr>
            <w:r w:rsidRPr="00CD1518">
              <w:rPr>
                <w:color w:val="000000"/>
                <w:sz w:val="12"/>
                <w:szCs w:val="12"/>
                <w:lang w:eastAsia="en-AU"/>
              </w:rPr>
              <w:t>Nursing ED</w:t>
            </w:r>
          </w:p>
        </w:tc>
        <w:tc>
          <w:tcPr>
            <w:tcW w:w="432"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35,158</w:t>
            </w:r>
          </w:p>
        </w:tc>
        <w:tc>
          <w:tcPr>
            <w:tcW w:w="432" w:type="pct"/>
            <w:tcBorders>
              <w:top w:val="nil"/>
              <w:left w:val="nil"/>
              <w:bottom w:val="nil"/>
              <w:right w:val="nil"/>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35,158</w:t>
            </w:r>
          </w:p>
        </w:tc>
        <w:tc>
          <w:tcPr>
            <w:tcW w:w="433"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nil"/>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35,158</w:t>
            </w:r>
          </w:p>
        </w:tc>
        <w:tc>
          <w:tcPr>
            <w:tcW w:w="432"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35,158</w:t>
            </w:r>
          </w:p>
        </w:tc>
        <w:tc>
          <w:tcPr>
            <w:tcW w:w="433" w:type="pct"/>
            <w:tcBorders>
              <w:top w:val="nil"/>
              <w:left w:val="nil"/>
              <w:bottom w:val="nil"/>
              <w:right w:val="nil"/>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5B9BD5"/>
            </w:tcBorders>
            <w:shd w:val="clear" w:color="000000" w:fill="FFFFFF"/>
            <w:noWrap/>
            <w:vAlign w:val="center"/>
            <w:hideMark/>
          </w:tcPr>
          <w:p w:rsidR="0096374D" w:rsidRPr="00CD1518" w:rsidRDefault="0096374D">
            <w:pPr>
              <w:spacing w:line="240" w:lineRule="auto"/>
              <w:jc w:val="right"/>
              <w:rPr>
                <w:color w:val="000000"/>
                <w:sz w:val="12"/>
                <w:szCs w:val="12"/>
                <w:lang w:eastAsia="en-AU"/>
              </w:rPr>
            </w:pPr>
            <w:r w:rsidRPr="00CD1518">
              <w:rPr>
                <w:color w:val="000000"/>
                <w:sz w:val="12"/>
                <w:szCs w:val="12"/>
                <w:lang w:eastAsia="en-AU"/>
              </w:rPr>
              <w:t>100.0%</w:t>
            </w:r>
          </w:p>
        </w:tc>
      </w:tr>
      <w:tr w:rsidR="003E3288" w:rsidRPr="0096374D" w:rsidTr="008977A0">
        <w:trPr>
          <w:trHeight w:val="260"/>
        </w:trPr>
        <w:tc>
          <w:tcPr>
            <w:tcW w:w="675" w:type="pct"/>
            <w:tcBorders>
              <w:top w:val="nil"/>
              <w:left w:val="single" w:sz="4" w:space="0" w:color="5B9BD5"/>
              <w:bottom w:val="nil"/>
              <w:right w:val="nil"/>
            </w:tcBorders>
            <w:shd w:val="clear" w:color="000000" w:fill="DDEBF7"/>
            <w:noWrap/>
            <w:vAlign w:val="center"/>
            <w:hideMark/>
          </w:tcPr>
          <w:p w:rsidR="0096374D" w:rsidRPr="00CD1518" w:rsidRDefault="0096374D">
            <w:pPr>
              <w:spacing w:line="240" w:lineRule="auto"/>
              <w:rPr>
                <w:color w:val="000000"/>
                <w:sz w:val="12"/>
                <w:szCs w:val="12"/>
                <w:lang w:eastAsia="en-AU"/>
              </w:rPr>
            </w:pPr>
            <w:r w:rsidRPr="00CD1518">
              <w:rPr>
                <w:color w:val="000000"/>
                <w:sz w:val="12"/>
                <w:szCs w:val="12"/>
                <w:lang w:eastAsia="en-AU"/>
              </w:rPr>
              <w:t>Pathology</w:t>
            </w:r>
          </w:p>
        </w:tc>
        <w:tc>
          <w:tcPr>
            <w:tcW w:w="432"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142,277</w:t>
            </w:r>
          </w:p>
        </w:tc>
        <w:tc>
          <w:tcPr>
            <w:tcW w:w="432" w:type="pct"/>
            <w:tcBorders>
              <w:top w:val="nil"/>
              <w:left w:val="nil"/>
              <w:bottom w:val="nil"/>
              <w:right w:val="nil"/>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142,277</w:t>
            </w:r>
          </w:p>
        </w:tc>
        <w:tc>
          <w:tcPr>
            <w:tcW w:w="433"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nil"/>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64,082</w:t>
            </w:r>
          </w:p>
        </w:tc>
        <w:tc>
          <w:tcPr>
            <w:tcW w:w="433"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66,953</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7,716</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138,751</w:t>
            </w:r>
          </w:p>
        </w:tc>
        <w:tc>
          <w:tcPr>
            <w:tcW w:w="433" w:type="pct"/>
            <w:tcBorders>
              <w:top w:val="nil"/>
              <w:left w:val="nil"/>
              <w:bottom w:val="nil"/>
              <w:right w:val="nil"/>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3,526</w:t>
            </w:r>
          </w:p>
        </w:tc>
        <w:tc>
          <w:tcPr>
            <w:tcW w:w="432"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5B9BD5"/>
            </w:tcBorders>
            <w:shd w:val="clear" w:color="000000" w:fill="DDEBF7"/>
            <w:noWrap/>
            <w:vAlign w:val="center"/>
            <w:hideMark/>
          </w:tcPr>
          <w:p w:rsidR="0096374D" w:rsidRPr="00CD1518" w:rsidRDefault="0096374D">
            <w:pPr>
              <w:spacing w:line="240" w:lineRule="auto"/>
              <w:jc w:val="right"/>
              <w:rPr>
                <w:color w:val="000000"/>
                <w:sz w:val="12"/>
                <w:szCs w:val="12"/>
                <w:lang w:eastAsia="en-AU"/>
              </w:rPr>
            </w:pPr>
            <w:r w:rsidRPr="00CD1518">
              <w:rPr>
                <w:color w:val="000000"/>
                <w:sz w:val="12"/>
                <w:szCs w:val="12"/>
                <w:lang w:eastAsia="en-AU"/>
              </w:rPr>
              <w:t>97.5%</w:t>
            </w:r>
          </w:p>
        </w:tc>
      </w:tr>
      <w:tr w:rsidR="003E3288" w:rsidRPr="0096374D" w:rsidTr="008977A0">
        <w:trPr>
          <w:trHeight w:val="260"/>
        </w:trPr>
        <w:tc>
          <w:tcPr>
            <w:tcW w:w="675" w:type="pct"/>
            <w:tcBorders>
              <w:top w:val="nil"/>
              <w:left w:val="single" w:sz="4" w:space="0" w:color="5B9BD5"/>
              <w:bottom w:val="nil"/>
              <w:right w:val="nil"/>
            </w:tcBorders>
            <w:shd w:val="clear" w:color="auto" w:fill="auto"/>
            <w:noWrap/>
            <w:vAlign w:val="center"/>
            <w:hideMark/>
          </w:tcPr>
          <w:p w:rsidR="0096374D" w:rsidRPr="00CD1518" w:rsidRDefault="0096374D">
            <w:pPr>
              <w:spacing w:line="240" w:lineRule="auto"/>
              <w:rPr>
                <w:color w:val="000000"/>
                <w:sz w:val="12"/>
                <w:szCs w:val="12"/>
                <w:lang w:eastAsia="en-AU"/>
              </w:rPr>
            </w:pPr>
            <w:r w:rsidRPr="00CD1518">
              <w:rPr>
                <w:color w:val="000000"/>
                <w:sz w:val="12"/>
                <w:szCs w:val="12"/>
                <w:lang w:eastAsia="en-AU"/>
              </w:rPr>
              <w:t>Pharmacy</w:t>
            </w:r>
          </w:p>
        </w:tc>
        <w:tc>
          <w:tcPr>
            <w:tcW w:w="432" w:type="pct"/>
            <w:tcBorders>
              <w:top w:val="nil"/>
              <w:left w:val="single" w:sz="4" w:space="0" w:color="5B9BD5"/>
              <w:bottom w:val="nil"/>
              <w:right w:val="single" w:sz="4" w:space="0" w:color="5B9BD5"/>
            </w:tcBorders>
            <w:shd w:val="clear" w:color="auto" w:fill="auto"/>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77,404</w:t>
            </w:r>
          </w:p>
        </w:tc>
        <w:tc>
          <w:tcPr>
            <w:tcW w:w="432" w:type="pct"/>
            <w:tcBorders>
              <w:top w:val="nil"/>
              <w:left w:val="nil"/>
              <w:bottom w:val="nil"/>
              <w:right w:val="nil"/>
            </w:tcBorders>
            <w:shd w:val="clear" w:color="auto" w:fill="auto"/>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77,404</w:t>
            </w:r>
          </w:p>
        </w:tc>
        <w:tc>
          <w:tcPr>
            <w:tcW w:w="433"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nil"/>
            </w:tcBorders>
            <w:shd w:val="clear" w:color="auto" w:fill="auto"/>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56,979</w:t>
            </w:r>
          </w:p>
        </w:tc>
        <w:tc>
          <w:tcPr>
            <w:tcW w:w="433" w:type="pct"/>
            <w:tcBorders>
              <w:top w:val="nil"/>
              <w:left w:val="single" w:sz="4" w:space="0" w:color="5B9BD5"/>
              <w:bottom w:val="nil"/>
              <w:right w:val="single" w:sz="4" w:space="0" w:color="5B9BD5"/>
            </w:tcBorders>
            <w:shd w:val="clear" w:color="auto" w:fill="auto"/>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11,909</w:t>
            </w:r>
          </w:p>
        </w:tc>
        <w:tc>
          <w:tcPr>
            <w:tcW w:w="432" w:type="pct"/>
            <w:tcBorders>
              <w:top w:val="nil"/>
              <w:left w:val="nil"/>
              <w:bottom w:val="nil"/>
              <w:right w:val="single" w:sz="4" w:space="0" w:color="5B9BD5"/>
            </w:tcBorders>
            <w:shd w:val="clear" w:color="auto" w:fill="auto"/>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5,283</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74,171</w:t>
            </w:r>
          </w:p>
        </w:tc>
        <w:tc>
          <w:tcPr>
            <w:tcW w:w="433" w:type="pct"/>
            <w:tcBorders>
              <w:top w:val="nil"/>
              <w:left w:val="nil"/>
              <w:bottom w:val="nil"/>
              <w:right w:val="nil"/>
            </w:tcBorders>
            <w:shd w:val="clear" w:color="auto" w:fill="auto"/>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3,233</w:t>
            </w:r>
          </w:p>
        </w:tc>
        <w:tc>
          <w:tcPr>
            <w:tcW w:w="432" w:type="pct"/>
            <w:tcBorders>
              <w:top w:val="nil"/>
              <w:left w:val="single" w:sz="4" w:space="0" w:color="5B9BD5"/>
              <w:bottom w:val="nil"/>
              <w:right w:val="single" w:sz="4" w:space="0" w:color="5B9BD5"/>
            </w:tcBorders>
            <w:shd w:val="clear" w:color="auto" w:fill="auto"/>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5B9BD5"/>
            </w:tcBorders>
            <w:shd w:val="clear" w:color="auto" w:fill="auto"/>
            <w:noWrap/>
            <w:vAlign w:val="center"/>
            <w:hideMark/>
          </w:tcPr>
          <w:p w:rsidR="0096374D" w:rsidRPr="00CD1518" w:rsidRDefault="0096374D">
            <w:pPr>
              <w:spacing w:line="240" w:lineRule="auto"/>
              <w:jc w:val="right"/>
              <w:rPr>
                <w:color w:val="000000"/>
                <w:sz w:val="12"/>
                <w:szCs w:val="12"/>
                <w:lang w:eastAsia="en-AU"/>
              </w:rPr>
            </w:pPr>
            <w:r w:rsidRPr="00CD1518">
              <w:rPr>
                <w:color w:val="000000"/>
                <w:sz w:val="12"/>
                <w:szCs w:val="12"/>
                <w:lang w:eastAsia="en-AU"/>
              </w:rPr>
              <w:t>95.8%</w:t>
            </w:r>
          </w:p>
        </w:tc>
      </w:tr>
      <w:tr w:rsidR="003E3288" w:rsidRPr="0096374D" w:rsidTr="008977A0">
        <w:trPr>
          <w:trHeight w:val="260"/>
        </w:trPr>
        <w:tc>
          <w:tcPr>
            <w:tcW w:w="675" w:type="pct"/>
            <w:tcBorders>
              <w:top w:val="nil"/>
              <w:left w:val="single" w:sz="4" w:space="0" w:color="5B9BD5"/>
              <w:bottom w:val="nil"/>
              <w:right w:val="nil"/>
            </w:tcBorders>
            <w:shd w:val="clear" w:color="000000" w:fill="DDEBF7"/>
            <w:noWrap/>
            <w:vAlign w:val="center"/>
            <w:hideMark/>
          </w:tcPr>
          <w:p w:rsidR="0096374D" w:rsidRPr="00CD1518" w:rsidRDefault="0096374D">
            <w:pPr>
              <w:spacing w:line="240" w:lineRule="auto"/>
              <w:rPr>
                <w:color w:val="000000"/>
                <w:sz w:val="12"/>
                <w:szCs w:val="12"/>
                <w:lang w:eastAsia="en-AU"/>
              </w:rPr>
            </w:pPr>
            <w:r w:rsidRPr="00CD1518">
              <w:rPr>
                <w:color w:val="000000"/>
                <w:sz w:val="12"/>
                <w:szCs w:val="12"/>
                <w:lang w:eastAsia="en-AU"/>
              </w:rPr>
              <w:t>Pharmacy S100</w:t>
            </w:r>
          </w:p>
        </w:tc>
        <w:tc>
          <w:tcPr>
            <w:tcW w:w="432"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441</w:t>
            </w:r>
          </w:p>
        </w:tc>
        <w:tc>
          <w:tcPr>
            <w:tcW w:w="432" w:type="pct"/>
            <w:tcBorders>
              <w:top w:val="nil"/>
              <w:left w:val="nil"/>
              <w:bottom w:val="nil"/>
              <w:right w:val="nil"/>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441</w:t>
            </w:r>
          </w:p>
        </w:tc>
        <w:tc>
          <w:tcPr>
            <w:tcW w:w="433"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nil"/>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335</w:t>
            </w:r>
          </w:p>
        </w:tc>
        <w:tc>
          <w:tcPr>
            <w:tcW w:w="433"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10</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79</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424</w:t>
            </w:r>
          </w:p>
        </w:tc>
        <w:tc>
          <w:tcPr>
            <w:tcW w:w="433" w:type="pct"/>
            <w:tcBorders>
              <w:top w:val="nil"/>
              <w:left w:val="nil"/>
              <w:bottom w:val="nil"/>
              <w:right w:val="nil"/>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17</w:t>
            </w:r>
          </w:p>
        </w:tc>
        <w:tc>
          <w:tcPr>
            <w:tcW w:w="432"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3" w:type="pct"/>
            <w:tcBorders>
              <w:top w:val="nil"/>
              <w:left w:val="nil"/>
              <w:bottom w:val="nil"/>
              <w:right w:val="single" w:sz="4" w:space="0" w:color="5B9BD5"/>
            </w:tcBorders>
            <w:shd w:val="clear" w:color="000000" w:fill="DDEBF7"/>
            <w:noWrap/>
            <w:vAlign w:val="center"/>
            <w:hideMark/>
          </w:tcPr>
          <w:p w:rsidR="0096374D" w:rsidRPr="00CD1518" w:rsidRDefault="0096374D">
            <w:pPr>
              <w:spacing w:line="240" w:lineRule="auto"/>
              <w:jc w:val="right"/>
              <w:rPr>
                <w:color w:val="000000"/>
                <w:sz w:val="12"/>
                <w:szCs w:val="12"/>
                <w:lang w:eastAsia="en-AU"/>
              </w:rPr>
            </w:pPr>
            <w:r w:rsidRPr="00CD1518">
              <w:rPr>
                <w:color w:val="000000"/>
                <w:sz w:val="12"/>
                <w:szCs w:val="12"/>
                <w:lang w:eastAsia="en-AU"/>
              </w:rPr>
              <w:t>96.1%</w:t>
            </w:r>
          </w:p>
        </w:tc>
      </w:tr>
      <w:tr w:rsidR="003E3288" w:rsidRPr="0096374D" w:rsidTr="008977A0">
        <w:trPr>
          <w:trHeight w:val="260"/>
        </w:trPr>
        <w:tc>
          <w:tcPr>
            <w:tcW w:w="675" w:type="pct"/>
            <w:tcBorders>
              <w:top w:val="nil"/>
              <w:left w:val="single" w:sz="4" w:space="0" w:color="5B9BD5"/>
              <w:bottom w:val="nil"/>
              <w:right w:val="nil"/>
            </w:tcBorders>
            <w:shd w:val="clear" w:color="auto" w:fill="auto"/>
            <w:noWrap/>
            <w:vAlign w:val="center"/>
            <w:hideMark/>
          </w:tcPr>
          <w:p w:rsidR="0096374D" w:rsidRPr="00CD1518" w:rsidRDefault="0096374D">
            <w:pPr>
              <w:spacing w:line="240" w:lineRule="auto"/>
              <w:rPr>
                <w:color w:val="000000"/>
                <w:sz w:val="12"/>
                <w:szCs w:val="12"/>
                <w:lang w:eastAsia="en-AU"/>
              </w:rPr>
            </w:pPr>
            <w:r w:rsidRPr="00CD1518">
              <w:rPr>
                <w:color w:val="000000"/>
                <w:sz w:val="12"/>
                <w:szCs w:val="12"/>
                <w:lang w:eastAsia="en-AU"/>
              </w:rPr>
              <w:t>Theatre Anaesthesia</w:t>
            </w:r>
          </w:p>
        </w:tc>
        <w:tc>
          <w:tcPr>
            <w:tcW w:w="432" w:type="pct"/>
            <w:tcBorders>
              <w:top w:val="nil"/>
              <w:left w:val="single" w:sz="4" w:space="0" w:color="5B9BD5"/>
              <w:bottom w:val="nil"/>
              <w:right w:val="single" w:sz="4" w:space="0" w:color="5B9BD5"/>
            </w:tcBorders>
            <w:shd w:val="clear" w:color="auto" w:fill="auto"/>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4,498</w:t>
            </w:r>
          </w:p>
        </w:tc>
        <w:tc>
          <w:tcPr>
            <w:tcW w:w="432" w:type="pct"/>
            <w:tcBorders>
              <w:top w:val="nil"/>
              <w:left w:val="nil"/>
              <w:bottom w:val="nil"/>
              <w:right w:val="nil"/>
            </w:tcBorders>
            <w:shd w:val="clear" w:color="auto" w:fill="auto"/>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4,498</w:t>
            </w:r>
          </w:p>
        </w:tc>
        <w:tc>
          <w:tcPr>
            <w:tcW w:w="433"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nil"/>
            </w:tcBorders>
            <w:shd w:val="clear" w:color="auto" w:fill="auto"/>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4,265</w:t>
            </w:r>
          </w:p>
        </w:tc>
        <w:tc>
          <w:tcPr>
            <w:tcW w:w="433" w:type="pct"/>
            <w:tcBorders>
              <w:top w:val="nil"/>
              <w:left w:val="single" w:sz="4" w:space="0" w:color="5B9BD5"/>
              <w:bottom w:val="nil"/>
              <w:right w:val="single" w:sz="4" w:space="0" w:color="5B9BD5"/>
            </w:tcBorders>
            <w:shd w:val="clear" w:color="auto" w:fill="auto"/>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single" w:sz="4" w:space="0" w:color="5B9BD5"/>
            </w:tcBorders>
            <w:shd w:val="clear" w:color="auto" w:fill="auto"/>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224</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4,489</w:t>
            </w:r>
          </w:p>
        </w:tc>
        <w:tc>
          <w:tcPr>
            <w:tcW w:w="433" w:type="pct"/>
            <w:tcBorders>
              <w:top w:val="nil"/>
              <w:left w:val="nil"/>
              <w:bottom w:val="nil"/>
              <w:right w:val="nil"/>
            </w:tcBorders>
            <w:shd w:val="clear" w:color="auto" w:fill="auto"/>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single" w:sz="4" w:space="0" w:color="5B9BD5"/>
              <w:bottom w:val="nil"/>
              <w:right w:val="single" w:sz="4" w:space="0" w:color="5B9BD5"/>
            </w:tcBorders>
            <w:shd w:val="clear" w:color="auto" w:fill="auto"/>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9</w:t>
            </w:r>
          </w:p>
        </w:tc>
        <w:tc>
          <w:tcPr>
            <w:tcW w:w="433" w:type="pct"/>
            <w:tcBorders>
              <w:top w:val="nil"/>
              <w:left w:val="nil"/>
              <w:bottom w:val="nil"/>
              <w:right w:val="single" w:sz="4" w:space="0" w:color="5B9BD5"/>
            </w:tcBorders>
            <w:shd w:val="clear" w:color="auto" w:fill="auto"/>
            <w:noWrap/>
            <w:vAlign w:val="center"/>
            <w:hideMark/>
          </w:tcPr>
          <w:p w:rsidR="0096374D" w:rsidRPr="00CD1518" w:rsidRDefault="0096374D">
            <w:pPr>
              <w:spacing w:line="240" w:lineRule="auto"/>
              <w:jc w:val="right"/>
              <w:rPr>
                <w:color w:val="000000"/>
                <w:sz w:val="12"/>
                <w:szCs w:val="12"/>
                <w:lang w:eastAsia="en-AU"/>
              </w:rPr>
            </w:pPr>
            <w:r w:rsidRPr="00CD1518">
              <w:rPr>
                <w:color w:val="000000"/>
                <w:sz w:val="12"/>
                <w:szCs w:val="12"/>
                <w:lang w:eastAsia="en-AU"/>
              </w:rPr>
              <w:t>99.8%</w:t>
            </w:r>
          </w:p>
        </w:tc>
      </w:tr>
      <w:tr w:rsidR="003E3288" w:rsidRPr="0096374D" w:rsidTr="008977A0">
        <w:trPr>
          <w:trHeight w:val="260"/>
        </w:trPr>
        <w:tc>
          <w:tcPr>
            <w:tcW w:w="675" w:type="pct"/>
            <w:tcBorders>
              <w:top w:val="nil"/>
              <w:left w:val="single" w:sz="4" w:space="0" w:color="5B9BD5"/>
              <w:bottom w:val="nil"/>
              <w:right w:val="nil"/>
            </w:tcBorders>
            <w:shd w:val="clear" w:color="000000" w:fill="DDEBF7"/>
            <w:noWrap/>
            <w:vAlign w:val="center"/>
            <w:hideMark/>
          </w:tcPr>
          <w:p w:rsidR="0096374D" w:rsidRPr="00CD1518" w:rsidRDefault="0096374D">
            <w:pPr>
              <w:spacing w:line="240" w:lineRule="auto"/>
              <w:rPr>
                <w:color w:val="000000"/>
                <w:sz w:val="12"/>
                <w:szCs w:val="12"/>
                <w:lang w:eastAsia="en-AU"/>
              </w:rPr>
            </w:pPr>
            <w:r w:rsidRPr="00CD1518">
              <w:rPr>
                <w:color w:val="000000"/>
                <w:sz w:val="12"/>
                <w:szCs w:val="12"/>
                <w:lang w:eastAsia="en-AU"/>
              </w:rPr>
              <w:t>Theatre Nursing</w:t>
            </w:r>
          </w:p>
        </w:tc>
        <w:tc>
          <w:tcPr>
            <w:tcW w:w="432"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4,745</w:t>
            </w:r>
          </w:p>
        </w:tc>
        <w:tc>
          <w:tcPr>
            <w:tcW w:w="432" w:type="pct"/>
            <w:tcBorders>
              <w:top w:val="nil"/>
              <w:left w:val="nil"/>
              <w:bottom w:val="nil"/>
              <w:right w:val="nil"/>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4,745</w:t>
            </w:r>
          </w:p>
        </w:tc>
        <w:tc>
          <w:tcPr>
            <w:tcW w:w="433"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nil"/>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4,406</w:t>
            </w:r>
          </w:p>
        </w:tc>
        <w:tc>
          <w:tcPr>
            <w:tcW w:w="433"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328</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4,734</w:t>
            </w:r>
          </w:p>
        </w:tc>
        <w:tc>
          <w:tcPr>
            <w:tcW w:w="433" w:type="pct"/>
            <w:tcBorders>
              <w:top w:val="nil"/>
              <w:left w:val="nil"/>
              <w:bottom w:val="nil"/>
              <w:right w:val="nil"/>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11</w:t>
            </w:r>
          </w:p>
        </w:tc>
        <w:tc>
          <w:tcPr>
            <w:tcW w:w="433" w:type="pct"/>
            <w:tcBorders>
              <w:top w:val="nil"/>
              <w:left w:val="nil"/>
              <w:bottom w:val="nil"/>
              <w:right w:val="single" w:sz="4" w:space="0" w:color="5B9BD5"/>
            </w:tcBorders>
            <w:shd w:val="clear" w:color="000000" w:fill="DDEBF7"/>
            <w:noWrap/>
            <w:vAlign w:val="center"/>
            <w:hideMark/>
          </w:tcPr>
          <w:p w:rsidR="0096374D" w:rsidRPr="00CD1518" w:rsidRDefault="0096374D">
            <w:pPr>
              <w:spacing w:line="240" w:lineRule="auto"/>
              <w:jc w:val="right"/>
              <w:rPr>
                <w:color w:val="000000"/>
                <w:sz w:val="12"/>
                <w:szCs w:val="12"/>
                <w:lang w:eastAsia="en-AU"/>
              </w:rPr>
            </w:pPr>
            <w:r w:rsidRPr="00CD1518">
              <w:rPr>
                <w:color w:val="000000"/>
                <w:sz w:val="12"/>
                <w:szCs w:val="12"/>
                <w:lang w:eastAsia="en-AU"/>
              </w:rPr>
              <w:t>99.8%</w:t>
            </w:r>
          </w:p>
        </w:tc>
      </w:tr>
      <w:tr w:rsidR="003E3288" w:rsidRPr="0096374D" w:rsidTr="008977A0">
        <w:trPr>
          <w:trHeight w:val="260"/>
        </w:trPr>
        <w:tc>
          <w:tcPr>
            <w:tcW w:w="675" w:type="pct"/>
            <w:tcBorders>
              <w:top w:val="nil"/>
              <w:left w:val="single" w:sz="4" w:space="0" w:color="5B9BD5"/>
              <w:bottom w:val="nil"/>
              <w:right w:val="nil"/>
            </w:tcBorders>
            <w:shd w:val="clear" w:color="000000" w:fill="FFFFFF"/>
            <w:noWrap/>
            <w:vAlign w:val="center"/>
            <w:hideMark/>
          </w:tcPr>
          <w:p w:rsidR="0096374D" w:rsidRPr="00CD1518" w:rsidRDefault="0096374D">
            <w:pPr>
              <w:spacing w:line="240" w:lineRule="auto"/>
              <w:rPr>
                <w:color w:val="000000"/>
                <w:sz w:val="12"/>
                <w:szCs w:val="12"/>
                <w:lang w:eastAsia="en-AU"/>
              </w:rPr>
            </w:pPr>
            <w:r w:rsidRPr="00CD1518">
              <w:rPr>
                <w:color w:val="000000"/>
                <w:sz w:val="12"/>
                <w:szCs w:val="12"/>
                <w:lang w:eastAsia="en-AU"/>
              </w:rPr>
              <w:t>Theatre Recovery</w:t>
            </w:r>
          </w:p>
        </w:tc>
        <w:tc>
          <w:tcPr>
            <w:tcW w:w="432"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4,406</w:t>
            </w:r>
          </w:p>
        </w:tc>
        <w:tc>
          <w:tcPr>
            <w:tcW w:w="432" w:type="pct"/>
            <w:tcBorders>
              <w:top w:val="nil"/>
              <w:left w:val="nil"/>
              <w:bottom w:val="nil"/>
              <w:right w:val="nil"/>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4,406</w:t>
            </w:r>
          </w:p>
        </w:tc>
        <w:tc>
          <w:tcPr>
            <w:tcW w:w="433"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nil"/>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4,180</w:t>
            </w:r>
          </w:p>
        </w:tc>
        <w:tc>
          <w:tcPr>
            <w:tcW w:w="433"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217</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4,397</w:t>
            </w:r>
          </w:p>
        </w:tc>
        <w:tc>
          <w:tcPr>
            <w:tcW w:w="433" w:type="pct"/>
            <w:tcBorders>
              <w:top w:val="nil"/>
              <w:left w:val="nil"/>
              <w:bottom w:val="nil"/>
              <w:right w:val="nil"/>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single" w:sz="4" w:space="0" w:color="5B9BD5"/>
              <w:bottom w:val="nil"/>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9</w:t>
            </w:r>
          </w:p>
        </w:tc>
        <w:tc>
          <w:tcPr>
            <w:tcW w:w="433" w:type="pct"/>
            <w:tcBorders>
              <w:top w:val="nil"/>
              <w:left w:val="nil"/>
              <w:bottom w:val="nil"/>
              <w:right w:val="single" w:sz="4" w:space="0" w:color="5B9BD5"/>
            </w:tcBorders>
            <w:shd w:val="clear" w:color="000000" w:fill="FFFFFF"/>
            <w:noWrap/>
            <w:vAlign w:val="center"/>
            <w:hideMark/>
          </w:tcPr>
          <w:p w:rsidR="0096374D" w:rsidRPr="00CD1518" w:rsidRDefault="0096374D">
            <w:pPr>
              <w:spacing w:line="240" w:lineRule="auto"/>
              <w:jc w:val="right"/>
              <w:rPr>
                <w:color w:val="000000"/>
                <w:sz w:val="12"/>
                <w:szCs w:val="12"/>
                <w:lang w:eastAsia="en-AU"/>
              </w:rPr>
            </w:pPr>
            <w:r w:rsidRPr="00CD1518">
              <w:rPr>
                <w:color w:val="000000"/>
                <w:sz w:val="12"/>
                <w:szCs w:val="12"/>
                <w:lang w:eastAsia="en-AU"/>
              </w:rPr>
              <w:t>99.8%</w:t>
            </w:r>
          </w:p>
        </w:tc>
      </w:tr>
      <w:tr w:rsidR="003E3288" w:rsidRPr="0096374D" w:rsidTr="008977A0">
        <w:trPr>
          <w:trHeight w:val="260"/>
        </w:trPr>
        <w:tc>
          <w:tcPr>
            <w:tcW w:w="675" w:type="pct"/>
            <w:tcBorders>
              <w:top w:val="nil"/>
              <w:left w:val="single" w:sz="4" w:space="0" w:color="5B9BD5"/>
              <w:bottom w:val="nil"/>
              <w:right w:val="nil"/>
            </w:tcBorders>
            <w:shd w:val="clear" w:color="000000" w:fill="DDEBF7"/>
            <w:noWrap/>
            <w:vAlign w:val="center"/>
            <w:hideMark/>
          </w:tcPr>
          <w:p w:rsidR="0096374D" w:rsidRPr="00CD1518" w:rsidRDefault="0096374D">
            <w:pPr>
              <w:spacing w:line="240" w:lineRule="auto"/>
              <w:rPr>
                <w:color w:val="000000"/>
                <w:sz w:val="12"/>
                <w:szCs w:val="12"/>
                <w:lang w:eastAsia="en-AU"/>
              </w:rPr>
            </w:pPr>
            <w:r w:rsidRPr="00CD1518">
              <w:rPr>
                <w:color w:val="000000"/>
                <w:sz w:val="12"/>
                <w:szCs w:val="12"/>
                <w:lang w:eastAsia="en-AU"/>
              </w:rPr>
              <w:t>Theatre Surgery</w:t>
            </w:r>
          </w:p>
        </w:tc>
        <w:tc>
          <w:tcPr>
            <w:tcW w:w="432"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4,743</w:t>
            </w:r>
          </w:p>
        </w:tc>
        <w:tc>
          <w:tcPr>
            <w:tcW w:w="432" w:type="pct"/>
            <w:tcBorders>
              <w:top w:val="nil"/>
              <w:left w:val="nil"/>
              <w:bottom w:val="nil"/>
              <w:right w:val="nil"/>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4,743</w:t>
            </w:r>
          </w:p>
        </w:tc>
        <w:tc>
          <w:tcPr>
            <w:tcW w:w="433"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nil"/>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4,407</w:t>
            </w:r>
          </w:p>
        </w:tc>
        <w:tc>
          <w:tcPr>
            <w:tcW w:w="433"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325</w:t>
            </w:r>
          </w:p>
        </w:tc>
        <w:tc>
          <w:tcPr>
            <w:tcW w:w="432" w:type="pct"/>
            <w:tcBorders>
              <w:top w:val="nil"/>
              <w:left w:val="nil"/>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4,732</w:t>
            </w:r>
          </w:p>
        </w:tc>
        <w:tc>
          <w:tcPr>
            <w:tcW w:w="433" w:type="pct"/>
            <w:tcBorders>
              <w:top w:val="nil"/>
              <w:left w:val="nil"/>
              <w:bottom w:val="nil"/>
              <w:right w:val="nil"/>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single" w:sz="4" w:space="0" w:color="5B9BD5"/>
              <w:bottom w:val="nil"/>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11</w:t>
            </w:r>
          </w:p>
        </w:tc>
        <w:tc>
          <w:tcPr>
            <w:tcW w:w="433" w:type="pct"/>
            <w:tcBorders>
              <w:top w:val="nil"/>
              <w:left w:val="nil"/>
              <w:bottom w:val="nil"/>
              <w:right w:val="single" w:sz="4" w:space="0" w:color="5B9BD5"/>
            </w:tcBorders>
            <w:shd w:val="clear" w:color="000000" w:fill="DDEBF7"/>
            <w:noWrap/>
            <w:vAlign w:val="center"/>
            <w:hideMark/>
          </w:tcPr>
          <w:p w:rsidR="0096374D" w:rsidRPr="00CD1518" w:rsidRDefault="0096374D">
            <w:pPr>
              <w:spacing w:line="240" w:lineRule="auto"/>
              <w:jc w:val="right"/>
              <w:rPr>
                <w:color w:val="000000"/>
                <w:sz w:val="12"/>
                <w:szCs w:val="12"/>
                <w:lang w:eastAsia="en-AU"/>
              </w:rPr>
            </w:pPr>
            <w:r w:rsidRPr="00CD1518">
              <w:rPr>
                <w:color w:val="000000"/>
                <w:sz w:val="12"/>
                <w:szCs w:val="12"/>
                <w:lang w:eastAsia="en-AU"/>
              </w:rPr>
              <w:t>99.8%</w:t>
            </w:r>
          </w:p>
        </w:tc>
      </w:tr>
      <w:tr w:rsidR="003E3288" w:rsidRPr="0096374D" w:rsidTr="008977A0">
        <w:trPr>
          <w:trHeight w:val="260"/>
        </w:trPr>
        <w:tc>
          <w:tcPr>
            <w:tcW w:w="675" w:type="pct"/>
            <w:tcBorders>
              <w:top w:val="nil"/>
              <w:left w:val="single" w:sz="4" w:space="0" w:color="5B9BD5"/>
              <w:bottom w:val="single" w:sz="4" w:space="0" w:color="5B9BD5"/>
              <w:right w:val="nil"/>
            </w:tcBorders>
            <w:shd w:val="clear" w:color="000000" w:fill="FFFFFF"/>
            <w:noWrap/>
            <w:vAlign w:val="center"/>
            <w:hideMark/>
          </w:tcPr>
          <w:p w:rsidR="0096374D" w:rsidRPr="00CD1518" w:rsidRDefault="0096374D">
            <w:pPr>
              <w:spacing w:line="240" w:lineRule="auto"/>
              <w:rPr>
                <w:color w:val="000000"/>
                <w:sz w:val="12"/>
                <w:szCs w:val="12"/>
                <w:lang w:eastAsia="en-AU"/>
              </w:rPr>
            </w:pPr>
            <w:r w:rsidRPr="00CD1518">
              <w:rPr>
                <w:color w:val="000000"/>
                <w:sz w:val="12"/>
                <w:szCs w:val="12"/>
                <w:lang w:eastAsia="en-AU"/>
              </w:rPr>
              <w:t>Translation</w:t>
            </w:r>
          </w:p>
        </w:tc>
        <w:tc>
          <w:tcPr>
            <w:tcW w:w="432" w:type="pct"/>
            <w:tcBorders>
              <w:top w:val="nil"/>
              <w:left w:val="single" w:sz="4" w:space="0" w:color="5B9BD5"/>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1,809</w:t>
            </w:r>
          </w:p>
        </w:tc>
        <w:tc>
          <w:tcPr>
            <w:tcW w:w="432" w:type="pct"/>
            <w:tcBorders>
              <w:top w:val="nil"/>
              <w:left w:val="nil"/>
              <w:bottom w:val="single" w:sz="4" w:space="0" w:color="5B9BD5"/>
              <w:right w:val="nil"/>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1,809</w:t>
            </w:r>
          </w:p>
        </w:tc>
        <w:tc>
          <w:tcPr>
            <w:tcW w:w="433" w:type="pct"/>
            <w:tcBorders>
              <w:top w:val="nil"/>
              <w:left w:val="single" w:sz="4" w:space="0" w:color="5B9BD5"/>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nil"/>
              <w:bottom w:val="single" w:sz="4" w:space="0" w:color="5B9BD5"/>
              <w:right w:val="nil"/>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397</w:t>
            </w:r>
          </w:p>
        </w:tc>
        <w:tc>
          <w:tcPr>
            <w:tcW w:w="433" w:type="pct"/>
            <w:tcBorders>
              <w:top w:val="nil"/>
              <w:left w:val="single" w:sz="4" w:space="0" w:color="5B9BD5"/>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29</w:t>
            </w:r>
          </w:p>
        </w:tc>
        <w:tc>
          <w:tcPr>
            <w:tcW w:w="432"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1,192</w:t>
            </w:r>
          </w:p>
        </w:tc>
        <w:tc>
          <w:tcPr>
            <w:tcW w:w="432" w:type="pct"/>
            <w:tcBorders>
              <w:top w:val="nil"/>
              <w:left w:val="nil"/>
              <w:bottom w:val="single" w:sz="4" w:space="0" w:color="5B9BD5"/>
              <w:right w:val="single" w:sz="4" w:space="0" w:color="5B9BD5"/>
            </w:tcBorders>
            <w:shd w:val="clear" w:color="000000" w:fill="DDEBF7"/>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1,618</w:t>
            </w:r>
          </w:p>
        </w:tc>
        <w:tc>
          <w:tcPr>
            <w:tcW w:w="433" w:type="pct"/>
            <w:tcBorders>
              <w:top w:val="nil"/>
              <w:left w:val="nil"/>
              <w:bottom w:val="single" w:sz="4" w:space="0" w:color="5B9BD5"/>
              <w:right w:val="nil"/>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w:t>
            </w:r>
          </w:p>
        </w:tc>
        <w:tc>
          <w:tcPr>
            <w:tcW w:w="432" w:type="pct"/>
            <w:tcBorders>
              <w:top w:val="nil"/>
              <w:left w:val="single" w:sz="4" w:space="0" w:color="5B9BD5"/>
              <w:bottom w:val="single" w:sz="4" w:space="0" w:color="5B9BD5"/>
              <w:right w:val="single" w:sz="4" w:space="0" w:color="5B9BD5"/>
            </w:tcBorders>
            <w:shd w:val="clear" w:color="000000" w:fill="FFFFFF"/>
            <w:noWrap/>
            <w:vAlign w:val="center"/>
            <w:hideMark/>
          </w:tcPr>
          <w:p w:rsidR="0096374D" w:rsidRPr="00CD1518" w:rsidRDefault="0096374D" w:rsidP="00CD1518">
            <w:pPr>
              <w:spacing w:line="240" w:lineRule="auto"/>
              <w:jc w:val="right"/>
              <w:rPr>
                <w:color w:val="000000"/>
                <w:sz w:val="12"/>
                <w:szCs w:val="12"/>
                <w:lang w:eastAsia="en-AU"/>
              </w:rPr>
            </w:pPr>
            <w:r w:rsidRPr="00CD1518">
              <w:rPr>
                <w:color w:val="000000"/>
                <w:sz w:val="12"/>
                <w:szCs w:val="12"/>
                <w:lang w:eastAsia="en-AU"/>
              </w:rPr>
              <w:t>191</w:t>
            </w:r>
          </w:p>
        </w:tc>
        <w:tc>
          <w:tcPr>
            <w:tcW w:w="433" w:type="pct"/>
            <w:tcBorders>
              <w:top w:val="nil"/>
              <w:left w:val="nil"/>
              <w:bottom w:val="single" w:sz="4" w:space="0" w:color="5B9BD5"/>
              <w:right w:val="single" w:sz="4" w:space="0" w:color="5B9BD5"/>
            </w:tcBorders>
            <w:shd w:val="clear" w:color="000000" w:fill="FFFFFF"/>
            <w:noWrap/>
            <w:vAlign w:val="center"/>
            <w:hideMark/>
          </w:tcPr>
          <w:p w:rsidR="0096374D" w:rsidRPr="00CD1518" w:rsidRDefault="0096374D">
            <w:pPr>
              <w:spacing w:line="240" w:lineRule="auto"/>
              <w:jc w:val="right"/>
              <w:rPr>
                <w:color w:val="000000"/>
                <w:sz w:val="12"/>
                <w:szCs w:val="12"/>
                <w:lang w:eastAsia="en-AU"/>
              </w:rPr>
            </w:pPr>
            <w:r w:rsidRPr="00CD1518">
              <w:rPr>
                <w:color w:val="000000"/>
                <w:sz w:val="12"/>
                <w:szCs w:val="12"/>
                <w:lang w:eastAsia="en-AU"/>
              </w:rPr>
              <w:t>89.4%</w:t>
            </w:r>
          </w:p>
        </w:tc>
      </w:tr>
    </w:tbl>
    <w:p w:rsidR="002E59FA" w:rsidRPr="00975E6B" w:rsidRDefault="002E59FA" w:rsidP="002E59FA">
      <w:pPr>
        <w:rPr>
          <w:bCs/>
          <w:i/>
          <w:sz w:val="16"/>
          <w:szCs w:val="16"/>
        </w:rPr>
      </w:pPr>
      <w:r w:rsidRPr="00975E6B">
        <w:rPr>
          <w:bCs/>
          <w:i/>
          <w:sz w:val="16"/>
          <w:szCs w:val="16"/>
        </w:rPr>
        <w:t xml:space="preserve">Source: KPMG based on </w:t>
      </w:r>
      <w:r w:rsidR="005E2379" w:rsidRPr="00975E6B">
        <w:rPr>
          <w:bCs/>
          <w:i/>
          <w:sz w:val="16"/>
          <w:szCs w:val="16"/>
        </w:rPr>
        <w:t>Modbury Hospital</w:t>
      </w:r>
      <w:r w:rsidRPr="00975E6B">
        <w:rPr>
          <w:bCs/>
          <w:i/>
          <w:sz w:val="16"/>
          <w:szCs w:val="16"/>
        </w:rPr>
        <w:t xml:space="preserve"> IFR templates</w:t>
      </w:r>
    </w:p>
    <w:p w:rsidR="002E59FA" w:rsidRPr="00975E6B" w:rsidRDefault="002E59FA" w:rsidP="002E59FA">
      <w:pPr>
        <w:pStyle w:val="BodyText"/>
      </w:pPr>
      <w:r w:rsidRPr="00975E6B">
        <w:t xml:space="preserve">The following should be noted about the activity and feeder data for </w:t>
      </w:r>
      <w:r w:rsidR="005E2379" w:rsidRPr="00975E6B">
        <w:t>Modbury Hospital</w:t>
      </w:r>
      <w:r w:rsidRPr="00975E6B">
        <w:t>:</w:t>
      </w:r>
    </w:p>
    <w:p w:rsidR="002E59FA" w:rsidRPr="00975E6B" w:rsidRDefault="002E59FA" w:rsidP="00F26328">
      <w:pPr>
        <w:pStyle w:val="BodyText"/>
        <w:numPr>
          <w:ilvl w:val="0"/>
          <w:numId w:val="35"/>
        </w:numPr>
      </w:pPr>
      <w:r w:rsidRPr="00975E6B">
        <w:t>There are 13 feeders reported from hospital source systems</w:t>
      </w:r>
      <w:r w:rsidR="0031210D" w:rsidRPr="00975E6B">
        <w:t xml:space="preserve"> </w:t>
      </w:r>
      <w:r w:rsidR="007155A1" w:rsidRPr="00975E6B">
        <w:t>and they appear to represent major hospital departments providing resource activity</w:t>
      </w:r>
      <w:r w:rsidR="0031210D" w:rsidRPr="00975E6B">
        <w:t>.</w:t>
      </w:r>
    </w:p>
    <w:p w:rsidR="002E59FA" w:rsidRPr="00975E6B" w:rsidRDefault="002E59FA" w:rsidP="00F26328">
      <w:pPr>
        <w:pStyle w:val="BodyText"/>
        <w:numPr>
          <w:ilvl w:val="0"/>
          <w:numId w:val="35"/>
        </w:numPr>
      </w:pPr>
      <w:r w:rsidRPr="00975E6B">
        <w:t xml:space="preserve">The number of records linked from source to product </w:t>
      </w:r>
      <w:r w:rsidR="0074117C" w:rsidRPr="00975E6B">
        <w:t xml:space="preserve">was </w:t>
      </w:r>
      <w:r w:rsidRPr="00975E6B">
        <w:t>significant, with all feeders having a greater than 89</w:t>
      </w:r>
      <w:r w:rsidR="00EC75FC" w:rsidRPr="00975E6B">
        <w:t xml:space="preserve"> percent</w:t>
      </w:r>
      <w:r w:rsidRPr="00975E6B">
        <w:t xml:space="preserve"> link or match</w:t>
      </w:r>
      <w:r w:rsidR="00EC75FC" w:rsidRPr="00975E6B">
        <w:t>.</w:t>
      </w:r>
      <w:r w:rsidR="0031210D" w:rsidRPr="00975E6B">
        <w:t xml:space="preserve"> This suggests that there is robustness in the level of feeder activity reported back to episodes.</w:t>
      </w:r>
    </w:p>
    <w:p w:rsidR="002E59FA" w:rsidRPr="00975E6B" w:rsidRDefault="002E59FA" w:rsidP="00F26328">
      <w:pPr>
        <w:pStyle w:val="BodyText"/>
        <w:numPr>
          <w:ilvl w:val="0"/>
          <w:numId w:val="35"/>
        </w:numPr>
      </w:pPr>
      <w:r w:rsidRPr="00975E6B">
        <w:t>Variances in pharmacy occurred, mostly in relation to S100 Drugs. These variances reflect issues with matching scripts that are for a 12</w:t>
      </w:r>
      <w:r w:rsidR="006B0BC6" w:rsidRPr="00975E6B">
        <w:t xml:space="preserve"> </w:t>
      </w:r>
      <w:r w:rsidRPr="00975E6B">
        <w:t>month period from the original encounter.</w:t>
      </w:r>
    </w:p>
    <w:p w:rsidR="002E59FA" w:rsidRPr="00975E6B" w:rsidRDefault="002E59FA" w:rsidP="00F26328">
      <w:pPr>
        <w:pStyle w:val="BodyText"/>
        <w:numPr>
          <w:ilvl w:val="0"/>
          <w:numId w:val="35"/>
        </w:numPr>
      </w:pPr>
      <w:r w:rsidRPr="00975E6B">
        <w:t>Variances in imaging and pathology occurred, as these records could not be matched based on episode numbers</w:t>
      </w:r>
      <w:r w:rsidRPr="00975E6B">
        <w:rPr>
          <w:i/>
          <w:color w:val="FF0000"/>
        </w:rPr>
        <w:t>.</w:t>
      </w:r>
    </w:p>
    <w:p w:rsidR="002E59FA" w:rsidRPr="00B464CA" w:rsidRDefault="0072515F" w:rsidP="00B464CA">
      <w:pPr>
        <w:spacing w:before="120" w:after="120" w:line="280" w:lineRule="atLeast"/>
        <w:jc w:val="both"/>
        <w:rPr>
          <w:bCs/>
        </w:rPr>
      </w:pPr>
      <w:r w:rsidRPr="0072515F">
        <w:rPr>
          <w:bCs/>
        </w:rPr>
        <w:fldChar w:fldCharType="begin"/>
      </w:r>
      <w:r w:rsidRPr="0072515F">
        <w:rPr>
          <w:bCs/>
        </w:rPr>
        <w:instrText xml:space="preserve"> REF _Ref441088562 \h  \* MERGEFORMAT </w:instrText>
      </w:r>
      <w:r w:rsidRPr="0072515F">
        <w:rPr>
          <w:bCs/>
        </w:rPr>
      </w:r>
      <w:r w:rsidRPr="0072515F">
        <w:rPr>
          <w:bCs/>
        </w:rPr>
        <w:fldChar w:fldCharType="separate"/>
      </w:r>
      <w:r w:rsidR="00154CF7" w:rsidRPr="00975E6B">
        <w:t xml:space="preserve">Table </w:t>
      </w:r>
      <w:r w:rsidR="00154CF7">
        <w:rPr>
          <w:bCs/>
          <w:noProof/>
        </w:rPr>
        <w:t>66</w:t>
      </w:r>
      <w:r w:rsidRPr="0072515F">
        <w:rPr>
          <w:bCs/>
        </w:rPr>
        <w:fldChar w:fldCharType="end"/>
      </w:r>
      <w:r w:rsidRPr="0072515F">
        <w:rPr>
          <w:bCs/>
        </w:rPr>
        <w:t xml:space="preserve"> </w:t>
      </w:r>
      <w:r w:rsidR="002E59FA" w:rsidRPr="00B464CA">
        <w:rPr>
          <w:bCs/>
        </w:rPr>
        <w:t xml:space="preserve">highlights the transfer of activity data from </w:t>
      </w:r>
      <w:r w:rsidR="005E2379" w:rsidRPr="00B464CA">
        <w:rPr>
          <w:bCs/>
        </w:rPr>
        <w:t>Modbury Hospital</w:t>
      </w:r>
      <w:r w:rsidR="002E59FA" w:rsidRPr="00B464CA">
        <w:rPr>
          <w:bCs/>
        </w:rPr>
        <w:t xml:space="preserve"> to SA Health and then through to IHPA submission and finalisation.</w:t>
      </w:r>
    </w:p>
    <w:p w:rsidR="008977A0" w:rsidRPr="00975E6B" w:rsidRDefault="002E59FA" w:rsidP="0072515F">
      <w:pPr>
        <w:pStyle w:val="Caption"/>
        <w:pageBreakBefore/>
      </w:pPr>
      <w:bookmarkStart w:id="772" w:name="_Ref433203761"/>
      <w:bookmarkStart w:id="773" w:name="_Ref441088562"/>
      <w:r w:rsidRPr="00975E6B">
        <w:lastRenderedPageBreak/>
        <w:t xml:space="preserve">Table </w:t>
      </w:r>
      <w:r w:rsidR="003E3288" w:rsidRPr="0072515F">
        <w:rPr>
          <w:bCs w:val="0"/>
        </w:rPr>
        <w:fldChar w:fldCharType="begin"/>
      </w:r>
      <w:r w:rsidR="003E3288" w:rsidRPr="0072515F">
        <w:rPr>
          <w:bCs w:val="0"/>
        </w:rPr>
        <w:instrText xml:space="preserve"> SEQ Table \* ARABIC </w:instrText>
      </w:r>
      <w:r w:rsidR="003E3288" w:rsidRPr="0072515F">
        <w:rPr>
          <w:bCs w:val="0"/>
        </w:rPr>
        <w:fldChar w:fldCharType="separate"/>
      </w:r>
      <w:r w:rsidR="00154CF7">
        <w:rPr>
          <w:bCs w:val="0"/>
          <w:noProof/>
        </w:rPr>
        <w:t>66</w:t>
      </w:r>
      <w:r w:rsidR="003E3288" w:rsidRPr="0072515F">
        <w:rPr>
          <w:bCs w:val="0"/>
          <w:noProof/>
        </w:rPr>
        <w:fldChar w:fldCharType="end"/>
      </w:r>
      <w:bookmarkEnd w:id="772"/>
      <w:bookmarkEnd w:id="773"/>
      <w:r w:rsidRPr="0072515F">
        <w:t xml:space="preserve"> –</w:t>
      </w:r>
      <w:r w:rsidRPr="00975E6B">
        <w:t xml:space="preserve"> Activity data submission – Modbury Hospital</w:t>
      </w:r>
    </w:p>
    <w:tbl>
      <w:tblPr>
        <w:tblW w:w="5000" w:type="pct"/>
        <w:tblLayout w:type="fixed"/>
        <w:tblLook w:val="04A0" w:firstRow="1" w:lastRow="0" w:firstColumn="1" w:lastColumn="0" w:noHBand="0" w:noVBand="1"/>
        <w:tblCaption w:val="Table 66 - Activity submission - Modbury Hospital"/>
        <w:tblDescription w:val="This table highlights the transfer of activity data from Modbury Hospital to SA Health and then through to IHPA submission and finalisation. There are 9 columns. Column 1 is the NHCDC product type, Column 2 is the activity related to 2013-14 costs, column 3 is the adjustments to Column 2, column 4 is the activity submitted to the jurisdiction, column 5 is the adjustments to column 4, column 6 is the activity submitted to IHPA, Column 7 is the activity received by IHPA, column 8 is the adjustments to column 7 and column 9 is the total activity submitted for the Round 18 NHCDC."/>
      </w:tblPr>
      <w:tblGrid>
        <w:gridCol w:w="1245"/>
        <w:gridCol w:w="933"/>
        <w:gridCol w:w="935"/>
        <w:gridCol w:w="935"/>
        <w:gridCol w:w="935"/>
        <w:gridCol w:w="933"/>
        <w:gridCol w:w="935"/>
        <w:gridCol w:w="935"/>
        <w:gridCol w:w="935"/>
      </w:tblGrid>
      <w:tr w:rsidR="008977A0" w:rsidRPr="008977A0" w:rsidTr="00E14378">
        <w:trPr>
          <w:trHeight w:val="1040"/>
        </w:trPr>
        <w:tc>
          <w:tcPr>
            <w:tcW w:w="713"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8977A0" w:rsidRPr="00CD1518" w:rsidRDefault="008977A0" w:rsidP="008977A0">
            <w:pPr>
              <w:spacing w:line="240" w:lineRule="auto"/>
              <w:rPr>
                <w:b/>
                <w:bCs/>
                <w:color w:val="FFFFFF"/>
                <w:sz w:val="14"/>
                <w:szCs w:val="14"/>
                <w:lang w:eastAsia="en-AU"/>
              </w:rPr>
            </w:pPr>
            <w:r w:rsidRPr="00CD1518">
              <w:rPr>
                <w:b/>
                <w:bCs/>
                <w:color w:val="FFFFFF"/>
                <w:sz w:val="14"/>
                <w:szCs w:val="14"/>
                <w:lang w:eastAsia="en-AU"/>
              </w:rPr>
              <w:t>Product</w:t>
            </w:r>
          </w:p>
        </w:tc>
        <w:tc>
          <w:tcPr>
            <w:tcW w:w="535" w:type="pct"/>
            <w:tcBorders>
              <w:top w:val="single" w:sz="4" w:space="0" w:color="5B9BD5"/>
              <w:left w:val="nil"/>
              <w:bottom w:val="single" w:sz="4" w:space="0" w:color="5B9BD5"/>
              <w:right w:val="single" w:sz="4" w:space="0" w:color="5B9BD5"/>
            </w:tcBorders>
            <w:shd w:val="clear" w:color="auto" w:fill="002060"/>
            <w:vAlign w:val="bottom"/>
            <w:hideMark/>
          </w:tcPr>
          <w:p w:rsidR="008977A0" w:rsidRPr="00CD1518" w:rsidRDefault="008977A0" w:rsidP="008977A0">
            <w:pPr>
              <w:spacing w:line="240" w:lineRule="auto"/>
              <w:jc w:val="center"/>
              <w:rPr>
                <w:b/>
                <w:bCs/>
                <w:color w:val="FFFFFF"/>
                <w:sz w:val="14"/>
                <w:szCs w:val="14"/>
                <w:lang w:eastAsia="en-AU"/>
              </w:rPr>
            </w:pPr>
            <w:r w:rsidRPr="00CD1518">
              <w:rPr>
                <w:b/>
                <w:bCs/>
                <w:color w:val="FFFFFF"/>
                <w:sz w:val="14"/>
                <w:szCs w:val="14"/>
                <w:lang w:eastAsia="en-AU"/>
              </w:rPr>
              <w:t>Activity related to 2013-14 Costs</w:t>
            </w:r>
          </w:p>
        </w:tc>
        <w:tc>
          <w:tcPr>
            <w:tcW w:w="536" w:type="pct"/>
            <w:tcBorders>
              <w:top w:val="single" w:sz="4" w:space="0" w:color="5B9BD5"/>
              <w:left w:val="nil"/>
              <w:bottom w:val="single" w:sz="4" w:space="0" w:color="5B9BD5"/>
              <w:right w:val="single" w:sz="4" w:space="0" w:color="5B9BD5"/>
            </w:tcBorders>
            <w:shd w:val="clear" w:color="auto" w:fill="002060"/>
            <w:vAlign w:val="bottom"/>
            <w:hideMark/>
          </w:tcPr>
          <w:p w:rsidR="008977A0" w:rsidRPr="00CD1518" w:rsidRDefault="008977A0">
            <w:pPr>
              <w:spacing w:line="240" w:lineRule="auto"/>
              <w:jc w:val="center"/>
              <w:rPr>
                <w:b/>
                <w:bCs/>
                <w:color w:val="FFFFFF"/>
                <w:sz w:val="12"/>
                <w:szCs w:val="12"/>
                <w:lang w:eastAsia="en-AU"/>
              </w:rPr>
            </w:pPr>
            <w:r w:rsidRPr="00CD1518">
              <w:rPr>
                <w:b/>
                <w:bCs/>
                <w:color w:val="FFFFFF"/>
                <w:sz w:val="12"/>
                <w:szCs w:val="12"/>
                <w:lang w:eastAsia="en-AU"/>
              </w:rPr>
              <w:t>Adjustment</w:t>
            </w:r>
          </w:p>
        </w:tc>
        <w:tc>
          <w:tcPr>
            <w:tcW w:w="536" w:type="pct"/>
            <w:tcBorders>
              <w:top w:val="single" w:sz="4" w:space="0" w:color="5B9BD5"/>
              <w:left w:val="nil"/>
              <w:bottom w:val="single" w:sz="4" w:space="0" w:color="5B9BD5"/>
              <w:right w:val="single" w:sz="4" w:space="0" w:color="5B9BD5"/>
            </w:tcBorders>
            <w:shd w:val="clear" w:color="auto" w:fill="002060"/>
            <w:vAlign w:val="bottom"/>
            <w:hideMark/>
          </w:tcPr>
          <w:p w:rsidR="008977A0" w:rsidRPr="00CD1518" w:rsidRDefault="008977A0" w:rsidP="008977A0">
            <w:pPr>
              <w:spacing w:line="240" w:lineRule="auto"/>
              <w:jc w:val="center"/>
              <w:rPr>
                <w:b/>
                <w:bCs/>
                <w:color w:val="FFFFFF"/>
                <w:sz w:val="14"/>
                <w:szCs w:val="14"/>
                <w:lang w:eastAsia="en-AU"/>
              </w:rPr>
            </w:pPr>
            <w:r w:rsidRPr="00CD1518">
              <w:rPr>
                <w:b/>
                <w:bCs/>
                <w:color w:val="FFFFFF"/>
                <w:sz w:val="14"/>
                <w:szCs w:val="14"/>
                <w:lang w:eastAsia="en-AU"/>
              </w:rPr>
              <w:t>Activity submitted to jurisdiction</w:t>
            </w:r>
          </w:p>
        </w:tc>
        <w:tc>
          <w:tcPr>
            <w:tcW w:w="536" w:type="pct"/>
            <w:tcBorders>
              <w:top w:val="single" w:sz="4" w:space="0" w:color="5B9BD5"/>
              <w:left w:val="nil"/>
              <w:bottom w:val="single" w:sz="4" w:space="0" w:color="5B9BD5"/>
              <w:right w:val="single" w:sz="4" w:space="0" w:color="5B9BD5"/>
            </w:tcBorders>
            <w:shd w:val="clear" w:color="auto" w:fill="002060"/>
            <w:vAlign w:val="bottom"/>
            <w:hideMark/>
          </w:tcPr>
          <w:p w:rsidR="008977A0" w:rsidRPr="00CD1518" w:rsidRDefault="008977A0" w:rsidP="008977A0">
            <w:pPr>
              <w:spacing w:line="240" w:lineRule="auto"/>
              <w:jc w:val="center"/>
              <w:rPr>
                <w:b/>
                <w:bCs/>
                <w:color w:val="FFFFFF"/>
                <w:sz w:val="14"/>
                <w:szCs w:val="14"/>
                <w:lang w:eastAsia="en-AU"/>
              </w:rPr>
            </w:pPr>
            <w:r w:rsidRPr="0036568D">
              <w:rPr>
                <w:b/>
                <w:bCs/>
                <w:color w:val="FFFFFF"/>
                <w:sz w:val="12"/>
                <w:szCs w:val="12"/>
                <w:lang w:eastAsia="en-AU"/>
              </w:rPr>
              <w:t>Adjustment</w:t>
            </w:r>
          </w:p>
        </w:tc>
        <w:tc>
          <w:tcPr>
            <w:tcW w:w="535" w:type="pct"/>
            <w:tcBorders>
              <w:top w:val="single" w:sz="4" w:space="0" w:color="5B9BD5"/>
              <w:left w:val="nil"/>
              <w:bottom w:val="single" w:sz="4" w:space="0" w:color="5B9BD5"/>
              <w:right w:val="single" w:sz="4" w:space="0" w:color="5B9BD5"/>
            </w:tcBorders>
            <w:shd w:val="clear" w:color="auto" w:fill="002060"/>
            <w:vAlign w:val="bottom"/>
            <w:hideMark/>
          </w:tcPr>
          <w:p w:rsidR="008977A0" w:rsidRPr="00CD1518" w:rsidRDefault="008977A0" w:rsidP="008977A0">
            <w:pPr>
              <w:spacing w:line="240" w:lineRule="auto"/>
              <w:jc w:val="center"/>
              <w:rPr>
                <w:b/>
                <w:bCs/>
                <w:color w:val="FFFFFF"/>
                <w:sz w:val="14"/>
                <w:szCs w:val="14"/>
                <w:lang w:eastAsia="en-AU"/>
              </w:rPr>
            </w:pPr>
            <w:r w:rsidRPr="00CD1518">
              <w:rPr>
                <w:b/>
                <w:bCs/>
                <w:color w:val="FFFFFF"/>
                <w:sz w:val="14"/>
                <w:szCs w:val="14"/>
                <w:lang w:eastAsia="en-AU"/>
              </w:rPr>
              <w:t>Activity submitted to IHPA</w:t>
            </w:r>
          </w:p>
        </w:tc>
        <w:tc>
          <w:tcPr>
            <w:tcW w:w="536" w:type="pct"/>
            <w:tcBorders>
              <w:top w:val="single" w:sz="4" w:space="0" w:color="5B9BD5"/>
              <w:left w:val="nil"/>
              <w:bottom w:val="single" w:sz="4" w:space="0" w:color="5B9BD5"/>
              <w:right w:val="single" w:sz="4" w:space="0" w:color="5B9BD5"/>
            </w:tcBorders>
            <w:shd w:val="clear" w:color="auto" w:fill="002060"/>
            <w:vAlign w:val="bottom"/>
            <w:hideMark/>
          </w:tcPr>
          <w:p w:rsidR="008977A0" w:rsidRPr="00CD1518" w:rsidRDefault="008977A0" w:rsidP="008977A0">
            <w:pPr>
              <w:spacing w:line="240" w:lineRule="auto"/>
              <w:jc w:val="center"/>
              <w:rPr>
                <w:b/>
                <w:bCs/>
                <w:color w:val="FFFFFF"/>
                <w:sz w:val="14"/>
                <w:szCs w:val="14"/>
                <w:lang w:eastAsia="en-AU"/>
              </w:rPr>
            </w:pPr>
            <w:r w:rsidRPr="00CD1518">
              <w:rPr>
                <w:b/>
                <w:bCs/>
                <w:color w:val="FFFFFF"/>
                <w:sz w:val="14"/>
                <w:szCs w:val="14"/>
                <w:lang w:eastAsia="en-AU"/>
              </w:rPr>
              <w:t>Activity received by IHPA</w:t>
            </w:r>
          </w:p>
        </w:tc>
        <w:tc>
          <w:tcPr>
            <w:tcW w:w="536" w:type="pct"/>
            <w:tcBorders>
              <w:top w:val="single" w:sz="4" w:space="0" w:color="5B9BD5"/>
              <w:left w:val="nil"/>
              <w:bottom w:val="single" w:sz="4" w:space="0" w:color="5B9BD5"/>
              <w:right w:val="single" w:sz="4" w:space="0" w:color="5B9BD5"/>
            </w:tcBorders>
            <w:shd w:val="clear" w:color="auto" w:fill="002060"/>
            <w:vAlign w:val="bottom"/>
            <w:hideMark/>
          </w:tcPr>
          <w:p w:rsidR="008977A0" w:rsidRPr="00CD1518" w:rsidRDefault="008977A0" w:rsidP="008977A0">
            <w:pPr>
              <w:spacing w:line="240" w:lineRule="auto"/>
              <w:jc w:val="center"/>
              <w:rPr>
                <w:b/>
                <w:bCs/>
                <w:color w:val="FFFFFF"/>
                <w:sz w:val="14"/>
                <w:szCs w:val="14"/>
                <w:lang w:eastAsia="en-AU"/>
              </w:rPr>
            </w:pPr>
            <w:r w:rsidRPr="0036568D">
              <w:rPr>
                <w:b/>
                <w:bCs/>
                <w:color w:val="FFFFFF"/>
                <w:sz w:val="12"/>
                <w:szCs w:val="12"/>
                <w:lang w:eastAsia="en-AU"/>
              </w:rPr>
              <w:t>Adjustment</w:t>
            </w:r>
          </w:p>
        </w:tc>
        <w:tc>
          <w:tcPr>
            <w:tcW w:w="536" w:type="pct"/>
            <w:tcBorders>
              <w:top w:val="single" w:sz="4" w:space="0" w:color="5B9BD5"/>
              <w:left w:val="nil"/>
              <w:bottom w:val="single" w:sz="4" w:space="0" w:color="5B9BD5"/>
              <w:right w:val="single" w:sz="4" w:space="0" w:color="5B9BD5"/>
            </w:tcBorders>
            <w:shd w:val="clear" w:color="auto" w:fill="002060"/>
            <w:vAlign w:val="bottom"/>
            <w:hideMark/>
          </w:tcPr>
          <w:p w:rsidR="008977A0" w:rsidRPr="00CD1518" w:rsidRDefault="008977A0" w:rsidP="008977A0">
            <w:pPr>
              <w:spacing w:line="240" w:lineRule="auto"/>
              <w:jc w:val="center"/>
              <w:rPr>
                <w:b/>
                <w:bCs/>
                <w:color w:val="FFFFFF"/>
                <w:sz w:val="14"/>
                <w:szCs w:val="14"/>
                <w:lang w:eastAsia="en-AU"/>
              </w:rPr>
            </w:pPr>
            <w:r w:rsidRPr="00CD1518">
              <w:rPr>
                <w:b/>
                <w:bCs/>
                <w:color w:val="FFFFFF"/>
                <w:sz w:val="14"/>
                <w:szCs w:val="14"/>
                <w:lang w:eastAsia="en-AU"/>
              </w:rPr>
              <w:t>Total Activity submitted for Round 18 NHCDC</w:t>
            </w:r>
          </w:p>
        </w:tc>
      </w:tr>
      <w:tr w:rsidR="008977A0" w:rsidRPr="008977A0" w:rsidTr="00CD1518">
        <w:trPr>
          <w:trHeight w:val="260"/>
        </w:trPr>
        <w:tc>
          <w:tcPr>
            <w:tcW w:w="713" w:type="pct"/>
            <w:tcBorders>
              <w:top w:val="nil"/>
              <w:left w:val="single" w:sz="4" w:space="0" w:color="5B9BD5"/>
              <w:bottom w:val="single" w:sz="4" w:space="0" w:color="5B9BD5"/>
              <w:right w:val="single" w:sz="4" w:space="0" w:color="5B9BD5"/>
            </w:tcBorders>
            <w:shd w:val="clear" w:color="000000" w:fill="FFFFFF"/>
            <w:noWrap/>
            <w:vAlign w:val="center"/>
            <w:hideMark/>
          </w:tcPr>
          <w:p w:rsidR="008977A0" w:rsidRPr="00CD1518" w:rsidRDefault="008977A0">
            <w:pPr>
              <w:spacing w:line="240" w:lineRule="auto"/>
              <w:rPr>
                <w:color w:val="000000"/>
                <w:sz w:val="14"/>
                <w:szCs w:val="14"/>
                <w:lang w:eastAsia="en-AU"/>
              </w:rPr>
            </w:pPr>
            <w:r w:rsidRPr="00CD1518">
              <w:rPr>
                <w:color w:val="000000"/>
                <w:sz w:val="14"/>
                <w:szCs w:val="14"/>
                <w:lang w:eastAsia="en-AU"/>
              </w:rPr>
              <w:t>Acute</w:t>
            </w:r>
          </w:p>
        </w:tc>
        <w:tc>
          <w:tcPr>
            <w:tcW w:w="535"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15,300</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15,300</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(160)</w:t>
            </w:r>
          </w:p>
        </w:tc>
        <w:tc>
          <w:tcPr>
            <w:tcW w:w="535"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15,140</w:t>
            </w:r>
          </w:p>
        </w:tc>
        <w:tc>
          <w:tcPr>
            <w:tcW w:w="536"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14,956</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14,956</w:t>
            </w:r>
          </w:p>
        </w:tc>
      </w:tr>
      <w:tr w:rsidR="008977A0" w:rsidRPr="008977A0" w:rsidTr="00CD1518">
        <w:trPr>
          <w:trHeight w:val="260"/>
        </w:trPr>
        <w:tc>
          <w:tcPr>
            <w:tcW w:w="713" w:type="pct"/>
            <w:tcBorders>
              <w:top w:val="nil"/>
              <w:left w:val="single" w:sz="4" w:space="0" w:color="5B9BD5"/>
              <w:bottom w:val="single" w:sz="4" w:space="0" w:color="5B9BD5"/>
              <w:right w:val="single" w:sz="4" w:space="0" w:color="5B9BD5"/>
            </w:tcBorders>
            <w:shd w:val="clear" w:color="000000" w:fill="DDEBF7"/>
            <w:noWrap/>
            <w:vAlign w:val="center"/>
            <w:hideMark/>
          </w:tcPr>
          <w:p w:rsidR="008977A0" w:rsidRPr="00CD1518" w:rsidRDefault="008977A0">
            <w:pPr>
              <w:spacing w:line="240" w:lineRule="auto"/>
              <w:rPr>
                <w:color w:val="000000"/>
                <w:sz w:val="14"/>
                <w:szCs w:val="14"/>
                <w:lang w:eastAsia="en-AU"/>
              </w:rPr>
            </w:pPr>
            <w:r w:rsidRPr="00CD1518">
              <w:rPr>
                <w:color w:val="000000"/>
                <w:sz w:val="14"/>
                <w:szCs w:val="14"/>
                <w:lang w:eastAsia="en-AU"/>
              </w:rPr>
              <w:t>Non-admitted</w:t>
            </w:r>
          </w:p>
        </w:tc>
        <w:tc>
          <w:tcPr>
            <w:tcW w:w="535"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5"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r>
      <w:tr w:rsidR="008977A0" w:rsidRPr="008977A0" w:rsidTr="00CD1518">
        <w:trPr>
          <w:trHeight w:val="260"/>
        </w:trPr>
        <w:tc>
          <w:tcPr>
            <w:tcW w:w="713" w:type="pct"/>
            <w:tcBorders>
              <w:top w:val="nil"/>
              <w:left w:val="single" w:sz="4" w:space="0" w:color="5B9BD5"/>
              <w:bottom w:val="single" w:sz="4" w:space="0" w:color="5B9BD5"/>
              <w:right w:val="single" w:sz="4" w:space="0" w:color="5B9BD5"/>
            </w:tcBorders>
            <w:shd w:val="clear" w:color="000000" w:fill="FFFFFF"/>
            <w:noWrap/>
            <w:vAlign w:val="center"/>
            <w:hideMark/>
          </w:tcPr>
          <w:p w:rsidR="008977A0" w:rsidRPr="00CD1518" w:rsidRDefault="008977A0">
            <w:pPr>
              <w:spacing w:line="240" w:lineRule="auto"/>
              <w:rPr>
                <w:color w:val="000000"/>
                <w:sz w:val="14"/>
                <w:szCs w:val="14"/>
                <w:lang w:eastAsia="en-AU"/>
              </w:rPr>
            </w:pPr>
            <w:r w:rsidRPr="00CD1518">
              <w:rPr>
                <w:color w:val="000000"/>
                <w:sz w:val="14"/>
                <w:szCs w:val="14"/>
                <w:lang w:eastAsia="en-AU"/>
              </w:rPr>
              <w:t>Emergency</w:t>
            </w:r>
          </w:p>
        </w:tc>
        <w:tc>
          <w:tcPr>
            <w:tcW w:w="535"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35,158</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(1)</w:t>
            </w:r>
          </w:p>
        </w:tc>
        <w:tc>
          <w:tcPr>
            <w:tcW w:w="536"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35,157</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(29)</w:t>
            </w:r>
          </w:p>
        </w:tc>
        <w:tc>
          <w:tcPr>
            <w:tcW w:w="535"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35,128</w:t>
            </w:r>
          </w:p>
        </w:tc>
        <w:tc>
          <w:tcPr>
            <w:tcW w:w="536"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35,128</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35,128</w:t>
            </w:r>
          </w:p>
        </w:tc>
      </w:tr>
      <w:tr w:rsidR="008977A0" w:rsidRPr="008977A0" w:rsidTr="00CD1518">
        <w:trPr>
          <w:trHeight w:val="260"/>
        </w:trPr>
        <w:tc>
          <w:tcPr>
            <w:tcW w:w="713" w:type="pct"/>
            <w:tcBorders>
              <w:top w:val="nil"/>
              <w:left w:val="single" w:sz="4" w:space="0" w:color="5B9BD5"/>
              <w:bottom w:val="single" w:sz="4" w:space="0" w:color="5B9BD5"/>
              <w:right w:val="single" w:sz="4" w:space="0" w:color="5B9BD5"/>
            </w:tcBorders>
            <w:shd w:val="clear" w:color="000000" w:fill="DDEBF7"/>
            <w:noWrap/>
            <w:vAlign w:val="center"/>
            <w:hideMark/>
          </w:tcPr>
          <w:p w:rsidR="008977A0" w:rsidRPr="00CD1518" w:rsidRDefault="008977A0">
            <w:pPr>
              <w:spacing w:line="240" w:lineRule="auto"/>
              <w:rPr>
                <w:color w:val="000000"/>
                <w:sz w:val="14"/>
                <w:szCs w:val="14"/>
                <w:lang w:eastAsia="en-AU"/>
              </w:rPr>
            </w:pPr>
            <w:proofErr w:type="spellStart"/>
            <w:r w:rsidRPr="00CD1518">
              <w:rPr>
                <w:color w:val="000000"/>
                <w:sz w:val="14"/>
                <w:szCs w:val="14"/>
                <w:lang w:eastAsia="en-AU"/>
              </w:rPr>
              <w:t>Sub Acute</w:t>
            </w:r>
            <w:proofErr w:type="spellEnd"/>
          </w:p>
        </w:tc>
        <w:tc>
          <w:tcPr>
            <w:tcW w:w="535"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1,408</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1,408</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(60)</w:t>
            </w:r>
          </w:p>
        </w:tc>
        <w:tc>
          <w:tcPr>
            <w:tcW w:w="535"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1,348</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1,532</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1,532</w:t>
            </w:r>
          </w:p>
        </w:tc>
      </w:tr>
      <w:tr w:rsidR="008977A0" w:rsidRPr="008977A0" w:rsidTr="00CD1518">
        <w:trPr>
          <w:trHeight w:val="260"/>
        </w:trPr>
        <w:tc>
          <w:tcPr>
            <w:tcW w:w="713" w:type="pct"/>
            <w:tcBorders>
              <w:top w:val="nil"/>
              <w:left w:val="single" w:sz="4" w:space="0" w:color="5B9BD5"/>
              <w:bottom w:val="single" w:sz="4" w:space="0" w:color="5B9BD5"/>
              <w:right w:val="single" w:sz="4" w:space="0" w:color="5B9BD5"/>
            </w:tcBorders>
            <w:shd w:val="clear" w:color="000000" w:fill="FFFFFF"/>
            <w:noWrap/>
            <w:vAlign w:val="center"/>
            <w:hideMark/>
          </w:tcPr>
          <w:p w:rsidR="008977A0" w:rsidRPr="00CD1518" w:rsidRDefault="008977A0">
            <w:pPr>
              <w:spacing w:line="240" w:lineRule="auto"/>
              <w:rPr>
                <w:color w:val="000000"/>
                <w:sz w:val="14"/>
                <w:szCs w:val="14"/>
                <w:lang w:eastAsia="en-AU"/>
              </w:rPr>
            </w:pPr>
            <w:r w:rsidRPr="00CD1518">
              <w:rPr>
                <w:color w:val="000000"/>
                <w:sz w:val="14"/>
                <w:szCs w:val="14"/>
                <w:lang w:eastAsia="en-AU"/>
              </w:rPr>
              <w:t>Mental Health</w:t>
            </w:r>
          </w:p>
        </w:tc>
        <w:tc>
          <w:tcPr>
            <w:tcW w:w="535"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5"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r>
      <w:tr w:rsidR="008977A0" w:rsidRPr="008977A0" w:rsidTr="00CD1518">
        <w:trPr>
          <w:trHeight w:val="260"/>
        </w:trPr>
        <w:tc>
          <w:tcPr>
            <w:tcW w:w="713" w:type="pct"/>
            <w:tcBorders>
              <w:top w:val="nil"/>
              <w:left w:val="single" w:sz="4" w:space="0" w:color="5B9BD5"/>
              <w:bottom w:val="single" w:sz="4" w:space="0" w:color="5B9BD5"/>
              <w:right w:val="single" w:sz="4" w:space="0" w:color="5B9BD5"/>
            </w:tcBorders>
            <w:shd w:val="clear" w:color="000000" w:fill="DDEBF7"/>
            <w:noWrap/>
            <w:vAlign w:val="center"/>
            <w:hideMark/>
          </w:tcPr>
          <w:p w:rsidR="008977A0" w:rsidRPr="00CD1518" w:rsidRDefault="008977A0">
            <w:pPr>
              <w:spacing w:line="240" w:lineRule="auto"/>
              <w:rPr>
                <w:color w:val="000000"/>
                <w:sz w:val="14"/>
                <w:szCs w:val="14"/>
                <w:lang w:eastAsia="en-AU"/>
              </w:rPr>
            </w:pPr>
            <w:r w:rsidRPr="00CD1518">
              <w:rPr>
                <w:color w:val="000000"/>
                <w:sz w:val="14"/>
                <w:szCs w:val="14"/>
                <w:lang w:eastAsia="en-AU"/>
              </w:rPr>
              <w:t>Other</w:t>
            </w:r>
          </w:p>
        </w:tc>
        <w:tc>
          <w:tcPr>
            <w:tcW w:w="535"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5"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r>
      <w:tr w:rsidR="008977A0" w:rsidRPr="008977A0" w:rsidTr="00CD1518">
        <w:trPr>
          <w:trHeight w:val="260"/>
        </w:trPr>
        <w:tc>
          <w:tcPr>
            <w:tcW w:w="713" w:type="pct"/>
            <w:tcBorders>
              <w:top w:val="nil"/>
              <w:left w:val="single" w:sz="4" w:space="0" w:color="5B9BD5"/>
              <w:bottom w:val="single" w:sz="4" w:space="0" w:color="5B9BD5"/>
              <w:right w:val="single" w:sz="4" w:space="0" w:color="5B9BD5"/>
            </w:tcBorders>
            <w:shd w:val="clear" w:color="000000" w:fill="FFFFFF"/>
            <w:noWrap/>
            <w:vAlign w:val="center"/>
            <w:hideMark/>
          </w:tcPr>
          <w:p w:rsidR="008977A0" w:rsidRPr="00CD1518" w:rsidRDefault="008977A0">
            <w:pPr>
              <w:spacing w:line="240" w:lineRule="auto"/>
              <w:rPr>
                <w:color w:val="000000"/>
                <w:sz w:val="14"/>
                <w:szCs w:val="14"/>
                <w:lang w:eastAsia="en-AU"/>
              </w:rPr>
            </w:pPr>
            <w:r w:rsidRPr="00CD1518">
              <w:rPr>
                <w:color w:val="000000"/>
                <w:sz w:val="14"/>
                <w:szCs w:val="14"/>
                <w:lang w:eastAsia="en-AU"/>
              </w:rPr>
              <w:t>Research</w:t>
            </w:r>
          </w:p>
        </w:tc>
        <w:tc>
          <w:tcPr>
            <w:tcW w:w="535"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5"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FFFFFF"/>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r>
      <w:tr w:rsidR="008977A0" w:rsidRPr="008977A0" w:rsidTr="00CD1518">
        <w:trPr>
          <w:trHeight w:val="260"/>
        </w:trPr>
        <w:tc>
          <w:tcPr>
            <w:tcW w:w="713" w:type="pct"/>
            <w:tcBorders>
              <w:top w:val="nil"/>
              <w:left w:val="single" w:sz="4" w:space="0" w:color="5B9BD5"/>
              <w:bottom w:val="single" w:sz="4" w:space="0" w:color="5B9BD5"/>
              <w:right w:val="single" w:sz="4" w:space="0" w:color="5B9BD5"/>
            </w:tcBorders>
            <w:shd w:val="clear" w:color="000000" w:fill="DDEBF7"/>
            <w:noWrap/>
            <w:vAlign w:val="center"/>
            <w:hideMark/>
          </w:tcPr>
          <w:p w:rsidR="008977A0" w:rsidRPr="00CD1518" w:rsidRDefault="008977A0">
            <w:pPr>
              <w:spacing w:line="240" w:lineRule="auto"/>
              <w:rPr>
                <w:color w:val="000000"/>
                <w:sz w:val="14"/>
                <w:szCs w:val="14"/>
                <w:lang w:eastAsia="en-AU"/>
              </w:rPr>
            </w:pPr>
            <w:r w:rsidRPr="00CD1518">
              <w:rPr>
                <w:color w:val="000000"/>
                <w:sz w:val="14"/>
                <w:szCs w:val="14"/>
                <w:lang w:eastAsia="en-AU"/>
              </w:rPr>
              <w:t>Teaching and Training</w:t>
            </w:r>
          </w:p>
        </w:tc>
        <w:tc>
          <w:tcPr>
            <w:tcW w:w="535"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5"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DEBF7"/>
            <w:noWrap/>
            <w:vAlign w:val="center"/>
            <w:hideMark/>
          </w:tcPr>
          <w:p w:rsidR="008977A0" w:rsidRPr="00CD1518" w:rsidRDefault="008977A0" w:rsidP="00CD1518">
            <w:pPr>
              <w:spacing w:line="240" w:lineRule="auto"/>
              <w:jc w:val="right"/>
              <w:rPr>
                <w:color w:val="000000"/>
                <w:sz w:val="14"/>
                <w:szCs w:val="14"/>
                <w:lang w:eastAsia="en-AU"/>
              </w:rPr>
            </w:pPr>
            <w:r w:rsidRPr="00CD1518">
              <w:rPr>
                <w:color w:val="000000"/>
                <w:sz w:val="14"/>
                <w:szCs w:val="14"/>
                <w:lang w:eastAsia="en-AU"/>
              </w:rPr>
              <w:t>-</w:t>
            </w:r>
          </w:p>
        </w:tc>
      </w:tr>
      <w:tr w:rsidR="008977A0" w:rsidRPr="008977A0" w:rsidTr="00CD1518">
        <w:trPr>
          <w:trHeight w:val="260"/>
        </w:trPr>
        <w:tc>
          <w:tcPr>
            <w:tcW w:w="713" w:type="pct"/>
            <w:tcBorders>
              <w:top w:val="nil"/>
              <w:left w:val="single" w:sz="4" w:space="0" w:color="5B9BD5"/>
              <w:bottom w:val="single" w:sz="4" w:space="0" w:color="5B9BD5"/>
              <w:right w:val="single" w:sz="4" w:space="0" w:color="5B9BD5"/>
            </w:tcBorders>
            <w:shd w:val="clear" w:color="000000" w:fill="D0CECE"/>
            <w:noWrap/>
            <w:vAlign w:val="center"/>
            <w:hideMark/>
          </w:tcPr>
          <w:p w:rsidR="008977A0" w:rsidRPr="00CD1518" w:rsidRDefault="008977A0">
            <w:pPr>
              <w:spacing w:line="240" w:lineRule="auto"/>
              <w:rPr>
                <w:b/>
                <w:bCs/>
                <w:color w:val="000000"/>
                <w:sz w:val="14"/>
                <w:szCs w:val="14"/>
                <w:lang w:eastAsia="en-AU"/>
              </w:rPr>
            </w:pPr>
            <w:r w:rsidRPr="00CD1518">
              <w:rPr>
                <w:b/>
                <w:bCs/>
                <w:color w:val="000000"/>
                <w:sz w:val="14"/>
                <w:szCs w:val="14"/>
                <w:lang w:eastAsia="en-AU"/>
              </w:rPr>
              <w:t>Total</w:t>
            </w:r>
          </w:p>
        </w:tc>
        <w:tc>
          <w:tcPr>
            <w:tcW w:w="535" w:type="pct"/>
            <w:tcBorders>
              <w:top w:val="nil"/>
              <w:left w:val="nil"/>
              <w:bottom w:val="single" w:sz="4" w:space="0" w:color="5B9BD5"/>
              <w:right w:val="single" w:sz="4" w:space="0" w:color="5B9BD5"/>
            </w:tcBorders>
            <w:shd w:val="clear" w:color="000000" w:fill="D0CECE"/>
            <w:noWrap/>
            <w:vAlign w:val="center"/>
            <w:hideMark/>
          </w:tcPr>
          <w:p w:rsidR="008977A0" w:rsidRPr="00CD1518" w:rsidRDefault="008977A0" w:rsidP="00CD1518">
            <w:pPr>
              <w:spacing w:line="240" w:lineRule="auto"/>
              <w:jc w:val="right"/>
              <w:rPr>
                <w:b/>
                <w:bCs/>
                <w:color w:val="000000"/>
                <w:sz w:val="14"/>
                <w:szCs w:val="14"/>
                <w:lang w:eastAsia="en-AU"/>
              </w:rPr>
            </w:pPr>
            <w:r w:rsidRPr="00CD1518">
              <w:rPr>
                <w:b/>
                <w:bCs/>
                <w:color w:val="000000"/>
                <w:sz w:val="14"/>
                <w:szCs w:val="14"/>
                <w:lang w:eastAsia="en-AU"/>
              </w:rPr>
              <w:t>51,866</w:t>
            </w:r>
          </w:p>
        </w:tc>
        <w:tc>
          <w:tcPr>
            <w:tcW w:w="536" w:type="pct"/>
            <w:tcBorders>
              <w:top w:val="nil"/>
              <w:left w:val="nil"/>
              <w:bottom w:val="single" w:sz="4" w:space="0" w:color="5B9BD5"/>
              <w:right w:val="single" w:sz="4" w:space="0" w:color="5B9BD5"/>
            </w:tcBorders>
            <w:shd w:val="clear" w:color="000000" w:fill="D0CECE"/>
            <w:noWrap/>
            <w:vAlign w:val="center"/>
            <w:hideMark/>
          </w:tcPr>
          <w:p w:rsidR="008977A0" w:rsidRPr="00CD1518" w:rsidRDefault="008977A0" w:rsidP="00CD1518">
            <w:pPr>
              <w:spacing w:line="240" w:lineRule="auto"/>
              <w:jc w:val="right"/>
              <w:rPr>
                <w:b/>
                <w:bCs/>
                <w:color w:val="000000"/>
                <w:sz w:val="14"/>
                <w:szCs w:val="14"/>
                <w:lang w:eastAsia="en-AU"/>
              </w:rPr>
            </w:pPr>
            <w:r w:rsidRPr="00CD1518">
              <w:rPr>
                <w:b/>
                <w:bCs/>
                <w:color w:val="000000"/>
                <w:sz w:val="14"/>
                <w:szCs w:val="14"/>
                <w:lang w:eastAsia="en-AU"/>
              </w:rPr>
              <w:t>(1)</w:t>
            </w:r>
          </w:p>
        </w:tc>
        <w:tc>
          <w:tcPr>
            <w:tcW w:w="536" w:type="pct"/>
            <w:tcBorders>
              <w:top w:val="nil"/>
              <w:left w:val="nil"/>
              <w:bottom w:val="single" w:sz="4" w:space="0" w:color="5B9BD5"/>
              <w:right w:val="single" w:sz="4" w:space="0" w:color="5B9BD5"/>
            </w:tcBorders>
            <w:shd w:val="clear" w:color="000000" w:fill="D0CECE"/>
            <w:noWrap/>
            <w:vAlign w:val="center"/>
            <w:hideMark/>
          </w:tcPr>
          <w:p w:rsidR="008977A0" w:rsidRPr="00CD1518" w:rsidRDefault="008977A0" w:rsidP="00CD1518">
            <w:pPr>
              <w:spacing w:line="240" w:lineRule="auto"/>
              <w:jc w:val="right"/>
              <w:rPr>
                <w:b/>
                <w:bCs/>
                <w:color w:val="000000"/>
                <w:sz w:val="14"/>
                <w:szCs w:val="14"/>
                <w:lang w:eastAsia="en-AU"/>
              </w:rPr>
            </w:pPr>
            <w:r w:rsidRPr="00CD1518">
              <w:rPr>
                <w:b/>
                <w:bCs/>
                <w:color w:val="000000"/>
                <w:sz w:val="14"/>
                <w:szCs w:val="14"/>
                <w:lang w:eastAsia="en-AU"/>
              </w:rPr>
              <w:t>51,865</w:t>
            </w:r>
          </w:p>
        </w:tc>
        <w:tc>
          <w:tcPr>
            <w:tcW w:w="536" w:type="pct"/>
            <w:tcBorders>
              <w:top w:val="nil"/>
              <w:left w:val="nil"/>
              <w:bottom w:val="single" w:sz="4" w:space="0" w:color="5B9BD5"/>
              <w:right w:val="single" w:sz="4" w:space="0" w:color="5B9BD5"/>
            </w:tcBorders>
            <w:shd w:val="clear" w:color="000000" w:fill="D0CECE"/>
            <w:noWrap/>
            <w:vAlign w:val="center"/>
            <w:hideMark/>
          </w:tcPr>
          <w:p w:rsidR="008977A0" w:rsidRPr="00CD1518" w:rsidRDefault="008977A0" w:rsidP="00CD1518">
            <w:pPr>
              <w:spacing w:line="240" w:lineRule="auto"/>
              <w:jc w:val="right"/>
              <w:rPr>
                <w:b/>
                <w:bCs/>
                <w:color w:val="000000"/>
                <w:sz w:val="14"/>
                <w:szCs w:val="14"/>
                <w:lang w:eastAsia="en-AU"/>
              </w:rPr>
            </w:pPr>
            <w:r w:rsidRPr="00CD1518">
              <w:rPr>
                <w:b/>
                <w:bCs/>
                <w:color w:val="000000"/>
                <w:sz w:val="14"/>
                <w:szCs w:val="14"/>
                <w:lang w:eastAsia="en-AU"/>
              </w:rPr>
              <w:t>(249)</w:t>
            </w:r>
          </w:p>
        </w:tc>
        <w:tc>
          <w:tcPr>
            <w:tcW w:w="535" w:type="pct"/>
            <w:tcBorders>
              <w:top w:val="nil"/>
              <w:left w:val="nil"/>
              <w:bottom w:val="single" w:sz="4" w:space="0" w:color="5B9BD5"/>
              <w:right w:val="single" w:sz="4" w:space="0" w:color="5B9BD5"/>
            </w:tcBorders>
            <w:shd w:val="clear" w:color="000000" w:fill="D0CECE"/>
            <w:noWrap/>
            <w:vAlign w:val="center"/>
            <w:hideMark/>
          </w:tcPr>
          <w:p w:rsidR="008977A0" w:rsidRPr="00CD1518" w:rsidRDefault="008977A0" w:rsidP="00CD1518">
            <w:pPr>
              <w:spacing w:line="240" w:lineRule="auto"/>
              <w:jc w:val="right"/>
              <w:rPr>
                <w:b/>
                <w:bCs/>
                <w:color w:val="000000"/>
                <w:sz w:val="14"/>
                <w:szCs w:val="14"/>
                <w:lang w:eastAsia="en-AU"/>
              </w:rPr>
            </w:pPr>
            <w:r w:rsidRPr="00CD1518">
              <w:rPr>
                <w:b/>
                <w:bCs/>
                <w:color w:val="000000"/>
                <w:sz w:val="14"/>
                <w:szCs w:val="14"/>
                <w:lang w:eastAsia="en-AU"/>
              </w:rPr>
              <w:t>51,616</w:t>
            </w:r>
          </w:p>
        </w:tc>
        <w:tc>
          <w:tcPr>
            <w:tcW w:w="536" w:type="pct"/>
            <w:tcBorders>
              <w:top w:val="nil"/>
              <w:left w:val="nil"/>
              <w:bottom w:val="single" w:sz="4" w:space="0" w:color="5B9BD5"/>
              <w:right w:val="single" w:sz="4" w:space="0" w:color="5B9BD5"/>
            </w:tcBorders>
            <w:shd w:val="clear" w:color="000000" w:fill="D0CECE"/>
            <w:noWrap/>
            <w:vAlign w:val="center"/>
            <w:hideMark/>
          </w:tcPr>
          <w:p w:rsidR="008977A0" w:rsidRPr="00CD1518" w:rsidRDefault="008977A0" w:rsidP="00CD1518">
            <w:pPr>
              <w:spacing w:line="240" w:lineRule="auto"/>
              <w:jc w:val="right"/>
              <w:rPr>
                <w:b/>
                <w:bCs/>
                <w:color w:val="000000"/>
                <w:sz w:val="14"/>
                <w:szCs w:val="14"/>
                <w:lang w:eastAsia="en-AU"/>
              </w:rPr>
            </w:pPr>
            <w:r w:rsidRPr="00CD1518">
              <w:rPr>
                <w:b/>
                <w:bCs/>
                <w:color w:val="000000"/>
                <w:sz w:val="14"/>
                <w:szCs w:val="14"/>
                <w:lang w:eastAsia="en-AU"/>
              </w:rPr>
              <w:t>51,616</w:t>
            </w:r>
          </w:p>
        </w:tc>
        <w:tc>
          <w:tcPr>
            <w:tcW w:w="536" w:type="pct"/>
            <w:tcBorders>
              <w:top w:val="nil"/>
              <w:left w:val="nil"/>
              <w:bottom w:val="single" w:sz="4" w:space="0" w:color="5B9BD5"/>
              <w:right w:val="single" w:sz="4" w:space="0" w:color="5B9BD5"/>
            </w:tcBorders>
            <w:shd w:val="clear" w:color="000000" w:fill="D0CECE"/>
            <w:noWrap/>
            <w:vAlign w:val="center"/>
            <w:hideMark/>
          </w:tcPr>
          <w:p w:rsidR="008977A0" w:rsidRPr="00CD1518" w:rsidRDefault="008977A0" w:rsidP="00CD1518">
            <w:pPr>
              <w:spacing w:line="240" w:lineRule="auto"/>
              <w:jc w:val="right"/>
              <w:rPr>
                <w:b/>
                <w:bCs/>
                <w:color w:val="000000"/>
                <w:sz w:val="14"/>
                <w:szCs w:val="14"/>
                <w:lang w:eastAsia="en-AU"/>
              </w:rPr>
            </w:pPr>
            <w:r w:rsidRPr="00CD1518">
              <w:rPr>
                <w:b/>
                <w:bCs/>
                <w:color w:val="000000"/>
                <w:sz w:val="14"/>
                <w:szCs w:val="14"/>
                <w:lang w:eastAsia="en-AU"/>
              </w:rPr>
              <w:t>-</w:t>
            </w:r>
          </w:p>
        </w:tc>
        <w:tc>
          <w:tcPr>
            <w:tcW w:w="536" w:type="pct"/>
            <w:tcBorders>
              <w:top w:val="nil"/>
              <w:left w:val="nil"/>
              <w:bottom w:val="single" w:sz="4" w:space="0" w:color="5B9BD5"/>
              <w:right w:val="single" w:sz="4" w:space="0" w:color="5B9BD5"/>
            </w:tcBorders>
            <w:shd w:val="clear" w:color="000000" w:fill="D0CECE"/>
            <w:noWrap/>
            <w:vAlign w:val="center"/>
            <w:hideMark/>
          </w:tcPr>
          <w:p w:rsidR="008977A0" w:rsidRPr="00CD1518" w:rsidRDefault="008977A0" w:rsidP="00CD1518">
            <w:pPr>
              <w:spacing w:line="240" w:lineRule="auto"/>
              <w:jc w:val="right"/>
              <w:rPr>
                <w:b/>
                <w:bCs/>
                <w:color w:val="000000"/>
                <w:sz w:val="14"/>
                <w:szCs w:val="14"/>
                <w:lang w:eastAsia="en-AU"/>
              </w:rPr>
            </w:pPr>
            <w:r w:rsidRPr="00CD1518">
              <w:rPr>
                <w:b/>
                <w:bCs/>
                <w:color w:val="000000"/>
                <w:sz w:val="14"/>
                <w:szCs w:val="14"/>
                <w:lang w:eastAsia="en-AU"/>
              </w:rPr>
              <w:t>51,616</w:t>
            </w:r>
          </w:p>
        </w:tc>
      </w:tr>
    </w:tbl>
    <w:p w:rsidR="002E59FA" w:rsidRPr="00975E6B" w:rsidRDefault="002E59FA" w:rsidP="002E59FA">
      <w:pPr>
        <w:pStyle w:val="FootnoteText"/>
        <w:rPr>
          <w:bCs/>
          <w:i/>
          <w:sz w:val="16"/>
          <w:szCs w:val="16"/>
        </w:rPr>
      </w:pPr>
      <w:r w:rsidRPr="00975E6B">
        <w:rPr>
          <w:bCs/>
          <w:i/>
          <w:sz w:val="16"/>
          <w:szCs w:val="16"/>
        </w:rPr>
        <w:t xml:space="preserve">Source: KPMG based on data supplied by </w:t>
      </w:r>
      <w:r w:rsidR="005E2379" w:rsidRPr="00975E6B">
        <w:rPr>
          <w:bCs/>
          <w:i/>
          <w:sz w:val="16"/>
          <w:szCs w:val="16"/>
        </w:rPr>
        <w:t>Modbury Hospital</w:t>
      </w:r>
      <w:r w:rsidRPr="00975E6B">
        <w:rPr>
          <w:bCs/>
          <w:i/>
          <w:sz w:val="16"/>
          <w:szCs w:val="16"/>
        </w:rPr>
        <w:t xml:space="preserve">, NSW Health and IHPA </w:t>
      </w:r>
    </w:p>
    <w:p w:rsidR="002E59FA" w:rsidRPr="00975E6B" w:rsidRDefault="002E59FA" w:rsidP="002E59FA">
      <w:pPr>
        <w:pStyle w:val="BodyText"/>
      </w:pPr>
      <w:r w:rsidRPr="00975E6B">
        <w:t xml:space="preserve">The following should be noted about the transfer of activity data for </w:t>
      </w:r>
      <w:r w:rsidR="005E2379" w:rsidRPr="00975E6B">
        <w:t>Modbury Hospital</w:t>
      </w:r>
      <w:r w:rsidRPr="00975E6B">
        <w:t>:</w:t>
      </w:r>
    </w:p>
    <w:p w:rsidR="002E59FA" w:rsidRPr="00B464CA" w:rsidRDefault="002E59FA" w:rsidP="00F26328">
      <w:pPr>
        <w:pStyle w:val="BodyText"/>
        <w:numPr>
          <w:ilvl w:val="0"/>
          <w:numId w:val="35"/>
        </w:numPr>
        <w:rPr>
          <w:bCs/>
          <w:szCs w:val="20"/>
        </w:rPr>
      </w:pPr>
      <w:r w:rsidRPr="00975E6B">
        <w:t>SA Health did not submit activity and cost data related to non-admitted patients due to issues with the quality and completeness of the activity data. Non-admitted patients are costed at the hospital level, but are removed prior to submission to SA Health.</w:t>
      </w:r>
      <w:r w:rsidR="008977A0">
        <w:t xml:space="preserve"> This explains the variance between </w:t>
      </w:r>
      <w:r w:rsidR="00417884">
        <w:t xml:space="preserve">total records from source </w:t>
      </w:r>
      <w:r w:rsidR="00417884" w:rsidRPr="00C264CF">
        <w:t>detailed</w:t>
      </w:r>
      <w:r w:rsidR="00417884">
        <w:t xml:space="preserve"> in </w:t>
      </w:r>
      <w:r w:rsidR="008977A0" w:rsidRPr="00B464CA">
        <w:rPr>
          <w:bCs/>
          <w:szCs w:val="20"/>
        </w:rPr>
        <w:fldChar w:fldCharType="begin"/>
      </w:r>
      <w:r w:rsidR="008977A0" w:rsidRPr="00B464CA">
        <w:rPr>
          <w:bCs/>
          <w:szCs w:val="20"/>
        </w:rPr>
        <w:instrText xml:space="preserve"> REF _Ref433366978 \h </w:instrText>
      </w:r>
      <w:r w:rsidR="00B464CA">
        <w:rPr>
          <w:bCs/>
          <w:szCs w:val="20"/>
        </w:rPr>
        <w:instrText xml:space="preserve"> \* MERGEFORMAT </w:instrText>
      </w:r>
      <w:r w:rsidR="008977A0" w:rsidRPr="00B464CA">
        <w:rPr>
          <w:bCs/>
          <w:szCs w:val="20"/>
        </w:rPr>
      </w:r>
      <w:r w:rsidR="008977A0" w:rsidRPr="00B464CA">
        <w:rPr>
          <w:bCs/>
          <w:szCs w:val="20"/>
        </w:rPr>
        <w:fldChar w:fldCharType="separate"/>
      </w:r>
      <w:r w:rsidR="00154CF7" w:rsidRPr="00154CF7">
        <w:rPr>
          <w:bCs/>
          <w:szCs w:val="20"/>
        </w:rPr>
        <w:t>Table 65</w:t>
      </w:r>
      <w:r w:rsidR="008977A0" w:rsidRPr="00B464CA">
        <w:rPr>
          <w:bCs/>
          <w:szCs w:val="20"/>
        </w:rPr>
        <w:fldChar w:fldCharType="end"/>
      </w:r>
      <w:r w:rsidR="008977A0" w:rsidRPr="00B464CA">
        <w:rPr>
          <w:bCs/>
          <w:szCs w:val="20"/>
        </w:rPr>
        <w:t xml:space="preserve"> </w:t>
      </w:r>
      <w:r w:rsidR="009550C2" w:rsidRPr="00B464CA">
        <w:rPr>
          <w:bCs/>
          <w:szCs w:val="20"/>
        </w:rPr>
        <w:t xml:space="preserve">(98,090 records) </w:t>
      </w:r>
      <w:r w:rsidR="008977A0" w:rsidRPr="00B464CA">
        <w:rPr>
          <w:bCs/>
          <w:szCs w:val="20"/>
        </w:rPr>
        <w:t xml:space="preserve">and total activity related to 2013-14 costs by NHCDC product type in </w:t>
      </w:r>
      <w:r w:rsidR="008977A0" w:rsidRPr="00B464CA">
        <w:rPr>
          <w:bCs/>
          <w:szCs w:val="20"/>
        </w:rPr>
        <w:fldChar w:fldCharType="begin"/>
      </w:r>
      <w:r w:rsidR="008977A0" w:rsidRPr="00B464CA">
        <w:rPr>
          <w:bCs/>
          <w:szCs w:val="20"/>
        </w:rPr>
        <w:instrText xml:space="preserve"> REF _Ref441088562 \h </w:instrText>
      </w:r>
      <w:r w:rsidR="00B464CA">
        <w:rPr>
          <w:bCs/>
          <w:szCs w:val="20"/>
        </w:rPr>
        <w:instrText xml:space="preserve"> \* MERGEFORMAT </w:instrText>
      </w:r>
      <w:r w:rsidR="008977A0" w:rsidRPr="00B464CA">
        <w:rPr>
          <w:bCs/>
          <w:szCs w:val="20"/>
        </w:rPr>
      </w:r>
      <w:r w:rsidR="008977A0" w:rsidRPr="00B464CA">
        <w:rPr>
          <w:bCs/>
          <w:szCs w:val="20"/>
        </w:rPr>
        <w:fldChar w:fldCharType="separate"/>
      </w:r>
      <w:r w:rsidR="00154CF7" w:rsidRPr="00154CF7">
        <w:rPr>
          <w:bCs/>
          <w:szCs w:val="20"/>
        </w:rPr>
        <w:t>Table 66</w:t>
      </w:r>
      <w:r w:rsidR="008977A0" w:rsidRPr="00B464CA">
        <w:rPr>
          <w:bCs/>
          <w:szCs w:val="20"/>
        </w:rPr>
        <w:fldChar w:fldCharType="end"/>
      </w:r>
      <w:r w:rsidR="009550C2" w:rsidRPr="00B464CA">
        <w:rPr>
          <w:bCs/>
          <w:szCs w:val="20"/>
        </w:rPr>
        <w:t xml:space="preserve"> (51,866 records)</w:t>
      </w:r>
      <w:r w:rsidR="008977A0" w:rsidRPr="00B464CA">
        <w:rPr>
          <w:bCs/>
          <w:szCs w:val="20"/>
        </w:rPr>
        <w:t>.</w:t>
      </w:r>
    </w:p>
    <w:p w:rsidR="002E59FA" w:rsidRPr="00975E6B" w:rsidRDefault="002E59FA" w:rsidP="00F26328">
      <w:pPr>
        <w:pStyle w:val="BodyText"/>
        <w:numPr>
          <w:ilvl w:val="0"/>
          <w:numId w:val="35"/>
        </w:numPr>
      </w:pPr>
      <w:r w:rsidRPr="00975E6B">
        <w:t xml:space="preserve">The adjustment made by </w:t>
      </w:r>
      <w:r w:rsidR="005E2379" w:rsidRPr="00975E6B">
        <w:t>Modbury Hospital</w:t>
      </w:r>
      <w:r w:rsidRPr="00975E6B">
        <w:t xml:space="preserve"> to the Emergency product relates to a zero cost record.</w:t>
      </w:r>
    </w:p>
    <w:p w:rsidR="002E59FA" w:rsidRPr="00975E6B" w:rsidRDefault="002E59FA" w:rsidP="00F26328">
      <w:pPr>
        <w:pStyle w:val="BodyText"/>
        <w:numPr>
          <w:ilvl w:val="0"/>
          <w:numId w:val="35"/>
        </w:numPr>
      </w:pPr>
      <w:r w:rsidRPr="00975E6B">
        <w:t xml:space="preserve">Adjustments made by SA Health relate to </w:t>
      </w:r>
      <w:r w:rsidR="00D52AA9" w:rsidRPr="00975E6B">
        <w:t xml:space="preserve">the </w:t>
      </w:r>
      <w:r w:rsidR="00D52AA9">
        <w:t>activity associated with the</w:t>
      </w:r>
      <w:r w:rsidR="00D52AA9" w:rsidRPr="00975E6B" w:rsidDel="00D52AA9">
        <w:t xml:space="preserve"> </w:t>
      </w:r>
      <w:r w:rsidRPr="00975E6B">
        <w:t xml:space="preserve">exclusion of costs </w:t>
      </w:r>
      <w:r w:rsidR="009E6082" w:rsidRPr="00975E6B">
        <w:t>(at Item G of the financial reconciliation) such as current WIP, unmapped/mismatched records and incomplete cost records</w:t>
      </w:r>
      <w:r w:rsidRPr="00975E6B">
        <w:t>.</w:t>
      </w:r>
    </w:p>
    <w:p w:rsidR="002E59FA" w:rsidRPr="00975E6B" w:rsidRDefault="002E59FA" w:rsidP="00F26328">
      <w:pPr>
        <w:pStyle w:val="BodyText"/>
        <w:numPr>
          <w:ilvl w:val="0"/>
          <w:numId w:val="35"/>
        </w:numPr>
      </w:pPr>
      <w:r w:rsidRPr="00975E6B">
        <w:t xml:space="preserve">Adjustments made by IHPA relating to admitted emergency reallocations </w:t>
      </w:r>
      <w:r w:rsidR="009E6082" w:rsidRPr="00975E6B">
        <w:t xml:space="preserve">for reporting and analysis purposes </w:t>
      </w:r>
      <w:r w:rsidRPr="00975E6B">
        <w:t>(as discussed in Item J of the explanation of reconciliation items) has no impact on the reported activity.</w:t>
      </w:r>
    </w:p>
    <w:p w:rsidR="002E59FA" w:rsidRPr="00975E6B" w:rsidRDefault="002E59FA" w:rsidP="003B387A">
      <w:pPr>
        <w:pStyle w:val="Heading3"/>
        <w:numPr>
          <w:ilvl w:val="2"/>
          <w:numId w:val="77"/>
        </w:numPr>
      </w:pPr>
      <w:r w:rsidRPr="004B31EB">
        <w:t>Treatment</w:t>
      </w:r>
      <w:r w:rsidRPr="00975E6B">
        <w:t xml:space="preserve"> of </w:t>
      </w:r>
      <w:r w:rsidR="00DA7807" w:rsidRPr="00975E6B">
        <w:t>WIP</w:t>
      </w:r>
    </w:p>
    <w:p w:rsidR="002E59FA" w:rsidRPr="00B464CA" w:rsidRDefault="00064338" w:rsidP="00B464CA">
      <w:pPr>
        <w:spacing w:before="120" w:after="120" w:line="280" w:lineRule="atLeast"/>
        <w:jc w:val="both"/>
        <w:rPr>
          <w:bCs/>
        </w:rPr>
      </w:pPr>
      <w:r>
        <w:rPr>
          <w:bCs/>
        </w:rPr>
        <w:fldChar w:fldCharType="begin"/>
      </w:r>
      <w:r>
        <w:rPr>
          <w:bCs/>
        </w:rPr>
        <w:instrText xml:space="preserve"> REF _Ref444517133 \h </w:instrText>
      </w:r>
      <w:r>
        <w:rPr>
          <w:bCs/>
        </w:rPr>
      </w:r>
      <w:r>
        <w:rPr>
          <w:bCs/>
        </w:rPr>
        <w:fldChar w:fldCharType="separate"/>
      </w:r>
      <w:r w:rsidR="00154CF7" w:rsidRPr="00975E6B">
        <w:t xml:space="preserve">Table </w:t>
      </w:r>
      <w:r w:rsidR="00154CF7">
        <w:rPr>
          <w:noProof/>
        </w:rPr>
        <w:t>67</w:t>
      </w:r>
      <w:r>
        <w:rPr>
          <w:bCs/>
        </w:rPr>
        <w:fldChar w:fldCharType="end"/>
      </w:r>
      <w:r>
        <w:rPr>
          <w:bCs/>
        </w:rPr>
        <w:t xml:space="preserve"> </w:t>
      </w:r>
      <w:r w:rsidR="002E59FA" w:rsidRPr="00B464CA">
        <w:rPr>
          <w:bCs/>
        </w:rPr>
        <w:t xml:space="preserve">demonstrates models for WIP and what was included in the </w:t>
      </w:r>
      <w:r w:rsidR="005E2379" w:rsidRPr="00B464CA">
        <w:rPr>
          <w:bCs/>
        </w:rPr>
        <w:t>Modbury Hospital</w:t>
      </w:r>
      <w:r w:rsidR="002E59FA" w:rsidRPr="00B464CA">
        <w:rPr>
          <w:bCs/>
        </w:rPr>
        <w:t xml:space="preserve"> Round 18 NHCDC submission.</w:t>
      </w:r>
    </w:p>
    <w:p w:rsidR="002E59FA" w:rsidRPr="00975E6B" w:rsidRDefault="002E59FA" w:rsidP="002E59FA">
      <w:pPr>
        <w:pStyle w:val="Caption"/>
      </w:pPr>
      <w:bookmarkStart w:id="774" w:name="_Ref433368182"/>
      <w:bookmarkStart w:id="775" w:name="_Ref444517133"/>
      <w:r w:rsidRPr="00975E6B">
        <w:t xml:space="preserve">Table </w:t>
      </w:r>
      <w:r w:rsidR="00AC3838">
        <w:fldChar w:fldCharType="begin"/>
      </w:r>
      <w:r w:rsidR="00AC3838">
        <w:instrText xml:space="preserve"> SEQ Table \* ARABIC </w:instrText>
      </w:r>
      <w:r w:rsidR="00AC3838">
        <w:fldChar w:fldCharType="separate"/>
      </w:r>
      <w:proofErr w:type="gramStart"/>
      <w:r w:rsidR="00154CF7">
        <w:rPr>
          <w:noProof/>
        </w:rPr>
        <w:t>67</w:t>
      </w:r>
      <w:r w:rsidR="00AC3838">
        <w:rPr>
          <w:noProof/>
        </w:rPr>
        <w:fldChar w:fldCharType="end"/>
      </w:r>
      <w:bookmarkEnd w:id="774"/>
      <w:bookmarkEnd w:id="775"/>
      <w:r w:rsidRPr="00975E6B">
        <w:t xml:space="preserve"> – </w:t>
      </w:r>
      <w:r w:rsidR="00EC75FC" w:rsidRPr="00975E6B">
        <w:t>WIP</w:t>
      </w:r>
      <w:r w:rsidRPr="00975E6B">
        <w:t xml:space="preserve"> – Modbury Hospital</w:t>
      </w:r>
      <w:proofErr w:type="gramEnd"/>
    </w:p>
    <w:tbl>
      <w:tblPr>
        <w:tblStyle w:val="ListTable4-Accent11"/>
        <w:tblW w:w="5000" w:type="pct"/>
        <w:tblLayout w:type="fixed"/>
        <w:tblLook w:val="0620" w:firstRow="1" w:lastRow="0" w:firstColumn="0" w:lastColumn="0" w:noHBand="1" w:noVBand="1"/>
        <w:tblCaption w:val="Table 67 - Models for Work In Progress - Modbury Hospital"/>
        <w:tblDescription w:val="This table describes the models for Work In Progress and how that applied to Modbury Hospital.  The first column is the model number, the second column is the description and the third column is how that model was applied for the relevant hospital.&#10;"/>
      </w:tblPr>
      <w:tblGrid>
        <w:gridCol w:w="873"/>
        <w:gridCol w:w="4217"/>
        <w:gridCol w:w="3631"/>
      </w:tblGrid>
      <w:tr w:rsidR="002E59FA" w:rsidRPr="00975E6B" w:rsidTr="00E14378">
        <w:trPr>
          <w:cnfStyle w:val="100000000000" w:firstRow="1" w:lastRow="0" w:firstColumn="0" w:lastColumn="0" w:oddVBand="0" w:evenVBand="0" w:oddHBand="0" w:evenHBand="0" w:firstRowFirstColumn="0" w:firstRowLastColumn="0" w:lastRowFirstColumn="0" w:lastRowLastColumn="0"/>
          <w:tblHeader/>
        </w:trPr>
        <w:tc>
          <w:tcPr>
            <w:tcW w:w="500" w:type="pct"/>
            <w:tcBorders>
              <w:right w:val="single" w:sz="4" w:space="0" w:color="548DD4" w:themeColor="text2" w:themeTint="99"/>
            </w:tcBorders>
            <w:shd w:val="clear" w:color="auto" w:fill="002060"/>
            <w:noWrap/>
          </w:tcPr>
          <w:p w:rsidR="002E59FA" w:rsidRPr="00975E6B" w:rsidRDefault="002E59FA" w:rsidP="0029344A">
            <w:pPr>
              <w:jc w:val="right"/>
            </w:pPr>
            <w:r w:rsidRPr="00975E6B">
              <w:t>Model</w:t>
            </w:r>
          </w:p>
        </w:tc>
        <w:tc>
          <w:tcPr>
            <w:tcW w:w="2418" w:type="pct"/>
            <w:tcBorders>
              <w:left w:val="single" w:sz="4" w:space="0" w:color="548DD4" w:themeColor="text2" w:themeTint="99"/>
            </w:tcBorders>
            <w:shd w:val="clear" w:color="auto" w:fill="002060"/>
          </w:tcPr>
          <w:p w:rsidR="002E59FA" w:rsidRPr="00975E6B" w:rsidRDefault="002E59FA" w:rsidP="0029344A">
            <w:r w:rsidRPr="00975E6B">
              <w:t>Description</w:t>
            </w:r>
          </w:p>
        </w:tc>
        <w:tc>
          <w:tcPr>
            <w:tcW w:w="2082" w:type="pct"/>
            <w:tcBorders>
              <w:left w:val="single" w:sz="4" w:space="0" w:color="548DD4" w:themeColor="text2" w:themeTint="99"/>
            </w:tcBorders>
            <w:shd w:val="clear" w:color="auto" w:fill="002060"/>
          </w:tcPr>
          <w:p w:rsidR="002E59FA" w:rsidRPr="00975E6B" w:rsidRDefault="002E59FA" w:rsidP="0029344A">
            <w:pPr>
              <w:jc w:val="center"/>
            </w:pPr>
            <w:r w:rsidRPr="00975E6B">
              <w:t>Submitted to Round 18 NHCDC</w:t>
            </w:r>
          </w:p>
        </w:tc>
      </w:tr>
      <w:tr w:rsidR="002E59FA" w:rsidRPr="00975E6B" w:rsidTr="0029344A">
        <w:tc>
          <w:tcPr>
            <w:tcW w:w="499" w:type="pct"/>
            <w:tcBorders>
              <w:right w:val="single" w:sz="4" w:space="0" w:color="548DD4" w:themeColor="text2" w:themeTint="99"/>
            </w:tcBorders>
            <w:noWrap/>
          </w:tcPr>
          <w:p w:rsidR="002E59FA" w:rsidRPr="00975E6B" w:rsidRDefault="002E59FA" w:rsidP="001140D3">
            <w:pPr>
              <w:jc w:val="center"/>
            </w:pPr>
            <w:r w:rsidRPr="00975E6B">
              <w:t>1</w:t>
            </w:r>
          </w:p>
        </w:tc>
        <w:tc>
          <w:tcPr>
            <w:tcW w:w="2418" w:type="pct"/>
            <w:tcBorders>
              <w:left w:val="single" w:sz="4" w:space="0" w:color="548DD4" w:themeColor="text2" w:themeTint="99"/>
            </w:tcBorders>
          </w:tcPr>
          <w:p w:rsidR="002E59FA" w:rsidRPr="00975E6B" w:rsidRDefault="002E59FA" w:rsidP="0029344A">
            <w:r w:rsidRPr="00975E6B">
              <w:t>Admitted and Discharged Patients in 2013/14 only</w:t>
            </w:r>
          </w:p>
        </w:tc>
        <w:tc>
          <w:tcPr>
            <w:tcW w:w="2082" w:type="pct"/>
            <w:tcBorders>
              <w:left w:val="single" w:sz="4" w:space="0" w:color="548DD4" w:themeColor="text2" w:themeTint="99"/>
            </w:tcBorders>
          </w:tcPr>
          <w:p w:rsidR="002E59FA" w:rsidRPr="00975E6B" w:rsidRDefault="002E59FA" w:rsidP="0029344A">
            <w:pPr>
              <w:jc w:val="center"/>
            </w:pPr>
            <w:r w:rsidRPr="00975E6B">
              <w:t>Submitted to Round 18 of the NHCDC</w:t>
            </w:r>
          </w:p>
        </w:tc>
      </w:tr>
      <w:tr w:rsidR="002E59FA" w:rsidRPr="00975E6B" w:rsidTr="0029344A">
        <w:tc>
          <w:tcPr>
            <w:tcW w:w="499" w:type="pct"/>
            <w:tcBorders>
              <w:right w:val="single" w:sz="4" w:space="0" w:color="548DD4" w:themeColor="text2" w:themeTint="99"/>
            </w:tcBorders>
            <w:noWrap/>
          </w:tcPr>
          <w:p w:rsidR="002E59FA" w:rsidRPr="00975E6B" w:rsidRDefault="002E59FA" w:rsidP="001140D3">
            <w:pPr>
              <w:jc w:val="center"/>
            </w:pPr>
            <w:r w:rsidRPr="00975E6B">
              <w:t>2</w:t>
            </w:r>
          </w:p>
        </w:tc>
        <w:tc>
          <w:tcPr>
            <w:tcW w:w="2418" w:type="pct"/>
            <w:tcBorders>
              <w:left w:val="single" w:sz="4" w:space="0" w:color="548DD4" w:themeColor="text2" w:themeTint="99"/>
            </w:tcBorders>
          </w:tcPr>
          <w:p w:rsidR="002E59FA" w:rsidRPr="00975E6B" w:rsidRDefault="002E59FA" w:rsidP="0029344A">
            <w:r w:rsidRPr="00975E6B">
              <w:t>Costs for patients discharged in 2013/14 but admitted prior to 2013/14</w:t>
            </w:r>
          </w:p>
        </w:tc>
        <w:tc>
          <w:tcPr>
            <w:tcW w:w="2082" w:type="pct"/>
            <w:tcBorders>
              <w:left w:val="single" w:sz="4" w:space="0" w:color="548DD4" w:themeColor="text2" w:themeTint="99"/>
            </w:tcBorders>
          </w:tcPr>
          <w:p w:rsidR="002E59FA" w:rsidRPr="00975E6B" w:rsidRDefault="002E59FA" w:rsidP="0029344A">
            <w:pPr>
              <w:jc w:val="center"/>
            </w:pPr>
            <w:r w:rsidRPr="00975E6B">
              <w:t>Submitted to Round 18 of the NHCDC</w:t>
            </w:r>
          </w:p>
        </w:tc>
      </w:tr>
      <w:tr w:rsidR="002E59FA" w:rsidRPr="00975E6B" w:rsidTr="0029344A">
        <w:tc>
          <w:tcPr>
            <w:tcW w:w="499" w:type="pct"/>
            <w:tcBorders>
              <w:right w:val="single" w:sz="4" w:space="0" w:color="548DD4" w:themeColor="text2" w:themeTint="99"/>
            </w:tcBorders>
            <w:noWrap/>
          </w:tcPr>
          <w:p w:rsidR="002E59FA" w:rsidRPr="00975E6B" w:rsidRDefault="002E59FA" w:rsidP="001140D3">
            <w:pPr>
              <w:jc w:val="center"/>
            </w:pPr>
            <w:r w:rsidRPr="00975E6B">
              <w:t>3</w:t>
            </w:r>
          </w:p>
        </w:tc>
        <w:tc>
          <w:tcPr>
            <w:tcW w:w="2418" w:type="pct"/>
            <w:tcBorders>
              <w:left w:val="single" w:sz="4" w:space="0" w:color="548DD4" w:themeColor="text2" w:themeTint="99"/>
            </w:tcBorders>
          </w:tcPr>
          <w:p w:rsidR="002E59FA" w:rsidRPr="00975E6B" w:rsidRDefault="002E59FA" w:rsidP="0029344A">
            <w:r w:rsidRPr="00975E6B">
              <w:t>Costs for patients admitted prior to or in 2013/14 and remain admitted at 30/06/2014</w:t>
            </w:r>
          </w:p>
        </w:tc>
        <w:tc>
          <w:tcPr>
            <w:tcW w:w="2082" w:type="pct"/>
            <w:tcBorders>
              <w:left w:val="single" w:sz="4" w:space="0" w:color="548DD4" w:themeColor="text2" w:themeTint="99"/>
            </w:tcBorders>
          </w:tcPr>
          <w:p w:rsidR="002E59FA" w:rsidRPr="00975E6B" w:rsidRDefault="002E59FA" w:rsidP="0029344A">
            <w:pPr>
              <w:jc w:val="center"/>
            </w:pPr>
            <w:r w:rsidRPr="00975E6B">
              <w:t>Not submitted to Round 18 of the NHCDC</w:t>
            </w:r>
          </w:p>
        </w:tc>
      </w:tr>
      <w:tr w:rsidR="00293A51" w:rsidRPr="00975E6B" w:rsidTr="0029344A">
        <w:tc>
          <w:tcPr>
            <w:tcW w:w="499" w:type="pct"/>
            <w:tcBorders>
              <w:right w:val="single" w:sz="4" w:space="0" w:color="548DD4" w:themeColor="text2" w:themeTint="99"/>
            </w:tcBorders>
            <w:noWrap/>
          </w:tcPr>
          <w:p w:rsidR="00293A51" w:rsidRPr="00975E6B" w:rsidRDefault="00293A51" w:rsidP="001140D3">
            <w:pPr>
              <w:jc w:val="center"/>
            </w:pPr>
            <w:r w:rsidRPr="00975E6B">
              <w:t>4</w:t>
            </w:r>
          </w:p>
        </w:tc>
        <w:tc>
          <w:tcPr>
            <w:tcW w:w="2418" w:type="pct"/>
            <w:tcBorders>
              <w:left w:val="single" w:sz="4" w:space="0" w:color="548DD4" w:themeColor="text2" w:themeTint="99"/>
            </w:tcBorders>
          </w:tcPr>
          <w:p w:rsidR="00293A51" w:rsidRPr="00975E6B" w:rsidRDefault="00293A51" w:rsidP="00293A51">
            <w:r w:rsidRPr="00975E6B">
              <w:t>Costs for patients admitted prior to 2013/14 and still admitted at 30/06/2014</w:t>
            </w:r>
          </w:p>
        </w:tc>
        <w:tc>
          <w:tcPr>
            <w:tcW w:w="2082" w:type="pct"/>
            <w:tcBorders>
              <w:left w:val="single" w:sz="4" w:space="0" w:color="548DD4" w:themeColor="text2" w:themeTint="99"/>
            </w:tcBorders>
          </w:tcPr>
          <w:p w:rsidR="00293A51" w:rsidRPr="00975E6B" w:rsidRDefault="00293A51" w:rsidP="00293A51">
            <w:pPr>
              <w:jc w:val="center"/>
            </w:pPr>
            <w:r w:rsidRPr="00975E6B">
              <w:t>Not submitted to Round 18 of the NHCDC</w:t>
            </w:r>
          </w:p>
        </w:tc>
      </w:tr>
    </w:tbl>
    <w:p w:rsidR="002E59FA" w:rsidRPr="00975E6B" w:rsidRDefault="002E59FA" w:rsidP="002E59FA">
      <w:pPr>
        <w:pStyle w:val="FootnoteText"/>
        <w:rPr>
          <w:bCs/>
          <w:i/>
          <w:sz w:val="16"/>
          <w:szCs w:val="16"/>
        </w:rPr>
      </w:pPr>
      <w:r w:rsidRPr="00975E6B">
        <w:rPr>
          <w:bCs/>
          <w:i/>
          <w:sz w:val="16"/>
          <w:szCs w:val="16"/>
        </w:rPr>
        <w:t xml:space="preserve">Source: KPMG, based on </w:t>
      </w:r>
      <w:r w:rsidR="005E2379" w:rsidRPr="00975E6B">
        <w:rPr>
          <w:bCs/>
          <w:i/>
          <w:sz w:val="16"/>
          <w:szCs w:val="16"/>
        </w:rPr>
        <w:t>Modbury Hospital</w:t>
      </w:r>
      <w:r w:rsidRPr="00975E6B">
        <w:rPr>
          <w:bCs/>
          <w:i/>
          <w:sz w:val="16"/>
          <w:szCs w:val="16"/>
        </w:rPr>
        <w:t xml:space="preserve"> templates and review discussions </w:t>
      </w:r>
    </w:p>
    <w:p w:rsidR="002E59FA" w:rsidRPr="00975E6B" w:rsidRDefault="002E59FA" w:rsidP="002E59FA">
      <w:pPr>
        <w:pStyle w:val="BodyText"/>
      </w:pPr>
      <w:r w:rsidRPr="00975E6B">
        <w:lastRenderedPageBreak/>
        <w:t xml:space="preserve">In summary, </w:t>
      </w:r>
      <w:r w:rsidR="005E2379" w:rsidRPr="00975E6B">
        <w:t>Modbury Hospital</w:t>
      </w:r>
      <w:r w:rsidRPr="00975E6B">
        <w:t xml:space="preserve"> submitted </w:t>
      </w:r>
      <w:r w:rsidR="00B7080E" w:rsidRPr="00975E6B">
        <w:t xml:space="preserve">WIP </w:t>
      </w:r>
      <w:r w:rsidRPr="00975E6B">
        <w:t xml:space="preserve">costs for admitted and discharged patients in 2013/14 and the 2012/13 </w:t>
      </w:r>
      <w:r w:rsidR="00B7080E" w:rsidRPr="00975E6B">
        <w:t xml:space="preserve">WIP </w:t>
      </w:r>
      <w:r w:rsidRPr="00975E6B">
        <w:t>costs incurred for patients admitted prior to, but discharged, in 2013/14.</w:t>
      </w:r>
    </w:p>
    <w:p w:rsidR="002E59FA" w:rsidRPr="00975E6B" w:rsidRDefault="002E59FA" w:rsidP="004B31EB">
      <w:pPr>
        <w:pStyle w:val="Heading4"/>
        <w:numPr>
          <w:ilvl w:val="0"/>
          <w:numId w:val="0"/>
        </w:numPr>
        <w:ind w:left="720" w:hanging="720"/>
      </w:pPr>
      <w:r w:rsidRPr="00975E6B">
        <w:t>Escalation factor</w:t>
      </w:r>
    </w:p>
    <w:p w:rsidR="002E59FA" w:rsidRPr="00975E6B" w:rsidRDefault="002E59FA" w:rsidP="002E59FA">
      <w:pPr>
        <w:pStyle w:val="BodyText"/>
      </w:pPr>
      <w:r w:rsidRPr="00975E6B">
        <w:t>SA Health applied the escalation factors provided by IHPA for prior years to the costs associated with WIP as part of the Round 18 submission to the NHCDC.</w:t>
      </w:r>
    </w:p>
    <w:p w:rsidR="002E59FA" w:rsidRPr="00975E6B" w:rsidRDefault="002E59FA" w:rsidP="003B387A">
      <w:pPr>
        <w:pStyle w:val="Heading3"/>
        <w:numPr>
          <w:ilvl w:val="2"/>
          <w:numId w:val="77"/>
        </w:numPr>
      </w:pPr>
      <w:r w:rsidRPr="004B31EB">
        <w:t>Treatment</w:t>
      </w:r>
      <w:r w:rsidRPr="00975E6B">
        <w:t xml:space="preserve"> of other specific cost items</w:t>
      </w:r>
    </w:p>
    <w:p w:rsidR="002E59FA" w:rsidRPr="00975E6B" w:rsidRDefault="00EB4E48" w:rsidP="002E59FA">
      <w:r w:rsidRPr="00975E6B">
        <w:t>The following items were discussed during the reviews to understand their treatment in the costing process. The cost data is used to inform the NEP and specific funding model adjustments for particular patient cohorts</w:t>
      </w:r>
      <w:r w:rsidR="002E59FA" w:rsidRPr="00975E6B">
        <w:t xml:space="preserve">. Treatment of each of the items is summarised in </w:t>
      </w:r>
      <w:r w:rsidR="002E59FA" w:rsidRPr="00975E6B">
        <w:fldChar w:fldCharType="begin"/>
      </w:r>
      <w:r w:rsidR="002E59FA" w:rsidRPr="00975E6B">
        <w:instrText xml:space="preserve"> REF _Ref433368702 \h </w:instrText>
      </w:r>
      <w:r w:rsidR="00975E6B">
        <w:instrText xml:space="preserve"> \* MERGEFORMAT </w:instrText>
      </w:r>
      <w:r w:rsidR="002E59FA" w:rsidRPr="00975E6B">
        <w:fldChar w:fldCharType="separate"/>
      </w:r>
      <w:r w:rsidR="00154CF7" w:rsidRPr="00975E6B">
        <w:t xml:space="preserve">Table </w:t>
      </w:r>
      <w:r w:rsidR="00154CF7">
        <w:rPr>
          <w:noProof/>
        </w:rPr>
        <w:t>68</w:t>
      </w:r>
      <w:r w:rsidR="002E59FA" w:rsidRPr="00975E6B">
        <w:fldChar w:fldCharType="end"/>
      </w:r>
      <w:r w:rsidR="002E59FA" w:rsidRPr="00975E6B">
        <w:t>.</w:t>
      </w:r>
    </w:p>
    <w:p w:rsidR="002E59FA" w:rsidRPr="00975E6B" w:rsidRDefault="002E59FA" w:rsidP="002E59FA">
      <w:pPr>
        <w:pStyle w:val="Caption"/>
      </w:pPr>
      <w:bookmarkStart w:id="776" w:name="_Ref433368702"/>
      <w:r w:rsidRPr="00975E6B">
        <w:t xml:space="preserve">Table </w:t>
      </w:r>
      <w:fldSimple w:instr=" SEQ Table \* ARABIC ">
        <w:r w:rsidR="00154CF7">
          <w:rPr>
            <w:noProof/>
          </w:rPr>
          <w:t>68</w:t>
        </w:r>
      </w:fldSimple>
      <w:bookmarkEnd w:id="776"/>
      <w:r w:rsidRPr="00975E6B">
        <w:t xml:space="preserve"> – Treatment of other specific cost items – Modbury Hospital</w:t>
      </w:r>
    </w:p>
    <w:tbl>
      <w:tblPr>
        <w:tblStyle w:val="ListTable4-Accent11"/>
        <w:tblW w:w="5000" w:type="pct"/>
        <w:tblLayout w:type="fixed"/>
        <w:tblLook w:val="0620" w:firstRow="1" w:lastRow="0" w:firstColumn="0" w:lastColumn="0" w:noHBand="1" w:noVBand="1"/>
        <w:tblCaption w:val="Table 68 - Treatment of specific items - Modbury Hospital"/>
        <w:tblDescription w:val="This table describes how Modbury Hospital treated specific items in their Round 18 NHCDC Submission.  The first column is the item and the second column is the description of the treatment.&#10;"/>
      </w:tblPr>
      <w:tblGrid>
        <w:gridCol w:w="3487"/>
        <w:gridCol w:w="5234"/>
      </w:tblGrid>
      <w:tr w:rsidR="002E59FA" w:rsidRPr="00975E6B" w:rsidTr="00E14378">
        <w:trPr>
          <w:cnfStyle w:val="100000000000" w:firstRow="1" w:lastRow="0" w:firstColumn="0" w:lastColumn="0" w:oddVBand="0" w:evenVBand="0" w:oddHBand="0" w:evenHBand="0" w:firstRowFirstColumn="0" w:firstRowLastColumn="0" w:lastRowFirstColumn="0" w:lastRowLastColumn="0"/>
          <w:tblHeader/>
        </w:trPr>
        <w:tc>
          <w:tcPr>
            <w:tcW w:w="1999" w:type="pct"/>
            <w:tcBorders>
              <w:right w:val="single" w:sz="4" w:space="0" w:color="548DD4" w:themeColor="text2" w:themeTint="99"/>
            </w:tcBorders>
            <w:shd w:val="clear" w:color="auto" w:fill="002060"/>
            <w:noWrap/>
          </w:tcPr>
          <w:p w:rsidR="002E59FA" w:rsidRPr="00975E6B" w:rsidRDefault="002E59FA" w:rsidP="0029344A">
            <w:r w:rsidRPr="00975E6B">
              <w:t>Item</w:t>
            </w:r>
          </w:p>
        </w:tc>
        <w:tc>
          <w:tcPr>
            <w:tcW w:w="3001" w:type="pct"/>
            <w:tcBorders>
              <w:left w:val="single" w:sz="4" w:space="0" w:color="548DD4" w:themeColor="text2" w:themeTint="99"/>
            </w:tcBorders>
            <w:shd w:val="clear" w:color="auto" w:fill="002060"/>
          </w:tcPr>
          <w:p w:rsidR="002E59FA" w:rsidRPr="00975E6B" w:rsidRDefault="002E59FA" w:rsidP="0029344A">
            <w:r w:rsidRPr="00975E6B">
              <w:t>Treatment</w:t>
            </w:r>
          </w:p>
        </w:tc>
      </w:tr>
      <w:tr w:rsidR="002E59FA" w:rsidRPr="00975E6B" w:rsidTr="0029344A">
        <w:tc>
          <w:tcPr>
            <w:tcW w:w="1999" w:type="pct"/>
            <w:tcBorders>
              <w:right w:val="single" w:sz="4" w:space="0" w:color="548DD4" w:themeColor="text2" w:themeTint="99"/>
            </w:tcBorders>
            <w:noWrap/>
          </w:tcPr>
          <w:p w:rsidR="002E59FA" w:rsidRPr="00975E6B" w:rsidRDefault="002E59FA" w:rsidP="0029344A">
            <w:pPr>
              <w:pStyle w:val="BodyText"/>
              <w:jc w:val="left"/>
            </w:pPr>
            <w:r w:rsidRPr="00975E6B">
              <w:t>Research</w:t>
            </w:r>
          </w:p>
        </w:tc>
        <w:tc>
          <w:tcPr>
            <w:tcW w:w="3001" w:type="pct"/>
            <w:tcBorders>
              <w:left w:val="single" w:sz="4" w:space="0" w:color="548DD4" w:themeColor="text2" w:themeTint="99"/>
            </w:tcBorders>
          </w:tcPr>
          <w:p w:rsidR="002E59FA" w:rsidRPr="00975E6B" w:rsidRDefault="002E59FA" w:rsidP="0029344A">
            <w:pPr>
              <w:pStyle w:val="BodyText"/>
              <w:jc w:val="left"/>
            </w:pPr>
            <w:r w:rsidRPr="00975E6B">
              <w:t>Research costs are not submitted to the NHCDC as they are not costed to patients.</w:t>
            </w:r>
          </w:p>
        </w:tc>
      </w:tr>
      <w:tr w:rsidR="002E59FA" w:rsidRPr="00975E6B" w:rsidTr="0029344A">
        <w:tc>
          <w:tcPr>
            <w:tcW w:w="1999" w:type="pct"/>
            <w:tcBorders>
              <w:right w:val="single" w:sz="4" w:space="0" w:color="548DD4" w:themeColor="text2" w:themeTint="99"/>
            </w:tcBorders>
            <w:noWrap/>
          </w:tcPr>
          <w:p w:rsidR="002E59FA" w:rsidRPr="00975E6B" w:rsidRDefault="002E59FA" w:rsidP="0029344A">
            <w:pPr>
              <w:pStyle w:val="BodyText"/>
              <w:jc w:val="left"/>
            </w:pPr>
            <w:r w:rsidRPr="00975E6B">
              <w:t>Teaching and Training</w:t>
            </w:r>
          </w:p>
        </w:tc>
        <w:tc>
          <w:tcPr>
            <w:tcW w:w="3001" w:type="pct"/>
            <w:tcBorders>
              <w:left w:val="single" w:sz="4" w:space="0" w:color="548DD4" w:themeColor="text2" w:themeTint="99"/>
            </w:tcBorders>
          </w:tcPr>
          <w:p w:rsidR="002E59FA" w:rsidRPr="00975E6B" w:rsidRDefault="002E59FA" w:rsidP="0029344A">
            <w:pPr>
              <w:pStyle w:val="BodyText"/>
              <w:jc w:val="left"/>
            </w:pPr>
            <w:r w:rsidRPr="00975E6B">
              <w:t>Teaching and Training are not submitted to the NHCDC as they are not costed to patients.</w:t>
            </w:r>
          </w:p>
        </w:tc>
      </w:tr>
      <w:tr w:rsidR="002E59FA" w:rsidRPr="00975E6B" w:rsidTr="0029344A">
        <w:tc>
          <w:tcPr>
            <w:tcW w:w="1999" w:type="pct"/>
            <w:tcBorders>
              <w:right w:val="single" w:sz="4" w:space="0" w:color="548DD4" w:themeColor="text2" w:themeTint="99"/>
            </w:tcBorders>
            <w:noWrap/>
          </w:tcPr>
          <w:p w:rsidR="002E59FA" w:rsidRPr="00975E6B" w:rsidRDefault="002E59FA" w:rsidP="0029344A">
            <w:pPr>
              <w:pStyle w:val="BodyText"/>
              <w:jc w:val="left"/>
            </w:pPr>
            <w:r w:rsidRPr="00975E6B">
              <w:t>Shared/Other commercial entities</w:t>
            </w:r>
          </w:p>
        </w:tc>
        <w:tc>
          <w:tcPr>
            <w:tcW w:w="3001" w:type="pct"/>
            <w:tcBorders>
              <w:left w:val="single" w:sz="4" w:space="0" w:color="548DD4" w:themeColor="text2" w:themeTint="99"/>
            </w:tcBorders>
          </w:tcPr>
          <w:p w:rsidR="002E59FA" w:rsidRPr="00975E6B" w:rsidRDefault="002E59FA" w:rsidP="0029344A">
            <w:pPr>
              <w:pStyle w:val="BodyText"/>
              <w:jc w:val="left"/>
            </w:pPr>
            <w:r w:rsidRPr="00975E6B">
              <w:t>Based on a review of the templates and discussions during the site visit, shared and other commercial entities are removed from the GL.</w:t>
            </w:r>
          </w:p>
        </w:tc>
      </w:tr>
      <w:tr w:rsidR="00901115" w:rsidRPr="00975E6B" w:rsidTr="0029344A">
        <w:tc>
          <w:tcPr>
            <w:tcW w:w="1999" w:type="pct"/>
            <w:tcBorders>
              <w:right w:val="single" w:sz="4" w:space="0" w:color="548DD4" w:themeColor="text2" w:themeTint="99"/>
            </w:tcBorders>
            <w:noWrap/>
          </w:tcPr>
          <w:p w:rsidR="00901115" w:rsidRPr="00975E6B" w:rsidRDefault="00901115" w:rsidP="00901115">
            <w:pPr>
              <w:pStyle w:val="BodyText"/>
              <w:jc w:val="left"/>
            </w:pPr>
            <w:r w:rsidRPr="00975E6B">
              <w:t xml:space="preserve">Intensive Care Unit </w:t>
            </w:r>
          </w:p>
        </w:tc>
        <w:tc>
          <w:tcPr>
            <w:tcW w:w="3001" w:type="pct"/>
            <w:tcBorders>
              <w:left w:val="single" w:sz="4" w:space="0" w:color="548DD4" w:themeColor="text2" w:themeTint="99"/>
            </w:tcBorders>
          </w:tcPr>
          <w:p w:rsidR="00901115" w:rsidRPr="00975E6B" w:rsidRDefault="00901115" w:rsidP="00901115">
            <w:pPr>
              <w:pStyle w:val="BodyText"/>
              <w:jc w:val="left"/>
            </w:pPr>
            <w:r w:rsidRPr="00975E6B">
              <w:t xml:space="preserve">No change to the costing methodology. No ICU weights or adjustments made. </w:t>
            </w:r>
          </w:p>
        </w:tc>
      </w:tr>
      <w:tr w:rsidR="00901115" w:rsidRPr="00975E6B" w:rsidTr="0029344A">
        <w:tc>
          <w:tcPr>
            <w:tcW w:w="1999" w:type="pct"/>
            <w:tcBorders>
              <w:right w:val="single" w:sz="4" w:space="0" w:color="548DD4" w:themeColor="text2" w:themeTint="99"/>
            </w:tcBorders>
            <w:noWrap/>
          </w:tcPr>
          <w:p w:rsidR="00901115" w:rsidRPr="00975E6B" w:rsidRDefault="00EE5E5B" w:rsidP="00901115">
            <w:pPr>
              <w:pStyle w:val="BodyText"/>
              <w:jc w:val="left"/>
            </w:pPr>
            <w:r w:rsidRPr="00975E6B">
              <w:t>Aboriginal and Torres Strait Islander</w:t>
            </w:r>
            <w:r w:rsidR="00901115" w:rsidRPr="00975E6B">
              <w:t xml:space="preserve"> patients</w:t>
            </w:r>
          </w:p>
        </w:tc>
        <w:tc>
          <w:tcPr>
            <w:tcW w:w="3001" w:type="pct"/>
            <w:tcBorders>
              <w:left w:val="single" w:sz="4" w:space="0" w:color="548DD4" w:themeColor="text2" w:themeTint="99"/>
            </w:tcBorders>
          </w:tcPr>
          <w:p w:rsidR="00901115" w:rsidRPr="00975E6B" w:rsidRDefault="00901115" w:rsidP="00901115">
            <w:pPr>
              <w:pStyle w:val="BodyText"/>
              <w:jc w:val="left"/>
            </w:pPr>
            <w:r w:rsidRPr="00975E6B">
              <w:t>No change to the costing methodology. No ATSI weights or adjustments made. Costs based on resources linked.</w:t>
            </w:r>
          </w:p>
        </w:tc>
      </w:tr>
      <w:tr w:rsidR="00901115" w:rsidRPr="00975E6B" w:rsidTr="0029344A">
        <w:trPr>
          <w:trHeight w:val="516"/>
        </w:trPr>
        <w:tc>
          <w:tcPr>
            <w:tcW w:w="1999" w:type="pct"/>
            <w:tcBorders>
              <w:right w:val="single" w:sz="4" w:space="0" w:color="548DD4" w:themeColor="text2" w:themeTint="99"/>
            </w:tcBorders>
            <w:noWrap/>
          </w:tcPr>
          <w:p w:rsidR="00901115" w:rsidRPr="00975E6B" w:rsidRDefault="00901115" w:rsidP="00901115">
            <w:pPr>
              <w:pStyle w:val="BodyText"/>
              <w:jc w:val="left"/>
            </w:pPr>
            <w:r w:rsidRPr="00975E6B">
              <w:t xml:space="preserve">Private Patients </w:t>
            </w:r>
          </w:p>
        </w:tc>
        <w:tc>
          <w:tcPr>
            <w:tcW w:w="3001" w:type="pct"/>
            <w:tcBorders>
              <w:left w:val="single" w:sz="4" w:space="0" w:color="548DD4" w:themeColor="text2" w:themeTint="99"/>
            </w:tcBorders>
          </w:tcPr>
          <w:p w:rsidR="00901115" w:rsidRPr="00975E6B" w:rsidRDefault="00901115" w:rsidP="00901115">
            <w:pPr>
              <w:pStyle w:val="BodyText"/>
              <w:jc w:val="left"/>
            </w:pPr>
            <w:r w:rsidRPr="00975E6B">
              <w:t xml:space="preserve">No change to the costing methodology. No Private Patient weights or adjustments made. </w:t>
            </w:r>
          </w:p>
        </w:tc>
      </w:tr>
      <w:tr w:rsidR="00901115" w:rsidRPr="00975E6B" w:rsidTr="0029344A">
        <w:tc>
          <w:tcPr>
            <w:tcW w:w="1999" w:type="pct"/>
            <w:tcBorders>
              <w:right w:val="single" w:sz="4" w:space="0" w:color="548DD4" w:themeColor="text2" w:themeTint="99"/>
            </w:tcBorders>
            <w:noWrap/>
          </w:tcPr>
          <w:p w:rsidR="00901115" w:rsidRPr="00975E6B" w:rsidRDefault="00901115" w:rsidP="00901115">
            <w:pPr>
              <w:pStyle w:val="BodyText"/>
              <w:jc w:val="left"/>
            </w:pPr>
            <w:r w:rsidRPr="00975E6B">
              <w:t>PBS drugs</w:t>
            </w:r>
          </w:p>
        </w:tc>
        <w:tc>
          <w:tcPr>
            <w:tcW w:w="3001" w:type="pct"/>
            <w:tcBorders>
              <w:left w:val="single" w:sz="4" w:space="0" w:color="548DD4" w:themeColor="text2" w:themeTint="99"/>
            </w:tcBorders>
          </w:tcPr>
          <w:p w:rsidR="00901115" w:rsidRPr="00975E6B" w:rsidRDefault="00901115" w:rsidP="00901115">
            <w:pPr>
              <w:pStyle w:val="BodyText"/>
              <w:jc w:val="left"/>
            </w:pPr>
            <w:r w:rsidRPr="00975E6B">
              <w:t>Included in Round 18, no revenue offsets processed.</w:t>
            </w:r>
          </w:p>
        </w:tc>
      </w:tr>
    </w:tbl>
    <w:p w:rsidR="002E59FA" w:rsidRPr="00975E6B" w:rsidRDefault="002E59FA" w:rsidP="002E59FA">
      <w:pPr>
        <w:pStyle w:val="FootnoteText"/>
        <w:rPr>
          <w:bCs/>
          <w:i/>
          <w:sz w:val="16"/>
          <w:szCs w:val="16"/>
        </w:rPr>
      </w:pPr>
      <w:r w:rsidRPr="00975E6B">
        <w:rPr>
          <w:bCs/>
          <w:i/>
          <w:sz w:val="16"/>
          <w:szCs w:val="16"/>
        </w:rPr>
        <w:t>Source: KPMG</w:t>
      </w:r>
    </w:p>
    <w:p w:rsidR="002E59FA" w:rsidRPr="00975E6B" w:rsidRDefault="002E59FA" w:rsidP="003B387A">
      <w:pPr>
        <w:pStyle w:val="Heading3"/>
        <w:numPr>
          <w:ilvl w:val="2"/>
          <w:numId w:val="77"/>
        </w:numPr>
      </w:pPr>
      <w:r w:rsidRPr="004B31EB">
        <w:t>Sample</w:t>
      </w:r>
      <w:r w:rsidRPr="00975E6B">
        <w:t xml:space="preserve"> patient data</w:t>
      </w:r>
    </w:p>
    <w:p w:rsidR="002E59FA" w:rsidRPr="00975E6B" w:rsidRDefault="002E59FA" w:rsidP="001140D3">
      <w:r w:rsidRPr="00975E6B">
        <w:t xml:space="preserve">IHPA selected a sample of five patients from </w:t>
      </w:r>
      <w:r w:rsidR="005E2379" w:rsidRPr="00975E6B">
        <w:t>Modbury Hospital</w:t>
      </w:r>
      <w:r w:rsidRPr="00975E6B">
        <w:t xml:space="preserve"> for the purposes of testing the data flow from jurisdictions to IHPA at the patient level. SA Health provided the patient level costs for all five patients and these reconciled to IHPA records. The results are summarised in </w:t>
      </w:r>
      <w:r w:rsidRPr="00975E6B">
        <w:fldChar w:fldCharType="begin"/>
      </w:r>
      <w:r w:rsidRPr="00975E6B">
        <w:instrText xml:space="preserve"> REF _Ref433828675 \h  \* MERGEFORMAT </w:instrText>
      </w:r>
      <w:r w:rsidRPr="00975E6B">
        <w:fldChar w:fldCharType="separate"/>
      </w:r>
      <w:r w:rsidR="00154CF7" w:rsidRPr="00975E6B">
        <w:t xml:space="preserve">Table </w:t>
      </w:r>
      <w:r w:rsidR="00154CF7" w:rsidRPr="00154CF7">
        <w:t>69</w:t>
      </w:r>
      <w:r w:rsidRPr="00975E6B">
        <w:fldChar w:fldCharType="end"/>
      </w:r>
      <w:r w:rsidRPr="00975E6B">
        <w:t>.</w:t>
      </w:r>
    </w:p>
    <w:p w:rsidR="00B5622A" w:rsidRPr="00975E6B" w:rsidRDefault="002E59FA" w:rsidP="00616E4D">
      <w:pPr>
        <w:pStyle w:val="Caption"/>
        <w:pageBreakBefore/>
      </w:pPr>
      <w:bookmarkStart w:id="777" w:name="_Ref433828675"/>
      <w:r w:rsidRPr="00975E6B">
        <w:lastRenderedPageBreak/>
        <w:t xml:space="preserve">Table </w:t>
      </w:r>
      <w:r w:rsidR="003E3288">
        <w:rPr>
          <w:bCs w:val="0"/>
          <w:i w:val="0"/>
        </w:rPr>
        <w:fldChar w:fldCharType="begin"/>
      </w:r>
      <w:r w:rsidR="003E3288">
        <w:rPr>
          <w:bCs w:val="0"/>
          <w:i w:val="0"/>
        </w:rPr>
        <w:instrText xml:space="preserve"> SEQ Table \* ARABIC </w:instrText>
      </w:r>
      <w:r w:rsidR="003E3288">
        <w:rPr>
          <w:bCs w:val="0"/>
          <w:i w:val="0"/>
        </w:rPr>
        <w:fldChar w:fldCharType="separate"/>
      </w:r>
      <w:r w:rsidR="00154CF7">
        <w:rPr>
          <w:bCs w:val="0"/>
          <w:i w:val="0"/>
          <w:noProof/>
        </w:rPr>
        <w:t>69</w:t>
      </w:r>
      <w:r w:rsidR="003E3288">
        <w:rPr>
          <w:bCs w:val="0"/>
          <w:i w:val="0"/>
          <w:noProof/>
        </w:rPr>
        <w:fldChar w:fldCharType="end"/>
      </w:r>
      <w:bookmarkEnd w:id="777"/>
      <w:r w:rsidRPr="00975E6B">
        <w:t xml:space="preserve"> – Sample patients – Modbury Hospital</w:t>
      </w:r>
    </w:p>
    <w:tbl>
      <w:tblPr>
        <w:tblW w:w="5000" w:type="pct"/>
        <w:tblLook w:val="04A0" w:firstRow="1" w:lastRow="0" w:firstColumn="1" w:lastColumn="0" w:noHBand="0" w:noVBand="1"/>
        <w:tblCaption w:val="Table 69 - Sample patients - Modbury Hospital"/>
        <w:tblDescription w:val="This table presents the results of the 5 sample patients tested for the data flow from jurisdictions to IHPA at the patient level for Modbury Hospital. There are 5 columns.  Column 1 is the sample number, Column 2 is the product type, column 3 is the amount in  jurisdiction records, Column 4 is the amount received by IHPA and Column 5 is the variance between jurisdiction and IHPA.&#10;"/>
      </w:tblPr>
      <w:tblGrid>
        <w:gridCol w:w="509"/>
        <w:gridCol w:w="2274"/>
        <w:gridCol w:w="2274"/>
        <w:gridCol w:w="2274"/>
        <w:gridCol w:w="1390"/>
      </w:tblGrid>
      <w:tr w:rsidR="00B5622A" w:rsidRPr="00B5622A" w:rsidTr="00E14378">
        <w:trPr>
          <w:trHeight w:val="260"/>
        </w:trPr>
        <w:tc>
          <w:tcPr>
            <w:tcW w:w="291"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B5622A" w:rsidRPr="00B5622A" w:rsidRDefault="00B5622A" w:rsidP="00B5622A">
            <w:pPr>
              <w:spacing w:line="240" w:lineRule="auto"/>
              <w:jc w:val="center"/>
              <w:rPr>
                <w:b/>
                <w:bCs/>
                <w:color w:val="FFFFFF"/>
                <w:lang w:eastAsia="en-AU"/>
              </w:rPr>
            </w:pPr>
            <w:r w:rsidRPr="00B5622A">
              <w:rPr>
                <w:b/>
                <w:bCs/>
                <w:color w:val="FFFFFF"/>
                <w:lang w:eastAsia="en-AU"/>
              </w:rPr>
              <w: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B5622A" w:rsidRPr="00B5622A" w:rsidRDefault="00B5622A" w:rsidP="00B5622A">
            <w:pPr>
              <w:spacing w:line="240" w:lineRule="auto"/>
              <w:rPr>
                <w:b/>
                <w:bCs/>
                <w:color w:val="FFFFFF"/>
                <w:lang w:eastAsia="en-AU"/>
              </w:rPr>
            </w:pPr>
            <w:r w:rsidRPr="00B5622A">
              <w:rPr>
                <w:b/>
                <w:bCs/>
                <w:color w:val="FFFFFF"/>
                <w:lang w:eastAsia="en-AU"/>
              </w:rPr>
              <w:t>Product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B5622A" w:rsidRPr="00B5622A" w:rsidRDefault="00B5622A" w:rsidP="00B5622A">
            <w:pPr>
              <w:spacing w:line="240" w:lineRule="auto"/>
              <w:jc w:val="center"/>
              <w:rPr>
                <w:b/>
                <w:bCs/>
                <w:color w:val="FFFFFF"/>
                <w:lang w:eastAsia="en-AU"/>
              </w:rPr>
            </w:pPr>
            <w:r w:rsidRPr="00B5622A">
              <w:rPr>
                <w:b/>
                <w:bCs/>
                <w:color w:val="FFFFFF"/>
                <w:lang w:eastAsia="en-AU"/>
              </w:rPr>
              <w:t>Jurisdiction records</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B5622A" w:rsidRPr="00B5622A" w:rsidRDefault="00B5622A" w:rsidP="00B5622A">
            <w:pPr>
              <w:spacing w:line="240" w:lineRule="auto"/>
              <w:jc w:val="center"/>
              <w:rPr>
                <w:b/>
                <w:bCs/>
                <w:color w:val="FFFFFF"/>
                <w:lang w:eastAsia="en-AU"/>
              </w:rPr>
            </w:pPr>
            <w:r w:rsidRPr="00B5622A">
              <w:rPr>
                <w:b/>
                <w:bCs/>
                <w:color w:val="FFFFFF"/>
                <w:lang w:eastAsia="en-AU"/>
              </w:rPr>
              <w:t>Received by IHPA</w:t>
            </w:r>
          </w:p>
        </w:tc>
        <w:tc>
          <w:tcPr>
            <w:tcW w:w="797" w:type="pct"/>
            <w:tcBorders>
              <w:top w:val="nil"/>
              <w:left w:val="nil"/>
              <w:bottom w:val="nil"/>
              <w:right w:val="single" w:sz="4" w:space="0" w:color="5B9BD5"/>
            </w:tcBorders>
            <w:shd w:val="clear" w:color="auto" w:fill="002060"/>
            <w:vAlign w:val="bottom"/>
            <w:hideMark/>
          </w:tcPr>
          <w:p w:rsidR="00B5622A" w:rsidRPr="00B5622A" w:rsidRDefault="00B5622A" w:rsidP="00B5622A">
            <w:pPr>
              <w:spacing w:line="240" w:lineRule="auto"/>
              <w:jc w:val="center"/>
              <w:rPr>
                <w:b/>
                <w:bCs/>
                <w:color w:val="FFFFFF"/>
                <w:lang w:eastAsia="en-AU"/>
              </w:rPr>
            </w:pPr>
            <w:r w:rsidRPr="00B5622A">
              <w:rPr>
                <w:b/>
                <w:bCs/>
                <w:color w:val="FFFFFF"/>
                <w:lang w:eastAsia="en-AU"/>
              </w:rPr>
              <w:t>Variance</w:t>
            </w:r>
          </w:p>
        </w:tc>
      </w:tr>
      <w:tr w:rsidR="009C3210" w:rsidRPr="00B5622A"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B5622A" w:rsidRDefault="009C3210" w:rsidP="009C3210">
            <w:pPr>
              <w:spacing w:line="240" w:lineRule="auto"/>
              <w:jc w:val="center"/>
              <w:rPr>
                <w:color w:val="000000"/>
                <w:lang w:eastAsia="en-AU"/>
              </w:rPr>
            </w:pPr>
            <w:r w:rsidRPr="00B5622A">
              <w:rPr>
                <w:color w:val="000000"/>
                <w:lang w:eastAsia="en-AU"/>
              </w:rPr>
              <w:t>1</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B5622A" w:rsidRDefault="009C3210" w:rsidP="009C3210">
            <w:pPr>
              <w:spacing w:line="240" w:lineRule="auto"/>
              <w:rPr>
                <w:color w:val="000000"/>
                <w:lang w:eastAsia="en-AU"/>
              </w:rPr>
            </w:pPr>
            <w:r w:rsidRPr="00B5622A">
              <w:rPr>
                <w:color w:val="000000"/>
                <w:lang w:eastAsia="en-AU"/>
              </w:rPr>
              <w:t xml:space="preserve"> Non-Admitted ED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B5622A" w:rsidRDefault="009C3210" w:rsidP="00CD1518">
            <w:pPr>
              <w:spacing w:line="240" w:lineRule="auto"/>
              <w:jc w:val="right"/>
              <w:rPr>
                <w:color w:val="000000"/>
                <w:lang w:eastAsia="en-AU"/>
              </w:rPr>
            </w:pPr>
            <w:r w:rsidRPr="00B5622A">
              <w:rPr>
                <w:color w:val="000000"/>
                <w:lang w:eastAsia="en-AU"/>
              </w:rPr>
              <w:t xml:space="preserve"> $288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B5622A" w:rsidRDefault="009C3210" w:rsidP="00CD1518">
            <w:pPr>
              <w:spacing w:line="240" w:lineRule="auto"/>
              <w:jc w:val="right"/>
              <w:rPr>
                <w:color w:val="000000"/>
                <w:lang w:eastAsia="en-AU"/>
              </w:rPr>
            </w:pPr>
            <w:r w:rsidRPr="00B5622A">
              <w:rPr>
                <w:color w:val="000000"/>
                <w:lang w:eastAsia="en-AU"/>
              </w:rPr>
              <w:t xml:space="preserve"> $288 </w:t>
            </w:r>
          </w:p>
        </w:tc>
        <w:tc>
          <w:tcPr>
            <w:tcW w:w="797" w:type="pct"/>
            <w:tcBorders>
              <w:top w:val="single" w:sz="4" w:space="0" w:color="5B9BD5"/>
              <w:left w:val="nil"/>
              <w:bottom w:val="single" w:sz="4" w:space="0" w:color="5B9BD5"/>
              <w:right w:val="single" w:sz="4" w:space="0" w:color="5B9BD5"/>
            </w:tcBorders>
            <w:shd w:val="clear" w:color="000000" w:fill="FFFFFF"/>
            <w:noWrap/>
            <w:vAlign w:val="bottom"/>
            <w:hideMark/>
          </w:tcPr>
          <w:p w:rsidR="009C3210" w:rsidRPr="00B5622A" w:rsidRDefault="009C3210" w:rsidP="00CD1518">
            <w:pPr>
              <w:spacing w:line="240" w:lineRule="auto"/>
              <w:jc w:val="right"/>
              <w:rPr>
                <w:color w:val="000000"/>
                <w:lang w:eastAsia="en-AU"/>
              </w:rPr>
            </w:pPr>
            <w:r w:rsidRPr="00B5622A">
              <w:rPr>
                <w:color w:val="000000"/>
                <w:lang w:eastAsia="en-AU"/>
              </w:rPr>
              <w:t xml:space="preserve"> $-   </w:t>
            </w:r>
          </w:p>
        </w:tc>
      </w:tr>
      <w:tr w:rsidR="009C3210" w:rsidRPr="00B5622A" w:rsidTr="00CD1518">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B5622A" w:rsidRDefault="009C3210" w:rsidP="009C3210">
            <w:pPr>
              <w:spacing w:line="240" w:lineRule="auto"/>
              <w:jc w:val="center"/>
              <w:rPr>
                <w:color w:val="000000"/>
                <w:lang w:eastAsia="en-AU"/>
              </w:rPr>
            </w:pPr>
            <w:r w:rsidRPr="00B5622A">
              <w:rPr>
                <w:color w:val="000000"/>
                <w:lang w:eastAsia="en-AU"/>
              </w:rPr>
              <w:t>2</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B5622A" w:rsidRDefault="009C3210" w:rsidP="009C3210">
            <w:pPr>
              <w:spacing w:line="240" w:lineRule="auto"/>
              <w:rPr>
                <w:color w:val="000000"/>
                <w:lang w:eastAsia="en-AU"/>
              </w:rPr>
            </w:pPr>
            <w:r w:rsidRPr="00B5622A">
              <w:rPr>
                <w:color w:val="000000"/>
                <w:lang w:eastAsia="en-AU"/>
              </w:rPr>
              <w:t xml:space="preserve"> Admitted ED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B5622A" w:rsidRDefault="009C3210" w:rsidP="00CD1518">
            <w:pPr>
              <w:spacing w:line="240" w:lineRule="auto"/>
              <w:jc w:val="right"/>
              <w:rPr>
                <w:color w:val="000000"/>
                <w:lang w:eastAsia="en-AU"/>
              </w:rPr>
            </w:pPr>
            <w:r w:rsidRPr="00B5622A">
              <w:rPr>
                <w:color w:val="000000"/>
                <w:lang w:eastAsia="en-AU"/>
              </w:rPr>
              <w:t xml:space="preserve"> $788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B5622A" w:rsidRDefault="009C3210" w:rsidP="00CD1518">
            <w:pPr>
              <w:spacing w:line="240" w:lineRule="auto"/>
              <w:jc w:val="right"/>
              <w:rPr>
                <w:color w:val="000000"/>
                <w:lang w:eastAsia="en-AU"/>
              </w:rPr>
            </w:pPr>
            <w:r w:rsidRPr="00B5622A">
              <w:rPr>
                <w:color w:val="000000"/>
                <w:lang w:eastAsia="en-AU"/>
              </w:rPr>
              <w:t xml:space="preserve"> $788 </w:t>
            </w:r>
          </w:p>
        </w:tc>
        <w:tc>
          <w:tcPr>
            <w:tcW w:w="797" w:type="pct"/>
            <w:tcBorders>
              <w:top w:val="nil"/>
              <w:left w:val="nil"/>
              <w:bottom w:val="single" w:sz="4" w:space="0" w:color="5B9BD5"/>
              <w:right w:val="single" w:sz="4" w:space="0" w:color="5B9BD5"/>
            </w:tcBorders>
            <w:shd w:val="clear" w:color="000000" w:fill="DDEBF7"/>
            <w:noWrap/>
            <w:vAlign w:val="bottom"/>
            <w:hideMark/>
          </w:tcPr>
          <w:p w:rsidR="009C3210" w:rsidRPr="00B5622A" w:rsidRDefault="009C3210" w:rsidP="00CD1518">
            <w:pPr>
              <w:spacing w:line="240" w:lineRule="auto"/>
              <w:jc w:val="right"/>
              <w:rPr>
                <w:color w:val="000000"/>
                <w:lang w:eastAsia="en-AU"/>
              </w:rPr>
            </w:pPr>
            <w:r w:rsidRPr="00B5622A">
              <w:rPr>
                <w:color w:val="000000"/>
                <w:lang w:eastAsia="en-AU"/>
              </w:rPr>
              <w:t xml:space="preserve"> $-   </w:t>
            </w:r>
          </w:p>
        </w:tc>
      </w:tr>
      <w:tr w:rsidR="009C3210" w:rsidRPr="00B5622A"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B5622A" w:rsidRDefault="009C3210" w:rsidP="009C3210">
            <w:pPr>
              <w:spacing w:line="240" w:lineRule="auto"/>
              <w:jc w:val="center"/>
              <w:rPr>
                <w:color w:val="000000"/>
                <w:lang w:eastAsia="en-AU"/>
              </w:rPr>
            </w:pPr>
            <w:r w:rsidRPr="00B5622A">
              <w:rPr>
                <w:color w:val="000000"/>
                <w:lang w:eastAsia="en-AU"/>
              </w:rPr>
              <w:t>3</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B5622A" w:rsidRDefault="009C3210" w:rsidP="009C3210">
            <w:pPr>
              <w:spacing w:line="240" w:lineRule="auto"/>
              <w:rPr>
                <w:color w:val="000000"/>
                <w:lang w:eastAsia="en-AU"/>
              </w:rPr>
            </w:pPr>
            <w:r w:rsidRPr="00B5622A">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B5622A" w:rsidRDefault="009C3210" w:rsidP="00CD1518">
            <w:pPr>
              <w:spacing w:line="240" w:lineRule="auto"/>
              <w:jc w:val="right"/>
              <w:rPr>
                <w:color w:val="000000"/>
                <w:lang w:eastAsia="en-AU"/>
              </w:rPr>
            </w:pPr>
            <w:r w:rsidRPr="00B5622A">
              <w:rPr>
                <w:color w:val="000000"/>
                <w:lang w:eastAsia="en-AU"/>
              </w:rPr>
              <w:t xml:space="preserve"> $439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B5622A" w:rsidRDefault="009C3210" w:rsidP="00CD1518">
            <w:pPr>
              <w:spacing w:line="240" w:lineRule="auto"/>
              <w:jc w:val="right"/>
              <w:rPr>
                <w:color w:val="000000"/>
                <w:lang w:eastAsia="en-AU"/>
              </w:rPr>
            </w:pPr>
            <w:r w:rsidRPr="00B5622A">
              <w:rPr>
                <w:color w:val="000000"/>
                <w:lang w:eastAsia="en-AU"/>
              </w:rPr>
              <w:t xml:space="preserve"> $439 </w:t>
            </w:r>
          </w:p>
        </w:tc>
        <w:tc>
          <w:tcPr>
            <w:tcW w:w="797" w:type="pct"/>
            <w:tcBorders>
              <w:top w:val="nil"/>
              <w:left w:val="nil"/>
              <w:bottom w:val="single" w:sz="4" w:space="0" w:color="5B9BD5"/>
              <w:right w:val="single" w:sz="4" w:space="0" w:color="5B9BD5"/>
            </w:tcBorders>
            <w:shd w:val="clear" w:color="000000" w:fill="FFFFFF"/>
            <w:noWrap/>
            <w:vAlign w:val="bottom"/>
            <w:hideMark/>
          </w:tcPr>
          <w:p w:rsidR="009C3210" w:rsidRPr="00B5622A" w:rsidRDefault="009C3210" w:rsidP="00CD1518">
            <w:pPr>
              <w:spacing w:line="240" w:lineRule="auto"/>
              <w:jc w:val="right"/>
              <w:rPr>
                <w:color w:val="000000"/>
                <w:lang w:eastAsia="en-AU"/>
              </w:rPr>
            </w:pPr>
            <w:r w:rsidRPr="00B5622A">
              <w:rPr>
                <w:color w:val="000000"/>
                <w:lang w:eastAsia="en-AU"/>
              </w:rPr>
              <w:t xml:space="preserve"> $-   </w:t>
            </w:r>
          </w:p>
        </w:tc>
      </w:tr>
      <w:tr w:rsidR="009C3210" w:rsidRPr="00B5622A" w:rsidTr="00CD1518">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B5622A" w:rsidRDefault="009C3210" w:rsidP="009C3210">
            <w:pPr>
              <w:spacing w:line="240" w:lineRule="auto"/>
              <w:jc w:val="center"/>
              <w:rPr>
                <w:color w:val="000000"/>
                <w:lang w:eastAsia="en-AU"/>
              </w:rPr>
            </w:pPr>
            <w:r w:rsidRPr="00B5622A">
              <w:rPr>
                <w:color w:val="000000"/>
                <w:lang w:eastAsia="en-AU"/>
              </w:rPr>
              <w:t>4</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B5622A" w:rsidRDefault="009C3210" w:rsidP="009C3210">
            <w:pPr>
              <w:spacing w:line="240" w:lineRule="auto"/>
              <w:rPr>
                <w:color w:val="000000"/>
                <w:lang w:eastAsia="en-AU"/>
              </w:rPr>
            </w:pPr>
            <w:r w:rsidRPr="00B5622A">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B5622A" w:rsidRDefault="009C3210" w:rsidP="00CD1518">
            <w:pPr>
              <w:spacing w:line="240" w:lineRule="auto"/>
              <w:jc w:val="right"/>
              <w:rPr>
                <w:color w:val="000000"/>
                <w:lang w:eastAsia="en-AU"/>
              </w:rPr>
            </w:pPr>
            <w:r w:rsidRPr="00B5622A">
              <w:rPr>
                <w:color w:val="000000"/>
                <w:lang w:eastAsia="en-AU"/>
              </w:rPr>
              <w:t xml:space="preserve"> $19,963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B5622A" w:rsidRDefault="009C3210" w:rsidP="00CD1518">
            <w:pPr>
              <w:spacing w:line="240" w:lineRule="auto"/>
              <w:jc w:val="right"/>
              <w:rPr>
                <w:color w:val="000000"/>
                <w:lang w:eastAsia="en-AU"/>
              </w:rPr>
            </w:pPr>
            <w:r w:rsidRPr="00B5622A">
              <w:rPr>
                <w:color w:val="000000"/>
                <w:lang w:eastAsia="en-AU"/>
              </w:rPr>
              <w:t xml:space="preserve"> $19,963 </w:t>
            </w:r>
          </w:p>
        </w:tc>
        <w:tc>
          <w:tcPr>
            <w:tcW w:w="797" w:type="pct"/>
            <w:tcBorders>
              <w:top w:val="nil"/>
              <w:left w:val="nil"/>
              <w:bottom w:val="single" w:sz="4" w:space="0" w:color="5B9BD5"/>
              <w:right w:val="single" w:sz="4" w:space="0" w:color="5B9BD5"/>
            </w:tcBorders>
            <w:shd w:val="clear" w:color="000000" w:fill="DDEBF7"/>
            <w:noWrap/>
            <w:vAlign w:val="bottom"/>
            <w:hideMark/>
          </w:tcPr>
          <w:p w:rsidR="009C3210" w:rsidRPr="00B5622A" w:rsidRDefault="009C3210" w:rsidP="00CD1518">
            <w:pPr>
              <w:spacing w:line="240" w:lineRule="auto"/>
              <w:jc w:val="right"/>
              <w:rPr>
                <w:color w:val="000000"/>
                <w:lang w:eastAsia="en-AU"/>
              </w:rPr>
            </w:pPr>
            <w:r w:rsidRPr="00B5622A">
              <w:rPr>
                <w:color w:val="000000"/>
                <w:lang w:eastAsia="en-AU"/>
              </w:rPr>
              <w:t xml:space="preserve"> $-   </w:t>
            </w:r>
          </w:p>
        </w:tc>
      </w:tr>
      <w:tr w:rsidR="009C3210" w:rsidRPr="00B5622A"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B5622A" w:rsidRDefault="009C3210" w:rsidP="009C3210">
            <w:pPr>
              <w:spacing w:line="240" w:lineRule="auto"/>
              <w:jc w:val="center"/>
              <w:rPr>
                <w:color w:val="000000"/>
                <w:lang w:eastAsia="en-AU"/>
              </w:rPr>
            </w:pPr>
            <w:r w:rsidRPr="00B5622A">
              <w:rPr>
                <w:color w:val="000000"/>
                <w:lang w:eastAsia="en-AU"/>
              </w:rPr>
              <w:t>5</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B5622A" w:rsidRDefault="009C3210" w:rsidP="009C3210">
            <w:pPr>
              <w:spacing w:line="240" w:lineRule="auto"/>
              <w:rPr>
                <w:color w:val="000000"/>
                <w:lang w:eastAsia="en-AU"/>
              </w:rPr>
            </w:pPr>
            <w:r w:rsidRPr="00B5622A">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B5622A" w:rsidRDefault="009C3210" w:rsidP="00CD1518">
            <w:pPr>
              <w:spacing w:line="240" w:lineRule="auto"/>
              <w:jc w:val="right"/>
              <w:rPr>
                <w:color w:val="000000"/>
                <w:lang w:eastAsia="en-AU"/>
              </w:rPr>
            </w:pPr>
            <w:r w:rsidRPr="00B5622A">
              <w:rPr>
                <w:color w:val="000000"/>
                <w:lang w:eastAsia="en-AU"/>
              </w:rPr>
              <w:t xml:space="preserve"> $153,650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B5622A" w:rsidRDefault="009C3210" w:rsidP="00CD1518">
            <w:pPr>
              <w:spacing w:line="240" w:lineRule="auto"/>
              <w:jc w:val="right"/>
              <w:rPr>
                <w:color w:val="000000"/>
                <w:lang w:eastAsia="en-AU"/>
              </w:rPr>
            </w:pPr>
            <w:r w:rsidRPr="00B5622A">
              <w:rPr>
                <w:color w:val="000000"/>
                <w:lang w:eastAsia="en-AU"/>
              </w:rPr>
              <w:t xml:space="preserve"> $153,650 </w:t>
            </w:r>
          </w:p>
        </w:tc>
        <w:tc>
          <w:tcPr>
            <w:tcW w:w="797" w:type="pct"/>
            <w:tcBorders>
              <w:top w:val="nil"/>
              <w:left w:val="nil"/>
              <w:bottom w:val="single" w:sz="4" w:space="0" w:color="5B9BD5"/>
              <w:right w:val="single" w:sz="4" w:space="0" w:color="5B9BD5"/>
            </w:tcBorders>
            <w:shd w:val="clear" w:color="000000" w:fill="FFFFFF"/>
            <w:noWrap/>
            <w:vAlign w:val="bottom"/>
            <w:hideMark/>
          </w:tcPr>
          <w:p w:rsidR="009C3210" w:rsidRPr="00B5622A" w:rsidRDefault="009C3210" w:rsidP="00CD1518">
            <w:pPr>
              <w:spacing w:line="240" w:lineRule="auto"/>
              <w:jc w:val="right"/>
              <w:rPr>
                <w:color w:val="000000"/>
                <w:lang w:eastAsia="en-AU"/>
              </w:rPr>
            </w:pPr>
            <w:r w:rsidRPr="00B5622A">
              <w:rPr>
                <w:color w:val="000000"/>
                <w:lang w:eastAsia="en-AU"/>
              </w:rPr>
              <w:t xml:space="preserve"> $-   </w:t>
            </w:r>
          </w:p>
        </w:tc>
      </w:tr>
    </w:tbl>
    <w:p w:rsidR="002E59FA" w:rsidRPr="00975E6B" w:rsidRDefault="002E59FA" w:rsidP="002E59FA">
      <w:pPr>
        <w:pStyle w:val="FootnoteText"/>
        <w:rPr>
          <w:bCs/>
          <w:i/>
          <w:sz w:val="16"/>
          <w:szCs w:val="16"/>
        </w:rPr>
      </w:pPr>
      <w:r w:rsidRPr="00975E6B">
        <w:rPr>
          <w:bCs/>
          <w:i/>
          <w:sz w:val="16"/>
          <w:szCs w:val="16"/>
        </w:rPr>
        <w:t xml:space="preserve">Source: KPMG, based on </w:t>
      </w:r>
      <w:r w:rsidR="005E2379" w:rsidRPr="00975E6B">
        <w:rPr>
          <w:bCs/>
          <w:i/>
          <w:sz w:val="16"/>
          <w:szCs w:val="16"/>
        </w:rPr>
        <w:t>Modbury Hospital</w:t>
      </w:r>
      <w:r w:rsidRPr="00975E6B">
        <w:rPr>
          <w:bCs/>
          <w:i/>
          <w:sz w:val="16"/>
          <w:szCs w:val="16"/>
        </w:rPr>
        <w:t xml:space="preserve"> and IHPA data</w:t>
      </w:r>
    </w:p>
    <w:p w:rsidR="00446701" w:rsidRPr="00975E6B" w:rsidRDefault="00446701" w:rsidP="003B387A">
      <w:pPr>
        <w:pStyle w:val="Heading2"/>
        <w:numPr>
          <w:ilvl w:val="1"/>
          <w:numId w:val="77"/>
        </w:numPr>
      </w:pPr>
      <w:bookmarkStart w:id="778" w:name="_Toc444523672"/>
      <w:r w:rsidRPr="004B31EB">
        <w:t>Application</w:t>
      </w:r>
      <w:r w:rsidRPr="00975E6B">
        <w:t xml:space="preserve"> of AHPCS Version 3.1</w:t>
      </w:r>
      <w:bookmarkEnd w:id="778"/>
    </w:p>
    <w:p w:rsidR="00446701" w:rsidRPr="00975E6B" w:rsidRDefault="00446701" w:rsidP="001140D3">
      <w:r w:rsidRPr="00975E6B">
        <w:fldChar w:fldCharType="begin"/>
      </w:r>
      <w:r w:rsidRPr="00975E6B">
        <w:instrText xml:space="preserve"> REF _Ref434058155 \h </w:instrText>
      </w:r>
      <w:r w:rsidR="00975E6B">
        <w:instrText xml:space="preserve"> \* MERGEFORMAT </w:instrText>
      </w:r>
      <w:r w:rsidRPr="00975E6B">
        <w:fldChar w:fldCharType="separate"/>
      </w:r>
      <w:r w:rsidR="00154CF7" w:rsidRPr="00975E6B">
        <w:t xml:space="preserve">Table </w:t>
      </w:r>
      <w:r w:rsidR="00154CF7">
        <w:rPr>
          <w:noProof/>
        </w:rPr>
        <w:t>70</w:t>
      </w:r>
      <w:r w:rsidRPr="00975E6B">
        <w:fldChar w:fldCharType="end"/>
      </w:r>
      <w:r w:rsidRPr="00975E6B">
        <w:t xml:space="preserve"> summarises SA’s application of selected standards from version 3.1 of the AHPCS (outlined in Section </w:t>
      </w:r>
      <w:r w:rsidRPr="00975E6B">
        <w:fldChar w:fldCharType="begin"/>
      </w:r>
      <w:r w:rsidRPr="00975E6B">
        <w:instrText xml:space="preserve"> REF _Ref434054856 \r \h  \* MERGEFORMAT </w:instrText>
      </w:r>
      <w:r w:rsidRPr="00975E6B">
        <w:fldChar w:fldCharType="separate"/>
      </w:r>
      <w:r w:rsidR="00154CF7">
        <w:t>1.3.4</w:t>
      </w:r>
      <w:r w:rsidRPr="00975E6B">
        <w:fldChar w:fldCharType="end"/>
      </w:r>
      <w:r w:rsidRPr="00975E6B">
        <w:t>). The application of the selected standards was consistent across each of the two hospitals reviewed during the Round 18 IFR.</w:t>
      </w:r>
    </w:p>
    <w:p w:rsidR="00446701" w:rsidRPr="00975E6B" w:rsidRDefault="00446701" w:rsidP="00446701">
      <w:pPr>
        <w:pStyle w:val="Caption"/>
      </w:pPr>
      <w:bookmarkStart w:id="779" w:name="_Ref434058155"/>
      <w:r w:rsidRPr="00975E6B">
        <w:t xml:space="preserve">Table </w:t>
      </w:r>
      <w:bookmarkStart w:id="780" w:name="_Ref433369303"/>
      <w:r w:rsidRPr="00975E6B">
        <w:fldChar w:fldCharType="begin"/>
      </w:r>
      <w:r w:rsidRPr="00975E6B">
        <w:instrText xml:space="preserve"> SEQ Table \* ARABIC </w:instrText>
      </w:r>
      <w:r w:rsidRPr="00975E6B">
        <w:fldChar w:fldCharType="separate"/>
      </w:r>
      <w:r w:rsidR="00154CF7">
        <w:rPr>
          <w:noProof/>
        </w:rPr>
        <w:t>70</w:t>
      </w:r>
      <w:r w:rsidRPr="00975E6B">
        <w:rPr>
          <w:noProof/>
        </w:rPr>
        <w:fldChar w:fldCharType="end"/>
      </w:r>
      <w:bookmarkEnd w:id="779"/>
      <w:bookmarkEnd w:id="780"/>
      <w:r w:rsidRPr="00975E6B">
        <w:t xml:space="preserve"> – Application of Costing Standards – Lyell </w:t>
      </w:r>
      <w:proofErr w:type="spellStart"/>
      <w:r w:rsidRPr="00975E6B">
        <w:t>McEwin</w:t>
      </w:r>
      <w:proofErr w:type="spellEnd"/>
      <w:r w:rsidRPr="00975E6B">
        <w:t xml:space="preserve"> Hospital and Modbury Hospital</w:t>
      </w:r>
    </w:p>
    <w:tbl>
      <w:tblPr>
        <w:tblStyle w:val="ListTable4-Accent11"/>
        <w:tblW w:w="5000" w:type="pct"/>
        <w:tblLayout w:type="fixed"/>
        <w:tblLook w:val="0620" w:firstRow="1" w:lastRow="0" w:firstColumn="0" w:lastColumn="0" w:noHBand="1" w:noVBand="1"/>
        <w:tblCaption w:val="Table 70 - Application of Costing Standards - SA"/>
        <w:tblDescription w:val="This table describes the application of the in-scope costing standards for South Australia based on the hospitals sampled.  The first column is the Costing Standard number, the second column is the costing standard title and the third column is the discussion of the application of the costing standard for the relevant hospitals.&#10;"/>
      </w:tblPr>
      <w:tblGrid>
        <w:gridCol w:w="1451"/>
        <w:gridCol w:w="3056"/>
        <w:gridCol w:w="4214"/>
      </w:tblGrid>
      <w:tr w:rsidR="00446701" w:rsidRPr="00975E6B" w:rsidTr="00E14378">
        <w:trPr>
          <w:cnfStyle w:val="100000000000" w:firstRow="1" w:lastRow="0" w:firstColumn="0" w:lastColumn="0" w:oddVBand="0" w:evenVBand="0" w:oddHBand="0" w:evenHBand="0" w:firstRowFirstColumn="0" w:firstRowLastColumn="0" w:lastRowFirstColumn="0" w:lastRowLastColumn="0"/>
          <w:tblHeader/>
        </w:trPr>
        <w:tc>
          <w:tcPr>
            <w:tcW w:w="832" w:type="pct"/>
            <w:tcBorders>
              <w:right w:val="single" w:sz="4" w:space="0" w:color="548DD4" w:themeColor="text2" w:themeTint="99"/>
            </w:tcBorders>
            <w:shd w:val="clear" w:color="auto" w:fill="002060"/>
            <w:noWrap/>
          </w:tcPr>
          <w:p w:rsidR="00446701" w:rsidRPr="00975E6B" w:rsidRDefault="00446701" w:rsidP="00992E09">
            <w:r w:rsidRPr="00975E6B">
              <w:t>No.</w:t>
            </w:r>
          </w:p>
        </w:tc>
        <w:tc>
          <w:tcPr>
            <w:tcW w:w="1752" w:type="pct"/>
            <w:tcBorders>
              <w:left w:val="single" w:sz="4" w:space="0" w:color="548DD4" w:themeColor="text2" w:themeTint="99"/>
            </w:tcBorders>
            <w:shd w:val="clear" w:color="auto" w:fill="002060"/>
          </w:tcPr>
          <w:p w:rsidR="00446701" w:rsidRPr="00975E6B" w:rsidRDefault="00446701" w:rsidP="00992E09">
            <w:r w:rsidRPr="00975E6B">
              <w:t>Title</w:t>
            </w:r>
          </w:p>
        </w:tc>
        <w:tc>
          <w:tcPr>
            <w:tcW w:w="2416" w:type="pct"/>
            <w:tcBorders>
              <w:left w:val="single" w:sz="4" w:space="0" w:color="548DD4" w:themeColor="text2" w:themeTint="99"/>
            </w:tcBorders>
            <w:shd w:val="clear" w:color="auto" w:fill="002060"/>
          </w:tcPr>
          <w:p w:rsidR="00446701" w:rsidRPr="00975E6B" w:rsidRDefault="00446701" w:rsidP="00992E09">
            <w:r w:rsidRPr="00975E6B">
              <w:t>Discussion</w:t>
            </w:r>
          </w:p>
        </w:tc>
      </w:tr>
      <w:tr w:rsidR="00446701" w:rsidRPr="00975E6B" w:rsidTr="001140D3">
        <w:tc>
          <w:tcPr>
            <w:tcW w:w="832" w:type="pct"/>
            <w:tcBorders>
              <w:right w:val="single" w:sz="4" w:space="0" w:color="548DD4" w:themeColor="text2" w:themeTint="99"/>
            </w:tcBorders>
            <w:noWrap/>
          </w:tcPr>
          <w:p w:rsidR="00446701" w:rsidRPr="00975E6B" w:rsidRDefault="00446701" w:rsidP="00992E09">
            <w:pPr>
              <w:pStyle w:val="BodyText"/>
              <w:jc w:val="left"/>
            </w:pPr>
            <w:r w:rsidRPr="00975E6B">
              <w:t>SCP 1.004</w:t>
            </w:r>
          </w:p>
        </w:tc>
        <w:tc>
          <w:tcPr>
            <w:tcW w:w="1752" w:type="pct"/>
            <w:tcBorders>
              <w:left w:val="single" w:sz="4" w:space="0" w:color="548DD4" w:themeColor="text2" w:themeTint="99"/>
            </w:tcBorders>
          </w:tcPr>
          <w:p w:rsidR="00446701" w:rsidRPr="00975E6B" w:rsidRDefault="00446701" w:rsidP="00992E09">
            <w:pPr>
              <w:pStyle w:val="BodyText"/>
              <w:jc w:val="left"/>
            </w:pPr>
            <w:r w:rsidRPr="00975E6B">
              <w:t>Hospital Products in Scope</w:t>
            </w:r>
          </w:p>
        </w:tc>
        <w:tc>
          <w:tcPr>
            <w:tcW w:w="2416" w:type="pct"/>
            <w:tcBorders>
              <w:left w:val="single" w:sz="4" w:space="0" w:color="548DD4" w:themeColor="text2" w:themeTint="99"/>
            </w:tcBorders>
          </w:tcPr>
          <w:p w:rsidR="00446701" w:rsidRPr="00975E6B" w:rsidRDefault="00446701" w:rsidP="00992E09">
            <w:pPr>
              <w:pStyle w:val="BodyText"/>
              <w:jc w:val="left"/>
            </w:pPr>
            <w:r w:rsidRPr="00975E6B">
              <w:t>Application of this standard was demonstrated through the template submitted and the subsequent interview process</w:t>
            </w:r>
            <w:r w:rsidR="003E67CF" w:rsidRPr="00975E6B">
              <w:t>.</w:t>
            </w:r>
            <w:r w:rsidRPr="00975E6B">
              <w:t xml:space="preserve"> </w:t>
            </w:r>
          </w:p>
          <w:p w:rsidR="00446701" w:rsidRPr="00975E6B" w:rsidRDefault="00446701">
            <w:pPr>
              <w:pStyle w:val="BodyText"/>
              <w:jc w:val="left"/>
            </w:pPr>
            <w:r w:rsidRPr="00975E6B">
              <w:t xml:space="preserve">Costs were allocated to all </w:t>
            </w:r>
            <w:r w:rsidR="000C19A6" w:rsidRPr="00975E6B">
              <w:t>products;</w:t>
            </w:r>
            <w:r w:rsidRPr="00975E6B">
              <w:t xml:space="preserve"> however costs associated with non-admitted patient products and </w:t>
            </w:r>
            <w:r w:rsidR="00140C9F" w:rsidRPr="00975E6B">
              <w:t>TTR</w:t>
            </w:r>
            <w:r w:rsidRPr="00975E6B">
              <w:t xml:space="preserve"> products were excluded from the submission to IHPA.</w:t>
            </w:r>
          </w:p>
        </w:tc>
      </w:tr>
      <w:tr w:rsidR="00446701" w:rsidRPr="00975E6B" w:rsidTr="001140D3">
        <w:trPr>
          <w:trHeight w:val="1908"/>
        </w:trPr>
        <w:tc>
          <w:tcPr>
            <w:tcW w:w="832" w:type="pct"/>
            <w:tcBorders>
              <w:right w:val="single" w:sz="4" w:space="0" w:color="548DD4" w:themeColor="text2" w:themeTint="99"/>
            </w:tcBorders>
            <w:noWrap/>
          </w:tcPr>
          <w:p w:rsidR="00446701" w:rsidRPr="00975E6B" w:rsidRDefault="00446701" w:rsidP="00992E09">
            <w:pPr>
              <w:pStyle w:val="BodyText"/>
              <w:jc w:val="left"/>
            </w:pPr>
            <w:r w:rsidRPr="00975E6B">
              <w:t>SCP 2.003</w:t>
            </w:r>
          </w:p>
        </w:tc>
        <w:tc>
          <w:tcPr>
            <w:tcW w:w="1752" w:type="pct"/>
            <w:tcBorders>
              <w:left w:val="single" w:sz="4" w:space="0" w:color="548DD4" w:themeColor="text2" w:themeTint="99"/>
            </w:tcBorders>
          </w:tcPr>
          <w:p w:rsidR="00446701" w:rsidRPr="00975E6B" w:rsidRDefault="00446701" w:rsidP="00992E09">
            <w:pPr>
              <w:pStyle w:val="BodyText"/>
              <w:jc w:val="left"/>
            </w:pPr>
            <w:r w:rsidRPr="00975E6B">
              <w:t>Product Costs in Scope</w:t>
            </w:r>
          </w:p>
        </w:tc>
        <w:tc>
          <w:tcPr>
            <w:tcW w:w="2416" w:type="pct"/>
            <w:tcBorders>
              <w:left w:val="single" w:sz="4" w:space="0" w:color="548DD4" w:themeColor="text2" w:themeTint="99"/>
            </w:tcBorders>
          </w:tcPr>
          <w:p w:rsidR="00446701" w:rsidRPr="00975E6B" w:rsidRDefault="00446701" w:rsidP="00992E09">
            <w:pPr>
              <w:pStyle w:val="BodyText"/>
            </w:pPr>
            <w:r w:rsidRPr="00975E6B">
              <w:t xml:space="preserve">SA Health representatives demonstrated through the interview process </w:t>
            </w:r>
            <w:r w:rsidR="003E67CF" w:rsidRPr="00975E6B">
              <w:t xml:space="preserve">that </w:t>
            </w:r>
            <w:r w:rsidRPr="00975E6B">
              <w:t xml:space="preserve">the SA reconciliation process for financial data </w:t>
            </w:r>
            <w:r w:rsidR="003E67CF" w:rsidRPr="00975E6B">
              <w:t xml:space="preserve">is </w:t>
            </w:r>
            <w:r w:rsidRPr="00975E6B">
              <w:t xml:space="preserve">used for costing purposes. </w:t>
            </w:r>
          </w:p>
          <w:p w:rsidR="00446701" w:rsidRPr="00975E6B" w:rsidRDefault="00446701" w:rsidP="00992E09">
            <w:pPr>
              <w:pStyle w:val="BodyText"/>
            </w:pPr>
            <w:r w:rsidRPr="00975E6B">
              <w:t>It was also stated that all products are costed, which includes costs assigned to products in scope for the NHCDC, unlinked activity, and costs assigned to dummy patients where there is no activity.</w:t>
            </w:r>
          </w:p>
          <w:p w:rsidR="00446701" w:rsidRPr="00975E6B" w:rsidRDefault="00446701" w:rsidP="00992E09">
            <w:pPr>
              <w:pStyle w:val="BodyText"/>
              <w:jc w:val="left"/>
            </w:pPr>
            <w:r w:rsidRPr="00975E6B">
              <w:t>Private patient costs are not imputed.</w:t>
            </w:r>
          </w:p>
        </w:tc>
      </w:tr>
      <w:tr w:rsidR="00446701" w:rsidRPr="00975E6B" w:rsidTr="001140D3">
        <w:tc>
          <w:tcPr>
            <w:tcW w:w="832" w:type="pct"/>
            <w:tcBorders>
              <w:right w:val="single" w:sz="4" w:space="0" w:color="548DD4" w:themeColor="text2" w:themeTint="99"/>
            </w:tcBorders>
            <w:noWrap/>
          </w:tcPr>
          <w:p w:rsidR="00446701" w:rsidRPr="00975E6B" w:rsidRDefault="00446701" w:rsidP="00992E09">
            <w:pPr>
              <w:pStyle w:val="BodyText"/>
              <w:jc w:val="left"/>
            </w:pPr>
            <w:r w:rsidRPr="00975E6B">
              <w:t>SCP 2A.003</w:t>
            </w:r>
          </w:p>
        </w:tc>
        <w:tc>
          <w:tcPr>
            <w:tcW w:w="1752" w:type="pct"/>
            <w:tcBorders>
              <w:left w:val="single" w:sz="4" w:space="0" w:color="548DD4" w:themeColor="text2" w:themeTint="99"/>
            </w:tcBorders>
          </w:tcPr>
          <w:p w:rsidR="00446701" w:rsidRPr="00975E6B" w:rsidRDefault="00446701" w:rsidP="00992E09">
            <w:pPr>
              <w:pStyle w:val="BodyText"/>
              <w:jc w:val="left"/>
            </w:pPr>
            <w:r w:rsidRPr="00975E6B">
              <w:t>Teaching and Training Costs</w:t>
            </w:r>
          </w:p>
        </w:tc>
        <w:tc>
          <w:tcPr>
            <w:tcW w:w="2416" w:type="pct"/>
            <w:tcBorders>
              <w:left w:val="single" w:sz="4" w:space="0" w:color="548DD4" w:themeColor="text2" w:themeTint="99"/>
            </w:tcBorders>
          </w:tcPr>
          <w:p w:rsidR="00446701" w:rsidRPr="00975E6B" w:rsidRDefault="00446701" w:rsidP="00992E09">
            <w:pPr>
              <w:pStyle w:val="BodyText"/>
              <w:jc w:val="left"/>
            </w:pPr>
            <w:r w:rsidRPr="00975E6B">
              <w:t>Costs are allocated to Teaching and Training using PFRACs however, these costs are excluded prior to submission of the NHCDC to IHPA.</w:t>
            </w:r>
          </w:p>
        </w:tc>
      </w:tr>
      <w:tr w:rsidR="00446701" w:rsidRPr="00975E6B" w:rsidTr="001140D3">
        <w:tc>
          <w:tcPr>
            <w:tcW w:w="832" w:type="pct"/>
            <w:tcBorders>
              <w:right w:val="single" w:sz="4" w:space="0" w:color="548DD4" w:themeColor="text2" w:themeTint="99"/>
            </w:tcBorders>
            <w:noWrap/>
          </w:tcPr>
          <w:p w:rsidR="00446701" w:rsidRPr="00975E6B" w:rsidRDefault="00446701" w:rsidP="00992E09">
            <w:pPr>
              <w:pStyle w:val="BodyText"/>
              <w:jc w:val="left"/>
            </w:pPr>
            <w:r w:rsidRPr="00975E6B">
              <w:t>SCP 2B.002</w:t>
            </w:r>
          </w:p>
        </w:tc>
        <w:tc>
          <w:tcPr>
            <w:tcW w:w="1752" w:type="pct"/>
            <w:tcBorders>
              <w:left w:val="single" w:sz="4" w:space="0" w:color="548DD4" w:themeColor="text2" w:themeTint="99"/>
            </w:tcBorders>
          </w:tcPr>
          <w:p w:rsidR="00446701" w:rsidRPr="00975E6B" w:rsidRDefault="00446701" w:rsidP="00992E09">
            <w:pPr>
              <w:pStyle w:val="BodyText"/>
              <w:jc w:val="left"/>
            </w:pPr>
            <w:r w:rsidRPr="00975E6B">
              <w:t>Research Costs</w:t>
            </w:r>
          </w:p>
        </w:tc>
        <w:tc>
          <w:tcPr>
            <w:tcW w:w="2416" w:type="pct"/>
            <w:tcBorders>
              <w:left w:val="single" w:sz="4" w:space="0" w:color="548DD4" w:themeColor="text2" w:themeTint="99"/>
            </w:tcBorders>
          </w:tcPr>
          <w:p w:rsidR="00446701" w:rsidRPr="00975E6B" w:rsidRDefault="00446701" w:rsidP="00992E09">
            <w:pPr>
              <w:pStyle w:val="BodyText"/>
              <w:jc w:val="left"/>
            </w:pPr>
            <w:r w:rsidRPr="00975E6B">
              <w:t xml:space="preserve">Costs are allocated to Research using PFRACs </w:t>
            </w:r>
            <w:r w:rsidR="000C19A6" w:rsidRPr="00975E6B">
              <w:t>however;</w:t>
            </w:r>
            <w:r w:rsidRPr="00975E6B">
              <w:t xml:space="preserve"> these costs are excluded prior to submission of the NHCDC to IHPA.</w:t>
            </w:r>
          </w:p>
        </w:tc>
      </w:tr>
      <w:tr w:rsidR="00446701" w:rsidRPr="00975E6B" w:rsidTr="001140D3">
        <w:trPr>
          <w:trHeight w:val="516"/>
        </w:trPr>
        <w:tc>
          <w:tcPr>
            <w:tcW w:w="832" w:type="pct"/>
            <w:tcBorders>
              <w:right w:val="single" w:sz="4" w:space="0" w:color="548DD4" w:themeColor="text2" w:themeTint="99"/>
            </w:tcBorders>
            <w:noWrap/>
          </w:tcPr>
          <w:p w:rsidR="00446701" w:rsidRPr="00975E6B" w:rsidRDefault="00446701" w:rsidP="00992E09">
            <w:pPr>
              <w:pStyle w:val="BodyText"/>
              <w:jc w:val="left"/>
            </w:pPr>
            <w:r w:rsidRPr="00975E6B">
              <w:lastRenderedPageBreak/>
              <w:t>SCP 3.001</w:t>
            </w:r>
          </w:p>
        </w:tc>
        <w:tc>
          <w:tcPr>
            <w:tcW w:w="1752" w:type="pct"/>
            <w:tcBorders>
              <w:left w:val="single" w:sz="4" w:space="0" w:color="548DD4" w:themeColor="text2" w:themeTint="99"/>
            </w:tcBorders>
          </w:tcPr>
          <w:p w:rsidR="00446701" w:rsidRPr="00975E6B" w:rsidRDefault="00446701" w:rsidP="00992E09">
            <w:pPr>
              <w:pStyle w:val="BodyText"/>
              <w:jc w:val="left"/>
            </w:pPr>
            <w:r w:rsidRPr="00975E6B">
              <w:t>Matching Production and Cost</w:t>
            </w:r>
          </w:p>
        </w:tc>
        <w:tc>
          <w:tcPr>
            <w:tcW w:w="2416" w:type="pct"/>
            <w:tcBorders>
              <w:left w:val="single" w:sz="4" w:space="0" w:color="548DD4" w:themeColor="text2" w:themeTint="99"/>
            </w:tcBorders>
          </w:tcPr>
          <w:p w:rsidR="00446701" w:rsidRPr="00975E6B" w:rsidRDefault="00446701" w:rsidP="00992E09">
            <w:pPr>
              <w:pStyle w:val="BodyText"/>
              <w:jc w:val="left"/>
            </w:pPr>
            <w:r w:rsidRPr="00975E6B">
              <w:t>This was demonstrated during the site visit and an excel file was produced from the costing system which outlined all reclass rules.</w:t>
            </w:r>
          </w:p>
        </w:tc>
      </w:tr>
      <w:tr w:rsidR="00AD71DB" w:rsidRPr="00975E6B" w:rsidTr="001140D3">
        <w:tc>
          <w:tcPr>
            <w:tcW w:w="832" w:type="pct"/>
            <w:tcBorders>
              <w:right w:val="single" w:sz="4" w:space="0" w:color="548DD4" w:themeColor="text2" w:themeTint="99"/>
            </w:tcBorders>
            <w:noWrap/>
          </w:tcPr>
          <w:p w:rsidR="00AD71DB" w:rsidRPr="00975E6B" w:rsidRDefault="00AD71DB" w:rsidP="00AD71DB">
            <w:pPr>
              <w:pStyle w:val="BodyText"/>
              <w:jc w:val="left"/>
            </w:pPr>
            <w:r w:rsidRPr="00975E6B">
              <w:t>SCP 3A.001</w:t>
            </w:r>
          </w:p>
        </w:tc>
        <w:tc>
          <w:tcPr>
            <w:tcW w:w="1752" w:type="pct"/>
            <w:tcBorders>
              <w:left w:val="single" w:sz="4" w:space="0" w:color="548DD4" w:themeColor="text2" w:themeTint="99"/>
            </w:tcBorders>
          </w:tcPr>
          <w:p w:rsidR="00AD71DB" w:rsidRPr="00975E6B" w:rsidRDefault="00AD71DB" w:rsidP="00AD71DB">
            <w:pPr>
              <w:pStyle w:val="BodyText"/>
              <w:jc w:val="left"/>
            </w:pPr>
            <w:r w:rsidRPr="00975E6B">
              <w:t>Matching Production and Cost – Overhead Cost Allocation</w:t>
            </w:r>
          </w:p>
        </w:tc>
        <w:tc>
          <w:tcPr>
            <w:tcW w:w="2416" w:type="pct"/>
            <w:tcBorders>
              <w:left w:val="single" w:sz="4" w:space="0" w:color="548DD4" w:themeColor="text2" w:themeTint="99"/>
            </w:tcBorders>
          </w:tcPr>
          <w:p w:rsidR="00AD71DB" w:rsidRPr="00975E6B" w:rsidRDefault="00AD71DB" w:rsidP="00AD71DB">
            <w:pPr>
              <w:pStyle w:val="BodyText"/>
              <w:jc w:val="left"/>
            </w:pPr>
            <w:r w:rsidRPr="00975E6B">
              <w:t>The jurisdiction was able to demonstrate that overhead costs were fully allocated to direct patient care areas via the pre allocation and post allocation data included in the templates.</w:t>
            </w:r>
          </w:p>
        </w:tc>
      </w:tr>
      <w:tr w:rsidR="0031210D" w:rsidRPr="00975E6B" w:rsidTr="001140D3">
        <w:tc>
          <w:tcPr>
            <w:tcW w:w="832" w:type="pct"/>
            <w:tcBorders>
              <w:right w:val="single" w:sz="4" w:space="0" w:color="548DD4" w:themeColor="text2" w:themeTint="99"/>
            </w:tcBorders>
            <w:noWrap/>
          </w:tcPr>
          <w:p w:rsidR="0031210D" w:rsidRPr="00975E6B" w:rsidRDefault="0031210D" w:rsidP="0031210D">
            <w:pPr>
              <w:pStyle w:val="BodyText"/>
              <w:jc w:val="left"/>
            </w:pPr>
            <w:r w:rsidRPr="00975E6B">
              <w:t>SCP 3B.001</w:t>
            </w:r>
          </w:p>
        </w:tc>
        <w:tc>
          <w:tcPr>
            <w:tcW w:w="1752" w:type="pct"/>
            <w:tcBorders>
              <w:left w:val="single" w:sz="4" w:space="0" w:color="548DD4" w:themeColor="text2" w:themeTint="99"/>
            </w:tcBorders>
          </w:tcPr>
          <w:p w:rsidR="0031210D" w:rsidRPr="00975E6B" w:rsidRDefault="0031210D" w:rsidP="0031210D">
            <w:pPr>
              <w:pStyle w:val="BodyText"/>
              <w:jc w:val="left"/>
            </w:pPr>
            <w:r w:rsidRPr="00975E6B">
              <w:t>Matching Production and Cost – Costing all Products</w:t>
            </w:r>
          </w:p>
        </w:tc>
        <w:tc>
          <w:tcPr>
            <w:tcW w:w="2416" w:type="pct"/>
            <w:tcBorders>
              <w:left w:val="single" w:sz="4" w:space="0" w:color="548DD4" w:themeColor="text2" w:themeTint="99"/>
            </w:tcBorders>
          </w:tcPr>
          <w:p w:rsidR="0031210D" w:rsidRPr="00975E6B" w:rsidRDefault="0031210D">
            <w:pPr>
              <w:pStyle w:val="BodyText"/>
              <w:jc w:val="left"/>
            </w:pPr>
            <w:r w:rsidRPr="00975E6B">
              <w:t>Demonstrated in the template. SA Health provided an overview of their internal reconciliation process which demonstrated the allocation of costs to products.</w:t>
            </w:r>
          </w:p>
        </w:tc>
      </w:tr>
      <w:tr w:rsidR="00446701" w:rsidRPr="00975E6B" w:rsidTr="001140D3">
        <w:tc>
          <w:tcPr>
            <w:tcW w:w="832" w:type="pct"/>
            <w:tcBorders>
              <w:right w:val="single" w:sz="4" w:space="0" w:color="548DD4" w:themeColor="text2" w:themeTint="99"/>
            </w:tcBorders>
            <w:noWrap/>
          </w:tcPr>
          <w:p w:rsidR="00446701" w:rsidRPr="00975E6B" w:rsidRDefault="00446701" w:rsidP="00992E09">
            <w:pPr>
              <w:pStyle w:val="BodyText"/>
              <w:jc w:val="left"/>
            </w:pPr>
            <w:r w:rsidRPr="00975E6B">
              <w:t>SCP 3C.001</w:t>
            </w:r>
          </w:p>
        </w:tc>
        <w:tc>
          <w:tcPr>
            <w:tcW w:w="1752" w:type="pct"/>
            <w:tcBorders>
              <w:left w:val="single" w:sz="4" w:space="0" w:color="548DD4" w:themeColor="text2" w:themeTint="99"/>
            </w:tcBorders>
          </w:tcPr>
          <w:p w:rsidR="00446701" w:rsidRPr="00975E6B" w:rsidRDefault="00446701" w:rsidP="00992E09">
            <w:pPr>
              <w:pStyle w:val="BodyText"/>
              <w:jc w:val="left"/>
            </w:pPr>
            <w:r w:rsidRPr="00975E6B">
              <w:t>Matching Production and Cost – Commercial Business Entities</w:t>
            </w:r>
          </w:p>
        </w:tc>
        <w:tc>
          <w:tcPr>
            <w:tcW w:w="2416" w:type="pct"/>
            <w:tcBorders>
              <w:left w:val="single" w:sz="4" w:space="0" w:color="548DD4" w:themeColor="text2" w:themeTint="99"/>
            </w:tcBorders>
          </w:tcPr>
          <w:p w:rsidR="00446701" w:rsidRPr="00975E6B" w:rsidRDefault="00446701" w:rsidP="00992E09">
            <w:pPr>
              <w:pStyle w:val="BodyText"/>
              <w:jc w:val="left"/>
            </w:pPr>
            <w:r w:rsidRPr="00975E6B">
              <w:t>Application of this standard was demonstrated during review discussions.</w:t>
            </w:r>
          </w:p>
        </w:tc>
      </w:tr>
      <w:tr w:rsidR="00446701" w:rsidRPr="00975E6B" w:rsidTr="001140D3">
        <w:tc>
          <w:tcPr>
            <w:tcW w:w="832" w:type="pct"/>
            <w:tcBorders>
              <w:right w:val="single" w:sz="4" w:space="0" w:color="548DD4" w:themeColor="text2" w:themeTint="99"/>
            </w:tcBorders>
            <w:noWrap/>
          </w:tcPr>
          <w:p w:rsidR="00446701" w:rsidRPr="00975E6B" w:rsidRDefault="00446701" w:rsidP="00992E09">
            <w:pPr>
              <w:pStyle w:val="BodyText"/>
              <w:jc w:val="left"/>
            </w:pPr>
            <w:r w:rsidRPr="00975E6B">
              <w:t>SCP 3E.001</w:t>
            </w:r>
          </w:p>
        </w:tc>
        <w:tc>
          <w:tcPr>
            <w:tcW w:w="1752" w:type="pct"/>
            <w:tcBorders>
              <w:left w:val="single" w:sz="4" w:space="0" w:color="548DD4" w:themeColor="text2" w:themeTint="99"/>
            </w:tcBorders>
          </w:tcPr>
          <w:p w:rsidR="00446701" w:rsidRPr="00975E6B" w:rsidRDefault="00446701" w:rsidP="00992E09">
            <w:pPr>
              <w:pStyle w:val="BodyText"/>
              <w:jc w:val="left"/>
            </w:pPr>
            <w:r w:rsidRPr="00975E6B">
              <w:t>Matching Production and Cost – Offsets and Recoveries</w:t>
            </w:r>
          </w:p>
        </w:tc>
        <w:tc>
          <w:tcPr>
            <w:tcW w:w="2416" w:type="pct"/>
            <w:tcBorders>
              <w:left w:val="single" w:sz="4" w:space="0" w:color="548DD4" w:themeColor="text2" w:themeTint="99"/>
            </w:tcBorders>
          </w:tcPr>
          <w:p w:rsidR="00446701" w:rsidRPr="00975E6B" w:rsidRDefault="00446701" w:rsidP="00992E09">
            <w:pPr>
              <w:pStyle w:val="BodyText"/>
              <w:jc w:val="left"/>
            </w:pPr>
            <w:r w:rsidRPr="00975E6B">
              <w:t xml:space="preserve">Demonstrated in the template and confirmed during the consultation process. Recoveries were excluded from the expenditure base for both hospitals. There were no offsets identified. </w:t>
            </w:r>
          </w:p>
        </w:tc>
      </w:tr>
      <w:tr w:rsidR="00446701" w:rsidRPr="00975E6B" w:rsidTr="001140D3">
        <w:tc>
          <w:tcPr>
            <w:tcW w:w="832" w:type="pct"/>
            <w:tcBorders>
              <w:right w:val="single" w:sz="4" w:space="0" w:color="548DD4" w:themeColor="text2" w:themeTint="99"/>
            </w:tcBorders>
            <w:noWrap/>
          </w:tcPr>
          <w:p w:rsidR="00446701" w:rsidRPr="00975E6B" w:rsidRDefault="00446701" w:rsidP="00992E09">
            <w:pPr>
              <w:pStyle w:val="BodyText"/>
              <w:jc w:val="left"/>
            </w:pPr>
            <w:r w:rsidRPr="00975E6B">
              <w:t>SCP 3G.001</w:t>
            </w:r>
          </w:p>
        </w:tc>
        <w:tc>
          <w:tcPr>
            <w:tcW w:w="1752" w:type="pct"/>
            <w:tcBorders>
              <w:left w:val="single" w:sz="4" w:space="0" w:color="548DD4" w:themeColor="text2" w:themeTint="99"/>
            </w:tcBorders>
          </w:tcPr>
          <w:p w:rsidR="00446701" w:rsidRPr="00975E6B" w:rsidRDefault="00446701" w:rsidP="00992E09">
            <w:pPr>
              <w:pStyle w:val="BodyText"/>
              <w:jc w:val="left"/>
            </w:pPr>
            <w:r w:rsidRPr="00975E6B">
              <w:t>Matching Production and Cost – Reconciliation to Source Data</w:t>
            </w:r>
          </w:p>
        </w:tc>
        <w:tc>
          <w:tcPr>
            <w:tcW w:w="2416" w:type="pct"/>
            <w:tcBorders>
              <w:left w:val="single" w:sz="4" w:space="0" w:color="548DD4" w:themeColor="text2" w:themeTint="99"/>
            </w:tcBorders>
          </w:tcPr>
          <w:p w:rsidR="00446701" w:rsidRPr="00975E6B" w:rsidRDefault="00446701" w:rsidP="00992E09">
            <w:pPr>
              <w:pStyle w:val="BodyText"/>
              <w:jc w:val="left"/>
            </w:pPr>
            <w:r w:rsidRPr="00975E6B">
              <w:t>The Funding Model Unit provides a reconciliation of the costing, including a comparison to the previous Round, to the LHN Executive for review and sign-off.</w:t>
            </w:r>
          </w:p>
        </w:tc>
      </w:tr>
      <w:tr w:rsidR="00446701" w:rsidRPr="00975E6B" w:rsidTr="001140D3">
        <w:tc>
          <w:tcPr>
            <w:tcW w:w="832" w:type="pct"/>
            <w:tcBorders>
              <w:right w:val="single" w:sz="4" w:space="0" w:color="548DD4" w:themeColor="text2" w:themeTint="99"/>
            </w:tcBorders>
            <w:noWrap/>
          </w:tcPr>
          <w:p w:rsidR="00446701" w:rsidRPr="00975E6B" w:rsidRDefault="00446701" w:rsidP="00992E09">
            <w:pPr>
              <w:pStyle w:val="BodyText"/>
              <w:jc w:val="left"/>
            </w:pPr>
            <w:r w:rsidRPr="00975E6B">
              <w:t>GL2.004</w:t>
            </w:r>
          </w:p>
        </w:tc>
        <w:tc>
          <w:tcPr>
            <w:tcW w:w="1752" w:type="pct"/>
            <w:tcBorders>
              <w:left w:val="single" w:sz="4" w:space="0" w:color="548DD4" w:themeColor="text2" w:themeTint="99"/>
            </w:tcBorders>
          </w:tcPr>
          <w:p w:rsidR="00446701" w:rsidRPr="00975E6B" w:rsidRDefault="00446701" w:rsidP="00992E09">
            <w:pPr>
              <w:pStyle w:val="BodyText"/>
              <w:jc w:val="left"/>
            </w:pPr>
            <w:r w:rsidRPr="00975E6B">
              <w:t>Account Code Mapping to Line Items</w:t>
            </w:r>
          </w:p>
        </w:tc>
        <w:tc>
          <w:tcPr>
            <w:tcW w:w="2416" w:type="pct"/>
            <w:tcBorders>
              <w:left w:val="single" w:sz="4" w:space="0" w:color="548DD4" w:themeColor="text2" w:themeTint="99"/>
            </w:tcBorders>
          </w:tcPr>
          <w:p w:rsidR="00446701" w:rsidRPr="00975E6B" w:rsidRDefault="00446701" w:rsidP="00992E09">
            <w:pPr>
              <w:pStyle w:val="BodyText"/>
              <w:jc w:val="left"/>
            </w:pPr>
            <w:r w:rsidRPr="00975E6B">
              <w:t>SA Health mapped total costs to the standard specified line items.</w:t>
            </w:r>
          </w:p>
        </w:tc>
      </w:tr>
      <w:tr w:rsidR="00446701" w:rsidRPr="00975E6B" w:rsidTr="001140D3">
        <w:tc>
          <w:tcPr>
            <w:tcW w:w="832" w:type="pct"/>
            <w:tcBorders>
              <w:right w:val="single" w:sz="4" w:space="0" w:color="548DD4" w:themeColor="text2" w:themeTint="99"/>
            </w:tcBorders>
            <w:noWrap/>
          </w:tcPr>
          <w:p w:rsidR="00446701" w:rsidRPr="00975E6B" w:rsidRDefault="00446701" w:rsidP="00992E09">
            <w:pPr>
              <w:pStyle w:val="BodyText"/>
              <w:jc w:val="left"/>
            </w:pPr>
            <w:r w:rsidRPr="00975E6B">
              <w:t>COST 5.002</w:t>
            </w:r>
          </w:p>
        </w:tc>
        <w:tc>
          <w:tcPr>
            <w:tcW w:w="1752" w:type="pct"/>
            <w:tcBorders>
              <w:left w:val="single" w:sz="4" w:space="0" w:color="548DD4" w:themeColor="text2" w:themeTint="99"/>
            </w:tcBorders>
          </w:tcPr>
          <w:p w:rsidR="00446701" w:rsidRPr="00975E6B" w:rsidRDefault="00446701" w:rsidP="00992E09">
            <w:pPr>
              <w:pStyle w:val="BodyText"/>
              <w:jc w:val="left"/>
            </w:pPr>
            <w:r w:rsidRPr="00975E6B">
              <w:t>Treatment of Work-In-Progress Costs</w:t>
            </w:r>
          </w:p>
        </w:tc>
        <w:tc>
          <w:tcPr>
            <w:tcW w:w="2416" w:type="pct"/>
            <w:tcBorders>
              <w:left w:val="single" w:sz="4" w:space="0" w:color="548DD4" w:themeColor="text2" w:themeTint="99"/>
            </w:tcBorders>
          </w:tcPr>
          <w:p w:rsidR="00446701" w:rsidRPr="00975E6B" w:rsidRDefault="00446701" w:rsidP="00992E09">
            <w:pPr>
              <w:pStyle w:val="BodyText"/>
              <w:jc w:val="left"/>
            </w:pPr>
            <w:r w:rsidRPr="00975E6B">
              <w:t>Demonstrated in the template and during site visit discussions.</w:t>
            </w:r>
          </w:p>
        </w:tc>
      </w:tr>
    </w:tbl>
    <w:p w:rsidR="00446701" w:rsidRPr="00975E6B" w:rsidRDefault="00446701" w:rsidP="001140D3">
      <w:pPr>
        <w:pStyle w:val="BodyText"/>
      </w:pPr>
      <w:r w:rsidRPr="00975E6B">
        <w:rPr>
          <w:bCs/>
          <w:i/>
          <w:sz w:val="16"/>
          <w:szCs w:val="16"/>
        </w:rPr>
        <w:t>Source: KPMG</w:t>
      </w:r>
    </w:p>
    <w:p w:rsidR="002E59FA" w:rsidRPr="00975E6B" w:rsidRDefault="00C64F16" w:rsidP="003B387A">
      <w:pPr>
        <w:pStyle w:val="Heading2"/>
        <w:numPr>
          <w:ilvl w:val="1"/>
          <w:numId w:val="77"/>
        </w:numPr>
      </w:pPr>
      <w:bookmarkStart w:id="781" w:name="_Toc444523673"/>
      <w:r w:rsidRPr="004B31EB">
        <w:t>Conclusion</w:t>
      </w:r>
      <w:bookmarkEnd w:id="781"/>
    </w:p>
    <w:p w:rsidR="00C64F16" w:rsidRPr="00975E6B" w:rsidRDefault="00C64F16" w:rsidP="00C64F16">
      <w:pPr>
        <w:pStyle w:val="BodyText"/>
      </w:pPr>
      <w:r w:rsidRPr="00975E6B">
        <w:t xml:space="preserve">The findings of the </w:t>
      </w:r>
      <w:r w:rsidR="006D41C8" w:rsidRPr="00975E6B">
        <w:t>SA</w:t>
      </w:r>
      <w:r w:rsidRPr="00975E6B">
        <w:t xml:space="preserve"> Round 18 IFR are summarised below:</w:t>
      </w:r>
    </w:p>
    <w:p w:rsidR="00A242E6" w:rsidRPr="00975E6B" w:rsidRDefault="00C64F16" w:rsidP="00F26328">
      <w:pPr>
        <w:pStyle w:val="BodyText"/>
        <w:numPr>
          <w:ilvl w:val="0"/>
          <w:numId w:val="48"/>
        </w:numPr>
      </w:pPr>
      <w:r w:rsidRPr="00975E6B">
        <w:rPr>
          <w:bCs/>
        </w:rPr>
        <w:t xml:space="preserve">The </w:t>
      </w:r>
      <w:r w:rsidRPr="00975E6B">
        <w:t xml:space="preserve">financial reconciliations demonstrated the transformation of cost data for the sampled hospitals based on </w:t>
      </w:r>
      <w:r w:rsidR="00FB47CF" w:rsidRPr="00975E6B">
        <w:t xml:space="preserve">each hospital’s share of the </w:t>
      </w:r>
      <w:r w:rsidR="00673681" w:rsidRPr="00975E6B">
        <w:t xml:space="preserve">GL for the </w:t>
      </w:r>
      <w:r w:rsidR="000F57A5" w:rsidRPr="00975E6B">
        <w:t>Northern Adelaide LHN</w:t>
      </w:r>
      <w:r w:rsidRPr="00975E6B">
        <w:t>.</w:t>
      </w:r>
      <w:r w:rsidR="006D41C8" w:rsidRPr="00975E6B">
        <w:t xml:space="preserve"> </w:t>
      </w:r>
      <w:r w:rsidR="00A242E6" w:rsidRPr="00975E6B">
        <w:t>Post allocation adjustments are made for each of the hospitals</w:t>
      </w:r>
      <w:r w:rsidRPr="00975E6B">
        <w:t>.</w:t>
      </w:r>
      <w:r w:rsidR="00A242E6" w:rsidRPr="00975E6B">
        <w:t xml:space="preserve"> These relate to </w:t>
      </w:r>
      <w:r w:rsidR="00E6181A" w:rsidRPr="00975E6B">
        <w:t>n</w:t>
      </w:r>
      <w:r w:rsidR="00366F39" w:rsidRPr="00975E6B">
        <w:t>on-admitted patients</w:t>
      </w:r>
      <w:r w:rsidR="00A242E6" w:rsidRPr="00975E6B">
        <w:t xml:space="preserve"> (quality and completeness of data </w:t>
      </w:r>
      <w:r w:rsidR="0074117C" w:rsidRPr="00975E6B">
        <w:t xml:space="preserve">was </w:t>
      </w:r>
      <w:r w:rsidR="00A242E6" w:rsidRPr="00975E6B">
        <w:t xml:space="preserve">limited) and TTR (not patient costed). </w:t>
      </w:r>
    </w:p>
    <w:p w:rsidR="00C64F16" w:rsidRPr="00975E6B" w:rsidRDefault="00622CC1" w:rsidP="00F26328">
      <w:pPr>
        <w:pStyle w:val="BodyText"/>
        <w:numPr>
          <w:ilvl w:val="0"/>
          <w:numId w:val="48"/>
        </w:numPr>
      </w:pPr>
      <w:r w:rsidRPr="00975E6B">
        <w:lastRenderedPageBreak/>
        <w:t>A variance was noted</w:t>
      </w:r>
      <w:r w:rsidR="00A242E6" w:rsidRPr="00975E6B">
        <w:t xml:space="preserve"> between the costs submitted by the </w:t>
      </w:r>
      <w:r w:rsidR="00E12670" w:rsidRPr="00975E6B">
        <w:t>jurisdiction</w:t>
      </w:r>
      <w:r w:rsidR="00A242E6" w:rsidRPr="00975E6B">
        <w:t xml:space="preserve"> and the costs received by IHPA (Items H and I</w:t>
      </w:r>
      <w:r w:rsidRPr="00975E6B">
        <w:t xml:space="preserve"> in </w:t>
      </w:r>
      <w:r w:rsidRPr="00975E6B">
        <w:fldChar w:fldCharType="begin"/>
      </w:r>
      <w:r w:rsidRPr="00975E6B">
        <w:instrText xml:space="preserve"> REF _Ref433363441 \h </w:instrText>
      </w:r>
      <w:r w:rsidR="00975E6B">
        <w:instrText xml:space="preserve"> \* MERGEFORMAT </w:instrText>
      </w:r>
      <w:r w:rsidRPr="00975E6B">
        <w:fldChar w:fldCharType="separate"/>
      </w:r>
      <w:r w:rsidR="00154CF7" w:rsidRPr="00975E6B">
        <w:t xml:space="preserve">Table </w:t>
      </w:r>
      <w:r w:rsidR="00154CF7">
        <w:rPr>
          <w:noProof/>
        </w:rPr>
        <w:t>56</w:t>
      </w:r>
      <w:r w:rsidRPr="00975E6B">
        <w:fldChar w:fldCharType="end"/>
      </w:r>
      <w:r w:rsidRPr="00975E6B">
        <w:t xml:space="preserve"> and </w:t>
      </w:r>
      <w:r w:rsidRPr="00975E6B">
        <w:fldChar w:fldCharType="begin"/>
      </w:r>
      <w:r w:rsidRPr="00975E6B">
        <w:instrText xml:space="preserve"> REF _Ref433365830 \h </w:instrText>
      </w:r>
      <w:r w:rsidR="00975E6B">
        <w:instrText xml:space="preserve"> \* MERGEFORMAT </w:instrText>
      </w:r>
      <w:r w:rsidRPr="00975E6B">
        <w:fldChar w:fldCharType="separate"/>
      </w:r>
      <w:r w:rsidR="00154CF7" w:rsidRPr="00975E6B">
        <w:t xml:space="preserve">Table </w:t>
      </w:r>
      <w:r w:rsidR="00154CF7">
        <w:rPr>
          <w:noProof/>
        </w:rPr>
        <w:t>63</w:t>
      </w:r>
      <w:r w:rsidRPr="00975E6B">
        <w:fldChar w:fldCharType="end"/>
      </w:r>
      <w:r w:rsidR="00A242E6" w:rsidRPr="00975E6B">
        <w:t>)</w:t>
      </w:r>
      <w:r w:rsidR="00E12670" w:rsidRPr="00975E6B">
        <w:t xml:space="preserve"> for both </w:t>
      </w:r>
      <w:r w:rsidR="003F167A" w:rsidRPr="00975E6B">
        <w:t xml:space="preserve">Lyell </w:t>
      </w:r>
      <w:proofErr w:type="spellStart"/>
      <w:r w:rsidR="003F167A" w:rsidRPr="00975E6B">
        <w:t>McEwin</w:t>
      </w:r>
      <w:proofErr w:type="spellEnd"/>
      <w:r w:rsidR="00E12670" w:rsidRPr="00975E6B">
        <w:t xml:space="preserve"> ($28,733) and </w:t>
      </w:r>
      <w:r w:rsidR="00673681" w:rsidRPr="00975E6B">
        <w:t xml:space="preserve">Modbury Hospital </w:t>
      </w:r>
      <w:r w:rsidR="00E12670" w:rsidRPr="00975E6B">
        <w:t>($12,435).</w:t>
      </w:r>
      <w:r w:rsidR="00C64F16" w:rsidRPr="00975E6B">
        <w:t xml:space="preserve"> </w:t>
      </w:r>
      <w:r w:rsidR="00FD2F5D" w:rsidRPr="00975E6B">
        <w:t>For both hospitals, this variance represented 0.01 percent of the costs submitted to IHPA.</w:t>
      </w:r>
    </w:p>
    <w:p w:rsidR="00C64F16" w:rsidRPr="00975E6B" w:rsidRDefault="00C64F16" w:rsidP="00F26328">
      <w:pPr>
        <w:pStyle w:val="BodyText"/>
        <w:numPr>
          <w:ilvl w:val="0"/>
          <w:numId w:val="48"/>
        </w:numPr>
      </w:pPr>
      <w:r w:rsidRPr="00975E6B">
        <w:t xml:space="preserve">SA Health </w:t>
      </w:r>
      <w:r w:rsidR="000C19A6" w:rsidRPr="00975E6B">
        <w:t>is</w:t>
      </w:r>
      <w:r w:rsidRPr="00975E6B">
        <w:t xml:space="preserve"> seeking to improve future processes by increasing the frequency of formalised patient costing reconciliations during the year. This will assist in identifying anomalies in cost data earlier, prior to NHCDC submission.</w:t>
      </w:r>
    </w:p>
    <w:p w:rsidR="00C64F16" w:rsidRPr="00975E6B" w:rsidRDefault="00C64F16" w:rsidP="00F26328">
      <w:pPr>
        <w:pStyle w:val="BodyText"/>
        <w:numPr>
          <w:ilvl w:val="0"/>
          <w:numId w:val="48"/>
        </w:numPr>
      </w:pPr>
      <w:r w:rsidRPr="00975E6B">
        <w:t xml:space="preserve">Total activity data for the hospitals was adjusted by </w:t>
      </w:r>
      <w:r w:rsidR="00E12670" w:rsidRPr="00975E6B">
        <w:t>SA</w:t>
      </w:r>
      <w:r w:rsidRPr="00975E6B">
        <w:t xml:space="preserve"> Health for the removal of records associated with excluded costs</w:t>
      </w:r>
      <w:r w:rsidR="00C50DA9" w:rsidRPr="00975E6B">
        <w:t xml:space="preserve">. </w:t>
      </w:r>
      <w:r w:rsidRPr="00975E6B">
        <w:t>IHPA made no adjustments to activity data</w:t>
      </w:r>
      <w:r w:rsidR="00C50DA9" w:rsidRPr="00975E6B">
        <w:t xml:space="preserve">. </w:t>
      </w:r>
    </w:p>
    <w:p w:rsidR="00AE1BC4" w:rsidRPr="00975E6B" w:rsidRDefault="00C64F16" w:rsidP="00F26328">
      <w:pPr>
        <w:pStyle w:val="BodyText"/>
        <w:numPr>
          <w:ilvl w:val="0"/>
          <w:numId w:val="48"/>
        </w:numPr>
      </w:pPr>
      <w:r w:rsidRPr="00975E6B">
        <w:t xml:space="preserve">The number of records linked from source to product </w:t>
      </w:r>
      <w:r w:rsidR="0074117C" w:rsidRPr="00975E6B">
        <w:t xml:space="preserve">was </w:t>
      </w:r>
      <w:r w:rsidRPr="00975E6B">
        <w:t>significant with all feeders having a greater than 8</w:t>
      </w:r>
      <w:r w:rsidR="00E12670" w:rsidRPr="00975E6B">
        <w:t>5</w:t>
      </w:r>
      <w:r w:rsidR="003E67CF" w:rsidRPr="00975E6B">
        <w:t xml:space="preserve"> percent</w:t>
      </w:r>
      <w:r w:rsidRPr="00975E6B">
        <w:t xml:space="preserve"> link or match, across </w:t>
      </w:r>
      <w:r w:rsidR="00E12670" w:rsidRPr="00975E6B">
        <w:t>both</w:t>
      </w:r>
      <w:r w:rsidRPr="00975E6B">
        <w:t xml:space="preserve"> hospitals.</w:t>
      </w:r>
      <w:r w:rsidR="00E12670" w:rsidRPr="00975E6B">
        <w:t xml:space="preserve"> </w:t>
      </w:r>
      <w:r w:rsidR="00037F64" w:rsidRPr="00975E6B">
        <w:t xml:space="preserve">This suggests that there is robustness in the level of feeder activity reported back to episodes. </w:t>
      </w:r>
    </w:p>
    <w:p w:rsidR="00C64F16" w:rsidRPr="00975E6B" w:rsidRDefault="00641B35" w:rsidP="00F26328">
      <w:pPr>
        <w:pStyle w:val="BodyText"/>
        <w:numPr>
          <w:ilvl w:val="0"/>
          <w:numId w:val="48"/>
        </w:numPr>
      </w:pPr>
      <w:r w:rsidRPr="00975E6B">
        <w:t>Variances were noted in both hospitals for the pharmacy feeder in relation to S100 drugs. These variances reflect issues with matching scripts that are for a 12</w:t>
      </w:r>
      <w:r w:rsidR="00673681" w:rsidRPr="00975E6B">
        <w:t xml:space="preserve"> </w:t>
      </w:r>
      <w:r w:rsidRPr="00975E6B">
        <w:t>month period from the original encounter</w:t>
      </w:r>
      <w:r w:rsidR="003E67CF" w:rsidRPr="00975E6B">
        <w:t>.</w:t>
      </w:r>
    </w:p>
    <w:p w:rsidR="00F418E5" w:rsidRPr="00975E6B" w:rsidRDefault="00F418E5" w:rsidP="00F26328">
      <w:pPr>
        <w:pStyle w:val="BodyText"/>
        <w:numPr>
          <w:ilvl w:val="0"/>
          <w:numId w:val="48"/>
        </w:numPr>
      </w:pPr>
      <w:r w:rsidRPr="00975E6B">
        <w:t xml:space="preserve">TTR costs are allocated using PFRAC information </w:t>
      </w:r>
      <w:proofErr w:type="gramStart"/>
      <w:r w:rsidR="00404E4F">
        <w:t>however,</w:t>
      </w:r>
      <w:proofErr w:type="gramEnd"/>
      <w:r w:rsidRPr="00975E6B">
        <w:t xml:space="preserve"> these costs are excluded prior to submission of the NHCDC to IHPA.</w:t>
      </w:r>
    </w:p>
    <w:p w:rsidR="00C64F16" w:rsidRPr="00975E6B" w:rsidRDefault="005A64EB" w:rsidP="00F26328">
      <w:pPr>
        <w:pStyle w:val="BodyText"/>
        <w:numPr>
          <w:ilvl w:val="0"/>
          <w:numId w:val="48"/>
        </w:numPr>
      </w:pPr>
      <w:r w:rsidRPr="00975E6B">
        <w:t xml:space="preserve">WIP </w:t>
      </w:r>
      <w:r w:rsidR="0074117C" w:rsidRPr="00975E6B">
        <w:t xml:space="preserve">was </w:t>
      </w:r>
      <w:r w:rsidRPr="00975E6B">
        <w:t>treated in accordance with the COST 5.002 of the AHPCS Version 3.1</w:t>
      </w:r>
      <w:r w:rsidR="00C64F16" w:rsidRPr="00975E6B">
        <w:t>.</w:t>
      </w:r>
      <w:r w:rsidRPr="00975E6B">
        <w:t xml:space="preserve"> SA Health applied the escalation factors provided by IHPA for prior years to the costs associated with WIP as part of the Round 18 submission to the NHCDC for both hospitals.</w:t>
      </w:r>
    </w:p>
    <w:p w:rsidR="00FD2F5D" w:rsidRPr="00975E6B" w:rsidRDefault="00FD2F5D" w:rsidP="00F26328">
      <w:pPr>
        <w:pStyle w:val="BodyText"/>
        <w:numPr>
          <w:ilvl w:val="0"/>
          <w:numId w:val="48"/>
        </w:numPr>
      </w:pPr>
      <w:r w:rsidRPr="00975E6B">
        <w:t xml:space="preserve">On review of the five sample patients selected for both Lyell </w:t>
      </w:r>
      <w:proofErr w:type="spellStart"/>
      <w:r w:rsidRPr="00975E6B">
        <w:t>McEwin</w:t>
      </w:r>
      <w:proofErr w:type="spellEnd"/>
      <w:r w:rsidRPr="00975E6B">
        <w:t xml:space="preserve"> and Modbury Hospital, minor variances of $1.33 and $0.51 were noted for two acute records from Lyell </w:t>
      </w:r>
      <w:proofErr w:type="spellStart"/>
      <w:r w:rsidRPr="00975E6B">
        <w:t>McEwin</w:t>
      </w:r>
      <w:proofErr w:type="spellEnd"/>
      <w:r w:rsidRPr="00975E6B">
        <w:t xml:space="preserve"> Hospital. All five sampled patients from Modbury Hospital reconciled with IHPA records. </w:t>
      </w:r>
    </w:p>
    <w:p w:rsidR="002E59FA" w:rsidRPr="00975E6B" w:rsidRDefault="002E59FA" w:rsidP="002E59FA">
      <w:pPr>
        <w:pStyle w:val="BodyText"/>
      </w:pPr>
      <w:r w:rsidRPr="00975E6B">
        <w:t xml:space="preserve">Based on discussions held during the site visits, and a review of the financial reconciliations provided, SA Health has robust reconciliation processes in place. As such, nothing </w:t>
      </w:r>
      <w:r w:rsidR="00AE5BD0" w:rsidRPr="00975E6B">
        <w:t xml:space="preserve">was </w:t>
      </w:r>
      <w:r w:rsidR="001E2D16" w:rsidRPr="00975E6B">
        <w:t>identified</w:t>
      </w:r>
      <w:r w:rsidRPr="00975E6B">
        <w:t xml:space="preserve"> to suggest that the financial data</w:t>
      </w:r>
      <w:r w:rsidR="00FA471E" w:rsidRPr="00975E6B">
        <w:t xml:space="preserve"> for </w:t>
      </w:r>
      <w:r w:rsidR="003F167A" w:rsidRPr="00975E6B">
        <w:t xml:space="preserve">Lyell </w:t>
      </w:r>
      <w:proofErr w:type="spellStart"/>
      <w:r w:rsidR="003F167A" w:rsidRPr="00975E6B">
        <w:t>McEwin</w:t>
      </w:r>
      <w:proofErr w:type="spellEnd"/>
      <w:r w:rsidR="00FA471E" w:rsidRPr="00975E6B">
        <w:t xml:space="preserve"> and </w:t>
      </w:r>
      <w:r w:rsidR="005E2379" w:rsidRPr="00975E6B">
        <w:t>Modbury Hospital</w:t>
      </w:r>
      <w:r w:rsidRPr="00975E6B">
        <w:t xml:space="preserve"> is not fit for NHCDC submission. Furthermore, the data flow from the jurisdiction to IHPA demonstrated no unexplained variances.</w:t>
      </w:r>
    </w:p>
    <w:p w:rsidR="00BA70A6" w:rsidRPr="00975E6B" w:rsidRDefault="00BA70A6" w:rsidP="003B387A">
      <w:pPr>
        <w:pStyle w:val="Heading1"/>
        <w:numPr>
          <w:ilvl w:val="0"/>
          <w:numId w:val="77"/>
        </w:numPr>
      </w:pPr>
      <w:bookmarkStart w:id="782" w:name="_Toc444523674"/>
      <w:r w:rsidRPr="004B31EB">
        <w:lastRenderedPageBreak/>
        <w:t>Tasmania</w:t>
      </w:r>
      <w:bookmarkEnd w:id="782"/>
    </w:p>
    <w:p w:rsidR="00763A20" w:rsidRPr="00975E6B" w:rsidRDefault="00763A20" w:rsidP="003B387A">
      <w:pPr>
        <w:pStyle w:val="Heading2"/>
        <w:numPr>
          <w:ilvl w:val="1"/>
          <w:numId w:val="77"/>
        </w:numPr>
      </w:pPr>
      <w:bookmarkStart w:id="783" w:name="_Toc444523675"/>
      <w:r w:rsidRPr="004B31EB">
        <w:t>Jurisdictional</w:t>
      </w:r>
      <w:r w:rsidRPr="00975E6B">
        <w:t xml:space="preserve"> overview</w:t>
      </w:r>
      <w:bookmarkEnd w:id="783"/>
    </w:p>
    <w:p w:rsidR="00763A20" w:rsidRPr="00975E6B" w:rsidRDefault="00763A20" w:rsidP="003B387A">
      <w:pPr>
        <w:pStyle w:val="Heading3"/>
        <w:numPr>
          <w:ilvl w:val="2"/>
          <w:numId w:val="77"/>
        </w:numPr>
      </w:pPr>
      <w:r w:rsidRPr="004B31EB">
        <w:t>Management</w:t>
      </w:r>
      <w:r w:rsidRPr="00975E6B">
        <w:t xml:space="preserve"> of NHCDC process </w:t>
      </w:r>
    </w:p>
    <w:p w:rsidR="00763A20" w:rsidRPr="00975E6B" w:rsidRDefault="00763A20" w:rsidP="00763A20">
      <w:pPr>
        <w:pStyle w:val="BodyText"/>
      </w:pPr>
      <w:r w:rsidRPr="00975E6B">
        <w:t xml:space="preserve">The Tasmanian NHCDC process is the responsibility of the jurisdiction from costing through to submission. The Tasmanian Department of Health and Human Services (TAS-DHHS) undertakes the costing function on behalf of the Tasmanian hospitals as it has access to the relevant files / feeders to perform this function. The decision to undertake </w:t>
      </w:r>
      <w:r w:rsidR="00673681" w:rsidRPr="00975E6B">
        <w:t xml:space="preserve">costing at the jurisdiction level was made </w:t>
      </w:r>
      <w:r w:rsidRPr="00975E6B">
        <w:t>to ensure cost data is created and follows historical process for the NHCDC. It is also a decision made given costing workforce shortages in Tasmania.</w:t>
      </w:r>
    </w:p>
    <w:p w:rsidR="00763A20" w:rsidRPr="00975E6B" w:rsidRDefault="00763A20" w:rsidP="00763A20">
      <w:pPr>
        <w:pStyle w:val="BodyText"/>
      </w:pPr>
      <w:r w:rsidRPr="00975E6B">
        <w:t xml:space="preserve">TAS-DHHS utilises the User Cost costing system by </w:t>
      </w:r>
      <w:proofErr w:type="spellStart"/>
      <w:r w:rsidRPr="00975E6B">
        <w:t>Visasys</w:t>
      </w:r>
      <w:proofErr w:type="spellEnd"/>
      <w:r w:rsidRPr="00975E6B">
        <w:t xml:space="preserve"> to undertake patient level costing. This costing system was used for the first time in Round 18.</w:t>
      </w:r>
    </w:p>
    <w:p w:rsidR="00763A20" w:rsidRPr="00975E6B" w:rsidRDefault="00763A20" w:rsidP="00763A20">
      <w:pPr>
        <w:pStyle w:val="BodyText"/>
      </w:pPr>
      <w:r w:rsidRPr="00975E6B">
        <w:t xml:space="preserve">A central Financial Management System (FMS) is maintained which reports the financial information for all Tasmanian hospitals. The relevant expenditure data used for the costing process is extracted from this system. The process of extracting activity data differs slightly depending on the data required. There is a central Patient Administration System (PAS) with slight configuration differences depending upon the hospital. For example hospitals have the ability to configure beds according to their needs. Some feeders may be configured across two hospitals, some may be independent and for others such as Pharmacy, the data is stored in a central data warehouse. </w:t>
      </w:r>
    </w:p>
    <w:p w:rsidR="00763A20" w:rsidRPr="00975E6B" w:rsidRDefault="00763A20" w:rsidP="00763A20">
      <w:pPr>
        <w:pStyle w:val="BodyText"/>
      </w:pPr>
      <w:r w:rsidRPr="00975E6B">
        <w:t>The initial costing methodology is based on the prior year allocation metrics. A meeting between TAS-DHHS representatives and the hospital Finance Managers is held to discuss the methodology and adjust it where necessary. For example, from year to year, clinicians may vary business units (cost centres) in which they work, which requires allocation metrics to be adjusted. Once the methodology is finalised, TAS-DHHS representatives whom undertake the costing will then process expenditure through the User Cost costing software.</w:t>
      </w:r>
    </w:p>
    <w:p w:rsidR="00763A20" w:rsidRPr="00975E6B" w:rsidRDefault="00763A20" w:rsidP="00763A20">
      <w:pPr>
        <w:pStyle w:val="BodyText"/>
      </w:pPr>
      <w:r w:rsidRPr="00975E6B">
        <w:t xml:space="preserve">TAS-DHHS representatives noted that all hospital cost centres are mapped to the </w:t>
      </w:r>
      <w:r w:rsidR="00673681" w:rsidRPr="00975E6B">
        <w:t>Australian Hospital Patient Costing Standards (</w:t>
      </w:r>
      <w:r w:rsidRPr="00975E6B">
        <w:t>AHPCS</w:t>
      </w:r>
      <w:r w:rsidR="00673681" w:rsidRPr="00975E6B">
        <w:t>)</w:t>
      </w:r>
      <w:r w:rsidRPr="00975E6B">
        <w:t xml:space="preserve"> cost centre and line items and these are used for costing purposes.</w:t>
      </w:r>
    </w:p>
    <w:p w:rsidR="00763A20" w:rsidRPr="00975E6B" w:rsidRDefault="00763A20" w:rsidP="00763A20">
      <w:pPr>
        <w:pStyle w:val="BodyText"/>
      </w:pPr>
      <w:r w:rsidRPr="00975E6B">
        <w:t xml:space="preserve">All patient data and patient feeder system data is loaded into a data warehouse. A staging database is then utilised to overlay this feeder data from source systems and to produce a final reporting database. A series of reports are created against the data within the database as a means of internal checks for data quality and reconciliation purposes. </w:t>
      </w:r>
    </w:p>
    <w:p w:rsidR="00763A20" w:rsidRPr="00975E6B" w:rsidRDefault="00763A20" w:rsidP="00763A20">
      <w:pPr>
        <w:pStyle w:val="BodyText"/>
      </w:pPr>
      <w:r w:rsidRPr="00975E6B">
        <w:t>The costed output is then reviewed against a number of internal checks such as the cost per unit and average cost per bucket against prior year costing. Hospital representatives are able to access a series of costing reports to review. Adjustments are made where required and then TAS-DHHS submits to the NHCDC. There is no official sign off process in place. Once TAS-DHHS deems the data to be fit for submission following review, it is submitted to IHPA and TAS-DHHS will address any further checks or queries that may arise from the IHPA data validation process.</w:t>
      </w:r>
    </w:p>
    <w:p w:rsidR="00763A20" w:rsidRPr="00975E6B" w:rsidRDefault="00763A20" w:rsidP="00763A20">
      <w:pPr>
        <w:pStyle w:val="BodyText"/>
      </w:pPr>
      <w:r w:rsidRPr="00975E6B">
        <w:lastRenderedPageBreak/>
        <w:t>Tasmania nominated one hospital, Royal Hobart Hospital (</w:t>
      </w:r>
      <w:r w:rsidR="00901CD9" w:rsidRPr="00975E6B">
        <w:t>Royal Hobart</w:t>
      </w:r>
      <w:r w:rsidRPr="00975E6B">
        <w:t>), to participate in the Round 18 NHCDC IFR</w:t>
      </w:r>
      <w:r w:rsidR="00D043DD" w:rsidRPr="00975E6B">
        <w:t>.</w:t>
      </w:r>
      <w:r w:rsidRPr="00975E6B">
        <w:t xml:space="preserve"> </w:t>
      </w:r>
      <w:r w:rsidR="00F20343" w:rsidRPr="00975E6B">
        <w:t xml:space="preserve">The </w:t>
      </w:r>
      <w:r w:rsidR="00901CD9" w:rsidRPr="00975E6B">
        <w:t>Royal Hobart</w:t>
      </w:r>
      <w:r w:rsidRPr="00975E6B">
        <w:t xml:space="preserve"> was also reviewed in the </w:t>
      </w:r>
      <w:r w:rsidR="00F20343" w:rsidRPr="00975E6B">
        <w:t xml:space="preserve">IFR for the </w:t>
      </w:r>
      <w:r w:rsidRPr="00975E6B">
        <w:t>Round 17 NHCDC.</w:t>
      </w:r>
    </w:p>
    <w:p w:rsidR="00763A20" w:rsidRPr="00975E6B" w:rsidRDefault="00934925" w:rsidP="00497F12">
      <w:pPr>
        <w:pStyle w:val="Heading4"/>
        <w:numPr>
          <w:ilvl w:val="0"/>
          <w:numId w:val="0"/>
        </w:numPr>
        <w:ind w:left="720" w:hanging="720"/>
      </w:pPr>
      <w:r w:rsidRPr="00975E6B">
        <w:t>Key initiatives since Round 17 NHCDC</w:t>
      </w:r>
      <w:r w:rsidRPr="00975E6B" w:rsidDel="00934925">
        <w:t xml:space="preserve"> </w:t>
      </w:r>
    </w:p>
    <w:p w:rsidR="00763A20" w:rsidRPr="00975E6B" w:rsidRDefault="00763A20" w:rsidP="00763A20">
      <w:pPr>
        <w:pStyle w:val="BodyText"/>
      </w:pPr>
      <w:r w:rsidRPr="00975E6B">
        <w:t xml:space="preserve">TAS-DHHS representatives noted that the only change since the Round 17 NHCDC for </w:t>
      </w:r>
      <w:r w:rsidR="00901CD9" w:rsidRPr="00975E6B">
        <w:t>Royal Hobart</w:t>
      </w:r>
      <w:r w:rsidRPr="00975E6B">
        <w:t xml:space="preserve"> was the use of User Cost as the software to undertake patient level costing.</w:t>
      </w:r>
    </w:p>
    <w:p w:rsidR="00763A20" w:rsidRPr="00975E6B" w:rsidRDefault="00763A20" w:rsidP="003B387A">
      <w:pPr>
        <w:pStyle w:val="Heading2"/>
        <w:numPr>
          <w:ilvl w:val="1"/>
          <w:numId w:val="77"/>
        </w:numPr>
      </w:pPr>
      <w:bookmarkStart w:id="784" w:name="_Toc444523676"/>
      <w:r w:rsidRPr="00497F12">
        <w:t>Royal</w:t>
      </w:r>
      <w:r w:rsidRPr="00975E6B">
        <w:t xml:space="preserve"> Hobart Hospital</w:t>
      </w:r>
      <w:bookmarkEnd w:id="784"/>
    </w:p>
    <w:p w:rsidR="00763A20" w:rsidRPr="00975E6B" w:rsidRDefault="00763A20" w:rsidP="003B387A">
      <w:pPr>
        <w:pStyle w:val="Heading3"/>
        <w:numPr>
          <w:ilvl w:val="2"/>
          <w:numId w:val="77"/>
        </w:numPr>
      </w:pPr>
      <w:r w:rsidRPr="00497F12">
        <w:t>Overview</w:t>
      </w:r>
    </w:p>
    <w:p w:rsidR="00763A20" w:rsidRPr="00975E6B" w:rsidRDefault="00763A20" w:rsidP="00763A20">
      <w:pPr>
        <w:pStyle w:val="BodyText"/>
      </w:pPr>
      <w:r w:rsidRPr="00975E6B">
        <w:t>The Royal Hobart Hospital (</w:t>
      </w:r>
      <w:r w:rsidR="00901CD9" w:rsidRPr="00975E6B">
        <w:t>Royal Hobart</w:t>
      </w:r>
      <w:r w:rsidRPr="00975E6B">
        <w:t xml:space="preserve">), located in Hobart, is Tasmania’s largest hospital and its major referral centre. It belongs to the </w:t>
      </w:r>
      <w:r w:rsidR="00F20343" w:rsidRPr="00975E6B">
        <w:t xml:space="preserve">southern region </w:t>
      </w:r>
      <w:r w:rsidRPr="00975E6B">
        <w:t>Tasmanian Health Organisation</w:t>
      </w:r>
      <w:r w:rsidR="00F20343" w:rsidRPr="00975E6B">
        <w:t>, known as</w:t>
      </w:r>
      <w:r w:rsidRPr="00975E6B">
        <w:t xml:space="preserve"> THO-South. The </w:t>
      </w:r>
      <w:r w:rsidR="00901CD9" w:rsidRPr="00975E6B">
        <w:t>Royal Hobart</w:t>
      </w:r>
      <w:r w:rsidRPr="00975E6B">
        <w:t xml:space="preserve"> provides acute, subacute, mental health and aged care inpatient and ambulatory services to a population of about 240,000 people in the southern region of Tasmania and has 550 physical beds, including 460 acute overnight and 90 day beds. The </w:t>
      </w:r>
      <w:r w:rsidR="00901CD9" w:rsidRPr="00975E6B">
        <w:t>Royal Hobart</w:t>
      </w:r>
      <w:r w:rsidRPr="00975E6B">
        <w:t xml:space="preserve"> has 2,190 full time equivalent staff or a paid headcount of 3,015.</w:t>
      </w:r>
    </w:p>
    <w:p w:rsidR="00763A20" w:rsidRPr="00975E6B" w:rsidRDefault="00763A20" w:rsidP="00763A20">
      <w:pPr>
        <w:pStyle w:val="BodyText"/>
      </w:pPr>
      <w:r w:rsidRPr="00975E6B">
        <w:t xml:space="preserve">The </w:t>
      </w:r>
      <w:r w:rsidR="00901CD9" w:rsidRPr="00975E6B">
        <w:t>Royal Hobart</w:t>
      </w:r>
      <w:r w:rsidRPr="00975E6B">
        <w:t xml:space="preserve"> provides a comprehensive range of general and specialty medical and surgical services including many state</w:t>
      </w:r>
      <w:r w:rsidR="00003334" w:rsidRPr="00975E6B">
        <w:t>-</w:t>
      </w:r>
      <w:r w:rsidRPr="00975E6B">
        <w:t>wide services such as cardiac surgery, neurosurgery, extensive burns treatment, hyperbaric medicine, neonatal and paediatric intensive care and high risk obstetrics. As the major clinical teaching and research centre, it works closely with the University of Tasmania and other institutions</w:t>
      </w:r>
      <w:r w:rsidRPr="00975E6B">
        <w:rPr>
          <w:rStyle w:val="FootnoteReference"/>
        </w:rPr>
        <w:footnoteReference w:id="10"/>
      </w:r>
      <w:r w:rsidRPr="00975E6B">
        <w:t>.</w:t>
      </w:r>
    </w:p>
    <w:p w:rsidR="00763A20" w:rsidRPr="00975E6B" w:rsidRDefault="00763A20" w:rsidP="003B387A">
      <w:pPr>
        <w:pStyle w:val="Heading3"/>
        <w:numPr>
          <w:ilvl w:val="2"/>
          <w:numId w:val="77"/>
        </w:numPr>
      </w:pPr>
      <w:r w:rsidRPr="00497F12">
        <w:t>Financial</w:t>
      </w:r>
      <w:r w:rsidRPr="00975E6B">
        <w:t xml:space="preserve"> data</w:t>
      </w:r>
    </w:p>
    <w:p w:rsidR="00763A20" w:rsidRPr="00975E6B" w:rsidRDefault="00763A20" w:rsidP="00763A20">
      <w:pPr>
        <w:pStyle w:val="BodyText"/>
      </w:pPr>
      <w:r w:rsidRPr="00975E6B">
        <w:t>For the Round 18 IFR, TAS-DHHS staff completed the IFR templates and participated in consultations during the review.</w:t>
      </w:r>
    </w:p>
    <w:p w:rsidR="00763A20" w:rsidRPr="00975E6B" w:rsidRDefault="00372387" w:rsidP="00763A20">
      <w:pPr>
        <w:pStyle w:val="BodyText"/>
      </w:pPr>
      <w:r w:rsidRPr="00975E6B">
        <w:fldChar w:fldCharType="begin"/>
      </w:r>
      <w:r w:rsidRPr="00975E6B">
        <w:instrText xml:space="preserve"> REF _Ref434060239 \h </w:instrText>
      </w:r>
      <w:r w:rsidR="00975E6B">
        <w:instrText xml:space="preserve"> \* MERGEFORMAT </w:instrText>
      </w:r>
      <w:r w:rsidRPr="00975E6B">
        <w:fldChar w:fldCharType="separate"/>
      </w:r>
      <w:r w:rsidR="00154CF7" w:rsidRPr="00975E6B">
        <w:t xml:space="preserve">Table </w:t>
      </w:r>
      <w:r w:rsidR="00154CF7">
        <w:rPr>
          <w:noProof/>
        </w:rPr>
        <w:t>71</w:t>
      </w:r>
      <w:r w:rsidRPr="00975E6B">
        <w:fldChar w:fldCharType="end"/>
      </w:r>
      <w:r w:rsidRPr="00975E6B">
        <w:t xml:space="preserve"> </w:t>
      </w:r>
      <w:r w:rsidR="00763A20" w:rsidRPr="00975E6B">
        <w:t>presents an overview of the template results for expenditures used for costing (at the hospital level), the jurisdictional process for cost data received and the IHPA process for cost data received.</w:t>
      </w:r>
    </w:p>
    <w:p w:rsidR="00763A20" w:rsidRPr="00975E6B" w:rsidRDefault="00763A20" w:rsidP="00763A20">
      <w:pPr>
        <w:pStyle w:val="BodyText"/>
      </w:pPr>
    </w:p>
    <w:p w:rsidR="00763A20" w:rsidRPr="00975E6B" w:rsidRDefault="00763A20" w:rsidP="00763A20">
      <w:pPr>
        <w:pStyle w:val="BodyText"/>
        <w:sectPr w:rsidR="00763A20" w:rsidRPr="00975E6B" w:rsidSect="00835E8A">
          <w:endnotePr>
            <w:numFmt w:val="decimal"/>
          </w:endnotePr>
          <w:pgSz w:w="11907" w:h="16840" w:code="9"/>
          <w:pgMar w:top="1964" w:right="1474" w:bottom="1588" w:left="1474" w:header="958" w:footer="737" w:gutter="454"/>
          <w:cols w:space="720"/>
          <w:docGrid w:linePitch="272"/>
        </w:sectPr>
      </w:pPr>
    </w:p>
    <w:p w:rsidR="00763A20" w:rsidRPr="00975E6B" w:rsidRDefault="00763A20" w:rsidP="00763A20">
      <w:pPr>
        <w:pStyle w:val="Caption"/>
      </w:pPr>
      <w:bookmarkStart w:id="785" w:name="_Ref434060239"/>
      <w:r w:rsidRPr="00975E6B">
        <w:lastRenderedPageBreak/>
        <w:t xml:space="preserve">Table </w:t>
      </w:r>
      <w:fldSimple w:instr=" SEQ Table \* ARABIC ">
        <w:r w:rsidR="00154CF7">
          <w:rPr>
            <w:noProof/>
          </w:rPr>
          <w:t>71</w:t>
        </w:r>
      </w:fldSimple>
      <w:bookmarkEnd w:id="785"/>
      <w:r w:rsidRPr="00975E6B">
        <w:t xml:space="preserve"> – </w:t>
      </w:r>
      <w:proofErr w:type="gramStart"/>
      <w:r w:rsidRPr="00975E6B">
        <w:t>Round 18 NHCDC Reconciliation – Royal Hobart Hospital</w:t>
      </w:r>
      <w:proofErr w:type="gramEnd"/>
    </w:p>
    <w:p w:rsidR="00763A20" w:rsidRPr="00975E6B" w:rsidRDefault="00BC72D9" w:rsidP="00763A20">
      <w:r w:rsidRPr="00975E6B">
        <w:rPr>
          <w:noProof/>
          <w:lang w:eastAsia="en-AU"/>
        </w:rPr>
        <w:drawing>
          <wp:inline distT="0" distB="0" distL="0" distR="0" wp14:anchorId="008B0001" wp14:editId="6F8BD1AB">
            <wp:extent cx="8437880" cy="3841387"/>
            <wp:effectExtent l="0" t="0" r="1270" b="6985"/>
            <wp:docPr id="34" name="Picture 34" descr="This table presents the financial reconciliation of hospital expenditure for Round 18 for Royal Hobart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10;" title="Table 71 - Round 18 NHCDC Reconciliation – Royal Hobart Hospi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8437880" cy="3841387"/>
                    </a:xfrm>
                    <a:prstGeom prst="rect">
                      <a:avLst/>
                    </a:prstGeom>
                    <a:noFill/>
                    <a:ln>
                      <a:noFill/>
                    </a:ln>
                  </pic:spPr>
                </pic:pic>
              </a:graphicData>
            </a:graphic>
          </wp:inline>
        </w:drawing>
      </w:r>
    </w:p>
    <w:p w:rsidR="00763A20" w:rsidRPr="00975E6B" w:rsidRDefault="00763A20" w:rsidP="00763A20">
      <w:pPr>
        <w:rPr>
          <w:bCs/>
          <w:i/>
          <w:sz w:val="16"/>
          <w:szCs w:val="16"/>
        </w:rPr>
      </w:pPr>
      <w:r w:rsidRPr="00975E6B">
        <w:rPr>
          <w:bCs/>
          <w:i/>
          <w:sz w:val="16"/>
          <w:szCs w:val="16"/>
        </w:rPr>
        <w:t xml:space="preserve">Source: KPMG based on </w:t>
      </w:r>
      <w:r w:rsidR="00901CD9" w:rsidRPr="00975E6B">
        <w:rPr>
          <w:bCs/>
          <w:i/>
          <w:sz w:val="16"/>
          <w:szCs w:val="16"/>
        </w:rPr>
        <w:t>Royal Hobart</w:t>
      </w:r>
      <w:r w:rsidRPr="00975E6B">
        <w:rPr>
          <w:bCs/>
          <w:i/>
          <w:sz w:val="16"/>
          <w:szCs w:val="16"/>
        </w:rPr>
        <w:t xml:space="preserve"> IFR templates</w:t>
      </w:r>
    </w:p>
    <w:p w:rsidR="00763A20" w:rsidRPr="00975E6B" w:rsidRDefault="00763A20" w:rsidP="00763A20">
      <w:pPr>
        <w:rPr>
          <w:bCs/>
          <w:i/>
          <w:sz w:val="16"/>
          <w:szCs w:val="16"/>
        </w:rPr>
      </w:pPr>
      <w:r w:rsidRPr="00975E6B">
        <w:rPr>
          <w:bCs/>
          <w:i/>
          <w:sz w:val="16"/>
          <w:szCs w:val="16"/>
        </w:rPr>
        <w:t>* These figures include admitted emergency costs.</w:t>
      </w:r>
    </w:p>
    <w:p w:rsidR="00763A20" w:rsidRPr="00975E6B" w:rsidRDefault="00763A20" w:rsidP="00763A20">
      <w:pPr>
        <w:rPr>
          <w:bCs/>
          <w:i/>
          <w:sz w:val="16"/>
          <w:szCs w:val="16"/>
        </w:rPr>
      </w:pPr>
    </w:p>
    <w:p w:rsidR="00763A20" w:rsidRPr="00975E6B" w:rsidRDefault="00763A20" w:rsidP="00763A20">
      <w:pPr>
        <w:rPr>
          <w:bCs/>
          <w:i/>
          <w:sz w:val="16"/>
          <w:szCs w:val="16"/>
        </w:rPr>
        <w:sectPr w:rsidR="00763A20" w:rsidRPr="00975E6B" w:rsidSect="00835E8A">
          <w:endnotePr>
            <w:numFmt w:val="decimal"/>
          </w:endnotePr>
          <w:pgSz w:w="16840" w:h="11907" w:orient="landscape" w:code="9"/>
          <w:pgMar w:top="1474" w:right="1964" w:bottom="1474" w:left="1588" w:header="958" w:footer="737" w:gutter="454"/>
          <w:cols w:space="720"/>
          <w:docGrid w:linePitch="272"/>
        </w:sectPr>
      </w:pPr>
    </w:p>
    <w:p w:rsidR="00763A20" w:rsidRPr="00975E6B" w:rsidRDefault="00763A20" w:rsidP="00497F12">
      <w:pPr>
        <w:pStyle w:val="Heading4"/>
        <w:numPr>
          <w:ilvl w:val="0"/>
          <w:numId w:val="0"/>
        </w:numPr>
        <w:ind w:left="720" w:hanging="720"/>
      </w:pPr>
      <w:r w:rsidRPr="00975E6B">
        <w:lastRenderedPageBreak/>
        <w:t>Explanation of reconciliation items</w:t>
      </w:r>
    </w:p>
    <w:p w:rsidR="00763A20" w:rsidRPr="00975E6B" w:rsidRDefault="00372387" w:rsidP="00763A20">
      <w:pPr>
        <w:pStyle w:val="BodyText"/>
      </w:pPr>
      <w:r w:rsidRPr="00975E6B">
        <w:fldChar w:fldCharType="begin"/>
      </w:r>
      <w:r w:rsidRPr="00975E6B">
        <w:instrText xml:space="preserve"> REF _Ref434265200 \h </w:instrText>
      </w:r>
      <w:r w:rsidR="00975E6B">
        <w:instrText xml:space="preserve"> \* MERGEFORMAT </w:instrText>
      </w:r>
      <w:r w:rsidRPr="00975E6B">
        <w:fldChar w:fldCharType="separate"/>
      </w:r>
      <w:r w:rsidR="00154CF7" w:rsidRPr="00975E6B">
        <w:t xml:space="preserve">Table </w:t>
      </w:r>
      <w:r w:rsidR="00154CF7">
        <w:rPr>
          <w:noProof/>
        </w:rPr>
        <w:t>72</w:t>
      </w:r>
      <w:r w:rsidRPr="00975E6B">
        <w:fldChar w:fldCharType="end"/>
      </w:r>
      <w:r w:rsidR="00763A20" w:rsidRPr="00975E6B">
        <w:t xml:space="preserve"> discusses each of the reconciliation items, including adjustments, inclusions and exclusions to the general ledger</w:t>
      </w:r>
      <w:r w:rsidR="00F20343" w:rsidRPr="00975E6B">
        <w:t xml:space="preserve"> (GL)</w:t>
      </w:r>
      <w:r w:rsidR="00763A20" w:rsidRPr="00975E6B">
        <w:t>.</w:t>
      </w:r>
    </w:p>
    <w:p w:rsidR="00763A20" w:rsidRPr="00975E6B" w:rsidRDefault="00763A20" w:rsidP="00763A20">
      <w:pPr>
        <w:pStyle w:val="Caption"/>
      </w:pPr>
      <w:bookmarkStart w:id="786" w:name="_Ref434265200"/>
      <w:r w:rsidRPr="00975E6B">
        <w:t xml:space="preserve">Table </w:t>
      </w:r>
      <w:fldSimple w:instr=" SEQ Table \* ARABIC ">
        <w:r w:rsidR="00154CF7">
          <w:rPr>
            <w:noProof/>
          </w:rPr>
          <w:t>72</w:t>
        </w:r>
      </w:fldSimple>
      <w:bookmarkEnd w:id="786"/>
      <w:r w:rsidRPr="00975E6B">
        <w:t xml:space="preserve"> – </w:t>
      </w:r>
      <w:r w:rsidR="00704A46" w:rsidRPr="00975E6B">
        <w:t>Financial Reconciliation, explanation of items</w:t>
      </w:r>
      <w:r w:rsidRPr="00975E6B">
        <w:t xml:space="preserve"> – Royal Hobart Hospital</w:t>
      </w:r>
    </w:p>
    <w:tbl>
      <w:tblPr>
        <w:tblStyle w:val="ListTable4-Accent11"/>
        <w:tblW w:w="5000" w:type="pct"/>
        <w:tblLayout w:type="fixed"/>
        <w:tblLook w:val="0620" w:firstRow="1" w:lastRow="0" w:firstColumn="0" w:lastColumn="0" w:noHBand="1" w:noVBand="1"/>
        <w:tblCaption w:val="Table 72 - Financial reconciliation, explanation of items - Royal Hobart Hospital"/>
        <w:tblDescription w:val="This table describes the information presented in Table 71.  The first column is the item number (A to K), the second column is the title of the item number and the third column is a description of the financial information included at that item.&#10;"/>
      </w:tblPr>
      <w:tblGrid>
        <w:gridCol w:w="722"/>
        <w:gridCol w:w="2622"/>
        <w:gridCol w:w="5377"/>
      </w:tblGrid>
      <w:tr w:rsidR="00763A20"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14" w:type="pct"/>
            <w:tcBorders>
              <w:right w:val="single" w:sz="4" w:space="0" w:color="548DD4" w:themeColor="text2" w:themeTint="99"/>
            </w:tcBorders>
            <w:shd w:val="clear" w:color="auto" w:fill="002060"/>
            <w:noWrap/>
          </w:tcPr>
          <w:p w:rsidR="00763A20" w:rsidRPr="00975E6B" w:rsidRDefault="00763A20" w:rsidP="0029344A">
            <w:r w:rsidRPr="00975E6B">
              <w:t>Item</w:t>
            </w:r>
          </w:p>
        </w:tc>
        <w:tc>
          <w:tcPr>
            <w:tcW w:w="1503" w:type="pct"/>
            <w:tcBorders>
              <w:left w:val="single" w:sz="4" w:space="0" w:color="548DD4" w:themeColor="text2" w:themeTint="99"/>
            </w:tcBorders>
            <w:shd w:val="clear" w:color="auto" w:fill="002060"/>
          </w:tcPr>
          <w:p w:rsidR="00763A20" w:rsidRPr="00975E6B" w:rsidRDefault="00763A20" w:rsidP="0029344A">
            <w:r w:rsidRPr="00975E6B">
              <w:t>Heading</w:t>
            </w:r>
          </w:p>
        </w:tc>
        <w:tc>
          <w:tcPr>
            <w:tcW w:w="3083" w:type="pct"/>
            <w:tcBorders>
              <w:left w:val="single" w:sz="4" w:space="0" w:color="548DD4" w:themeColor="text2" w:themeTint="99"/>
            </w:tcBorders>
            <w:shd w:val="clear" w:color="auto" w:fill="002060"/>
          </w:tcPr>
          <w:p w:rsidR="00763A20" w:rsidRPr="00975E6B" w:rsidRDefault="00763A20" w:rsidP="0029344A">
            <w:r w:rsidRPr="00975E6B">
              <w:t>Discussion</w:t>
            </w:r>
          </w:p>
        </w:tc>
      </w:tr>
      <w:tr w:rsidR="00763A20" w:rsidRPr="00975E6B" w:rsidTr="0029344A">
        <w:tc>
          <w:tcPr>
            <w:tcW w:w="414" w:type="pct"/>
            <w:tcBorders>
              <w:right w:val="single" w:sz="4" w:space="0" w:color="548DD4" w:themeColor="text2" w:themeTint="99"/>
            </w:tcBorders>
            <w:noWrap/>
          </w:tcPr>
          <w:p w:rsidR="00763A20" w:rsidRPr="00975E6B" w:rsidRDefault="00763A20" w:rsidP="0029344A">
            <w:pPr>
              <w:pStyle w:val="BodyText"/>
            </w:pPr>
            <w:r w:rsidRPr="00975E6B">
              <w:t>A</w:t>
            </w:r>
          </w:p>
        </w:tc>
        <w:tc>
          <w:tcPr>
            <w:tcW w:w="1503" w:type="pct"/>
            <w:tcBorders>
              <w:left w:val="single" w:sz="4" w:space="0" w:color="548DD4" w:themeColor="text2" w:themeTint="99"/>
            </w:tcBorders>
          </w:tcPr>
          <w:p w:rsidR="00763A20" w:rsidRPr="00975E6B" w:rsidRDefault="00763A20" w:rsidP="0029344A">
            <w:pPr>
              <w:pStyle w:val="BodyText"/>
              <w:jc w:val="left"/>
            </w:pPr>
            <w:r w:rsidRPr="00975E6B">
              <w:t>General Ledger</w:t>
            </w:r>
          </w:p>
        </w:tc>
        <w:tc>
          <w:tcPr>
            <w:tcW w:w="3083" w:type="pct"/>
            <w:tcBorders>
              <w:left w:val="single" w:sz="4" w:space="0" w:color="548DD4" w:themeColor="text2" w:themeTint="99"/>
            </w:tcBorders>
          </w:tcPr>
          <w:p w:rsidR="00763A20" w:rsidRPr="00975E6B" w:rsidRDefault="00763A20" w:rsidP="00F20343">
            <w:pPr>
              <w:pStyle w:val="BodyText"/>
            </w:pPr>
            <w:r w:rsidRPr="00975E6B">
              <w:t xml:space="preserve">The final </w:t>
            </w:r>
            <w:r w:rsidR="00F20343" w:rsidRPr="00975E6B">
              <w:t>GL</w:t>
            </w:r>
            <w:r w:rsidRPr="00975E6B">
              <w:t xml:space="preserve"> extracted from </w:t>
            </w:r>
            <w:r w:rsidR="00F20343" w:rsidRPr="00975E6B">
              <w:t xml:space="preserve">the </w:t>
            </w:r>
            <w:r w:rsidRPr="00975E6B">
              <w:t>FMS indicates expenditure of $660.2 million.</w:t>
            </w:r>
          </w:p>
        </w:tc>
      </w:tr>
      <w:tr w:rsidR="00763A20" w:rsidRPr="00975E6B" w:rsidTr="0029344A">
        <w:tc>
          <w:tcPr>
            <w:tcW w:w="414" w:type="pct"/>
            <w:tcBorders>
              <w:right w:val="single" w:sz="4" w:space="0" w:color="548DD4" w:themeColor="text2" w:themeTint="99"/>
            </w:tcBorders>
            <w:noWrap/>
          </w:tcPr>
          <w:p w:rsidR="00763A20" w:rsidRPr="00975E6B" w:rsidRDefault="00763A20" w:rsidP="0029344A">
            <w:pPr>
              <w:pStyle w:val="BodyText"/>
            </w:pPr>
            <w:r w:rsidRPr="00975E6B">
              <w:t>B</w:t>
            </w:r>
          </w:p>
        </w:tc>
        <w:tc>
          <w:tcPr>
            <w:tcW w:w="1503" w:type="pct"/>
            <w:tcBorders>
              <w:left w:val="single" w:sz="4" w:space="0" w:color="548DD4" w:themeColor="text2" w:themeTint="99"/>
            </w:tcBorders>
          </w:tcPr>
          <w:p w:rsidR="00763A20" w:rsidRPr="00975E6B" w:rsidRDefault="00763A20" w:rsidP="0029344A">
            <w:pPr>
              <w:pStyle w:val="BodyText"/>
              <w:jc w:val="left"/>
            </w:pPr>
            <w:r w:rsidRPr="00975E6B">
              <w:t>Adjustments to the GL</w:t>
            </w:r>
          </w:p>
        </w:tc>
        <w:tc>
          <w:tcPr>
            <w:tcW w:w="3083" w:type="pct"/>
            <w:tcBorders>
              <w:left w:val="single" w:sz="4" w:space="0" w:color="548DD4" w:themeColor="text2" w:themeTint="99"/>
            </w:tcBorders>
          </w:tcPr>
          <w:p w:rsidR="00763A20" w:rsidRPr="00975E6B" w:rsidRDefault="00763A20" w:rsidP="0029344A">
            <w:pPr>
              <w:pStyle w:val="BodyText"/>
            </w:pPr>
            <w:r w:rsidRPr="00975E6B">
              <w:t>A number of adjustments were made to the GL. The net effect of $4.5 million of expenditures included were:</w:t>
            </w:r>
          </w:p>
          <w:p w:rsidR="00763A20" w:rsidRPr="00975E6B" w:rsidRDefault="00763A20" w:rsidP="00F26328">
            <w:pPr>
              <w:pStyle w:val="BodyText"/>
              <w:numPr>
                <w:ilvl w:val="0"/>
                <w:numId w:val="43"/>
              </w:numPr>
            </w:pPr>
            <w:r w:rsidRPr="00975E6B">
              <w:t>TAS-DHHS Corporate Overheads of Human Resources and ICT totalling $10.5 million.</w:t>
            </w:r>
          </w:p>
          <w:p w:rsidR="00763A20" w:rsidRPr="00975E6B" w:rsidRDefault="00F20343" w:rsidP="00F26328">
            <w:pPr>
              <w:pStyle w:val="BodyText"/>
              <w:numPr>
                <w:ilvl w:val="0"/>
                <w:numId w:val="43"/>
              </w:numPr>
            </w:pPr>
            <w:r w:rsidRPr="00975E6B">
              <w:t>Work in progress (</w:t>
            </w:r>
            <w:r w:rsidR="00763A20" w:rsidRPr="00975E6B">
              <w:t>WIP</w:t>
            </w:r>
            <w:r w:rsidRPr="00975E6B">
              <w:t>)</w:t>
            </w:r>
            <w:r w:rsidR="00763A20" w:rsidRPr="00975E6B">
              <w:t xml:space="preserve"> - 2012/13 costs for patients admitted prior to 2013/14 but discharged in 2013/14 of $1.7 million.</w:t>
            </w:r>
          </w:p>
          <w:p w:rsidR="00763A20" w:rsidRPr="00975E6B" w:rsidRDefault="00763A20" w:rsidP="00F26328">
            <w:pPr>
              <w:pStyle w:val="BodyText"/>
              <w:numPr>
                <w:ilvl w:val="0"/>
                <w:numId w:val="43"/>
              </w:numPr>
              <w:tabs>
                <w:tab w:val="clear" w:pos="340"/>
                <w:tab w:val="num" w:pos="741"/>
              </w:tabs>
              <w:ind w:left="741" w:hanging="283"/>
            </w:pPr>
            <w:r w:rsidRPr="00975E6B">
              <w:t>The WIP data was only included for 2012/13. There may be costs for patients prior to 2012/13, but this was not included in the costing process.</w:t>
            </w:r>
          </w:p>
          <w:p w:rsidR="00763A20" w:rsidRPr="00975E6B" w:rsidRDefault="00763A20" w:rsidP="00F26328">
            <w:pPr>
              <w:pStyle w:val="BodyText"/>
              <w:numPr>
                <w:ilvl w:val="0"/>
                <w:numId w:val="43"/>
              </w:numPr>
              <w:tabs>
                <w:tab w:val="clear" w:pos="340"/>
                <w:tab w:val="num" w:pos="741"/>
              </w:tabs>
              <w:ind w:left="741" w:hanging="283"/>
            </w:pPr>
            <w:r w:rsidRPr="00975E6B">
              <w:t xml:space="preserve">TAS-DHHS representatives noted that the 2012/13 WIP cost data was loaded into User Cost in the 2013/14 costing configuration as </w:t>
            </w:r>
            <w:proofErr w:type="gramStart"/>
            <w:r w:rsidRPr="00975E6B">
              <w:t>a</w:t>
            </w:r>
            <w:proofErr w:type="gramEnd"/>
            <w:r w:rsidRPr="00975E6B">
              <w:t xml:space="preserve"> utilisation feeder. The 2012/13 costs were then attached to the relevant patients</w:t>
            </w:r>
            <w:r w:rsidR="00F20343" w:rsidRPr="00975E6B">
              <w:t>.</w:t>
            </w:r>
            <w:r w:rsidR="00BA3F4B" w:rsidRPr="00975E6B">
              <w:t xml:space="preserve"> </w:t>
            </w:r>
          </w:p>
          <w:p w:rsidR="00763A20" w:rsidRPr="00975E6B" w:rsidRDefault="00763A20" w:rsidP="0029344A">
            <w:pPr>
              <w:pStyle w:val="BodyText"/>
            </w:pPr>
            <w:r w:rsidRPr="00975E6B">
              <w:t>This included expenditure was offset by revenue offsets of salaries and wages ($5.4 million) and workers compensation recoveries of ($2.3 million).</w:t>
            </w:r>
          </w:p>
          <w:p w:rsidR="00763A20" w:rsidRPr="00975E6B" w:rsidRDefault="00763A20" w:rsidP="0029344A">
            <w:pPr>
              <w:pStyle w:val="BodyText"/>
            </w:pPr>
            <w:r w:rsidRPr="00975E6B">
              <w:t>Excluded expenditure totalled $162.3 million. This comprised:</w:t>
            </w:r>
          </w:p>
          <w:p w:rsidR="00763A20" w:rsidRPr="00975E6B" w:rsidRDefault="00763A20" w:rsidP="00F26328">
            <w:pPr>
              <w:pStyle w:val="BodyText"/>
              <w:numPr>
                <w:ilvl w:val="0"/>
                <w:numId w:val="44"/>
              </w:numPr>
            </w:pPr>
            <w:r w:rsidRPr="00975E6B">
              <w:t xml:space="preserve">Oral Health ($30.4 million) and community sector services ($33.7 million) were not submitted as there </w:t>
            </w:r>
            <w:r w:rsidR="0074117C" w:rsidRPr="00975E6B">
              <w:t xml:space="preserve">was </w:t>
            </w:r>
            <w:r w:rsidRPr="00975E6B">
              <w:t>no matching activity.</w:t>
            </w:r>
          </w:p>
          <w:p w:rsidR="00763A20" w:rsidRPr="00975E6B" w:rsidRDefault="00763A20" w:rsidP="00F26328">
            <w:pPr>
              <w:pStyle w:val="BodyText"/>
              <w:numPr>
                <w:ilvl w:val="0"/>
                <w:numId w:val="44"/>
              </w:numPr>
            </w:pPr>
            <w:r w:rsidRPr="00975E6B">
              <w:t xml:space="preserve">Jurisdiction System Accounts ($24.6 million) was deemed to be out of NHCDC scope. </w:t>
            </w:r>
          </w:p>
          <w:p w:rsidR="00763A20" w:rsidRPr="00975E6B" w:rsidRDefault="00763A20" w:rsidP="00F26328">
            <w:pPr>
              <w:pStyle w:val="BodyText"/>
              <w:numPr>
                <w:ilvl w:val="0"/>
                <w:numId w:val="44"/>
              </w:numPr>
            </w:pPr>
            <w:r w:rsidRPr="00975E6B">
              <w:t xml:space="preserve">Mental </w:t>
            </w:r>
            <w:r w:rsidR="00F20343" w:rsidRPr="00975E6B">
              <w:t>h</w:t>
            </w:r>
            <w:r w:rsidRPr="00975E6B">
              <w:t xml:space="preserve">ealth and </w:t>
            </w:r>
            <w:r w:rsidR="00F20343" w:rsidRPr="00975E6B">
              <w:t>s</w:t>
            </w:r>
            <w:r w:rsidRPr="00975E6B">
              <w:t>tate</w:t>
            </w:r>
            <w:r w:rsidR="00003334" w:rsidRPr="00975E6B">
              <w:t>-</w:t>
            </w:r>
            <w:r w:rsidRPr="00975E6B">
              <w:t>wide services ($73.5</w:t>
            </w:r>
            <w:r w:rsidR="00F20343" w:rsidRPr="00975E6B">
              <w:t> </w:t>
            </w:r>
            <w:r w:rsidRPr="00975E6B">
              <w:t>million) was not submitted.</w:t>
            </w:r>
          </w:p>
          <w:p w:rsidR="00763A20" w:rsidRPr="00975E6B" w:rsidRDefault="00763A20" w:rsidP="00F20343">
            <w:pPr>
              <w:pStyle w:val="BodyText"/>
            </w:pPr>
            <w:r w:rsidRPr="00975E6B">
              <w:t>These adjustments established an expenditure base for costing of $502.5 million This was approximately 76</w:t>
            </w:r>
            <w:r w:rsidR="00DA7807" w:rsidRPr="00975E6B">
              <w:t> percent</w:t>
            </w:r>
            <w:r w:rsidRPr="00975E6B">
              <w:t xml:space="preserve"> of total expenditure reported in the </w:t>
            </w:r>
            <w:r w:rsidR="00F20343" w:rsidRPr="00975E6B">
              <w:t>GL</w:t>
            </w:r>
            <w:r w:rsidRPr="00975E6B">
              <w:t>.</w:t>
            </w:r>
          </w:p>
        </w:tc>
      </w:tr>
      <w:tr w:rsidR="00763A20" w:rsidRPr="00975E6B" w:rsidTr="0029344A">
        <w:tc>
          <w:tcPr>
            <w:tcW w:w="414" w:type="pct"/>
            <w:tcBorders>
              <w:right w:val="single" w:sz="4" w:space="0" w:color="548DD4" w:themeColor="text2" w:themeTint="99"/>
            </w:tcBorders>
            <w:noWrap/>
          </w:tcPr>
          <w:p w:rsidR="00763A20" w:rsidRPr="00975E6B" w:rsidRDefault="00763A20" w:rsidP="0029344A">
            <w:pPr>
              <w:pStyle w:val="BodyText"/>
            </w:pPr>
            <w:r w:rsidRPr="00975E6B">
              <w:t>C</w:t>
            </w:r>
          </w:p>
        </w:tc>
        <w:tc>
          <w:tcPr>
            <w:tcW w:w="1503" w:type="pct"/>
            <w:tcBorders>
              <w:left w:val="single" w:sz="4" w:space="0" w:color="548DD4" w:themeColor="text2" w:themeTint="99"/>
            </w:tcBorders>
          </w:tcPr>
          <w:p w:rsidR="00763A20" w:rsidRPr="00975E6B" w:rsidRDefault="00763A20" w:rsidP="0029344A">
            <w:pPr>
              <w:pStyle w:val="BodyText"/>
              <w:jc w:val="left"/>
            </w:pPr>
            <w:r w:rsidRPr="00975E6B">
              <w:t>Allocation of Costs</w:t>
            </w:r>
          </w:p>
        </w:tc>
        <w:tc>
          <w:tcPr>
            <w:tcW w:w="3083" w:type="pct"/>
            <w:tcBorders>
              <w:left w:val="single" w:sz="4" w:space="0" w:color="548DD4" w:themeColor="text2" w:themeTint="99"/>
            </w:tcBorders>
          </w:tcPr>
          <w:p w:rsidR="00763A20" w:rsidRPr="00975E6B" w:rsidRDefault="00901CD9" w:rsidP="0029344A">
            <w:pPr>
              <w:pStyle w:val="BodyText"/>
            </w:pPr>
            <w:r w:rsidRPr="00975E6B">
              <w:t>Royal Hobart</w:t>
            </w:r>
            <w:r w:rsidR="00763A20" w:rsidRPr="00975E6B">
              <w:t xml:space="preserve"> undertook a process of </w:t>
            </w:r>
            <w:r w:rsidR="00763A20" w:rsidRPr="00975E6B">
              <w:lastRenderedPageBreak/>
              <w:t>reclass/transfers/offsets etc. between direct cost centres. Reclass/transfers are determined based on discussions with cost centre managers.</w:t>
            </w:r>
          </w:p>
          <w:p w:rsidR="00763A20" w:rsidRPr="00975E6B" w:rsidRDefault="00763A20" w:rsidP="00F26328">
            <w:pPr>
              <w:pStyle w:val="BodyText"/>
              <w:numPr>
                <w:ilvl w:val="0"/>
                <w:numId w:val="38"/>
              </w:numPr>
            </w:pPr>
            <w:r w:rsidRPr="00975E6B">
              <w:t>It was observed through TAS-DHHS reports and the IFR templates that all overheads of $117.1 million were allocated down to direct cost centres, pre and post allocation.</w:t>
            </w:r>
          </w:p>
          <w:p w:rsidR="00763A20" w:rsidRPr="00975E6B" w:rsidRDefault="00763A20" w:rsidP="00F26328">
            <w:pPr>
              <w:pStyle w:val="BodyText"/>
              <w:numPr>
                <w:ilvl w:val="0"/>
                <w:numId w:val="38"/>
              </w:numPr>
            </w:pPr>
            <w:r w:rsidRPr="00975E6B">
              <w:t>It was observed that the total of all direct cost centres of $385.4 million was allocated pre and post allocation.</w:t>
            </w:r>
          </w:p>
        </w:tc>
      </w:tr>
      <w:tr w:rsidR="00763A20" w:rsidRPr="00975E6B" w:rsidTr="0029344A">
        <w:tc>
          <w:tcPr>
            <w:tcW w:w="414" w:type="pct"/>
            <w:tcBorders>
              <w:right w:val="single" w:sz="4" w:space="0" w:color="548DD4" w:themeColor="text2" w:themeTint="99"/>
            </w:tcBorders>
            <w:noWrap/>
          </w:tcPr>
          <w:p w:rsidR="00763A20" w:rsidRPr="00975E6B" w:rsidRDefault="00763A20" w:rsidP="0029344A">
            <w:pPr>
              <w:pStyle w:val="BodyText"/>
            </w:pPr>
            <w:r w:rsidRPr="00975E6B">
              <w:lastRenderedPageBreak/>
              <w:t>D</w:t>
            </w:r>
          </w:p>
        </w:tc>
        <w:tc>
          <w:tcPr>
            <w:tcW w:w="1503" w:type="pct"/>
            <w:tcBorders>
              <w:left w:val="single" w:sz="4" w:space="0" w:color="548DD4" w:themeColor="text2" w:themeTint="99"/>
            </w:tcBorders>
          </w:tcPr>
          <w:p w:rsidR="00763A20" w:rsidRPr="00975E6B" w:rsidRDefault="00763A20" w:rsidP="0029344A">
            <w:pPr>
              <w:pStyle w:val="BodyText"/>
              <w:jc w:val="left"/>
            </w:pPr>
            <w:r w:rsidRPr="00975E6B">
              <w:t>Post Allocation Adjustments</w:t>
            </w:r>
          </w:p>
        </w:tc>
        <w:tc>
          <w:tcPr>
            <w:tcW w:w="3083" w:type="pct"/>
            <w:tcBorders>
              <w:left w:val="single" w:sz="4" w:space="0" w:color="548DD4" w:themeColor="text2" w:themeTint="99"/>
            </w:tcBorders>
          </w:tcPr>
          <w:p w:rsidR="00763A20" w:rsidRPr="00975E6B" w:rsidRDefault="00763A20" w:rsidP="00F20343">
            <w:pPr>
              <w:pStyle w:val="BodyText"/>
            </w:pPr>
            <w:r w:rsidRPr="00975E6B">
              <w:t>No post allocation adjustments were made and overhead costs of $117.1</w:t>
            </w:r>
            <w:r w:rsidR="00F20343" w:rsidRPr="00975E6B">
              <w:t xml:space="preserve"> </w:t>
            </w:r>
            <w:r w:rsidRPr="00975E6B">
              <w:t>m</w:t>
            </w:r>
            <w:r w:rsidR="00F20343" w:rsidRPr="00975E6B">
              <w:t>illion</w:t>
            </w:r>
            <w:r w:rsidRPr="00975E6B">
              <w:t xml:space="preserve"> and direct care costs of $385.4</w:t>
            </w:r>
            <w:r w:rsidR="00F20343" w:rsidRPr="00975E6B">
              <w:t> </w:t>
            </w:r>
            <w:r w:rsidRPr="00975E6B">
              <w:t>million reconcile to the expenditure base for costing of $502.5 million.</w:t>
            </w:r>
          </w:p>
        </w:tc>
      </w:tr>
      <w:tr w:rsidR="00763A20" w:rsidRPr="00975E6B" w:rsidTr="0029344A">
        <w:tc>
          <w:tcPr>
            <w:tcW w:w="414" w:type="pct"/>
            <w:tcBorders>
              <w:right w:val="single" w:sz="4" w:space="0" w:color="548DD4" w:themeColor="text2" w:themeTint="99"/>
            </w:tcBorders>
            <w:noWrap/>
          </w:tcPr>
          <w:p w:rsidR="00763A20" w:rsidRPr="00975E6B" w:rsidRDefault="00763A20" w:rsidP="0029344A">
            <w:pPr>
              <w:pStyle w:val="BodyText"/>
            </w:pPr>
            <w:r w:rsidRPr="00975E6B">
              <w:t>E</w:t>
            </w:r>
          </w:p>
        </w:tc>
        <w:tc>
          <w:tcPr>
            <w:tcW w:w="1503" w:type="pct"/>
            <w:tcBorders>
              <w:left w:val="single" w:sz="4" w:space="0" w:color="548DD4" w:themeColor="text2" w:themeTint="99"/>
            </w:tcBorders>
          </w:tcPr>
          <w:p w:rsidR="00763A20" w:rsidRPr="00975E6B" w:rsidRDefault="00763A20" w:rsidP="0029344A">
            <w:pPr>
              <w:pStyle w:val="BodyText"/>
              <w:jc w:val="left"/>
            </w:pPr>
            <w:r w:rsidRPr="00975E6B">
              <w:t>Costed Products Submitted to jurisdiction</w:t>
            </w:r>
          </w:p>
        </w:tc>
        <w:tc>
          <w:tcPr>
            <w:tcW w:w="3083" w:type="pct"/>
            <w:tcBorders>
              <w:left w:val="single" w:sz="4" w:space="0" w:color="548DD4" w:themeColor="text2" w:themeTint="99"/>
            </w:tcBorders>
          </w:tcPr>
          <w:p w:rsidR="00763A20" w:rsidRPr="00975E6B" w:rsidRDefault="00763A20">
            <w:pPr>
              <w:pStyle w:val="BodyText"/>
            </w:pPr>
            <w:r w:rsidRPr="00975E6B">
              <w:t xml:space="preserve">Costs derived by the jurisdiction and reported at product level reconcile to $502.5 million. </w:t>
            </w:r>
            <w:r w:rsidR="00901CD9" w:rsidRPr="00975E6B">
              <w:t>Royal Hobart</w:t>
            </w:r>
            <w:r w:rsidRPr="00975E6B">
              <w:t xml:space="preserve"> included </w:t>
            </w:r>
            <w:r w:rsidR="00F20343" w:rsidRPr="00975E6B">
              <w:t>acute</w:t>
            </w:r>
            <w:r w:rsidRPr="00975E6B">
              <w:t xml:space="preserve">, </w:t>
            </w:r>
            <w:r w:rsidR="009079A4" w:rsidRPr="00975E6B">
              <w:t>non-admitted</w:t>
            </w:r>
            <w:r w:rsidR="00F20343" w:rsidRPr="00975E6B">
              <w:t>,</w:t>
            </w:r>
            <w:r w:rsidRPr="00975E6B">
              <w:t xml:space="preserve"> </w:t>
            </w:r>
            <w:r w:rsidR="00F20343" w:rsidRPr="00975E6B">
              <w:t>e</w:t>
            </w:r>
            <w:r w:rsidRPr="00975E6B">
              <w:t>mergency</w:t>
            </w:r>
            <w:r w:rsidR="00F20343" w:rsidRPr="00975E6B">
              <w:t xml:space="preserve"> care</w:t>
            </w:r>
            <w:r w:rsidRPr="00975E6B">
              <w:t xml:space="preserve">, </w:t>
            </w:r>
            <w:r w:rsidR="002A25A7" w:rsidRPr="00975E6B">
              <w:t>subacute</w:t>
            </w:r>
            <w:r w:rsidRPr="00975E6B">
              <w:t xml:space="preserve">, </w:t>
            </w:r>
            <w:r w:rsidR="00F20343" w:rsidRPr="00975E6B">
              <w:t>o</w:t>
            </w:r>
            <w:r w:rsidRPr="00975E6B">
              <w:t xml:space="preserve">ther, and </w:t>
            </w:r>
            <w:r w:rsidR="00F20343" w:rsidRPr="00975E6B">
              <w:t>t</w:t>
            </w:r>
            <w:r w:rsidRPr="00975E6B">
              <w:t xml:space="preserve">eaching and </w:t>
            </w:r>
            <w:r w:rsidR="00F20343" w:rsidRPr="00975E6B">
              <w:t>t</w:t>
            </w:r>
            <w:r w:rsidRPr="00975E6B">
              <w:t>raining costed products.</w:t>
            </w:r>
          </w:p>
        </w:tc>
      </w:tr>
      <w:tr w:rsidR="00763A20" w:rsidRPr="00975E6B" w:rsidTr="0029344A">
        <w:trPr>
          <w:trHeight w:val="285"/>
        </w:trPr>
        <w:tc>
          <w:tcPr>
            <w:tcW w:w="414" w:type="pct"/>
            <w:tcBorders>
              <w:right w:val="single" w:sz="4" w:space="0" w:color="548DD4" w:themeColor="text2" w:themeTint="99"/>
            </w:tcBorders>
            <w:noWrap/>
          </w:tcPr>
          <w:p w:rsidR="00763A20" w:rsidRPr="00975E6B" w:rsidRDefault="00763A20" w:rsidP="0029344A">
            <w:pPr>
              <w:pStyle w:val="BodyText"/>
            </w:pPr>
            <w:r w:rsidRPr="00975E6B">
              <w:t>F</w:t>
            </w:r>
          </w:p>
        </w:tc>
        <w:tc>
          <w:tcPr>
            <w:tcW w:w="1503" w:type="pct"/>
            <w:tcBorders>
              <w:left w:val="single" w:sz="4" w:space="0" w:color="548DD4" w:themeColor="text2" w:themeTint="99"/>
            </w:tcBorders>
          </w:tcPr>
          <w:p w:rsidR="00763A20" w:rsidRPr="00975E6B" w:rsidRDefault="00763A20" w:rsidP="0029344A">
            <w:pPr>
              <w:pStyle w:val="BodyText"/>
              <w:jc w:val="left"/>
            </w:pPr>
            <w:r w:rsidRPr="00975E6B">
              <w:t>Costed Products received by jurisdiction</w:t>
            </w:r>
          </w:p>
        </w:tc>
        <w:tc>
          <w:tcPr>
            <w:tcW w:w="3083" w:type="pct"/>
            <w:tcBorders>
              <w:left w:val="single" w:sz="4" w:space="0" w:color="548DD4" w:themeColor="text2" w:themeTint="99"/>
            </w:tcBorders>
          </w:tcPr>
          <w:p w:rsidR="00763A20" w:rsidRPr="00975E6B" w:rsidRDefault="00763A20" w:rsidP="0029344A">
            <w:pPr>
              <w:pStyle w:val="BodyText"/>
            </w:pPr>
            <w:r w:rsidRPr="00975E6B">
              <w:t>No variance was noted between Items E and F.</w:t>
            </w:r>
          </w:p>
        </w:tc>
      </w:tr>
      <w:tr w:rsidR="00763A20" w:rsidRPr="00975E6B" w:rsidTr="0029344A">
        <w:tc>
          <w:tcPr>
            <w:tcW w:w="414" w:type="pct"/>
            <w:tcBorders>
              <w:right w:val="single" w:sz="4" w:space="0" w:color="548DD4" w:themeColor="text2" w:themeTint="99"/>
            </w:tcBorders>
            <w:noWrap/>
          </w:tcPr>
          <w:p w:rsidR="00763A20" w:rsidRPr="00975E6B" w:rsidRDefault="00763A20" w:rsidP="0029344A">
            <w:pPr>
              <w:pStyle w:val="BodyText"/>
            </w:pPr>
            <w:r w:rsidRPr="00975E6B">
              <w:t>G</w:t>
            </w:r>
          </w:p>
        </w:tc>
        <w:tc>
          <w:tcPr>
            <w:tcW w:w="1503" w:type="pct"/>
            <w:tcBorders>
              <w:left w:val="single" w:sz="4" w:space="0" w:color="548DD4" w:themeColor="text2" w:themeTint="99"/>
            </w:tcBorders>
          </w:tcPr>
          <w:p w:rsidR="00763A20" w:rsidRPr="00975E6B" w:rsidRDefault="00763A20" w:rsidP="0029344A">
            <w:pPr>
              <w:pStyle w:val="BodyText"/>
              <w:jc w:val="left"/>
            </w:pPr>
            <w:r w:rsidRPr="00975E6B">
              <w:t>Final Adjustments</w:t>
            </w:r>
          </w:p>
        </w:tc>
        <w:tc>
          <w:tcPr>
            <w:tcW w:w="3083" w:type="pct"/>
            <w:tcBorders>
              <w:left w:val="single" w:sz="4" w:space="0" w:color="548DD4" w:themeColor="text2" w:themeTint="99"/>
            </w:tcBorders>
          </w:tcPr>
          <w:p w:rsidR="00763A20" w:rsidRPr="00975E6B" w:rsidRDefault="00763A20" w:rsidP="0029344A">
            <w:pPr>
              <w:pStyle w:val="BodyText"/>
            </w:pPr>
            <w:r w:rsidRPr="00975E6B">
              <w:t>The jurisdiction makes adjustments to the cost data prior to submission to IHPA. These adjustments related to the inclusion of WIP and exclusions of activity data and associated costs. Adjustments totalled $134.7 million and comprised:</w:t>
            </w:r>
          </w:p>
          <w:p w:rsidR="00763A20" w:rsidRPr="00975E6B" w:rsidRDefault="00763A20" w:rsidP="00F26328">
            <w:pPr>
              <w:pStyle w:val="BodyText"/>
              <w:numPr>
                <w:ilvl w:val="0"/>
                <w:numId w:val="45"/>
              </w:numPr>
            </w:pPr>
            <w:r w:rsidRPr="00975E6B">
              <w:t>$24.7 million excluded for externally referred patients</w:t>
            </w:r>
          </w:p>
          <w:p w:rsidR="00763A20" w:rsidRPr="00975E6B" w:rsidRDefault="00763A20" w:rsidP="00F26328">
            <w:pPr>
              <w:pStyle w:val="BodyText"/>
              <w:numPr>
                <w:ilvl w:val="0"/>
                <w:numId w:val="45"/>
              </w:numPr>
            </w:pPr>
            <w:r w:rsidRPr="00975E6B">
              <w:t xml:space="preserve">$25.4 million excluded for bulk-billed </w:t>
            </w:r>
            <w:r w:rsidR="00846982" w:rsidRPr="00975E6B">
              <w:t>non</w:t>
            </w:r>
            <w:r w:rsidR="00366F39" w:rsidRPr="00975E6B">
              <w:t>-admitted patient</w:t>
            </w:r>
            <w:r w:rsidRPr="00975E6B">
              <w:t xml:space="preserve"> activity</w:t>
            </w:r>
          </w:p>
          <w:p w:rsidR="00763A20" w:rsidRPr="00975E6B" w:rsidRDefault="00763A20" w:rsidP="00F26328">
            <w:pPr>
              <w:pStyle w:val="BodyText"/>
              <w:numPr>
                <w:ilvl w:val="0"/>
                <w:numId w:val="45"/>
              </w:numPr>
            </w:pPr>
            <w:r w:rsidRPr="00975E6B">
              <w:t>$56.7 million excluded for non-ABF and mental health data (outside scope of NHCDC)</w:t>
            </w:r>
          </w:p>
          <w:p w:rsidR="00763A20" w:rsidRPr="00975E6B" w:rsidRDefault="00763A20" w:rsidP="00F26328">
            <w:pPr>
              <w:pStyle w:val="BodyText"/>
              <w:numPr>
                <w:ilvl w:val="0"/>
                <w:numId w:val="45"/>
              </w:numPr>
            </w:pPr>
            <w:r w:rsidRPr="00975E6B">
              <w:t xml:space="preserve">$20.7 million excluded for </w:t>
            </w:r>
            <w:r w:rsidR="00F20343" w:rsidRPr="00975E6B">
              <w:t>t</w:t>
            </w:r>
            <w:r w:rsidRPr="00975E6B">
              <w:t xml:space="preserve">eaching and </w:t>
            </w:r>
            <w:r w:rsidR="00F20343" w:rsidRPr="00975E6B">
              <w:t>t</w:t>
            </w:r>
            <w:r w:rsidRPr="00975E6B">
              <w:t>raining costs</w:t>
            </w:r>
          </w:p>
          <w:p w:rsidR="00763A20" w:rsidRPr="00975E6B" w:rsidRDefault="00763A20" w:rsidP="00F26328">
            <w:pPr>
              <w:pStyle w:val="BodyText"/>
              <w:numPr>
                <w:ilvl w:val="0"/>
                <w:numId w:val="45"/>
              </w:numPr>
            </w:pPr>
            <w:r w:rsidRPr="00975E6B">
              <w:t xml:space="preserve">$7.2 million excluded for WIP costs (Patients admitted in 2013/14, but not discharged in 2013/14). </w:t>
            </w:r>
          </w:p>
        </w:tc>
      </w:tr>
      <w:tr w:rsidR="00763A20" w:rsidRPr="00975E6B" w:rsidTr="0029344A">
        <w:tc>
          <w:tcPr>
            <w:tcW w:w="414" w:type="pct"/>
            <w:tcBorders>
              <w:right w:val="single" w:sz="4" w:space="0" w:color="548DD4" w:themeColor="text2" w:themeTint="99"/>
            </w:tcBorders>
            <w:noWrap/>
          </w:tcPr>
          <w:p w:rsidR="00763A20" w:rsidRPr="00975E6B" w:rsidRDefault="00763A20" w:rsidP="0029344A">
            <w:pPr>
              <w:pStyle w:val="BodyText"/>
            </w:pPr>
            <w:r w:rsidRPr="00975E6B">
              <w:t>H</w:t>
            </w:r>
          </w:p>
        </w:tc>
        <w:tc>
          <w:tcPr>
            <w:tcW w:w="1503" w:type="pct"/>
            <w:tcBorders>
              <w:left w:val="single" w:sz="4" w:space="0" w:color="548DD4" w:themeColor="text2" w:themeTint="99"/>
            </w:tcBorders>
          </w:tcPr>
          <w:p w:rsidR="00763A20" w:rsidRPr="00975E6B" w:rsidRDefault="00763A20" w:rsidP="0029344A">
            <w:pPr>
              <w:pStyle w:val="BodyText"/>
              <w:jc w:val="left"/>
            </w:pPr>
            <w:r w:rsidRPr="00975E6B">
              <w:t>Costed Products submitted to IHPA</w:t>
            </w:r>
          </w:p>
        </w:tc>
        <w:tc>
          <w:tcPr>
            <w:tcW w:w="3083" w:type="pct"/>
            <w:tcBorders>
              <w:left w:val="single" w:sz="4" w:space="0" w:color="548DD4" w:themeColor="text2" w:themeTint="99"/>
            </w:tcBorders>
          </w:tcPr>
          <w:p w:rsidR="00763A20" w:rsidRPr="00975E6B" w:rsidRDefault="00763A20">
            <w:pPr>
              <w:pStyle w:val="BodyText"/>
            </w:pPr>
            <w:r w:rsidRPr="00975E6B">
              <w:t xml:space="preserve">Costs derived by the jurisdiction and reported at product level total $367.8 million. TAS-DHHS included </w:t>
            </w:r>
            <w:r w:rsidR="008E6DA4" w:rsidRPr="00975E6B">
              <w:t>acute</w:t>
            </w:r>
            <w:r w:rsidRPr="00975E6B">
              <w:t xml:space="preserve">, </w:t>
            </w:r>
            <w:r w:rsidR="008E6DA4" w:rsidRPr="00975E6B">
              <w:t>non</w:t>
            </w:r>
            <w:r w:rsidR="00366F39" w:rsidRPr="00975E6B">
              <w:t>-admitted</w:t>
            </w:r>
            <w:r w:rsidRPr="00975E6B">
              <w:t xml:space="preserve">, </w:t>
            </w:r>
            <w:r w:rsidR="008E6DA4" w:rsidRPr="00975E6B">
              <w:t>emergency</w:t>
            </w:r>
            <w:r w:rsidRPr="00975E6B">
              <w:t xml:space="preserve">, </w:t>
            </w:r>
            <w:r w:rsidR="002A25A7" w:rsidRPr="00975E6B">
              <w:t>subacute</w:t>
            </w:r>
            <w:r w:rsidRPr="00975E6B">
              <w:t xml:space="preserve"> and </w:t>
            </w:r>
            <w:r w:rsidR="008E6DA4" w:rsidRPr="00975E6B">
              <w:t xml:space="preserve">other </w:t>
            </w:r>
            <w:r w:rsidRPr="00975E6B">
              <w:t xml:space="preserve">costed products. </w:t>
            </w:r>
          </w:p>
        </w:tc>
      </w:tr>
      <w:tr w:rsidR="00763A20" w:rsidRPr="00975E6B" w:rsidTr="0029344A">
        <w:tc>
          <w:tcPr>
            <w:tcW w:w="414" w:type="pct"/>
            <w:tcBorders>
              <w:right w:val="single" w:sz="4" w:space="0" w:color="548DD4" w:themeColor="text2" w:themeTint="99"/>
            </w:tcBorders>
            <w:noWrap/>
          </w:tcPr>
          <w:p w:rsidR="00763A20" w:rsidRPr="00975E6B" w:rsidRDefault="00763A20" w:rsidP="0029344A">
            <w:pPr>
              <w:pStyle w:val="BodyText"/>
            </w:pPr>
            <w:r w:rsidRPr="00975E6B">
              <w:lastRenderedPageBreak/>
              <w:t>I</w:t>
            </w:r>
          </w:p>
        </w:tc>
        <w:tc>
          <w:tcPr>
            <w:tcW w:w="1503" w:type="pct"/>
            <w:tcBorders>
              <w:left w:val="single" w:sz="4" w:space="0" w:color="548DD4" w:themeColor="text2" w:themeTint="99"/>
            </w:tcBorders>
          </w:tcPr>
          <w:p w:rsidR="00763A20" w:rsidRPr="00975E6B" w:rsidRDefault="00763A20" w:rsidP="0029344A">
            <w:pPr>
              <w:pStyle w:val="BodyText"/>
              <w:jc w:val="left"/>
            </w:pPr>
            <w:r w:rsidRPr="00975E6B">
              <w:t>Total Products received by IHPA</w:t>
            </w:r>
          </w:p>
        </w:tc>
        <w:tc>
          <w:tcPr>
            <w:tcW w:w="3083" w:type="pct"/>
            <w:tcBorders>
              <w:left w:val="single" w:sz="4" w:space="0" w:color="548DD4" w:themeColor="text2" w:themeTint="99"/>
            </w:tcBorders>
          </w:tcPr>
          <w:p w:rsidR="00763A20" w:rsidRPr="00975E6B" w:rsidRDefault="00763A20" w:rsidP="005E5FC2">
            <w:pPr>
              <w:pStyle w:val="BodyText"/>
            </w:pPr>
            <w:r w:rsidRPr="00975E6B">
              <w:t>Total Costs received by IHPA totalled $367.6</w:t>
            </w:r>
            <w:r w:rsidR="00DA3356" w:rsidRPr="00975E6B">
              <w:t xml:space="preserve"> </w:t>
            </w:r>
            <w:r w:rsidRPr="00975E6B">
              <w:t>m</w:t>
            </w:r>
            <w:r w:rsidR="00DA3356" w:rsidRPr="00975E6B">
              <w:t>illion</w:t>
            </w:r>
            <w:r w:rsidRPr="00975E6B">
              <w:t xml:space="preserve">. </w:t>
            </w:r>
            <w:r w:rsidR="005E5FC2" w:rsidRPr="00975E6B">
              <w:t xml:space="preserve">A </w:t>
            </w:r>
            <w:r w:rsidRPr="00975E6B">
              <w:t>variance of $</w:t>
            </w:r>
            <w:r w:rsidR="003339C4" w:rsidRPr="00975E6B">
              <w:t>172,426</w:t>
            </w:r>
            <w:r w:rsidRPr="00975E6B">
              <w:t xml:space="preserve"> </w:t>
            </w:r>
            <w:r w:rsidR="005E5FC2" w:rsidRPr="00975E6B">
              <w:t xml:space="preserve">was noted </w:t>
            </w:r>
            <w:r w:rsidRPr="00975E6B">
              <w:t>between the costed products submitted by the jurisdiction and the costed products received by IHPA. This represents 0.03</w:t>
            </w:r>
            <w:r w:rsidR="00DA7807" w:rsidRPr="00975E6B">
              <w:t> percent</w:t>
            </w:r>
            <w:r w:rsidRPr="00975E6B">
              <w:t xml:space="preserve"> of the costs submitted by </w:t>
            </w:r>
            <w:r w:rsidR="00901CD9" w:rsidRPr="00975E6B">
              <w:t>Royal Hobart</w:t>
            </w:r>
            <w:r w:rsidRPr="00975E6B">
              <w:t>.</w:t>
            </w:r>
          </w:p>
        </w:tc>
      </w:tr>
      <w:tr w:rsidR="00763A20" w:rsidRPr="00975E6B" w:rsidTr="0029344A">
        <w:tc>
          <w:tcPr>
            <w:tcW w:w="414" w:type="pct"/>
            <w:tcBorders>
              <w:right w:val="single" w:sz="4" w:space="0" w:color="548DD4" w:themeColor="text2" w:themeTint="99"/>
            </w:tcBorders>
            <w:noWrap/>
          </w:tcPr>
          <w:p w:rsidR="00763A20" w:rsidRPr="00975E6B" w:rsidRDefault="00763A20" w:rsidP="0029344A">
            <w:pPr>
              <w:pStyle w:val="BodyText"/>
            </w:pPr>
            <w:r w:rsidRPr="00975E6B">
              <w:t>J</w:t>
            </w:r>
          </w:p>
        </w:tc>
        <w:tc>
          <w:tcPr>
            <w:tcW w:w="1503" w:type="pct"/>
            <w:tcBorders>
              <w:left w:val="single" w:sz="4" w:space="0" w:color="548DD4" w:themeColor="text2" w:themeTint="99"/>
            </w:tcBorders>
          </w:tcPr>
          <w:p w:rsidR="00763A20" w:rsidRPr="00975E6B" w:rsidRDefault="00763A20" w:rsidP="0029344A">
            <w:pPr>
              <w:pStyle w:val="BodyText"/>
              <w:jc w:val="left"/>
            </w:pPr>
            <w:r w:rsidRPr="00975E6B">
              <w:t>IHPA Adjustments</w:t>
            </w:r>
          </w:p>
        </w:tc>
        <w:tc>
          <w:tcPr>
            <w:tcW w:w="3083" w:type="pct"/>
            <w:tcBorders>
              <w:left w:val="single" w:sz="4" w:space="0" w:color="548DD4" w:themeColor="text2" w:themeTint="99"/>
            </w:tcBorders>
          </w:tcPr>
          <w:p w:rsidR="00763A20" w:rsidRPr="00975E6B" w:rsidRDefault="00763A20" w:rsidP="0029344A">
            <w:pPr>
              <w:pStyle w:val="BodyText"/>
              <w:rPr>
                <w:i/>
              </w:rPr>
            </w:pPr>
            <w:r w:rsidRPr="00975E6B">
              <w:rPr>
                <w:i/>
              </w:rPr>
              <w:t>Admitted Emergency</w:t>
            </w:r>
          </w:p>
          <w:p w:rsidR="00763A20" w:rsidRPr="00975E6B" w:rsidRDefault="00763A20" w:rsidP="0029344A">
            <w:pPr>
              <w:pStyle w:val="BodyText"/>
            </w:pPr>
            <w:r w:rsidRPr="00975E6B">
              <w:t xml:space="preserve">Upon receipt of cost data, IHPA allocates the admitted emergency costs back to admitted patients for the purposes of reporting and analysis. Within IHPA’s reconciliation this amount </w:t>
            </w:r>
            <w:r w:rsidR="0074117C" w:rsidRPr="00975E6B">
              <w:t xml:space="preserve">was </w:t>
            </w:r>
            <w:r w:rsidRPr="00975E6B">
              <w:t xml:space="preserve">a duplication of admitted emergency costs and not an additional cost. For </w:t>
            </w:r>
            <w:r w:rsidR="00901CD9" w:rsidRPr="00975E6B">
              <w:t>Royal Hobart</w:t>
            </w:r>
            <w:r w:rsidRPr="00975E6B">
              <w:t xml:space="preserve"> this amounted to $18.3 million.</w:t>
            </w:r>
          </w:p>
          <w:p w:rsidR="00763A20" w:rsidRPr="00975E6B" w:rsidRDefault="00763A20" w:rsidP="0029344A">
            <w:pPr>
              <w:pStyle w:val="BodyText"/>
              <w:rPr>
                <w:i/>
              </w:rPr>
            </w:pPr>
            <w:r w:rsidRPr="00975E6B">
              <w:rPr>
                <w:i/>
              </w:rPr>
              <w:t>Unqualified Baby Adjustment</w:t>
            </w:r>
          </w:p>
          <w:p w:rsidR="00763A20" w:rsidRPr="00975E6B" w:rsidRDefault="00763A20">
            <w:pPr>
              <w:pStyle w:val="BodyText"/>
            </w:pPr>
            <w:r w:rsidRPr="00975E6B">
              <w:t xml:space="preserve">Upon receipt of cost data, IHPA redistributes the unqualified baby cost to the mother </w:t>
            </w:r>
            <w:r w:rsidR="005E5FC2" w:rsidRPr="00975E6B">
              <w:t xml:space="preserve">separation </w:t>
            </w:r>
            <w:r w:rsidRPr="00975E6B">
              <w:t xml:space="preserve">to provide a complete delivery cost. Within IHPAs reconciliation this </w:t>
            </w:r>
            <w:r w:rsidR="0074117C" w:rsidRPr="00975E6B">
              <w:t xml:space="preserve">was </w:t>
            </w:r>
            <w:r w:rsidRPr="00975E6B">
              <w:t xml:space="preserve">not an additional cost but a movement between patients. </w:t>
            </w:r>
          </w:p>
        </w:tc>
      </w:tr>
      <w:tr w:rsidR="00763A20" w:rsidRPr="00975E6B" w:rsidTr="0029344A">
        <w:tc>
          <w:tcPr>
            <w:tcW w:w="414" w:type="pct"/>
            <w:tcBorders>
              <w:right w:val="single" w:sz="4" w:space="0" w:color="548DD4" w:themeColor="text2" w:themeTint="99"/>
            </w:tcBorders>
            <w:noWrap/>
          </w:tcPr>
          <w:p w:rsidR="00763A20" w:rsidRPr="00975E6B" w:rsidRDefault="00763A20" w:rsidP="0029344A">
            <w:pPr>
              <w:pStyle w:val="BodyText"/>
            </w:pPr>
            <w:r w:rsidRPr="00975E6B">
              <w:t>K</w:t>
            </w:r>
          </w:p>
        </w:tc>
        <w:tc>
          <w:tcPr>
            <w:tcW w:w="1503" w:type="pct"/>
            <w:tcBorders>
              <w:left w:val="single" w:sz="4" w:space="0" w:color="548DD4" w:themeColor="text2" w:themeTint="99"/>
            </w:tcBorders>
          </w:tcPr>
          <w:p w:rsidR="00763A20" w:rsidRPr="00975E6B" w:rsidRDefault="00763A20" w:rsidP="0029344A">
            <w:pPr>
              <w:pStyle w:val="BodyText"/>
              <w:jc w:val="left"/>
            </w:pPr>
            <w:r w:rsidRPr="00975E6B">
              <w:t>Final NHCDC Costed Outputs</w:t>
            </w:r>
          </w:p>
        </w:tc>
        <w:tc>
          <w:tcPr>
            <w:tcW w:w="3083" w:type="pct"/>
            <w:tcBorders>
              <w:left w:val="single" w:sz="4" w:space="0" w:color="548DD4" w:themeColor="text2" w:themeTint="99"/>
            </w:tcBorders>
          </w:tcPr>
          <w:p w:rsidR="00763A20" w:rsidRPr="00975E6B" w:rsidRDefault="00763A20">
            <w:pPr>
              <w:pStyle w:val="BodyText"/>
            </w:pPr>
            <w:r w:rsidRPr="00975E6B">
              <w:t xml:space="preserve">The final NHCDC costed data for </w:t>
            </w:r>
            <w:r w:rsidR="00901CD9" w:rsidRPr="00975E6B">
              <w:t>Royal Hobart</w:t>
            </w:r>
            <w:r w:rsidRPr="00975E6B">
              <w:t xml:space="preserve"> that was loaded into the National Round 18 cost data set </w:t>
            </w:r>
            <w:r w:rsidR="0074117C" w:rsidRPr="00975E6B">
              <w:t xml:space="preserve">was </w:t>
            </w:r>
            <w:r w:rsidRPr="00975E6B">
              <w:t>$385.9 million which includes the admitted emergency cost of $18.3 million.</w:t>
            </w:r>
          </w:p>
        </w:tc>
      </w:tr>
    </w:tbl>
    <w:p w:rsidR="00763A20" w:rsidRPr="00975E6B" w:rsidRDefault="00F034D9" w:rsidP="00763A20">
      <w:pPr>
        <w:pStyle w:val="FootnoteText"/>
        <w:rPr>
          <w:bCs/>
          <w:i/>
          <w:sz w:val="16"/>
          <w:szCs w:val="16"/>
        </w:rPr>
      </w:pPr>
      <w:r w:rsidRPr="00975E6B">
        <w:rPr>
          <w:bCs/>
          <w:i/>
          <w:sz w:val="16"/>
          <w:szCs w:val="16"/>
        </w:rPr>
        <w:t>Source: KPMG, based on Royal Hobart templates and review discussions</w:t>
      </w:r>
      <w:r w:rsidRPr="00975E6B" w:rsidDel="00F034D9">
        <w:rPr>
          <w:bCs/>
          <w:i/>
          <w:sz w:val="16"/>
          <w:szCs w:val="16"/>
        </w:rPr>
        <w:t xml:space="preserve"> </w:t>
      </w:r>
    </w:p>
    <w:p w:rsidR="00763A20" w:rsidRPr="00975E6B" w:rsidRDefault="00763A20" w:rsidP="003B387A">
      <w:pPr>
        <w:pStyle w:val="Heading3"/>
        <w:numPr>
          <w:ilvl w:val="2"/>
          <w:numId w:val="77"/>
        </w:numPr>
      </w:pPr>
      <w:r w:rsidRPr="00497F12">
        <w:t>Activity</w:t>
      </w:r>
      <w:r w:rsidRPr="00975E6B">
        <w:t xml:space="preserve"> data</w:t>
      </w:r>
    </w:p>
    <w:p w:rsidR="00763A20" w:rsidRPr="00B464CA" w:rsidRDefault="00267786" w:rsidP="00B464CA">
      <w:pPr>
        <w:spacing w:before="120" w:after="120" w:line="280" w:lineRule="atLeast"/>
        <w:jc w:val="both"/>
        <w:rPr>
          <w:bCs/>
        </w:rPr>
      </w:pPr>
      <w:r>
        <w:rPr>
          <w:bCs/>
        </w:rPr>
        <w:fldChar w:fldCharType="begin"/>
      </w:r>
      <w:r>
        <w:rPr>
          <w:bCs/>
        </w:rPr>
        <w:instrText xml:space="preserve"> REF _Ref444517393 \h </w:instrText>
      </w:r>
      <w:r>
        <w:rPr>
          <w:bCs/>
        </w:rPr>
      </w:r>
      <w:r>
        <w:rPr>
          <w:bCs/>
        </w:rPr>
        <w:fldChar w:fldCharType="separate"/>
      </w:r>
      <w:r w:rsidR="00154CF7" w:rsidRPr="00D06D4E">
        <w:t xml:space="preserve">Table </w:t>
      </w:r>
      <w:r w:rsidR="00154CF7">
        <w:rPr>
          <w:noProof/>
        </w:rPr>
        <w:t>73</w:t>
      </w:r>
      <w:r>
        <w:rPr>
          <w:bCs/>
        </w:rPr>
        <w:fldChar w:fldCharType="end"/>
      </w:r>
      <w:r>
        <w:rPr>
          <w:bCs/>
        </w:rPr>
        <w:t xml:space="preserve"> </w:t>
      </w:r>
      <w:r w:rsidR="00763A20" w:rsidRPr="00B464CA">
        <w:rPr>
          <w:bCs/>
        </w:rPr>
        <w:t xml:space="preserve">presents activity and feeder data for </w:t>
      </w:r>
      <w:r w:rsidR="00901CD9" w:rsidRPr="00B464CA">
        <w:rPr>
          <w:bCs/>
        </w:rPr>
        <w:t>Royal Hobart</w:t>
      </w:r>
      <w:r w:rsidR="00763A20" w:rsidRPr="00B464CA">
        <w:rPr>
          <w:bCs/>
        </w:rPr>
        <w:t>.</w:t>
      </w:r>
    </w:p>
    <w:p w:rsidR="00763A20" w:rsidRPr="00975E6B" w:rsidRDefault="00763A20" w:rsidP="00267786">
      <w:pPr>
        <w:pStyle w:val="Caption"/>
        <w:pageBreakBefore/>
      </w:pPr>
      <w:bookmarkStart w:id="787" w:name="_Ref434265222"/>
      <w:bookmarkStart w:id="788" w:name="_Ref444517393"/>
      <w:r w:rsidRPr="00D06D4E">
        <w:lastRenderedPageBreak/>
        <w:t xml:space="preserve">Table </w:t>
      </w:r>
      <w:r w:rsidR="004D0865" w:rsidRPr="0081231C">
        <w:fldChar w:fldCharType="begin"/>
      </w:r>
      <w:r w:rsidR="004D0865" w:rsidRPr="00417884">
        <w:instrText xml:space="preserve"> SEQ Table \* ARABIC </w:instrText>
      </w:r>
      <w:r w:rsidR="004D0865" w:rsidRPr="0081231C">
        <w:fldChar w:fldCharType="separate"/>
      </w:r>
      <w:r w:rsidR="00154CF7">
        <w:rPr>
          <w:noProof/>
        </w:rPr>
        <w:t>73</w:t>
      </w:r>
      <w:r w:rsidR="004D0865" w:rsidRPr="0081231C">
        <w:rPr>
          <w:noProof/>
        </w:rPr>
        <w:fldChar w:fldCharType="end"/>
      </w:r>
      <w:bookmarkEnd w:id="787"/>
      <w:bookmarkEnd w:id="788"/>
      <w:r w:rsidR="00BA3F4B" w:rsidRPr="00417884">
        <w:t xml:space="preserve"> </w:t>
      </w:r>
      <w:r w:rsidRPr="00417884">
        <w:t>– Activity data – Royal Hobart Hospital</w:t>
      </w:r>
    </w:p>
    <w:tbl>
      <w:tblPr>
        <w:tblW w:w="5254" w:type="pct"/>
        <w:tblLayout w:type="fixed"/>
        <w:tblLook w:val="04A0" w:firstRow="1" w:lastRow="0" w:firstColumn="1" w:lastColumn="0" w:noHBand="0" w:noVBand="1"/>
        <w:tblCaption w:val="Table 73 - Activity data - Royal Hobart Hospital"/>
        <w:tblDescription w:val="This table presents activity and feeder data for Royal Hobart Hospital. There are 11 columns.  Column 1 is the Data source, Column 2 is the number of records from source, Column 3 is the number of records in costing system, Column 4 is the variance between Column 2 and 3, Column 5 is the number of records linked to acute, column 6 is the number of records linked to emergency, Column 7 is the number of records linked to non-admitted, column 8 is the total linked records, column 9 is the number linked to other, column 10 is the number of unlinked records and column 11 is the % of linked to source."/>
      </w:tblPr>
      <w:tblGrid>
        <w:gridCol w:w="1016"/>
        <w:gridCol w:w="884"/>
        <w:gridCol w:w="870"/>
        <w:gridCol w:w="868"/>
        <w:gridCol w:w="729"/>
        <w:gridCol w:w="645"/>
        <w:gridCol w:w="24"/>
        <w:gridCol w:w="20"/>
        <w:gridCol w:w="744"/>
        <w:gridCol w:w="24"/>
        <w:gridCol w:w="992"/>
        <w:gridCol w:w="737"/>
        <w:gridCol w:w="11"/>
        <w:gridCol w:w="872"/>
        <w:gridCol w:w="728"/>
      </w:tblGrid>
      <w:tr w:rsidR="00136E57" w:rsidRPr="00DF43A9" w:rsidTr="00136E57">
        <w:trPr>
          <w:trHeight w:val="1040"/>
        </w:trPr>
        <w:tc>
          <w:tcPr>
            <w:tcW w:w="554" w:type="pct"/>
            <w:tcBorders>
              <w:top w:val="single" w:sz="4" w:space="0" w:color="5B9BD5"/>
              <w:left w:val="single" w:sz="4" w:space="0" w:color="5B9BD5"/>
              <w:bottom w:val="nil"/>
              <w:right w:val="nil"/>
            </w:tcBorders>
            <w:shd w:val="clear" w:color="auto" w:fill="002060"/>
            <w:vAlign w:val="bottom"/>
            <w:hideMark/>
          </w:tcPr>
          <w:p w:rsidR="006544B7" w:rsidRPr="00CD1518" w:rsidRDefault="006544B7" w:rsidP="006544B7">
            <w:pPr>
              <w:spacing w:line="240" w:lineRule="auto"/>
              <w:rPr>
                <w:b/>
                <w:bCs/>
                <w:color w:val="FFFFFF"/>
                <w:sz w:val="12"/>
                <w:szCs w:val="12"/>
                <w:lang w:eastAsia="en-AU"/>
              </w:rPr>
            </w:pPr>
            <w:r w:rsidRPr="00CD1518">
              <w:rPr>
                <w:b/>
                <w:bCs/>
                <w:color w:val="FFFFFF"/>
                <w:sz w:val="12"/>
                <w:szCs w:val="12"/>
                <w:lang w:eastAsia="en-AU"/>
              </w:rPr>
              <w:t>Data</w:t>
            </w:r>
          </w:p>
        </w:tc>
        <w:tc>
          <w:tcPr>
            <w:tcW w:w="482" w:type="pct"/>
            <w:tcBorders>
              <w:top w:val="single" w:sz="4" w:space="0" w:color="5B9BD5"/>
              <w:left w:val="single" w:sz="4" w:space="0" w:color="5B9BD5"/>
              <w:bottom w:val="nil"/>
              <w:right w:val="single" w:sz="4" w:space="0" w:color="5B9BD5"/>
            </w:tcBorders>
            <w:shd w:val="clear" w:color="auto" w:fill="002060"/>
            <w:vAlign w:val="bottom"/>
            <w:hideMark/>
          </w:tcPr>
          <w:p w:rsidR="006544B7" w:rsidRPr="00CD1518" w:rsidRDefault="006544B7" w:rsidP="006544B7">
            <w:pPr>
              <w:spacing w:line="240" w:lineRule="auto"/>
              <w:jc w:val="center"/>
              <w:rPr>
                <w:b/>
                <w:bCs/>
                <w:color w:val="FFFFFF"/>
                <w:sz w:val="12"/>
                <w:szCs w:val="12"/>
                <w:lang w:eastAsia="en-AU"/>
              </w:rPr>
            </w:pPr>
            <w:r w:rsidRPr="00CD1518">
              <w:rPr>
                <w:b/>
                <w:bCs/>
                <w:color w:val="FFFFFF"/>
                <w:sz w:val="12"/>
                <w:szCs w:val="12"/>
                <w:lang w:eastAsia="en-AU"/>
              </w:rPr>
              <w:t># Records from Source</w:t>
            </w:r>
          </w:p>
        </w:tc>
        <w:tc>
          <w:tcPr>
            <w:tcW w:w="474" w:type="pct"/>
            <w:tcBorders>
              <w:top w:val="single" w:sz="4" w:space="0" w:color="5B9BD5"/>
              <w:left w:val="single" w:sz="4" w:space="0" w:color="5B9BD5"/>
              <w:bottom w:val="nil"/>
              <w:right w:val="single" w:sz="4" w:space="0" w:color="5B9BD5"/>
            </w:tcBorders>
            <w:shd w:val="clear" w:color="auto" w:fill="002060"/>
            <w:vAlign w:val="bottom"/>
          </w:tcPr>
          <w:p w:rsidR="006544B7" w:rsidRPr="00CD1518" w:rsidRDefault="006544B7" w:rsidP="006544B7">
            <w:pPr>
              <w:spacing w:line="240" w:lineRule="auto"/>
              <w:jc w:val="center"/>
              <w:rPr>
                <w:b/>
                <w:bCs/>
                <w:color w:val="FFFFFF"/>
                <w:sz w:val="12"/>
                <w:szCs w:val="12"/>
                <w:lang w:eastAsia="en-AU"/>
              </w:rPr>
            </w:pPr>
            <w:r w:rsidRPr="00CD1518">
              <w:rPr>
                <w:b/>
                <w:bCs/>
                <w:color w:val="FFFFFF"/>
                <w:sz w:val="12"/>
                <w:szCs w:val="12"/>
                <w:lang w:eastAsia="en-AU"/>
              </w:rPr>
              <w:t># Records in costing system</w:t>
            </w:r>
          </w:p>
        </w:tc>
        <w:tc>
          <w:tcPr>
            <w:tcW w:w="473" w:type="pct"/>
            <w:tcBorders>
              <w:top w:val="single" w:sz="4" w:space="0" w:color="5B9BD5"/>
              <w:left w:val="nil"/>
              <w:bottom w:val="nil"/>
              <w:right w:val="nil"/>
            </w:tcBorders>
            <w:shd w:val="clear" w:color="auto" w:fill="002060"/>
            <w:vAlign w:val="bottom"/>
          </w:tcPr>
          <w:p w:rsidR="006544B7" w:rsidRPr="00CD1518" w:rsidRDefault="006544B7" w:rsidP="006544B7">
            <w:pPr>
              <w:spacing w:line="240" w:lineRule="auto"/>
              <w:jc w:val="center"/>
              <w:rPr>
                <w:b/>
                <w:bCs/>
                <w:color w:val="FFFFFF"/>
                <w:sz w:val="12"/>
                <w:szCs w:val="12"/>
                <w:lang w:eastAsia="en-AU"/>
              </w:rPr>
            </w:pPr>
            <w:r w:rsidRPr="00CD1518">
              <w:rPr>
                <w:b/>
                <w:bCs/>
                <w:color w:val="FFFFFF"/>
                <w:sz w:val="12"/>
                <w:szCs w:val="12"/>
                <w:lang w:eastAsia="en-AU"/>
              </w:rPr>
              <w:t>Variance</w:t>
            </w:r>
          </w:p>
        </w:tc>
        <w:tc>
          <w:tcPr>
            <w:tcW w:w="398" w:type="pct"/>
            <w:tcBorders>
              <w:top w:val="single" w:sz="4" w:space="0" w:color="5B9BD5"/>
              <w:left w:val="single" w:sz="4" w:space="0" w:color="5B9BD5"/>
              <w:bottom w:val="nil"/>
              <w:right w:val="single" w:sz="4" w:space="0" w:color="5B9BD5"/>
            </w:tcBorders>
            <w:shd w:val="clear" w:color="auto" w:fill="002060"/>
            <w:vAlign w:val="bottom"/>
          </w:tcPr>
          <w:p w:rsidR="006544B7" w:rsidRPr="00CD1518" w:rsidRDefault="006544B7" w:rsidP="006544B7">
            <w:pPr>
              <w:spacing w:line="240" w:lineRule="auto"/>
              <w:jc w:val="center"/>
              <w:rPr>
                <w:b/>
                <w:bCs/>
                <w:color w:val="FFFFFF"/>
                <w:sz w:val="12"/>
                <w:szCs w:val="12"/>
                <w:lang w:eastAsia="en-AU"/>
              </w:rPr>
            </w:pPr>
            <w:r w:rsidRPr="00CD1518">
              <w:rPr>
                <w:b/>
                <w:bCs/>
                <w:color w:val="FFFFFF"/>
                <w:sz w:val="12"/>
                <w:szCs w:val="12"/>
                <w:lang w:eastAsia="en-AU"/>
              </w:rPr>
              <w:t># Records linked to Acute</w:t>
            </w:r>
          </w:p>
        </w:tc>
        <w:tc>
          <w:tcPr>
            <w:tcW w:w="376" w:type="pct"/>
            <w:gridSpan w:val="3"/>
            <w:tcBorders>
              <w:top w:val="single" w:sz="4" w:space="0" w:color="5B9BD5"/>
              <w:left w:val="nil"/>
              <w:bottom w:val="nil"/>
              <w:right w:val="nil"/>
            </w:tcBorders>
            <w:shd w:val="clear" w:color="auto" w:fill="002060"/>
            <w:vAlign w:val="bottom"/>
          </w:tcPr>
          <w:p w:rsidR="006544B7" w:rsidRPr="00CD1518" w:rsidRDefault="006544B7" w:rsidP="006544B7">
            <w:pPr>
              <w:spacing w:line="240" w:lineRule="auto"/>
              <w:jc w:val="center"/>
              <w:rPr>
                <w:b/>
                <w:bCs/>
                <w:color w:val="FFFFFF"/>
                <w:sz w:val="12"/>
                <w:szCs w:val="12"/>
                <w:lang w:eastAsia="en-AU"/>
              </w:rPr>
            </w:pPr>
            <w:r w:rsidRPr="00D06D4E">
              <w:rPr>
                <w:b/>
                <w:bCs/>
                <w:color w:val="FFFFFF"/>
                <w:sz w:val="12"/>
                <w:szCs w:val="12"/>
                <w:lang w:eastAsia="en-AU"/>
              </w:rPr>
              <w:t xml:space="preserve"># Records linked to </w:t>
            </w:r>
            <w:proofErr w:type="spellStart"/>
            <w:r w:rsidRPr="00D06D4E">
              <w:rPr>
                <w:b/>
                <w:bCs/>
                <w:color w:val="FFFFFF"/>
                <w:sz w:val="12"/>
                <w:szCs w:val="12"/>
                <w:lang w:eastAsia="en-AU"/>
              </w:rPr>
              <w:t>Emerg</w:t>
            </w:r>
            <w:proofErr w:type="spellEnd"/>
            <w:r w:rsidRPr="00D06D4E">
              <w:rPr>
                <w:b/>
                <w:bCs/>
                <w:color w:val="FFFFFF"/>
                <w:sz w:val="12"/>
                <w:szCs w:val="12"/>
                <w:lang w:eastAsia="en-AU"/>
              </w:rPr>
              <w:t>.</w:t>
            </w:r>
          </w:p>
        </w:tc>
        <w:tc>
          <w:tcPr>
            <w:tcW w:w="406" w:type="pct"/>
            <w:tcBorders>
              <w:top w:val="single" w:sz="4" w:space="0" w:color="5B9BD5"/>
              <w:left w:val="single" w:sz="4" w:space="0" w:color="5B9BD5"/>
              <w:bottom w:val="nil"/>
              <w:right w:val="single" w:sz="4" w:space="0" w:color="5B9BD5"/>
            </w:tcBorders>
            <w:shd w:val="clear" w:color="auto" w:fill="002060"/>
            <w:vAlign w:val="bottom"/>
          </w:tcPr>
          <w:p w:rsidR="006544B7" w:rsidRPr="00CD1518" w:rsidRDefault="006544B7" w:rsidP="006544B7">
            <w:pPr>
              <w:spacing w:line="240" w:lineRule="auto"/>
              <w:jc w:val="center"/>
              <w:rPr>
                <w:b/>
                <w:bCs/>
                <w:color w:val="FFFFFF"/>
                <w:sz w:val="12"/>
                <w:szCs w:val="12"/>
                <w:lang w:eastAsia="en-AU"/>
              </w:rPr>
            </w:pPr>
            <w:r w:rsidRPr="00CD1518">
              <w:rPr>
                <w:b/>
                <w:bCs/>
                <w:color w:val="FFFFFF"/>
                <w:sz w:val="12"/>
                <w:szCs w:val="12"/>
                <w:lang w:eastAsia="en-AU"/>
              </w:rPr>
              <w:t xml:space="preserve"># Records linked to </w:t>
            </w:r>
            <w:r w:rsidRPr="00CD1518">
              <w:rPr>
                <w:b/>
                <w:bCs/>
                <w:color w:val="FFFFFF"/>
                <w:sz w:val="11"/>
                <w:szCs w:val="11"/>
                <w:lang w:eastAsia="en-AU"/>
              </w:rPr>
              <w:t>Non-admitted</w:t>
            </w:r>
          </w:p>
        </w:tc>
        <w:tc>
          <w:tcPr>
            <w:tcW w:w="554" w:type="pct"/>
            <w:gridSpan w:val="2"/>
            <w:tcBorders>
              <w:top w:val="single" w:sz="4" w:space="0" w:color="5B9BD5"/>
              <w:left w:val="nil"/>
              <w:bottom w:val="nil"/>
              <w:right w:val="single" w:sz="4" w:space="0" w:color="5B9BD5"/>
            </w:tcBorders>
            <w:shd w:val="clear" w:color="auto" w:fill="002060"/>
            <w:vAlign w:val="bottom"/>
          </w:tcPr>
          <w:p w:rsidR="006544B7" w:rsidRPr="00CD1518" w:rsidRDefault="006544B7" w:rsidP="006544B7">
            <w:pPr>
              <w:spacing w:line="240" w:lineRule="auto"/>
              <w:jc w:val="center"/>
              <w:rPr>
                <w:b/>
                <w:bCs/>
                <w:color w:val="FFFFFF"/>
                <w:sz w:val="12"/>
                <w:szCs w:val="12"/>
                <w:lang w:eastAsia="en-AU"/>
              </w:rPr>
            </w:pPr>
            <w:r w:rsidRPr="00CD1518">
              <w:rPr>
                <w:b/>
                <w:bCs/>
                <w:color w:val="FFFFFF"/>
                <w:sz w:val="12"/>
                <w:szCs w:val="12"/>
                <w:lang w:eastAsia="en-AU"/>
              </w:rPr>
              <w:t>Total Linking Process</w:t>
            </w:r>
          </w:p>
        </w:tc>
        <w:tc>
          <w:tcPr>
            <w:tcW w:w="408" w:type="pct"/>
            <w:gridSpan w:val="2"/>
            <w:tcBorders>
              <w:top w:val="single" w:sz="4" w:space="0" w:color="5B9BD5"/>
              <w:left w:val="nil"/>
              <w:bottom w:val="nil"/>
              <w:right w:val="single" w:sz="4" w:space="0" w:color="5B9BD5"/>
            </w:tcBorders>
            <w:shd w:val="clear" w:color="auto" w:fill="002060"/>
            <w:vAlign w:val="bottom"/>
          </w:tcPr>
          <w:p w:rsidR="006544B7" w:rsidRPr="00CD1518" w:rsidRDefault="006544B7" w:rsidP="006544B7">
            <w:pPr>
              <w:spacing w:line="240" w:lineRule="auto"/>
              <w:jc w:val="center"/>
              <w:rPr>
                <w:b/>
                <w:bCs/>
                <w:color w:val="FFFFFF"/>
                <w:sz w:val="12"/>
                <w:szCs w:val="12"/>
                <w:lang w:eastAsia="en-AU"/>
              </w:rPr>
            </w:pPr>
            <w:r w:rsidRPr="00CD1518">
              <w:rPr>
                <w:b/>
                <w:bCs/>
                <w:color w:val="FFFFFF"/>
                <w:sz w:val="12"/>
                <w:szCs w:val="12"/>
                <w:lang w:eastAsia="en-AU"/>
              </w:rPr>
              <w:t># Records linked to Other</w:t>
            </w:r>
          </w:p>
        </w:tc>
        <w:tc>
          <w:tcPr>
            <w:tcW w:w="476" w:type="pct"/>
            <w:tcBorders>
              <w:top w:val="single" w:sz="4" w:space="0" w:color="5B9BD5"/>
              <w:left w:val="nil"/>
              <w:bottom w:val="nil"/>
              <w:right w:val="nil"/>
            </w:tcBorders>
            <w:shd w:val="clear" w:color="auto" w:fill="002060"/>
            <w:vAlign w:val="bottom"/>
          </w:tcPr>
          <w:p w:rsidR="006544B7" w:rsidRPr="00CD1518" w:rsidRDefault="006544B7" w:rsidP="006544B7">
            <w:pPr>
              <w:spacing w:line="240" w:lineRule="auto"/>
              <w:jc w:val="center"/>
              <w:rPr>
                <w:b/>
                <w:bCs/>
                <w:color w:val="FFFFFF"/>
                <w:sz w:val="12"/>
                <w:szCs w:val="12"/>
                <w:lang w:eastAsia="en-AU"/>
              </w:rPr>
            </w:pPr>
            <w:r w:rsidRPr="00CD1518">
              <w:rPr>
                <w:b/>
                <w:bCs/>
                <w:color w:val="FFFFFF"/>
                <w:sz w:val="12"/>
                <w:szCs w:val="12"/>
                <w:lang w:eastAsia="en-AU"/>
              </w:rPr>
              <w:t># Unlinked records</w:t>
            </w:r>
          </w:p>
        </w:tc>
        <w:tc>
          <w:tcPr>
            <w:tcW w:w="397" w:type="pct"/>
            <w:tcBorders>
              <w:top w:val="single" w:sz="4" w:space="0" w:color="5B9BD5"/>
              <w:left w:val="single" w:sz="4" w:space="0" w:color="5B9BD5"/>
              <w:bottom w:val="nil"/>
              <w:right w:val="single" w:sz="4" w:space="0" w:color="5B9BD5"/>
            </w:tcBorders>
            <w:shd w:val="clear" w:color="auto" w:fill="002060"/>
            <w:vAlign w:val="bottom"/>
          </w:tcPr>
          <w:p w:rsidR="006544B7" w:rsidRPr="00CD1518" w:rsidRDefault="006544B7" w:rsidP="006544B7">
            <w:pPr>
              <w:spacing w:line="240" w:lineRule="auto"/>
              <w:jc w:val="center"/>
              <w:rPr>
                <w:b/>
                <w:bCs/>
                <w:color w:val="FFFFFF"/>
                <w:sz w:val="12"/>
                <w:szCs w:val="12"/>
                <w:lang w:eastAsia="en-AU"/>
              </w:rPr>
            </w:pPr>
            <w:r w:rsidRPr="00CD1518">
              <w:rPr>
                <w:b/>
                <w:bCs/>
                <w:color w:val="FFFFFF"/>
                <w:sz w:val="12"/>
                <w:szCs w:val="12"/>
                <w:lang w:eastAsia="en-AU"/>
              </w:rPr>
              <w:t>% Linked</w:t>
            </w:r>
          </w:p>
        </w:tc>
      </w:tr>
      <w:tr w:rsidR="00136E57" w:rsidRPr="00DF43A9" w:rsidTr="00136E57">
        <w:trPr>
          <w:trHeight w:val="260"/>
        </w:trPr>
        <w:tc>
          <w:tcPr>
            <w:tcW w:w="554" w:type="pct"/>
            <w:tcBorders>
              <w:top w:val="nil"/>
              <w:left w:val="single" w:sz="4" w:space="0" w:color="5B9BD5"/>
              <w:bottom w:val="nil"/>
              <w:right w:val="nil"/>
            </w:tcBorders>
            <w:shd w:val="clear" w:color="000000" w:fill="D0CECE"/>
            <w:noWrap/>
            <w:vAlign w:val="center"/>
            <w:hideMark/>
          </w:tcPr>
          <w:p w:rsidR="00136E57" w:rsidRPr="00CD1518" w:rsidRDefault="00136E57" w:rsidP="00D06D4E">
            <w:pPr>
              <w:spacing w:line="240" w:lineRule="auto"/>
              <w:rPr>
                <w:b/>
                <w:bCs/>
                <w:color w:val="000000"/>
                <w:sz w:val="12"/>
                <w:szCs w:val="12"/>
                <w:lang w:eastAsia="en-AU"/>
              </w:rPr>
            </w:pPr>
            <w:r w:rsidRPr="00CD1518">
              <w:rPr>
                <w:b/>
                <w:bCs/>
                <w:color w:val="000000"/>
                <w:sz w:val="12"/>
                <w:szCs w:val="12"/>
                <w:lang w:eastAsia="en-AU"/>
              </w:rPr>
              <w:t>Activity Data</w:t>
            </w:r>
          </w:p>
        </w:tc>
        <w:tc>
          <w:tcPr>
            <w:tcW w:w="482" w:type="pct"/>
            <w:tcBorders>
              <w:top w:val="nil"/>
              <w:left w:val="single" w:sz="4" w:space="0" w:color="5B9BD5"/>
              <w:bottom w:val="nil"/>
              <w:right w:val="single" w:sz="4" w:space="0" w:color="5B9BD5"/>
            </w:tcBorders>
            <w:shd w:val="clear" w:color="000000" w:fill="D0CECE"/>
            <w:noWrap/>
            <w:vAlign w:val="center"/>
            <w:hideMark/>
          </w:tcPr>
          <w:p w:rsidR="00136E57" w:rsidRPr="00CD1518" w:rsidRDefault="00136E57" w:rsidP="00CD1518">
            <w:pPr>
              <w:spacing w:line="240" w:lineRule="auto"/>
              <w:jc w:val="right"/>
              <w:rPr>
                <w:b/>
                <w:bCs/>
                <w:color w:val="000000"/>
                <w:sz w:val="12"/>
                <w:szCs w:val="12"/>
                <w:lang w:eastAsia="en-AU"/>
              </w:rPr>
            </w:pPr>
          </w:p>
        </w:tc>
        <w:tc>
          <w:tcPr>
            <w:tcW w:w="474" w:type="pct"/>
            <w:tcBorders>
              <w:top w:val="nil"/>
              <w:left w:val="nil"/>
              <w:bottom w:val="nil"/>
              <w:right w:val="single" w:sz="4" w:space="0" w:color="5B9BD5"/>
            </w:tcBorders>
            <w:shd w:val="clear" w:color="000000" w:fill="D0CECE"/>
            <w:noWrap/>
            <w:vAlign w:val="center"/>
            <w:hideMark/>
          </w:tcPr>
          <w:p w:rsidR="00136E57" w:rsidRPr="00CD1518" w:rsidRDefault="00136E57" w:rsidP="00CD1518">
            <w:pPr>
              <w:spacing w:line="240" w:lineRule="auto"/>
              <w:jc w:val="right"/>
              <w:rPr>
                <w:b/>
                <w:bCs/>
                <w:color w:val="000000"/>
                <w:sz w:val="12"/>
                <w:szCs w:val="12"/>
                <w:lang w:eastAsia="en-AU"/>
              </w:rPr>
            </w:pPr>
          </w:p>
        </w:tc>
        <w:tc>
          <w:tcPr>
            <w:tcW w:w="473" w:type="pct"/>
            <w:tcBorders>
              <w:top w:val="nil"/>
              <w:left w:val="single" w:sz="4" w:space="0" w:color="5B9BD5"/>
              <w:bottom w:val="nil"/>
              <w:right w:val="single" w:sz="4" w:space="0" w:color="5B9BD5"/>
            </w:tcBorders>
            <w:shd w:val="clear" w:color="000000" w:fill="D0CECE"/>
            <w:vAlign w:val="center"/>
          </w:tcPr>
          <w:p w:rsidR="00136E57" w:rsidRPr="00CD1518" w:rsidRDefault="00136E57" w:rsidP="00CD1518">
            <w:pPr>
              <w:spacing w:line="240" w:lineRule="auto"/>
              <w:jc w:val="right"/>
              <w:rPr>
                <w:b/>
                <w:bCs/>
                <w:color w:val="000000"/>
                <w:sz w:val="12"/>
                <w:szCs w:val="12"/>
                <w:lang w:eastAsia="en-AU"/>
              </w:rPr>
            </w:pPr>
          </w:p>
        </w:tc>
        <w:tc>
          <w:tcPr>
            <w:tcW w:w="398" w:type="pct"/>
            <w:tcBorders>
              <w:top w:val="nil"/>
              <w:left w:val="single" w:sz="4" w:space="0" w:color="5B9BD5"/>
              <w:bottom w:val="nil"/>
              <w:right w:val="single" w:sz="4" w:space="0" w:color="5B9BD5"/>
            </w:tcBorders>
            <w:shd w:val="clear" w:color="000000" w:fill="D0CECE"/>
            <w:vAlign w:val="center"/>
          </w:tcPr>
          <w:p w:rsidR="00136E57" w:rsidRPr="00CD1518" w:rsidRDefault="00136E57" w:rsidP="00CD1518">
            <w:pPr>
              <w:spacing w:line="240" w:lineRule="auto"/>
              <w:jc w:val="right"/>
              <w:rPr>
                <w:b/>
                <w:bCs/>
                <w:color w:val="000000"/>
                <w:sz w:val="12"/>
                <w:szCs w:val="12"/>
                <w:lang w:eastAsia="en-AU"/>
              </w:rPr>
            </w:pPr>
          </w:p>
        </w:tc>
        <w:tc>
          <w:tcPr>
            <w:tcW w:w="376" w:type="pct"/>
            <w:gridSpan w:val="3"/>
            <w:tcBorders>
              <w:top w:val="nil"/>
              <w:left w:val="single" w:sz="4" w:space="0" w:color="5B9BD5"/>
              <w:bottom w:val="nil"/>
              <w:right w:val="nil"/>
            </w:tcBorders>
            <w:shd w:val="clear" w:color="000000" w:fill="D0CECE"/>
            <w:vAlign w:val="center"/>
          </w:tcPr>
          <w:p w:rsidR="00136E57" w:rsidRPr="00CD1518" w:rsidRDefault="00136E57" w:rsidP="00CD1518">
            <w:pPr>
              <w:spacing w:line="240" w:lineRule="auto"/>
              <w:jc w:val="right"/>
              <w:rPr>
                <w:b/>
                <w:bCs/>
                <w:color w:val="000000"/>
                <w:sz w:val="12"/>
                <w:szCs w:val="12"/>
                <w:lang w:eastAsia="en-AU"/>
              </w:rPr>
            </w:pPr>
          </w:p>
        </w:tc>
        <w:tc>
          <w:tcPr>
            <w:tcW w:w="406" w:type="pct"/>
            <w:tcBorders>
              <w:top w:val="nil"/>
              <w:left w:val="single" w:sz="4" w:space="0" w:color="5B9BD5"/>
              <w:bottom w:val="nil"/>
              <w:right w:val="single" w:sz="4" w:space="0" w:color="5B9BD5"/>
            </w:tcBorders>
            <w:shd w:val="clear" w:color="000000" w:fill="D0CECE"/>
            <w:noWrap/>
            <w:vAlign w:val="center"/>
            <w:hideMark/>
          </w:tcPr>
          <w:p w:rsidR="00136E57" w:rsidRPr="00CD1518" w:rsidRDefault="00136E57" w:rsidP="00CD1518">
            <w:pPr>
              <w:spacing w:line="240" w:lineRule="auto"/>
              <w:jc w:val="right"/>
              <w:rPr>
                <w:b/>
                <w:bCs/>
                <w:color w:val="000000"/>
                <w:sz w:val="12"/>
                <w:szCs w:val="12"/>
                <w:lang w:eastAsia="en-AU"/>
              </w:rPr>
            </w:pPr>
          </w:p>
        </w:tc>
        <w:tc>
          <w:tcPr>
            <w:tcW w:w="554" w:type="pct"/>
            <w:gridSpan w:val="2"/>
            <w:tcBorders>
              <w:top w:val="nil"/>
              <w:left w:val="nil"/>
              <w:bottom w:val="nil"/>
              <w:right w:val="nil"/>
            </w:tcBorders>
            <w:shd w:val="clear" w:color="000000" w:fill="D0CECE"/>
            <w:noWrap/>
            <w:vAlign w:val="center"/>
            <w:hideMark/>
          </w:tcPr>
          <w:p w:rsidR="00136E57" w:rsidRPr="00CD1518" w:rsidRDefault="00136E57" w:rsidP="00CD1518">
            <w:pPr>
              <w:spacing w:line="240" w:lineRule="auto"/>
              <w:jc w:val="right"/>
              <w:rPr>
                <w:b/>
                <w:bCs/>
                <w:color w:val="000000"/>
                <w:sz w:val="12"/>
                <w:szCs w:val="12"/>
                <w:lang w:eastAsia="en-AU"/>
              </w:rPr>
            </w:pPr>
          </w:p>
        </w:tc>
        <w:tc>
          <w:tcPr>
            <w:tcW w:w="408" w:type="pct"/>
            <w:gridSpan w:val="2"/>
            <w:tcBorders>
              <w:top w:val="nil"/>
              <w:left w:val="single" w:sz="4" w:space="0" w:color="5B9BD5"/>
              <w:bottom w:val="nil"/>
              <w:right w:val="single" w:sz="4" w:space="0" w:color="5B9BD5"/>
            </w:tcBorders>
            <w:shd w:val="clear" w:color="000000" w:fill="D0CECE"/>
            <w:noWrap/>
            <w:vAlign w:val="center"/>
            <w:hideMark/>
          </w:tcPr>
          <w:p w:rsidR="00136E57" w:rsidRPr="00CD1518" w:rsidRDefault="00136E57" w:rsidP="00CD1518">
            <w:pPr>
              <w:spacing w:line="240" w:lineRule="auto"/>
              <w:jc w:val="right"/>
              <w:rPr>
                <w:b/>
                <w:bCs/>
                <w:color w:val="000000"/>
                <w:sz w:val="12"/>
                <w:szCs w:val="12"/>
                <w:lang w:eastAsia="en-AU"/>
              </w:rPr>
            </w:pPr>
          </w:p>
        </w:tc>
        <w:tc>
          <w:tcPr>
            <w:tcW w:w="476" w:type="pct"/>
            <w:tcBorders>
              <w:top w:val="nil"/>
              <w:left w:val="nil"/>
              <w:bottom w:val="nil"/>
              <w:right w:val="single" w:sz="4" w:space="0" w:color="5B9BD5"/>
            </w:tcBorders>
            <w:shd w:val="clear" w:color="000000" w:fill="D0CECE"/>
            <w:noWrap/>
            <w:vAlign w:val="center"/>
            <w:hideMark/>
          </w:tcPr>
          <w:p w:rsidR="00136E57" w:rsidRPr="00CD1518" w:rsidRDefault="00136E57" w:rsidP="00CD1518">
            <w:pPr>
              <w:spacing w:line="240" w:lineRule="auto"/>
              <w:jc w:val="right"/>
              <w:rPr>
                <w:b/>
                <w:bCs/>
                <w:color w:val="000000"/>
                <w:sz w:val="12"/>
                <w:szCs w:val="12"/>
                <w:lang w:eastAsia="en-AU"/>
              </w:rPr>
            </w:pPr>
          </w:p>
        </w:tc>
        <w:tc>
          <w:tcPr>
            <w:tcW w:w="397" w:type="pct"/>
            <w:tcBorders>
              <w:top w:val="nil"/>
              <w:left w:val="nil"/>
              <w:bottom w:val="nil"/>
              <w:right w:val="single" w:sz="4" w:space="0" w:color="5B9BD5"/>
            </w:tcBorders>
            <w:shd w:val="clear" w:color="000000" w:fill="D0CECE"/>
            <w:noWrap/>
            <w:vAlign w:val="center"/>
            <w:hideMark/>
          </w:tcPr>
          <w:p w:rsidR="00136E57" w:rsidRPr="00CD1518" w:rsidRDefault="00136E57" w:rsidP="00CD1518">
            <w:pPr>
              <w:spacing w:line="240" w:lineRule="auto"/>
              <w:jc w:val="right"/>
              <w:rPr>
                <w:b/>
                <w:bCs/>
                <w:color w:val="000000"/>
                <w:sz w:val="12"/>
                <w:szCs w:val="12"/>
                <w:lang w:eastAsia="en-AU"/>
              </w:rPr>
            </w:pPr>
          </w:p>
        </w:tc>
      </w:tr>
      <w:tr w:rsidR="00136E57" w:rsidRPr="00DF43A9" w:rsidTr="00136E57">
        <w:trPr>
          <w:trHeight w:val="260"/>
        </w:trPr>
        <w:tc>
          <w:tcPr>
            <w:tcW w:w="554" w:type="pct"/>
            <w:tcBorders>
              <w:top w:val="nil"/>
              <w:left w:val="single" w:sz="4" w:space="0" w:color="5B9BD5"/>
              <w:bottom w:val="nil"/>
              <w:right w:val="nil"/>
            </w:tcBorders>
            <w:shd w:val="clear" w:color="000000" w:fill="FFFFFF"/>
            <w:noWrap/>
            <w:vAlign w:val="center"/>
            <w:hideMark/>
          </w:tcPr>
          <w:p w:rsidR="00DF43A9" w:rsidRPr="00CD1518" w:rsidRDefault="00DF43A9" w:rsidP="00D06D4E">
            <w:pPr>
              <w:spacing w:line="240" w:lineRule="auto"/>
              <w:rPr>
                <w:color w:val="000000"/>
                <w:sz w:val="12"/>
                <w:szCs w:val="12"/>
                <w:lang w:eastAsia="en-AU"/>
              </w:rPr>
            </w:pPr>
            <w:r w:rsidRPr="00CD1518">
              <w:rPr>
                <w:color w:val="000000"/>
                <w:sz w:val="12"/>
                <w:szCs w:val="12"/>
                <w:lang w:eastAsia="en-AU"/>
              </w:rPr>
              <w:t>PAS</w:t>
            </w:r>
          </w:p>
        </w:tc>
        <w:tc>
          <w:tcPr>
            <w:tcW w:w="482" w:type="pct"/>
            <w:tcBorders>
              <w:top w:val="nil"/>
              <w:left w:val="single" w:sz="4" w:space="0" w:color="5B9BD5"/>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65,643</w:t>
            </w:r>
          </w:p>
        </w:tc>
        <w:tc>
          <w:tcPr>
            <w:tcW w:w="474" w:type="pct"/>
            <w:tcBorders>
              <w:top w:val="nil"/>
              <w:left w:val="nil"/>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65,643</w:t>
            </w:r>
          </w:p>
        </w:tc>
        <w:tc>
          <w:tcPr>
            <w:tcW w:w="473"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398" w:type="pct"/>
            <w:tcBorders>
              <w:top w:val="nil"/>
              <w:left w:val="nil"/>
              <w:bottom w:val="nil"/>
              <w:right w:val="nil"/>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352" w:type="pct"/>
            <w:tcBorders>
              <w:top w:val="nil"/>
              <w:left w:val="single" w:sz="4" w:space="0" w:color="5B9BD5"/>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443" w:type="pct"/>
            <w:gridSpan w:val="4"/>
            <w:tcBorders>
              <w:top w:val="nil"/>
              <w:left w:val="nil"/>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541"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402" w:type="pct"/>
            <w:tcBorders>
              <w:top w:val="nil"/>
              <w:left w:val="nil"/>
              <w:bottom w:val="nil"/>
              <w:right w:val="nil"/>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482" w:type="pct"/>
            <w:gridSpan w:val="2"/>
            <w:tcBorders>
              <w:top w:val="nil"/>
              <w:left w:val="single" w:sz="4" w:space="0" w:color="5B9BD5"/>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397" w:type="pct"/>
            <w:tcBorders>
              <w:top w:val="nil"/>
              <w:left w:val="nil"/>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 xml:space="preserve"> -   </w:t>
            </w:r>
          </w:p>
        </w:tc>
      </w:tr>
      <w:tr w:rsidR="00136E57" w:rsidRPr="00DF43A9" w:rsidTr="00136E57">
        <w:trPr>
          <w:trHeight w:val="260"/>
        </w:trPr>
        <w:tc>
          <w:tcPr>
            <w:tcW w:w="554" w:type="pct"/>
            <w:tcBorders>
              <w:top w:val="nil"/>
              <w:left w:val="single" w:sz="4" w:space="0" w:color="5B9BD5"/>
              <w:bottom w:val="nil"/>
              <w:right w:val="nil"/>
            </w:tcBorders>
            <w:shd w:val="clear" w:color="000000" w:fill="DDEBF7"/>
            <w:noWrap/>
            <w:vAlign w:val="center"/>
            <w:hideMark/>
          </w:tcPr>
          <w:p w:rsidR="00DF43A9" w:rsidRPr="00CD1518" w:rsidRDefault="00DF43A9" w:rsidP="00D06D4E">
            <w:pPr>
              <w:spacing w:line="240" w:lineRule="auto"/>
              <w:rPr>
                <w:sz w:val="12"/>
                <w:szCs w:val="12"/>
                <w:lang w:eastAsia="en-AU"/>
              </w:rPr>
            </w:pPr>
            <w:r w:rsidRPr="00CD1518">
              <w:rPr>
                <w:sz w:val="12"/>
                <w:szCs w:val="12"/>
                <w:lang w:eastAsia="en-AU"/>
              </w:rPr>
              <w:t>Emergency</w:t>
            </w:r>
          </w:p>
        </w:tc>
        <w:tc>
          <w:tcPr>
            <w:tcW w:w="482" w:type="pct"/>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sz w:val="12"/>
                <w:szCs w:val="12"/>
                <w:lang w:eastAsia="en-AU"/>
              </w:rPr>
            </w:pPr>
            <w:r w:rsidRPr="00CD1518">
              <w:rPr>
                <w:sz w:val="12"/>
                <w:szCs w:val="12"/>
                <w:lang w:eastAsia="en-AU"/>
              </w:rPr>
              <w:t>54,091</w:t>
            </w:r>
          </w:p>
        </w:tc>
        <w:tc>
          <w:tcPr>
            <w:tcW w:w="474"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sz w:val="12"/>
                <w:szCs w:val="12"/>
                <w:lang w:eastAsia="en-AU"/>
              </w:rPr>
            </w:pPr>
            <w:r w:rsidRPr="00CD1518">
              <w:rPr>
                <w:sz w:val="12"/>
                <w:szCs w:val="12"/>
                <w:lang w:eastAsia="en-AU"/>
              </w:rPr>
              <w:t>54,091</w:t>
            </w:r>
          </w:p>
        </w:tc>
        <w:tc>
          <w:tcPr>
            <w:tcW w:w="473"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398" w:type="pct"/>
            <w:tcBorders>
              <w:top w:val="nil"/>
              <w:left w:val="nil"/>
              <w:bottom w:val="nil"/>
              <w:right w:val="nil"/>
            </w:tcBorders>
            <w:shd w:val="clear" w:color="000000" w:fill="DDEBF7"/>
            <w:noWrap/>
            <w:vAlign w:val="center"/>
            <w:hideMark/>
          </w:tcPr>
          <w:p w:rsidR="00DF43A9" w:rsidRPr="00CD1518" w:rsidRDefault="00DF43A9" w:rsidP="00CD1518">
            <w:pPr>
              <w:spacing w:line="240" w:lineRule="auto"/>
              <w:jc w:val="right"/>
              <w:rPr>
                <w:sz w:val="12"/>
                <w:szCs w:val="12"/>
                <w:lang w:eastAsia="en-AU"/>
              </w:rPr>
            </w:pPr>
            <w:r w:rsidRPr="00CD1518">
              <w:rPr>
                <w:sz w:val="12"/>
                <w:szCs w:val="12"/>
                <w:lang w:eastAsia="en-AU"/>
              </w:rPr>
              <w:t>-</w:t>
            </w:r>
          </w:p>
        </w:tc>
        <w:tc>
          <w:tcPr>
            <w:tcW w:w="365" w:type="pct"/>
            <w:gridSpan w:val="2"/>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sz w:val="12"/>
                <w:szCs w:val="12"/>
                <w:lang w:eastAsia="en-AU"/>
              </w:rPr>
            </w:pPr>
            <w:r w:rsidRPr="00CD1518">
              <w:rPr>
                <w:sz w:val="12"/>
                <w:szCs w:val="12"/>
                <w:lang w:eastAsia="en-AU"/>
              </w:rPr>
              <w:t>-</w:t>
            </w:r>
          </w:p>
        </w:tc>
        <w:tc>
          <w:tcPr>
            <w:tcW w:w="430" w:type="pct"/>
            <w:gridSpan w:val="3"/>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sz w:val="12"/>
                <w:szCs w:val="12"/>
                <w:lang w:eastAsia="en-AU"/>
              </w:rPr>
            </w:pPr>
            <w:r w:rsidRPr="00CD1518">
              <w:rPr>
                <w:sz w:val="12"/>
                <w:szCs w:val="12"/>
                <w:lang w:eastAsia="en-AU"/>
              </w:rPr>
              <w:t>-</w:t>
            </w:r>
          </w:p>
        </w:tc>
        <w:tc>
          <w:tcPr>
            <w:tcW w:w="541"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402" w:type="pct"/>
            <w:tcBorders>
              <w:top w:val="nil"/>
              <w:left w:val="nil"/>
              <w:bottom w:val="nil"/>
              <w:right w:val="nil"/>
            </w:tcBorders>
            <w:shd w:val="clear" w:color="000000" w:fill="DDEBF7"/>
            <w:noWrap/>
            <w:vAlign w:val="center"/>
            <w:hideMark/>
          </w:tcPr>
          <w:p w:rsidR="00DF43A9" w:rsidRPr="00CD1518" w:rsidRDefault="00DF43A9" w:rsidP="00CD1518">
            <w:pPr>
              <w:spacing w:line="240" w:lineRule="auto"/>
              <w:jc w:val="right"/>
              <w:rPr>
                <w:sz w:val="12"/>
                <w:szCs w:val="12"/>
                <w:lang w:eastAsia="en-AU"/>
              </w:rPr>
            </w:pPr>
            <w:r w:rsidRPr="00CD1518">
              <w:rPr>
                <w:sz w:val="12"/>
                <w:szCs w:val="12"/>
                <w:lang w:eastAsia="en-AU"/>
              </w:rPr>
              <w:t>-</w:t>
            </w:r>
          </w:p>
        </w:tc>
        <w:tc>
          <w:tcPr>
            <w:tcW w:w="482" w:type="pct"/>
            <w:gridSpan w:val="2"/>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sz w:val="12"/>
                <w:szCs w:val="12"/>
                <w:lang w:eastAsia="en-AU"/>
              </w:rPr>
            </w:pPr>
            <w:r w:rsidRPr="00CD1518">
              <w:rPr>
                <w:sz w:val="12"/>
                <w:szCs w:val="12"/>
                <w:lang w:eastAsia="en-AU"/>
              </w:rPr>
              <w:t>-</w:t>
            </w:r>
          </w:p>
        </w:tc>
        <w:tc>
          <w:tcPr>
            <w:tcW w:w="397"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sz w:val="12"/>
                <w:szCs w:val="12"/>
                <w:lang w:eastAsia="en-AU"/>
              </w:rPr>
            </w:pPr>
            <w:r w:rsidRPr="00CD1518">
              <w:rPr>
                <w:sz w:val="12"/>
                <w:szCs w:val="12"/>
                <w:lang w:eastAsia="en-AU"/>
              </w:rPr>
              <w:t xml:space="preserve">-   </w:t>
            </w:r>
          </w:p>
        </w:tc>
      </w:tr>
      <w:tr w:rsidR="00136E57" w:rsidRPr="00DF43A9" w:rsidTr="00136E57">
        <w:trPr>
          <w:trHeight w:val="260"/>
        </w:trPr>
        <w:tc>
          <w:tcPr>
            <w:tcW w:w="554" w:type="pct"/>
            <w:tcBorders>
              <w:top w:val="nil"/>
              <w:left w:val="single" w:sz="4" w:space="0" w:color="5B9BD5"/>
              <w:bottom w:val="single" w:sz="4" w:space="0" w:color="5B9BD5"/>
              <w:right w:val="nil"/>
            </w:tcBorders>
            <w:shd w:val="clear" w:color="000000" w:fill="FFFFFF"/>
            <w:noWrap/>
            <w:vAlign w:val="center"/>
            <w:hideMark/>
          </w:tcPr>
          <w:p w:rsidR="00DF43A9" w:rsidRPr="00CD1518" w:rsidRDefault="00DF43A9" w:rsidP="00D06D4E">
            <w:pPr>
              <w:spacing w:line="240" w:lineRule="auto"/>
              <w:rPr>
                <w:color w:val="000000"/>
                <w:sz w:val="12"/>
                <w:szCs w:val="12"/>
                <w:lang w:eastAsia="en-AU"/>
              </w:rPr>
            </w:pPr>
            <w:r w:rsidRPr="00CD1518">
              <w:rPr>
                <w:color w:val="000000"/>
                <w:sz w:val="12"/>
                <w:szCs w:val="12"/>
                <w:lang w:eastAsia="en-AU"/>
              </w:rPr>
              <w:t>Non-admitted</w:t>
            </w:r>
          </w:p>
        </w:tc>
        <w:tc>
          <w:tcPr>
            <w:tcW w:w="482" w:type="pct"/>
            <w:tcBorders>
              <w:top w:val="nil"/>
              <w:left w:val="single" w:sz="4" w:space="0" w:color="5B9BD5"/>
              <w:bottom w:val="single" w:sz="4" w:space="0" w:color="5B9BD5"/>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271,566</w:t>
            </w:r>
          </w:p>
        </w:tc>
        <w:tc>
          <w:tcPr>
            <w:tcW w:w="474" w:type="pct"/>
            <w:tcBorders>
              <w:top w:val="nil"/>
              <w:left w:val="nil"/>
              <w:bottom w:val="single" w:sz="4" w:space="0" w:color="5B9BD5"/>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271,566</w:t>
            </w:r>
          </w:p>
        </w:tc>
        <w:tc>
          <w:tcPr>
            <w:tcW w:w="473" w:type="pct"/>
            <w:tcBorders>
              <w:top w:val="nil"/>
              <w:left w:val="nil"/>
              <w:bottom w:val="single" w:sz="4" w:space="0" w:color="5B9BD5"/>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398" w:type="pct"/>
            <w:tcBorders>
              <w:top w:val="nil"/>
              <w:left w:val="nil"/>
              <w:bottom w:val="single" w:sz="4" w:space="0" w:color="5B9BD5"/>
              <w:right w:val="nil"/>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365" w:type="pct"/>
            <w:gridSpan w:val="2"/>
            <w:tcBorders>
              <w:top w:val="nil"/>
              <w:left w:val="single" w:sz="4" w:space="0" w:color="5B9BD5"/>
              <w:bottom w:val="single" w:sz="4" w:space="0" w:color="5B9BD5"/>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430" w:type="pct"/>
            <w:gridSpan w:val="3"/>
            <w:tcBorders>
              <w:top w:val="nil"/>
              <w:left w:val="nil"/>
              <w:bottom w:val="single" w:sz="4" w:space="0" w:color="5B9BD5"/>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541" w:type="pct"/>
            <w:tcBorders>
              <w:top w:val="nil"/>
              <w:left w:val="nil"/>
              <w:bottom w:val="single" w:sz="4" w:space="0" w:color="5B9BD5"/>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402" w:type="pct"/>
            <w:tcBorders>
              <w:top w:val="nil"/>
              <w:left w:val="nil"/>
              <w:bottom w:val="single" w:sz="4" w:space="0" w:color="5B9BD5"/>
              <w:right w:val="nil"/>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482" w:type="pct"/>
            <w:gridSpan w:val="2"/>
            <w:tcBorders>
              <w:top w:val="nil"/>
              <w:left w:val="single" w:sz="4" w:space="0" w:color="5B9BD5"/>
              <w:bottom w:val="single" w:sz="4" w:space="0" w:color="5B9BD5"/>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397" w:type="pct"/>
            <w:tcBorders>
              <w:top w:val="nil"/>
              <w:left w:val="nil"/>
              <w:bottom w:val="single" w:sz="4" w:space="0" w:color="5B9BD5"/>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 xml:space="preserve">-   </w:t>
            </w:r>
          </w:p>
        </w:tc>
      </w:tr>
      <w:tr w:rsidR="00136E57" w:rsidRPr="00DF43A9" w:rsidTr="00136E57">
        <w:trPr>
          <w:trHeight w:val="260"/>
        </w:trPr>
        <w:tc>
          <w:tcPr>
            <w:tcW w:w="554" w:type="pct"/>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D06D4E">
            <w:pPr>
              <w:spacing w:line="240" w:lineRule="auto"/>
              <w:rPr>
                <w:b/>
                <w:bCs/>
                <w:color w:val="000000"/>
                <w:sz w:val="12"/>
                <w:szCs w:val="12"/>
                <w:lang w:eastAsia="en-AU"/>
              </w:rPr>
            </w:pPr>
            <w:r w:rsidRPr="00CD1518">
              <w:rPr>
                <w:b/>
                <w:bCs/>
                <w:color w:val="000000"/>
                <w:sz w:val="12"/>
                <w:szCs w:val="12"/>
                <w:lang w:eastAsia="en-AU"/>
              </w:rPr>
              <w:t>TOTAL</w:t>
            </w:r>
          </w:p>
        </w:tc>
        <w:tc>
          <w:tcPr>
            <w:tcW w:w="482"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b/>
                <w:bCs/>
                <w:color w:val="000000"/>
                <w:sz w:val="12"/>
                <w:szCs w:val="12"/>
                <w:lang w:eastAsia="en-AU"/>
              </w:rPr>
            </w:pPr>
            <w:r w:rsidRPr="00CD1518">
              <w:rPr>
                <w:b/>
                <w:bCs/>
                <w:color w:val="000000"/>
                <w:sz w:val="12"/>
                <w:szCs w:val="12"/>
                <w:lang w:eastAsia="en-AU"/>
              </w:rPr>
              <w:t>391,300</w:t>
            </w:r>
          </w:p>
        </w:tc>
        <w:tc>
          <w:tcPr>
            <w:tcW w:w="474"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b/>
                <w:bCs/>
                <w:color w:val="000000"/>
                <w:sz w:val="12"/>
                <w:szCs w:val="12"/>
                <w:lang w:eastAsia="en-AU"/>
              </w:rPr>
            </w:pPr>
            <w:r w:rsidRPr="00CD1518">
              <w:rPr>
                <w:b/>
                <w:bCs/>
                <w:color w:val="000000"/>
                <w:sz w:val="12"/>
                <w:szCs w:val="12"/>
                <w:lang w:eastAsia="en-AU"/>
              </w:rPr>
              <w:t>391,300</w:t>
            </w:r>
          </w:p>
        </w:tc>
        <w:tc>
          <w:tcPr>
            <w:tcW w:w="473"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398"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365" w:type="pct"/>
            <w:gridSpan w:val="2"/>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430" w:type="pct"/>
            <w:gridSpan w:val="3"/>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541"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402"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482" w:type="pct"/>
            <w:gridSpan w:val="2"/>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397"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b/>
                <w:bCs/>
                <w:color w:val="000000"/>
                <w:sz w:val="12"/>
                <w:szCs w:val="12"/>
                <w:lang w:eastAsia="en-AU"/>
              </w:rPr>
            </w:pPr>
            <w:r w:rsidRPr="00CD1518">
              <w:rPr>
                <w:b/>
                <w:bCs/>
                <w:color w:val="000000"/>
                <w:sz w:val="12"/>
                <w:szCs w:val="12"/>
                <w:lang w:eastAsia="en-AU"/>
              </w:rPr>
              <w:t> </w:t>
            </w:r>
          </w:p>
        </w:tc>
      </w:tr>
      <w:tr w:rsidR="00136E57" w:rsidRPr="00DF43A9" w:rsidTr="00136E57">
        <w:trPr>
          <w:trHeight w:val="260"/>
        </w:trPr>
        <w:tc>
          <w:tcPr>
            <w:tcW w:w="554" w:type="pct"/>
            <w:tcBorders>
              <w:top w:val="nil"/>
              <w:left w:val="single" w:sz="4" w:space="0" w:color="5B9BD5"/>
              <w:bottom w:val="nil"/>
              <w:right w:val="nil"/>
            </w:tcBorders>
            <w:shd w:val="clear" w:color="000000" w:fill="D0CECE"/>
            <w:noWrap/>
            <w:vAlign w:val="center"/>
            <w:hideMark/>
          </w:tcPr>
          <w:p w:rsidR="00DF43A9" w:rsidRPr="00CD1518" w:rsidRDefault="00DF43A9" w:rsidP="00D06D4E">
            <w:pPr>
              <w:spacing w:line="240" w:lineRule="auto"/>
              <w:rPr>
                <w:b/>
                <w:bCs/>
                <w:color w:val="000000"/>
                <w:sz w:val="12"/>
                <w:szCs w:val="12"/>
                <w:lang w:eastAsia="en-AU"/>
              </w:rPr>
            </w:pPr>
            <w:r w:rsidRPr="00CD1518">
              <w:rPr>
                <w:b/>
                <w:bCs/>
                <w:color w:val="000000"/>
                <w:sz w:val="12"/>
                <w:szCs w:val="12"/>
                <w:lang w:eastAsia="en-AU"/>
              </w:rPr>
              <w:t>Feeder Data</w:t>
            </w:r>
          </w:p>
        </w:tc>
        <w:tc>
          <w:tcPr>
            <w:tcW w:w="482" w:type="pct"/>
            <w:tcBorders>
              <w:top w:val="nil"/>
              <w:left w:val="single" w:sz="4" w:space="0" w:color="5B9BD5"/>
              <w:bottom w:val="nil"/>
              <w:right w:val="single" w:sz="4" w:space="0" w:color="5B9BD5"/>
            </w:tcBorders>
            <w:shd w:val="clear" w:color="000000" w:fill="D0CECE"/>
            <w:noWrap/>
            <w:vAlign w:val="center"/>
            <w:hideMark/>
          </w:tcPr>
          <w:p w:rsidR="00DF43A9" w:rsidRPr="00CD1518" w:rsidRDefault="00DF43A9" w:rsidP="00CD1518">
            <w:pPr>
              <w:spacing w:line="240" w:lineRule="auto"/>
              <w:jc w:val="right"/>
              <w:rPr>
                <w:b/>
                <w:bCs/>
                <w:color w:val="000000"/>
                <w:sz w:val="12"/>
                <w:szCs w:val="12"/>
                <w:lang w:eastAsia="en-AU"/>
              </w:rPr>
            </w:pPr>
          </w:p>
        </w:tc>
        <w:tc>
          <w:tcPr>
            <w:tcW w:w="474" w:type="pct"/>
            <w:tcBorders>
              <w:top w:val="nil"/>
              <w:left w:val="nil"/>
              <w:bottom w:val="nil"/>
              <w:right w:val="nil"/>
            </w:tcBorders>
            <w:shd w:val="clear" w:color="000000" w:fill="D0CECE"/>
            <w:noWrap/>
            <w:vAlign w:val="center"/>
            <w:hideMark/>
          </w:tcPr>
          <w:p w:rsidR="00DF43A9" w:rsidRPr="00CD1518" w:rsidRDefault="00DF43A9" w:rsidP="00CD1518">
            <w:pPr>
              <w:spacing w:line="240" w:lineRule="auto"/>
              <w:jc w:val="right"/>
              <w:rPr>
                <w:b/>
                <w:bCs/>
                <w:color w:val="000000"/>
                <w:sz w:val="12"/>
                <w:szCs w:val="12"/>
                <w:lang w:eastAsia="en-AU"/>
              </w:rPr>
            </w:pPr>
          </w:p>
        </w:tc>
        <w:tc>
          <w:tcPr>
            <w:tcW w:w="473" w:type="pct"/>
            <w:tcBorders>
              <w:top w:val="nil"/>
              <w:left w:val="single" w:sz="4" w:space="0" w:color="5B9BD5"/>
              <w:bottom w:val="nil"/>
              <w:right w:val="single" w:sz="4" w:space="0" w:color="5B9BD5"/>
            </w:tcBorders>
            <w:shd w:val="clear" w:color="000000" w:fill="D0CECE"/>
            <w:noWrap/>
            <w:vAlign w:val="center"/>
            <w:hideMark/>
          </w:tcPr>
          <w:p w:rsidR="00DF43A9" w:rsidRPr="00CD1518" w:rsidRDefault="00DF43A9" w:rsidP="00CD1518">
            <w:pPr>
              <w:spacing w:line="240" w:lineRule="auto"/>
              <w:jc w:val="right"/>
              <w:rPr>
                <w:b/>
                <w:bCs/>
                <w:color w:val="000000"/>
                <w:sz w:val="12"/>
                <w:szCs w:val="12"/>
                <w:lang w:eastAsia="en-AU"/>
              </w:rPr>
            </w:pPr>
          </w:p>
        </w:tc>
        <w:tc>
          <w:tcPr>
            <w:tcW w:w="398" w:type="pct"/>
            <w:tcBorders>
              <w:top w:val="nil"/>
              <w:left w:val="nil"/>
              <w:bottom w:val="nil"/>
              <w:right w:val="nil"/>
            </w:tcBorders>
            <w:shd w:val="clear" w:color="000000" w:fill="D0CECE"/>
            <w:noWrap/>
            <w:vAlign w:val="center"/>
            <w:hideMark/>
          </w:tcPr>
          <w:p w:rsidR="00DF43A9" w:rsidRPr="00CD1518" w:rsidRDefault="00DF43A9" w:rsidP="00CD1518">
            <w:pPr>
              <w:spacing w:line="240" w:lineRule="auto"/>
              <w:jc w:val="right"/>
              <w:rPr>
                <w:b/>
                <w:bCs/>
                <w:color w:val="000000"/>
                <w:sz w:val="12"/>
                <w:szCs w:val="12"/>
                <w:lang w:eastAsia="en-AU"/>
              </w:rPr>
            </w:pPr>
          </w:p>
        </w:tc>
        <w:tc>
          <w:tcPr>
            <w:tcW w:w="365" w:type="pct"/>
            <w:gridSpan w:val="2"/>
            <w:tcBorders>
              <w:top w:val="nil"/>
              <w:left w:val="single" w:sz="4" w:space="0" w:color="5B9BD5"/>
              <w:bottom w:val="nil"/>
              <w:right w:val="single" w:sz="4" w:space="0" w:color="5B9BD5"/>
            </w:tcBorders>
            <w:shd w:val="clear" w:color="000000" w:fill="D0CECE"/>
            <w:noWrap/>
            <w:vAlign w:val="center"/>
            <w:hideMark/>
          </w:tcPr>
          <w:p w:rsidR="00DF43A9" w:rsidRPr="00CD1518" w:rsidRDefault="00DF43A9" w:rsidP="00CD1518">
            <w:pPr>
              <w:spacing w:line="240" w:lineRule="auto"/>
              <w:jc w:val="right"/>
              <w:rPr>
                <w:b/>
                <w:bCs/>
                <w:color w:val="000000"/>
                <w:sz w:val="12"/>
                <w:szCs w:val="12"/>
                <w:lang w:eastAsia="en-AU"/>
              </w:rPr>
            </w:pPr>
          </w:p>
        </w:tc>
        <w:tc>
          <w:tcPr>
            <w:tcW w:w="430" w:type="pct"/>
            <w:gridSpan w:val="3"/>
            <w:tcBorders>
              <w:top w:val="nil"/>
              <w:left w:val="nil"/>
              <w:bottom w:val="nil"/>
              <w:right w:val="single" w:sz="4" w:space="0" w:color="5B9BD5"/>
            </w:tcBorders>
            <w:shd w:val="clear" w:color="000000" w:fill="D0CECE"/>
            <w:noWrap/>
            <w:vAlign w:val="center"/>
            <w:hideMark/>
          </w:tcPr>
          <w:p w:rsidR="00DF43A9" w:rsidRPr="00CD1518" w:rsidRDefault="00DF43A9" w:rsidP="00CD1518">
            <w:pPr>
              <w:spacing w:line="240" w:lineRule="auto"/>
              <w:jc w:val="right"/>
              <w:rPr>
                <w:b/>
                <w:bCs/>
                <w:color w:val="000000"/>
                <w:sz w:val="12"/>
                <w:szCs w:val="12"/>
                <w:lang w:eastAsia="en-AU"/>
              </w:rPr>
            </w:pPr>
          </w:p>
        </w:tc>
        <w:tc>
          <w:tcPr>
            <w:tcW w:w="541" w:type="pct"/>
            <w:tcBorders>
              <w:top w:val="nil"/>
              <w:left w:val="nil"/>
              <w:bottom w:val="nil"/>
              <w:right w:val="single" w:sz="4" w:space="0" w:color="5B9BD5"/>
            </w:tcBorders>
            <w:shd w:val="clear" w:color="000000" w:fill="D0CECE"/>
            <w:noWrap/>
            <w:vAlign w:val="center"/>
            <w:hideMark/>
          </w:tcPr>
          <w:p w:rsidR="00DF43A9" w:rsidRPr="00CD1518" w:rsidRDefault="00DF43A9" w:rsidP="00CD1518">
            <w:pPr>
              <w:spacing w:line="240" w:lineRule="auto"/>
              <w:jc w:val="right"/>
              <w:rPr>
                <w:b/>
                <w:bCs/>
                <w:color w:val="000000"/>
                <w:sz w:val="12"/>
                <w:szCs w:val="12"/>
                <w:lang w:eastAsia="en-AU"/>
              </w:rPr>
            </w:pPr>
          </w:p>
        </w:tc>
        <w:tc>
          <w:tcPr>
            <w:tcW w:w="402" w:type="pct"/>
            <w:tcBorders>
              <w:top w:val="nil"/>
              <w:left w:val="nil"/>
              <w:bottom w:val="nil"/>
              <w:right w:val="nil"/>
            </w:tcBorders>
            <w:shd w:val="clear" w:color="000000" w:fill="D0CECE"/>
            <w:noWrap/>
            <w:vAlign w:val="center"/>
            <w:hideMark/>
          </w:tcPr>
          <w:p w:rsidR="00DF43A9" w:rsidRPr="00CD1518" w:rsidRDefault="00DF43A9" w:rsidP="00CD1518">
            <w:pPr>
              <w:spacing w:line="240" w:lineRule="auto"/>
              <w:jc w:val="right"/>
              <w:rPr>
                <w:b/>
                <w:bCs/>
                <w:color w:val="000000"/>
                <w:sz w:val="12"/>
                <w:szCs w:val="12"/>
                <w:lang w:eastAsia="en-AU"/>
              </w:rPr>
            </w:pPr>
          </w:p>
        </w:tc>
        <w:tc>
          <w:tcPr>
            <w:tcW w:w="482" w:type="pct"/>
            <w:gridSpan w:val="2"/>
            <w:tcBorders>
              <w:top w:val="nil"/>
              <w:left w:val="single" w:sz="4" w:space="0" w:color="5B9BD5"/>
              <w:bottom w:val="nil"/>
              <w:right w:val="single" w:sz="4" w:space="0" w:color="5B9BD5"/>
            </w:tcBorders>
            <w:shd w:val="clear" w:color="000000" w:fill="D0CECE"/>
            <w:noWrap/>
            <w:vAlign w:val="center"/>
            <w:hideMark/>
          </w:tcPr>
          <w:p w:rsidR="00DF43A9" w:rsidRPr="00CD1518" w:rsidRDefault="00DF43A9" w:rsidP="00CD1518">
            <w:pPr>
              <w:spacing w:line="240" w:lineRule="auto"/>
              <w:jc w:val="right"/>
              <w:rPr>
                <w:b/>
                <w:bCs/>
                <w:color w:val="000000"/>
                <w:sz w:val="12"/>
                <w:szCs w:val="12"/>
                <w:lang w:eastAsia="en-AU"/>
              </w:rPr>
            </w:pPr>
          </w:p>
        </w:tc>
        <w:tc>
          <w:tcPr>
            <w:tcW w:w="397" w:type="pct"/>
            <w:tcBorders>
              <w:top w:val="nil"/>
              <w:left w:val="nil"/>
              <w:bottom w:val="nil"/>
              <w:right w:val="single" w:sz="4" w:space="0" w:color="5B9BD5"/>
            </w:tcBorders>
            <w:shd w:val="clear" w:color="000000" w:fill="D0CECE"/>
            <w:noWrap/>
            <w:vAlign w:val="center"/>
            <w:hideMark/>
          </w:tcPr>
          <w:p w:rsidR="00DF43A9" w:rsidRPr="00CD1518" w:rsidRDefault="00DF43A9" w:rsidP="00CD1518">
            <w:pPr>
              <w:spacing w:line="240" w:lineRule="auto"/>
              <w:jc w:val="right"/>
              <w:rPr>
                <w:b/>
                <w:bCs/>
                <w:color w:val="000000"/>
                <w:sz w:val="12"/>
                <w:szCs w:val="12"/>
                <w:lang w:eastAsia="en-AU"/>
              </w:rPr>
            </w:pPr>
            <w:r w:rsidRPr="00CD1518">
              <w:rPr>
                <w:b/>
                <w:bCs/>
                <w:color w:val="000000"/>
                <w:sz w:val="12"/>
                <w:szCs w:val="12"/>
                <w:lang w:eastAsia="en-AU"/>
              </w:rPr>
              <w:t> </w:t>
            </w:r>
          </w:p>
        </w:tc>
      </w:tr>
      <w:tr w:rsidR="00136E57" w:rsidRPr="00DF43A9" w:rsidTr="00136E57">
        <w:trPr>
          <w:trHeight w:val="260"/>
        </w:trPr>
        <w:tc>
          <w:tcPr>
            <w:tcW w:w="554" w:type="pct"/>
            <w:tcBorders>
              <w:top w:val="nil"/>
              <w:left w:val="single" w:sz="4" w:space="0" w:color="5B9BD5"/>
              <w:bottom w:val="nil"/>
              <w:right w:val="nil"/>
            </w:tcBorders>
            <w:shd w:val="clear" w:color="000000" w:fill="FFFFFF"/>
            <w:noWrap/>
            <w:vAlign w:val="center"/>
            <w:hideMark/>
          </w:tcPr>
          <w:p w:rsidR="00DF43A9" w:rsidRPr="00CD1518" w:rsidRDefault="00DF43A9" w:rsidP="00D06D4E">
            <w:pPr>
              <w:spacing w:line="240" w:lineRule="auto"/>
              <w:rPr>
                <w:color w:val="000000"/>
                <w:sz w:val="12"/>
                <w:szCs w:val="12"/>
                <w:lang w:eastAsia="en-AU"/>
              </w:rPr>
            </w:pPr>
            <w:r w:rsidRPr="00CD1518">
              <w:rPr>
                <w:color w:val="000000"/>
                <w:sz w:val="12"/>
                <w:szCs w:val="12"/>
                <w:lang w:eastAsia="en-AU"/>
              </w:rPr>
              <w:t>Anaesthetics</w:t>
            </w:r>
          </w:p>
        </w:tc>
        <w:tc>
          <w:tcPr>
            <w:tcW w:w="482" w:type="pct"/>
            <w:tcBorders>
              <w:top w:val="nil"/>
              <w:left w:val="single" w:sz="4" w:space="0" w:color="5B9BD5"/>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48,246</w:t>
            </w:r>
          </w:p>
        </w:tc>
        <w:tc>
          <w:tcPr>
            <w:tcW w:w="474" w:type="pct"/>
            <w:tcBorders>
              <w:top w:val="nil"/>
              <w:left w:val="nil"/>
              <w:bottom w:val="nil"/>
              <w:right w:val="nil"/>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48,246</w:t>
            </w:r>
          </w:p>
        </w:tc>
        <w:tc>
          <w:tcPr>
            <w:tcW w:w="473" w:type="pct"/>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398" w:type="pct"/>
            <w:tcBorders>
              <w:top w:val="nil"/>
              <w:left w:val="nil"/>
              <w:bottom w:val="nil"/>
              <w:right w:val="nil"/>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48,289</w:t>
            </w:r>
          </w:p>
        </w:tc>
        <w:tc>
          <w:tcPr>
            <w:tcW w:w="365" w:type="pct"/>
            <w:gridSpan w:val="2"/>
            <w:tcBorders>
              <w:top w:val="nil"/>
              <w:left w:val="single" w:sz="4" w:space="0" w:color="5B9BD5"/>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430" w:type="pct"/>
            <w:gridSpan w:val="3"/>
            <w:tcBorders>
              <w:top w:val="nil"/>
              <w:left w:val="nil"/>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541"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48,289</w:t>
            </w:r>
          </w:p>
        </w:tc>
        <w:tc>
          <w:tcPr>
            <w:tcW w:w="402" w:type="pct"/>
            <w:tcBorders>
              <w:top w:val="nil"/>
              <w:left w:val="nil"/>
              <w:bottom w:val="nil"/>
              <w:right w:val="nil"/>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482" w:type="pct"/>
            <w:gridSpan w:val="2"/>
            <w:tcBorders>
              <w:top w:val="nil"/>
              <w:left w:val="single" w:sz="4" w:space="0" w:color="5B9BD5"/>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43</w:t>
            </w:r>
          </w:p>
        </w:tc>
        <w:tc>
          <w:tcPr>
            <w:tcW w:w="397" w:type="pct"/>
            <w:tcBorders>
              <w:top w:val="nil"/>
              <w:left w:val="nil"/>
              <w:bottom w:val="nil"/>
              <w:right w:val="single" w:sz="4" w:space="0" w:color="5B9BD5"/>
            </w:tcBorders>
            <w:shd w:val="clear" w:color="000000" w:fill="FFFFFF"/>
            <w:noWrap/>
            <w:vAlign w:val="center"/>
            <w:hideMark/>
          </w:tcPr>
          <w:p w:rsidR="00DF43A9" w:rsidRPr="00CD1518" w:rsidRDefault="00DF43A9" w:rsidP="00D06D4E">
            <w:pPr>
              <w:spacing w:line="240" w:lineRule="auto"/>
              <w:jc w:val="right"/>
              <w:rPr>
                <w:color w:val="000000"/>
                <w:sz w:val="12"/>
                <w:szCs w:val="12"/>
                <w:lang w:eastAsia="en-AU"/>
              </w:rPr>
            </w:pPr>
            <w:r w:rsidRPr="00CD1518">
              <w:rPr>
                <w:color w:val="000000"/>
                <w:sz w:val="12"/>
                <w:szCs w:val="12"/>
                <w:lang w:eastAsia="en-AU"/>
              </w:rPr>
              <w:t>100%</w:t>
            </w:r>
          </w:p>
        </w:tc>
      </w:tr>
      <w:tr w:rsidR="00136E57" w:rsidRPr="00DF43A9" w:rsidTr="00136E57">
        <w:trPr>
          <w:trHeight w:val="260"/>
        </w:trPr>
        <w:tc>
          <w:tcPr>
            <w:tcW w:w="554" w:type="pct"/>
            <w:tcBorders>
              <w:top w:val="nil"/>
              <w:left w:val="single" w:sz="4" w:space="0" w:color="5B9BD5"/>
              <w:bottom w:val="nil"/>
              <w:right w:val="nil"/>
            </w:tcBorders>
            <w:shd w:val="clear" w:color="000000" w:fill="DDEBF7"/>
            <w:noWrap/>
            <w:vAlign w:val="center"/>
            <w:hideMark/>
          </w:tcPr>
          <w:p w:rsidR="00DF43A9" w:rsidRPr="00CD1518" w:rsidRDefault="00DF43A9" w:rsidP="00D06D4E">
            <w:pPr>
              <w:spacing w:line="240" w:lineRule="auto"/>
              <w:rPr>
                <w:color w:val="000000"/>
                <w:sz w:val="12"/>
                <w:szCs w:val="12"/>
                <w:lang w:eastAsia="en-AU"/>
              </w:rPr>
            </w:pPr>
            <w:r w:rsidRPr="00CD1518">
              <w:rPr>
                <w:color w:val="000000"/>
                <w:sz w:val="12"/>
                <w:szCs w:val="12"/>
                <w:lang w:eastAsia="en-AU"/>
              </w:rPr>
              <w:t>Theatre</w:t>
            </w:r>
          </w:p>
        </w:tc>
        <w:tc>
          <w:tcPr>
            <w:tcW w:w="482" w:type="pct"/>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43,567</w:t>
            </w:r>
          </w:p>
        </w:tc>
        <w:tc>
          <w:tcPr>
            <w:tcW w:w="474" w:type="pct"/>
            <w:tcBorders>
              <w:top w:val="nil"/>
              <w:left w:val="nil"/>
              <w:bottom w:val="nil"/>
              <w:right w:val="nil"/>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43,567</w:t>
            </w:r>
          </w:p>
        </w:tc>
        <w:tc>
          <w:tcPr>
            <w:tcW w:w="473" w:type="pct"/>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398" w:type="pct"/>
            <w:tcBorders>
              <w:top w:val="nil"/>
              <w:left w:val="nil"/>
              <w:bottom w:val="nil"/>
              <w:right w:val="nil"/>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43,567</w:t>
            </w:r>
          </w:p>
        </w:tc>
        <w:tc>
          <w:tcPr>
            <w:tcW w:w="365" w:type="pct"/>
            <w:gridSpan w:val="2"/>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430" w:type="pct"/>
            <w:gridSpan w:val="3"/>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541"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43,567</w:t>
            </w:r>
          </w:p>
        </w:tc>
        <w:tc>
          <w:tcPr>
            <w:tcW w:w="402" w:type="pct"/>
            <w:tcBorders>
              <w:top w:val="nil"/>
              <w:left w:val="nil"/>
              <w:bottom w:val="nil"/>
              <w:right w:val="nil"/>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482" w:type="pct"/>
            <w:gridSpan w:val="2"/>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397" w:type="pct"/>
            <w:tcBorders>
              <w:top w:val="nil"/>
              <w:left w:val="nil"/>
              <w:bottom w:val="nil"/>
              <w:right w:val="single" w:sz="4" w:space="0" w:color="5B9BD5"/>
            </w:tcBorders>
            <w:shd w:val="clear" w:color="000000" w:fill="DDEBF7"/>
            <w:noWrap/>
            <w:vAlign w:val="center"/>
            <w:hideMark/>
          </w:tcPr>
          <w:p w:rsidR="00DF43A9" w:rsidRPr="00CD1518" w:rsidRDefault="00DF43A9" w:rsidP="00D06D4E">
            <w:pPr>
              <w:spacing w:line="240" w:lineRule="auto"/>
              <w:jc w:val="right"/>
              <w:rPr>
                <w:color w:val="000000"/>
                <w:sz w:val="12"/>
                <w:szCs w:val="12"/>
                <w:lang w:eastAsia="en-AU"/>
              </w:rPr>
            </w:pPr>
            <w:r w:rsidRPr="00CD1518">
              <w:rPr>
                <w:color w:val="000000"/>
                <w:sz w:val="12"/>
                <w:szCs w:val="12"/>
                <w:lang w:eastAsia="en-AU"/>
              </w:rPr>
              <w:t>100%</w:t>
            </w:r>
          </w:p>
        </w:tc>
      </w:tr>
      <w:tr w:rsidR="00136E57" w:rsidRPr="00DF43A9" w:rsidTr="00136E57">
        <w:trPr>
          <w:trHeight w:val="260"/>
        </w:trPr>
        <w:tc>
          <w:tcPr>
            <w:tcW w:w="554" w:type="pct"/>
            <w:tcBorders>
              <w:top w:val="nil"/>
              <w:left w:val="single" w:sz="4" w:space="0" w:color="5B9BD5"/>
              <w:bottom w:val="nil"/>
              <w:right w:val="nil"/>
            </w:tcBorders>
            <w:shd w:val="clear" w:color="000000" w:fill="FFFFFF"/>
            <w:noWrap/>
            <w:vAlign w:val="center"/>
            <w:hideMark/>
          </w:tcPr>
          <w:p w:rsidR="00DF43A9" w:rsidRPr="00CD1518" w:rsidRDefault="00DF43A9" w:rsidP="00D06D4E">
            <w:pPr>
              <w:spacing w:line="240" w:lineRule="auto"/>
              <w:rPr>
                <w:color w:val="000000"/>
                <w:sz w:val="12"/>
                <w:szCs w:val="12"/>
                <w:lang w:eastAsia="en-AU"/>
              </w:rPr>
            </w:pPr>
            <w:r w:rsidRPr="00CD1518">
              <w:rPr>
                <w:color w:val="000000"/>
                <w:sz w:val="12"/>
                <w:szCs w:val="12"/>
                <w:lang w:eastAsia="en-AU"/>
              </w:rPr>
              <w:t>Prosthetics</w:t>
            </w:r>
          </w:p>
        </w:tc>
        <w:tc>
          <w:tcPr>
            <w:tcW w:w="482" w:type="pct"/>
            <w:tcBorders>
              <w:top w:val="nil"/>
              <w:left w:val="single" w:sz="4" w:space="0" w:color="5B9BD5"/>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11,249</w:t>
            </w:r>
          </w:p>
        </w:tc>
        <w:tc>
          <w:tcPr>
            <w:tcW w:w="474" w:type="pct"/>
            <w:tcBorders>
              <w:top w:val="nil"/>
              <w:left w:val="nil"/>
              <w:bottom w:val="nil"/>
              <w:right w:val="nil"/>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11,249</w:t>
            </w:r>
          </w:p>
        </w:tc>
        <w:tc>
          <w:tcPr>
            <w:tcW w:w="473" w:type="pct"/>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398" w:type="pct"/>
            <w:tcBorders>
              <w:top w:val="nil"/>
              <w:left w:val="nil"/>
              <w:bottom w:val="nil"/>
              <w:right w:val="nil"/>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11,229</w:t>
            </w:r>
          </w:p>
        </w:tc>
        <w:tc>
          <w:tcPr>
            <w:tcW w:w="365" w:type="pct"/>
            <w:gridSpan w:val="2"/>
            <w:tcBorders>
              <w:top w:val="nil"/>
              <w:left w:val="single" w:sz="4" w:space="0" w:color="5B9BD5"/>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430" w:type="pct"/>
            <w:gridSpan w:val="3"/>
            <w:tcBorders>
              <w:top w:val="nil"/>
              <w:left w:val="nil"/>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541"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11,229</w:t>
            </w:r>
          </w:p>
        </w:tc>
        <w:tc>
          <w:tcPr>
            <w:tcW w:w="402" w:type="pct"/>
            <w:tcBorders>
              <w:top w:val="nil"/>
              <w:left w:val="nil"/>
              <w:bottom w:val="nil"/>
              <w:right w:val="nil"/>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482" w:type="pct"/>
            <w:gridSpan w:val="2"/>
            <w:tcBorders>
              <w:top w:val="nil"/>
              <w:left w:val="single" w:sz="4" w:space="0" w:color="5B9BD5"/>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20</w:t>
            </w:r>
          </w:p>
        </w:tc>
        <w:tc>
          <w:tcPr>
            <w:tcW w:w="397" w:type="pct"/>
            <w:tcBorders>
              <w:top w:val="nil"/>
              <w:left w:val="nil"/>
              <w:bottom w:val="nil"/>
              <w:right w:val="single" w:sz="4" w:space="0" w:color="5B9BD5"/>
            </w:tcBorders>
            <w:shd w:val="clear" w:color="000000" w:fill="FFFFFF"/>
            <w:noWrap/>
            <w:vAlign w:val="center"/>
            <w:hideMark/>
          </w:tcPr>
          <w:p w:rsidR="00DF43A9" w:rsidRPr="00CD1518" w:rsidRDefault="00DF43A9" w:rsidP="00D06D4E">
            <w:pPr>
              <w:spacing w:line="240" w:lineRule="auto"/>
              <w:jc w:val="right"/>
              <w:rPr>
                <w:color w:val="000000"/>
                <w:sz w:val="12"/>
                <w:szCs w:val="12"/>
                <w:lang w:eastAsia="en-AU"/>
              </w:rPr>
            </w:pPr>
            <w:r w:rsidRPr="00CD1518">
              <w:rPr>
                <w:color w:val="000000"/>
                <w:sz w:val="12"/>
                <w:szCs w:val="12"/>
                <w:lang w:eastAsia="en-AU"/>
              </w:rPr>
              <w:t>100%</w:t>
            </w:r>
          </w:p>
        </w:tc>
      </w:tr>
      <w:tr w:rsidR="00136E57" w:rsidRPr="00DF43A9" w:rsidTr="00136E57">
        <w:trPr>
          <w:trHeight w:val="260"/>
        </w:trPr>
        <w:tc>
          <w:tcPr>
            <w:tcW w:w="554" w:type="pct"/>
            <w:tcBorders>
              <w:top w:val="nil"/>
              <w:left w:val="single" w:sz="4" w:space="0" w:color="5B9BD5"/>
              <w:bottom w:val="nil"/>
              <w:right w:val="nil"/>
            </w:tcBorders>
            <w:shd w:val="clear" w:color="000000" w:fill="DDEBF7"/>
            <w:noWrap/>
            <w:vAlign w:val="center"/>
            <w:hideMark/>
          </w:tcPr>
          <w:p w:rsidR="00DF43A9" w:rsidRPr="00CD1518" w:rsidRDefault="00DF43A9" w:rsidP="00D06D4E">
            <w:pPr>
              <w:spacing w:line="240" w:lineRule="auto"/>
              <w:rPr>
                <w:color w:val="000000"/>
                <w:sz w:val="12"/>
                <w:szCs w:val="12"/>
                <w:lang w:eastAsia="en-AU"/>
              </w:rPr>
            </w:pPr>
            <w:r w:rsidRPr="00CD1518">
              <w:rPr>
                <w:color w:val="000000"/>
                <w:sz w:val="12"/>
                <w:szCs w:val="12"/>
                <w:lang w:eastAsia="en-AU"/>
              </w:rPr>
              <w:t>Pathology</w:t>
            </w:r>
          </w:p>
        </w:tc>
        <w:tc>
          <w:tcPr>
            <w:tcW w:w="482" w:type="pct"/>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1,363,821</w:t>
            </w:r>
          </w:p>
        </w:tc>
        <w:tc>
          <w:tcPr>
            <w:tcW w:w="474" w:type="pct"/>
            <w:tcBorders>
              <w:top w:val="nil"/>
              <w:left w:val="nil"/>
              <w:bottom w:val="nil"/>
              <w:right w:val="nil"/>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1,363,821</w:t>
            </w:r>
          </w:p>
        </w:tc>
        <w:tc>
          <w:tcPr>
            <w:tcW w:w="473" w:type="pct"/>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398" w:type="pct"/>
            <w:tcBorders>
              <w:top w:val="nil"/>
              <w:left w:val="nil"/>
              <w:bottom w:val="nil"/>
              <w:right w:val="nil"/>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990,847</w:t>
            </w:r>
          </w:p>
        </w:tc>
        <w:tc>
          <w:tcPr>
            <w:tcW w:w="365" w:type="pct"/>
            <w:gridSpan w:val="2"/>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79,877</w:t>
            </w:r>
          </w:p>
        </w:tc>
        <w:tc>
          <w:tcPr>
            <w:tcW w:w="430" w:type="pct"/>
            <w:gridSpan w:val="3"/>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121,490</w:t>
            </w:r>
          </w:p>
        </w:tc>
        <w:tc>
          <w:tcPr>
            <w:tcW w:w="541"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1,192,214</w:t>
            </w:r>
          </w:p>
        </w:tc>
        <w:tc>
          <w:tcPr>
            <w:tcW w:w="402" w:type="pct"/>
            <w:tcBorders>
              <w:top w:val="nil"/>
              <w:left w:val="nil"/>
              <w:bottom w:val="nil"/>
              <w:right w:val="nil"/>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169,430</w:t>
            </w:r>
          </w:p>
        </w:tc>
        <w:tc>
          <w:tcPr>
            <w:tcW w:w="482" w:type="pct"/>
            <w:gridSpan w:val="2"/>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2,177</w:t>
            </w:r>
          </w:p>
        </w:tc>
        <w:tc>
          <w:tcPr>
            <w:tcW w:w="397" w:type="pct"/>
            <w:tcBorders>
              <w:top w:val="nil"/>
              <w:left w:val="nil"/>
              <w:bottom w:val="nil"/>
              <w:right w:val="single" w:sz="4" w:space="0" w:color="5B9BD5"/>
            </w:tcBorders>
            <w:shd w:val="clear" w:color="000000" w:fill="DDEBF7"/>
            <w:noWrap/>
            <w:vAlign w:val="center"/>
            <w:hideMark/>
          </w:tcPr>
          <w:p w:rsidR="00DF43A9" w:rsidRPr="00CD1518" w:rsidRDefault="00DF43A9" w:rsidP="00D06D4E">
            <w:pPr>
              <w:spacing w:line="240" w:lineRule="auto"/>
              <w:jc w:val="right"/>
              <w:rPr>
                <w:color w:val="000000"/>
                <w:sz w:val="12"/>
                <w:szCs w:val="12"/>
                <w:lang w:eastAsia="en-AU"/>
              </w:rPr>
            </w:pPr>
            <w:r w:rsidRPr="00CD1518">
              <w:rPr>
                <w:color w:val="000000"/>
                <w:sz w:val="12"/>
                <w:szCs w:val="12"/>
                <w:lang w:eastAsia="en-AU"/>
              </w:rPr>
              <w:t>87%</w:t>
            </w:r>
          </w:p>
        </w:tc>
      </w:tr>
      <w:tr w:rsidR="00136E57" w:rsidRPr="00DF43A9" w:rsidTr="00136E57">
        <w:trPr>
          <w:trHeight w:val="260"/>
        </w:trPr>
        <w:tc>
          <w:tcPr>
            <w:tcW w:w="554" w:type="pct"/>
            <w:tcBorders>
              <w:top w:val="nil"/>
              <w:left w:val="single" w:sz="4" w:space="0" w:color="5B9BD5"/>
              <w:bottom w:val="nil"/>
              <w:right w:val="nil"/>
            </w:tcBorders>
            <w:shd w:val="clear" w:color="000000" w:fill="FFFFFF"/>
            <w:noWrap/>
            <w:vAlign w:val="center"/>
            <w:hideMark/>
          </w:tcPr>
          <w:p w:rsidR="00DF43A9" w:rsidRPr="00CD1518" w:rsidRDefault="00DF43A9" w:rsidP="00D06D4E">
            <w:pPr>
              <w:spacing w:line="240" w:lineRule="auto"/>
              <w:rPr>
                <w:color w:val="000000"/>
                <w:sz w:val="12"/>
                <w:szCs w:val="12"/>
                <w:lang w:eastAsia="en-AU"/>
              </w:rPr>
            </w:pPr>
            <w:r w:rsidRPr="00CD1518">
              <w:rPr>
                <w:color w:val="000000"/>
                <w:sz w:val="12"/>
                <w:szCs w:val="12"/>
                <w:lang w:eastAsia="en-AU"/>
              </w:rPr>
              <w:t>Pharmacy</w:t>
            </w:r>
          </w:p>
        </w:tc>
        <w:tc>
          <w:tcPr>
            <w:tcW w:w="482" w:type="pct"/>
            <w:tcBorders>
              <w:top w:val="nil"/>
              <w:left w:val="single" w:sz="4" w:space="0" w:color="5B9BD5"/>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184,153</w:t>
            </w:r>
          </w:p>
        </w:tc>
        <w:tc>
          <w:tcPr>
            <w:tcW w:w="474" w:type="pct"/>
            <w:tcBorders>
              <w:top w:val="nil"/>
              <w:left w:val="nil"/>
              <w:bottom w:val="nil"/>
              <w:right w:val="nil"/>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163,359</w:t>
            </w:r>
          </w:p>
        </w:tc>
        <w:tc>
          <w:tcPr>
            <w:tcW w:w="473" w:type="pct"/>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20,794</w:t>
            </w:r>
          </w:p>
        </w:tc>
        <w:tc>
          <w:tcPr>
            <w:tcW w:w="398" w:type="pct"/>
            <w:tcBorders>
              <w:top w:val="nil"/>
              <w:left w:val="nil"/>
              <w:bottom w:val="nil"/>
              <w:right w:val="nil"/>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130,761</w:t>
            </w:r>
          </w:p>
        </w:tc>
        <w:tc>
          <w:tcPr>
            <w:tcW w:w="365" w:type="pct"/>
            <w:gridSpan w:val="2"/>
            <w:tcBorders>
              <w:top w:val="nil"/>
              <w:left w:val="single" w:sz="4" w:space="0" w:color="5B9BD5"/>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2,917</w:t>
            </w:r>
          </w:p>
        </w:tc>
        <w:tc>
          <w:tcPr>
            <w:tcW w:w="430" w:type="pct"/>
            <w:gridSpan w:val="3"/>
            <w:tcBorders>
              <w:top w:val="nil"/>
              <w:left w:val="nil"/>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21,302</w:t>
            </w:r>
          </w:p>
        </w:tc>
        <w:tc>
          <w:tcPr>
            <w:tcW w:w="541"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154,980</w:t>
            </w:r>
          </w:p>
        </w:tc>
        <w:tc>
          <w:tcPr>
            <w:tcW w:w="402" w:type="pct"/>
            <w:tcBorders>
              <w:top w:val="nil"/>
              <w:left w:val="nil"/>
              <w:bottom w:val="nil"/>
              <w:right w:val="nil"/>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8,379</w:t>
            </w:r>
          </w:p>
        </w:tc>
        <w:tc>
          <w:tcPr>
            <w:tcW w:w="482" w:type="pct"/>
            <w:gridSpan w:val="2"/>
            <w:tcBorders>
              <w:top w:val="nil"/>
              <w:left w:val="single" w:sz="4" w:space="0" w:color="5B9BD5"/>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20,794</w:t>
            </w:r>
          </w:p>
        </w:tc>
        <w:tc>
          <w:tcPr>
            <w:tcW w:w="397" w:type="pct"/>
            <w:tcBorders>
              <w:top w:val="nil"/>
              <w:left w:val="nil"/>
              <w:bottom w:val="nil"/>
              <w:right w:val="single" w:sz="4" w:space="0" w:color="5B9BD5"/>
            </w:tcBorders>
            <w:shd w:val="clear" w:color="000000" w:fill="FFFFFF"/>
            <w:noWrap/>
            <w:vAlign w:val="center"/>
            <w:hideMark/>
          </w:tcPr>
          <w:p w:rsidR="00DF43A9" w:rsidRPr="00CD1518" w:rsidRDefault="00DF43A9" w:rsidP="00D06D4E">
            <w:pPr>
              <w:spacing w:line="240" w:lineRule="auto"/>
              <w:jc w:val="right"/>
              <w:rPr>
                <w:color w:val="000000"/>
                <w:sz w:val="12"/>
                <w:szCs w:val="12"/>
                <w:lang w:eastAsia="en-AU"/>
              </w:rPr>
            </w:pPr>
            <w:r w:rsidRPr="00CD1518">
              <w:rPr>
                <w:color w:val="000000"/>
                <w:sz w:val="12"/>
                <w:szCs w:val="12"/>
                <w:lang w:eastAsia="en-AU"/>
              </w:rPr>
              <w:t>84%</w:t>
            </w:r>
          </w:p>
        </w:tc>
      </w:tr>
      <w:tr w:rsidR="00136E57" w:rsidRPr="00DF43A9" w:rsidTr="00136E57">
        <w:trPr>
          <w:trHeight w:val="260"/>
        </w:trPr>
        <w:tc>
          <w:tcPr>
            <w:tcW w:w="554" w:type="pct"/>
            <w:tcBorders>
              <w:top w:val="nil"/>
              <w:left w:val="single" w:sz="4" w:space="0" w:color="5B9BD5"/>
              <w:bottom w:val="nil"/>
              <w:right w:val="nil"/>
            </w:tcBorders>
            <w:shd w:val="clear" w:color="000000" w:fill="DDEBF7"/>
            <w:noWrap/>
            <w:vAlign w:val="center"/>
            <w:hideMark/>
          </w:tcPr>
          <w:p w:rsidR="00DF43A9" w:rsidRPr="00CD1518" w:rsidRDefault="00DF43A9" w:rsidP="00D06D4E">
            <w:pPr>
              <w:spacing w:line="240" w:lineRule="auto"/>
              <w:rPr>
                <w:color w:val="000000"/>
                <w:sz w:val="12"/>
                <w:szCs w:val="12"/>
                <w:lang w:eastAsia="en-AU"/>
              </w:rPr>
            </w:pPr>
            <w:r w:rsidRPr="00CD1518">
              <w:rPr>
                <w:color w:val="000000"/>
                <w:sz w:val="12"/>
                <w:szCs w:val="12"/>
                <w:lang w:eastAsia="en-AU"/>
              </w:rPr>
              <w:t>Imaging</w:t>
            </w:r>
          </w:p>
        </w:tc>
        <w:tc>
          <w:tcPr>
            <w:tcW w:w="482" w:type="pct"/>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89,221</w:t>
            </w:r>
          </w:p>
        </w:tc>
        <w:tc>
          <w:tcPr>
            <w:tcW w:w="474" w:type="pct"/>
            <w:tcBorders>
              <w:top w:val="nil"/>
              <w:left w:val="nil"/>
              <w:bottom w:val="nil"/>
              <w:right w:val="nil"/>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89,221</w:t>
            </w:r>
          </w:p>
        </w:tc>
        <w:tc>
          <w:tcPr>
            <w:tcW w:w="473" w:type="pct"/>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398" w:type="pct"/>
            <w:tcBorders>
              <w:top w:val="nil"/>
              <w:left w:val="nil"/>
              <w:bottom w:val="nil"/>
              <w:right w:val="nil"/>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50,257</w:t>
            </w:r>
          </w:p>
        </w:tc>
        <w:tc>
          <w:tcPr>
            <w:tcW w:w="365" w:type="pct"/>
            <w:gridSpan w:val="2"/>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11,093</w:t>
            </w:r>
          </w:p>
        </w:tc>
        <w:tc>
          <w:tcPr>
            <w:tcW w:w="430" w:type="pct"/>
            <w:gridSpan w:val="3"/>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22,366</w:t>
            </w:r>
          </w:p>
        </w:tc>
        <w:tc>
          <w:tcPr>
            <w:tcW w:w="541"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83,716</w:t>
            </w:r>
          </w:p>
        </w:tc>
        <w:tc>
          <w:tcPr>
            <w:tcW w:w="402" w:type="pct"/>
            <w:tcBorders>
              <w:top w:val="nil"/>
              <w:left w:val="nil"/>
              <w:bottom w:val="nil"/>
              <w:right w:val="nil"/>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3,746</w:t>
            </w:r>
          </w:p>
        </w:tc>
        <w:tc>
          <w:tcPr>
            <w:tcW w:w="482" w:type="pct"/>
            <w:gridSpan w:val="2"/>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1,759</w:t>
            </w:r>
          </w:p>
        </w:tc>
        <w:tc>
          <w:tcPr>
            <w:tcW w:w="397" w:type="pct"/>
            <w:tcBorders>
              <w:top w:val="nil"/>
              <w:left w:val="nil"/>
              <w:bottom w:val="nil"/>
              <w:right w:val="single" w:sz="4" w:space="0" w:color="5B9BD5"/>
            </w:tcBorders>
            <w:shd w:val="clear" w:color="000000" w:fill="DDEBF7"/>
            <w:noWrap/>
            <w:vAlign w:val="center"/>
            <w:hideMark/>
          </w:tcPr>
          <w:p w:rsidR="00DF43A9" w:rsidRPr="00CD1518" w:rsidRDefault="00DF43A9" w:rsidP="00D06D4E">
            <w:pPr>
              <w:spacing w:line="240" w:lineRule="auto"/>
              <w:jc w:val="right"/>
              <w:rPr>
                <w:color w:val="000000"/>
                <w:sz w:val="12"/>
                <w:szCs w:val="12"/>
                <w:lang w:eastAsia="en-AU"/>
              </w:rPr>
            </w:pPr>
            <w:r w:rsidRPr="00CD1518">
              <w:rPr>
                <w:color w:val="000000"/>
                <w:sz w:val="12"/>
                <w:szCs w:val="12"/>
                <w:lang w:eastAsia="en-AU"/>
              </w:rPr>
              <w:t>94%</w:t>
            </w:r>
          </w:p>
        </w:tc>
      </w:tr>
      <w:tr w:rsidR="00136E57" w:rsidRPr="00DF43A9" w:rsidTr="00136E57">
        <w:trPr>
          <w:trHeight w:val="260"/>
        </w:trPr>
        <w:tc>
          <w:tcPr>
            <w:tcW w:w="554" w:type="pct"/>
            <w:tcBorders>
              <w:top w:val="nil"/>
              <w:left w:val="single" w:sz="4" w:space="0" w:color="5B9BD5"/>
              <w:bottom w:val="nil"/>
              <w:right w:val="nil"/>
            </w:tcBorders>
            <w:shd w:val="clear" w:color="000000" w:fill="FFFFFF"/>
            <w:noWrap/>
            <w:vAlign w:val="center"/>
            <w:hideMark/>
          </w:tcPr>
          <w:p w:rsidR="00DF43A9" w:rsidRPr="00CD1518" w:rsidRDefault="00DF43A9" w:rsidP="00D06D4E">
            <w:pPr>
              <w:spacing w:line="240" w:lineRule="auto"/>
              <w:rPr>
                <w:color w:val="000000"/>
                <w:sz w:val="12"/>
                <w:szCs w:val="12"/>
                <w:lang w:eastAsia="en-AU"/>
              </w:rPr>
            </w:pPr>
            <w:r w:rsidRPr="00CD1518">
              <w:rPr>
                <w:color w:val="000000"/>
                <w:sz w:val="12"/>
                <w:szCs w:val="12"/>
                <w:lang w:eastAsia="en-AU"/>
              </w:rPr>
              <w:t>Allied Health - Speech Pathology</w:t>
            </w:r>
          </w:p>
        </w:tc>
        <w:tc>
          <w:tcPr>
            <w:tcW w:w="482" w:type="pct"/>
            <w:tcBorders>
              <w:top w:val="nil"/>
              <w:left w:val="single" w:sz="4" w:space="0" w:color="5B9BD5"/>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8,796</w:t>
            </w:r>
          </w:p>
        </w:tc>
        <w:tc>
          <w:tcPr>
            <w:tcW w:w="474" w:type="pct"/>
            <w:tcBorders>
              <w:top w:val="nil"/>
              <w:left w:val="nil"/>
              <w:bottom w:val="nil"/>
              <w:right w:val="nil"/>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8,796</w:t>
            </w:r>
          </w:p>
        </w:tc>
        <w:tc>
          <w:tcPr>
            <w:tcW w:w="473" w:type="pct"/>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398" w:type="pct"/>
            <w:tcBorders>
              <w:top w:val="nil"/>
              <w:left w:val="nil"/>
              <w:bottom w:val="nil"/>
              <w:right w:val="nil"/>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4,903</w:t>
            </w:r>
          </w:p>
        </w:tc>
        <w:tc>
          <w:tcPr>
            <w:tcW w:w="365" w:type="pct"/>
            <w:gridSpan w:val="2"/>
            <w:tcBorders>
              <w:top w:val="nil"/>
              <w:left w:val="single" w:sz="4" w:space="0" w:color="5B9BD5"/>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50</w:t>
            </w:r>
          </w:p>
        </w:tc>
        <w:tc>
          <w:tcPr>
            <w:tcW w:w="430" w:type="pct"/>
            <w:gridSpan w:val="3"/>
            <w:tcBorders>
              <w:top w:val="nil"/>
              <w:left w:val="nil"/>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3,843</w:t>
            </w:r>
          </w:p>
        </w:tc>
        <w:tc>
          <w:tcPr>
            <w:tcW w:w="541"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8,796</w:t>
            </w:r>
          </w:p>
        </w:tc>
        <w:tc>
          <w:tcPr>
            <w:tcW w:w="402" w:type="pct"/>
            <w:tcBorders>
              <w:top w:val="nil"/>
              <w:left w:val="nil"/>
              <w:bottom w:val="nil"/>
              <w:right w:val="nil"/>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482" w:type="pct"/>
            <w:gridSpan w:val="2"/>
            <w:tcBorders>
              <w:top w:val="nil"/>
              <w:left w:val="single" w:sz="4" w:space="0" w:color="5B9BD5"/>
              <w:bottom w:val="nil"/>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397" w:type="pct"/>
            <w:tcBorders>
              <w:top w:val="nil"/>
              <w:left w:val="nil"/>
              <w:bottom w:val="nil"/>
              <w:right w:val="single" w:sz="4" w:space="0" w:color="5B9BD5"/>
            </w:tcBorders>
            <w:shd w:val="clear" w:color="000000" w:fill="FFFFFF"/>
            <w:noWrap/>
            <w:vAlign w:val="center"/>
            <w:hideMark/>
          </w:tcPr>
          <w:p w:rsidR="00DF43A9" w:rsidRPr="00CD1518" w:rsidRDefault="00DF43A9" w:rsidP="00D06D4E">
            <w:pPr>
              <w:spacing w:line="240" w:lineRule="auto"/>
              <w:jc w:val="right"/>
              <w:rPr>
                <w:color w:val="000000"/>
                <w:sz w:val="12"/>
                <w:szCs w:val="12"/>
                <w:lang w:eastAsia="en-AU"/>
              </w:rPr>
            </w:pPr>
            <w:r w:rsidRPr="00CD1518">
              <w:rPr>
                <w:color w:val="000000"/>
                <w:sz w:val="12"/>
                <w:szCs w:val="12"/>
                <w:lang w:eastAsia="en-AU"/>
              </w:rPr>
              <w:t>100%</w:t>
            </w:r>
          </w:p>
        </w:tc>
      </w:tr>
      <w:tr w:rsidR="00136E57" w:rsidRPr="00DF43A9" w:rsidTr="00136E57">
        <w:trPr>
          <w:trHeight w:val="260"/>
        </w:trPr>
        <w:tc>
          <w:tcPr>
            <w:tcW w:w="554" w:type="pct"/>
            <w:tcBorders>
              <w:top w:val="nil"/>
              <w:left w:val="single" w:sz="4" w:space="0" w:color="5B9BD5"/>
              <w:bottom w:val="nil"/>
              <w:right w:val="nil"/>
            </w:tcBorders>
            <w:shd w:val="clear" w:color="000000" w:fill="DDEBF7"/>
            <w:noWrap/>
            <w:vAlign w:val="center"/>
            <w:hideMark/>
          </w:tcPr>
          <w:p w:rsidR="00DF43A9" w:rsidRPr="00CD1518" w:rsidRDefault="00DF43A9" w:rsidP="00D06D4E">
            <w:pPr>
              <w:spacing w:line="240" w:lineRule="auto"/>
              <w:rPr>
                <w:color w:val="000000"/>
                <w:sz w:val="12"/>
                <w:szCs w:val="12"/>
                <w:lang w:eastAsia="en-AU"/>
              </w:rPr>
            </w:pPr>
            <w:r w:rsidRPr="00CD1518">
              <w:rPr>
                <w:color w:val="000000"/>
                <w:sz w:val="12"/>
                <w:szCs w:val="12"/>
                <w:lang w:eastAsia="en-AU"/>
              </w:rPr>
              <w:t>Allied Health  - Podiatry</w:t>
            </w:r>
          </w:p>
        </w:tc>
        <w:tc>
          <w:tcPr>
            <w:tcW w:w="482" w:type="pct"/>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10,640</w:t>
            </w:r>
          </w:p>
        </w:tc>
        <w:tc>
          <w:tcPr>
            <w:tcW w:w="474" w:type="pct"/>
            <w:tcBorders>
              <w:top w:val="nil"/>
              <w:left w:val="nil"/>
              <w:bottom w:val="nil"/>
              <w:right w:val="nil"/>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10,640</w:t>
            </w:r>
          </w:p>
        </w:tc>
        <w:tc>
          <w:tcPr>
            <w:tcW w:w="473" w:type="pct"/>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398" w:type="pct"/>
            <w:tcBorders>
              <w:top w:val="nil"/>
              <w:left w:val="nil"/>
              <w:bottom w:val="nil"/>
              <w:right w:val="nil"/>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881</w:t>
            </w:r>
          </w:p>
        </w:tc>
        <w:tc>
          <w:tcPr>
            <w:tcW w:w="365" w:type="pct"/>
            <w:gridSpan w:val="2"/>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17</w:t>
            </w:r>
          </w:p>
        </w:tc>
        <w:tc>
          <w:tcPr>
            <w:tcW w:w="430" w:type="pct"/>
            <w:gridSpan w:val="3"/>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9,742</w:t>
            </w:r>
          </w:p>
        </w:tc>
        <w:tc>
          <w:tcPr>
            <w:tcW w:w="541" w:type="pct"/>
            <w:tcBorders>
              <w:top w:val="nil"/>
              <w:left w:val="nil"/>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10,640</w:t>
            </w:r>
          </w:p>
        </w:tc>
        <w:tc>
          <w:tcPr>
            <w:tcW w:w="402" w:type="pct"/>
            <w:tcBorders>
              <w:top w:val="nil"/>
              <w:left w:val="nil"/>
              <w:bottom w:val="nil"/>
              <w:right w:val="nil"/>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482" w:type="pct"/>
            <w:gridSpan w:val="2"/>
            <w:tcBorders>
              <w:top w:val="nil"/>
              <w:left w:val="single" w:sz="4" w:space="0" w:color="5B9BD5"/>
              <w:bottom w:val="nil"/>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397" w:type="pct"/>
            <w:tcBorders>
              <w:top w:val="nil"/>
              <w:left w:val="nil"/>
              <w:bottom w:val="nil"/>
              <w:right w:val="single" w:sz="4" w:space="0" w:color="5B9BD5"/>
            </w:tcBorders>
            <w:shd w:val="clear" w:color="000000" w:fill="DDEBF7"/>
            <w:noWrap/>
            <w:vAlign w:val="center"/>
            <w:hideMark/>
          </w:tcPr>
          <w:p w:rsidR="00DF43A9" w:rsidRPr="00CD1518" w:rsidRDefault="00DF43A9" w:rsidP="00D06D4E">
            <w:pPr>
              <w:spacing w:line="240" w:lineRule="auto"/>
              <w:jc w:val="right"/>
              <w:rPr>
                <w:color w:val="000000"/>
                <w:sz w:val="12"/>
                <w:szCs w:val="12"/>
                <w:lang w:eastAsia="en-AU"/>
              </w:rPr>
            </w:pPr>
            <w:r w:rsidRPr="00CD1518">
              <w:rPr>
                <w:color w:val="000000"/>
                <w:sz w:val="12"/>
                <w:szCs w:val="12"/>
                <w:lang w:eastAsia="en-AU"/>
              </w:rPr>
              <w:t>100%</w:t>
            </w:r>
          </w:p>
        </w:tc>
      </w:tr>
      <w:tr w:rsidR="00136E57" w:rsidRPr="00DF43A9" w:rsidTr="00136E57">
        <w:trPr>
          <w:trHeight w:val="260"/>
        </w:trPr>
        <w:tc>
          <w:tcPr>
            <w:tcW w:w="554" w:type="pct"/>
            <w:tcBorders>
              <w:top w:val="nil"/>
              <w:left w:val="single" w:sz="4" w:space="0" w:color="5B9BD5"/>
              <w:bottom w:val="single" w:sz="4" w:space="0" w:color="5B9BD5"/>
              <w:right w:val="nil"/>
            </w:tcBorders>
            <w:shd w:val="clear" w:color="000000" w:fill="FFFFFF"/>
            <w:noWrap/>
            <w:vAlign w:val="center"/>
            <w:hideMark/>
          </w:tcPr>
          <w:p w:rsidR="00DF43A9" w:rsidRPr="00CD1518" w:rsidRDefault="00DF43A9" w:rsidP="00D06D4E">
            <w:pPr>
              <w:spacing w:line="240" w:lineRule="auto"/>
              <w:rPr>
                <w:color w:val="000000"/>
                <w:sz w:val="12"/>
                <w:szCs w:val="12"/>
                <w:lang w:eastAsia="en-AU"/>
              </w:rPr>
            </w:pPr>
            <w:r w:rsidRPr="00CD1518">
              <w:rPr>
                <w:color w:val="000000"/>
                <w:sz w:val="12"/>
                <w:szCs w:val="12"/>
                <w:lang w:eastAsia="en-AU"/>
              </w:rPr>
              <w:t>Blood</w:t>
            </w:r>
          </w:p>
        </w:tc>
        <w:tc>
          <w:tcPr>
            <w:tcW w:w="482" w:type="pct"/>
            <w:tcBorders>
              <w:top w:val="nil"/>
              <w:left w:val="single" w:sz="4" w:space="0" w:color="5B9BD5"/>
              <w:bottom w:val="single" w:sz="4" w:space="0" w:color="5B9BD5"/>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14,448</w:t>
            </w:r>
          </w:p>
        </w:tc>
        <w:tc>
          <w:tcPr>
            <w:tcW w:w="474" w:type="pct"/>
            <w:tcBorders>
              <w:top w:val="nil"/>
              <w:left w:val="nil"/>
              <w:bottom w:val="single" w:sz="4" w:space="0" w:color="5B9BD5"/>
              <w:right w:val="nil"/>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14,448</w:t>
            </w:r>
          </w:p>
        </w:tc>
        <w:tc>
          <w:tcPr>
            <w:tcW w:w="473" w:type="pct"/>
            <w:tcBorders>
              <w:top w:val="nil"/>
              <w:left w:val="single" w:sz="4" w:space="0" w:color="5B9BD5"/>
              <w:bottom w:val="single" w:sz="4" w:space="0" w:color="5B9BD5"/>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398" w:type="pct"/>
            <w:tcBorders>
              <w:top w:val="nil"/>
              <w:left w:val="nil"/>
              <w:bottom w:val="single" w:sz="4" w:space="0" w:color="5B9BD5"/>
              <w:right w:val="nil"/>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13,558</w:t>
            </w:r>
          </w:p>
        </w:tc>
        <w:tc>
          <w:tcPr>
            <w:tcW w:w="365" w:type="pct"/>
            <w:gridSpan w:val="2"/>
            <w:tcBorders>
              <w:top w:val="nil"/>
              <w:left w:val="single" w:sz="4" w:space="0" w:color="5B9BD5"/>
              <w:bottom w:val="single" w:sz="4" w:space="0" w:color="5B9BD5"/>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234</w:t>
            </w:r>
          </w:p>
        </w:tc>
        <w:tc>
          <w:tcPr>
            <w:tcW w:w="430" w:type="pct"/>
            <w:gridSpan w:val="3"/>
            <w:tcBorders>
              <w:top w:val="nil"/>
              <w:left w:val="nil"/>
              <w:bottom w:val="single" w:sz="4" w:space="0" w:color="5B9BD5"/>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656</w:t>
            </w:r>
          </w:p>
        </w:tc>
        <w:tc>
          <w:tcPr>
            <w:tcW w:w="541" w:type="pct"/>
            <w:tcBorders>
              <w:top w:val="nil"/>
              <w:left w:val="nil"/>
              <w:bottom w:val="single" w:sz="4" w:space="0" w:color="5B9BD5"/>
              <w:right w:val="single" w:sz="4" w:space="0" w:color="5B9BD5"/>
            </w:tcBorders>
            <w:shd w:val="clear" w:color="000000" w:fill="DDEBF7"/>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14,448</w:t>
            </w:r>
          </w:p>
        </w:tc>
        <w:tc>
          <w:tcPr>
            <w:tcW w:w="402" w:type="pct"/>
            <w:tcBorders>
              <w:top w:val="nil"/>
              <w:left w:val="nil"/>
              <w:bottom w:val="single" w:sz="4" w:space="0" w:color="5B9BD5"/>
              <w:right w:val="nil"/>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482" w:type="pct"/>
            <w:gridSpan w:val="2"/>
            <w:tcBorders>
              <w:top w:val="nil"/>
              <w:left w:val="single" w:sz="4" w:space="0" w:color="5B9BD5"/>
              <w:bottom w:val="single" w:sz="4" w:space="0" w:color="5B9BD5"/>
              <w:right w:val="single" w:sz="4" w:space="0" w:color="5B9BD5"/>
            </w:tcBorders>
            <w:shd w:val="clear" w:color="000000" w:fill="FFFFFF"/>
            <w:noWrap/>
            <w:vAlign w:val="center"/>
            <w:hideMark/>
          </w:tcPr>
          <w:p w:rsidR="00DF43A9" w:rsidRPr="00CD1518" w:rsidRDefault="00DF43A9" w:rsidP="00CD1518">
            <w:pPr>
              <w:spacing w:line="240" w:lineRule="auto"/>
              <w:jc w:val="right"/>
              <w:rPr>
                <w:color w:val="000000"/>
                <w:sz w:val="12"/>
                <w:szCs w:val="12"/>
                <w:lang w:eastAsia="en-AU"/>
              </w:rPr>
            </w:pPr>
            <w:r w:rsidRPr="00CD1518">
              <w:rPr>
                <w:color w:val="000000"/>
                <w:sz w:val="12"/>
                <w:szCs w:val="12"/>
                <w:lang w:eastAsia="en-AU"/>
              </w:rPr>
              <w:t>-</w:t>
            </w:r>
          </w:p>
        </w:tc>
        <w:tc>
          <w:tcPr>
            <w:tcW w:w="397" w:type="pct"/>
            <w:tcBorders>
              <w:top w:val="nil"/>
              <w:left w:val="nil"/>
              <w:bottom w:val="single" w:sz="4" w:space="0" w:color="5B9BD5"/>
              <w:right w:val="single" w:sz="4" w:space="0" w:color="5B9BD5"/>
            </w:tcBorders>
            <w:shd w:val="clear" w:color="000000" w:fill="FFFFFF"/>
            <w:noWrap/>
            <w:vAlign w:val="center"/>
            <w:hideMark/>
          </w:tcPr>
          <w:p w:rsidR="00DF43A9" w:rsidRPr="00CD1518" w:rsidRDefault="00DF43A9" w:rsidP="00D06D4E">
            <w:pPr>
              <w:spacing w:line="240" w:lineRule="auto"/>
              <w:jc w:val="right"/>
              <w:rPr>
                <w:color w:val="000000"/>
                <w:sz w:val="12"/>
                <w:szCs w:val="12"/>
                <w:lang w:eastAsia="en-AU"/>
              </w:rPr>
            </w:pPr>
            <w:r w:rsidRPr="00CD1518">
              <w:rPr>
                <w:color w:val="000000"/>
                <w:sz w:val="12"/>
                <w:szCs w:val="12"/>
                <w:lang w:eastAsia="en-AU"/>
              </w:rPr>
              <w:t>100%</w:t>
            </w:r>
          </w:p>
        </w:tc>
      </w:tr>
    </w:tbl>
    <w:p w:rsidR="00763A20" w:rsidRPr="00975E6B" w:rsidRDefault="00763A20" w:rsidP="00763A20">
      <w:pPr>
        <w:rPr>
          <w:bCs/>
          <w:i/>
          <w:sz w:val="16"/>
          <w:szCs w:val="16"/>
        </w:rPr>
      </w:pPr>
      <w:r w:rsidRPr="00975E6B">
        <w:rPr>
          <w:bCs/>
          <w:i/>
          <w:sz w:val="16"/>
          <w:szCs w:val="16"/>
        </w:rPr>
        <w:t xml:space="preserve">Source: KPMG based on </w:t>
      </w:r>
      <w:r w:rsidR="00901CD9" w:rsidRPr="00975E6B">
        <w:rPr>
          <w:bCs/>
          <w:i/>
          <w:sz w:val="16"/>
          <w:szCs w:val="16"/>
        </w:rPr>
        <w:t>Royal Hobart</w:t>
      </w:r>
      <w:r w:rsidRPr="00975E6B">
        <w:rPr>
          <w:bCs/>
          <w:i/>
          <w:sz w:val="16"/>
          <w:szCs w:val="16"/>
        </w:rPr>
        <w:t xml:space="preserve"> IFR templates</w:t>
      </w:r>
    </w:p>
    <w:p w:rsidR="00763A20" w:rsidRPr="00975E6B" w:rsidRDefault="00763A20" w:rsidP="00763A20">
      <w:pPr>
        <w:pStyle w:val="BodyText"/>
      </w:pPr>
      <w:r w:rsidRPr="00975E6B">
        <w:t xml:space="preserve">The following should be noted about the activity and feeder data for </w:t>
      </w:r>
      <w:r w:rsidR="00901CD9" w:rsidRPr="00975E6B">
        <w:t>Royal Hobart</w:t>
      </w:r>
      <w:r w:rsidRPr="00975E6B">
        <w:t>:</w:t>
      </w:r>
    </w:p>
    <w:p w:rsidR="00763A20" w:rsidRPr="00975E6B" w:rsidRDefault="00763A20" w:rsidP="00F26328">
      <w:pPr>
        <w:pStyle w:val="BodyText"/>
        <w:numPr>
          <w:ilvl w:val="0"/>
          <w:numId w:val="35"/>
        </w:numPr>
      </w:pPr>
      <w:r w:rsidRPr="00975E6B">
        <w:t xml:space="preserve">There are nine feeders utilised by </w:t>
      </w:r>
      <w:r w:rsidR="00901CD9" w:rsidRPr="00975E6B">
        <w:t>Royal Hobart</w:t>
      </w:r>
      <w:r w:rsidR="00037F64" w:rsidRPr="00975E6B">
        <w:t xml:space="preserve"> </w:t>
      </w:r>
      <w:r w:rsidR="007155A1" w:rsidRPr="00975E6B">
        <w:t>and they appear to represent major hospital departments providing resource activity</w:t>
      </w:r>
      <w:r w:rsidRPr="00975E6B">
        <w:t>.</w:t>
      </w:r>
    </w:p>
    <w:p w:rsidR="00763A20" w:rsidRPr="00975E6B" w:rsidRDefault="00037F64" w:rsidP="00F26328">
      <w:pPr>
        <w:pStyle w:val="BodyText"/>
        <w:numPr>
          <w:ilvl w:val="0"/>
          <w:numId w:val="35"/>
        </w:numPr>
      </w:pPr>
      <w:r w:rsidRPr="00975E6B">
        <w:t xml:space="preserve">Feeders representing nursing in wards, ICU and critical care unit (CCU) /high dependency unit were not supplied as reconciliation </w:t>
      </w:r>
      <w:r w:rsidR="0074117C" w:rsidRPr="00975E6B">
        <w:t>was</w:t>
      </w:r>
      <w:r w:rsidRPr="00975E6B">
        <w:t xml:space="preserve"> difficult. This feeder uses a nursing model which inflates records in the feeder on the patient PCCL score.</w:t>
      </w:r>
    </w:p>
    <w:p w:rsidR="00763A20" w:rsidRPr="00975E6B" w:rsidRDefault="00763A20" w:rsidP="00F26328">
      <w:pPr>
        <w:pStyle w:val="BodyText"/>
        <w:numPr>
          <w:ilvl w:val="0"/>
          <w:numId w:val="35"/>
        </w:numPr>
      </w:pPr>
      <w:r w:rsidRPr="00975E6B">
        <w:t xml:space="preserve">The number of records linked from source to product </w:t>
      </w:r>
      <w:r w:rsidR="0074117C" w:rsidRPr="00975E6B">
        <w:t xml:space="preserve">was </w:t>
      </w:r>
      <w:r w:rsidRPr="00975E6B">
        <w:t xml:space="preserve">significant, with seven of the nine feeders </w:t>
      </w:r>
      <w:r w:rsidR="00037F64" w:rsidRPr="00975E6B">
        <w:t>having</w:t>
      </w:r>
      <w:r w:rsidRPr="00975E6B">
        <w:t xml:space="preserve"> a greater than 90</w:t>
      </w:r>
      <w:r w:rsidR="00DA7807" w:rsidRPr="00975E6B">
        <w:t> percent</w:t>
      </w:r>
      <w:r w:rsidRPr="00975E6B">
        <w:t xml:space="preserve"> link or match.</w:t>
      </w:r>
      <w:r w:rsidR="00037F64" w:rsidRPr="00975E6B">
        <w:t xml:space="preserve"> This suggests that there is robustness in the level of feeder activity reported back to episodes.</w:t>
      </w:r>
    </w:p>
    <w:p w:rsidR="00763A20" w:rsidRPr="00975E6B" w:rsidRDefault="00763A20" w:rsidP="00F26328">
      <w:pPr>
        <w:pStyle w:val="BodyText"/>
        <w:numPr>
          <w:ilvl w:val="0"/>
          <w:numId w:val="35"/>
        </w:numPr>
      </w:pPr>
      <w:r w:rsidRPr="00975E6B">
        <w:t>Variances in pharmacy and imaging occurred as these records represented services offered to patients in other facilities.</w:t>
      </w:r>
    </w:p>
    <w:p w:rsidR="00763A20" w:rsidRPr="00975E6B" w:rsidRDefault="00763A20" w:rsidP="00F26328">
      <w:pPr>
        <w:pStyle w:val="BodyText"/>
        <w:numPr>
          <w:ilvl w:val="0"/>
          <w:numId w:val="35"/>
        </w:numPr>
      </w:pPr>
      <w:r w:rsidRPr="00975E6B">
        <w:t>Variances in prosthesis, pathology and MRI occurred as these records could not be matched based on episode numbers.</w:t>
      </w:r>
    </w:p>
    <w:p w:rsidR="00763A20" w:rsidRPr="00975E6B" w:rsidRDefault="00177AA9" w:rsidP="00763A20">
      <w:pPr>
        <w:pStyle w:val="BodyText"/>
      </w:pPr>
      <w:r>
        <w:fldChar w:fldCharType="begin"/>
      </w:r>
      <w:r>
        <w:instrText xml:space="preserve"> REF _Ref433226870 \h </w:instrText>
      </w:r>
      <w:r>
        <w:fldChar w:fldCharType="separate"/>
      </w:r>
      <w:r w:rsidR="00154CF7" w:rsidRPr="00975E6B">
        <w:t xml:space="preserve">Table </w:t>
      </w:r>
      <w:r w:rsidR="00154CF7">
        <w:rPr>
          <w:bCs/>
          <w:noProof/>
        </w:rPr>
        <w:t>74</w:t>
      </w:r>
      <w:r>
        <w:fldChar w:fldCharType="end"/>
      </w:r>
      <w:r>
        <w:t xml:space="preserve"> </w:t>
      </w:r>
      <w:r w:rsidR="00763A20" w:rsidRPr="00975E6B">
        <w:t xml:space="preserve">highlights the transfer of activity data from </w:t>
      </w:r>
      <w:r w:rsidR="00901CD9" w:rsidRPr="00975E6B">
        <w:t>Royal Hobart</w:t>
      </w:r>
      <w:r w:rsidR="00763A20" w:rsidRPr="00975E6B">
        <w:t xml:space="preserve"> to </w:t>
      </w:r>
      <w:r w:rsidR="00246CFD" w:rsidRPr="00975E6B">
        <w:t>TAS-DHHS</w:t>
      </w:r>
      <w:r w:rsidR="00763A20" w:rsidRPr="00975E6B">
        <w:t xml:space="preserve"> and then through to IHPA submission and finalisation.</w:t>
      </w:r>
    </w:p>
    <w:p w:rsidR="00B5622A" w:rsidRPr="00975E6B" w:rsidRDefault="00763A20" w:rsidP="00267786">
      <w:pPr>
        <w:pStyle w:val="Caption"/>
        <w:pageBreakBefore/>
      </w:pPr>
      <w:bookmarkStart w:id="789" w:name="_Ref433226870"/>
      <w:bookmarkStart w:id="790" w:name="_Ref444517419"/>
      <w:r w:rsidRPr="00975E6B">
        <w:lastRenderedPageBreak/>
        <w:t xml:space="preserve">Table </w:t>
      </w:r>
      <w:r w:rsidR="003E3288" w:rsidRPr="00274CCD">
        <w:rPr>
          <w:bCs w:val="0"/>
        </w:rPr>
        <w:fldChar w:fldCharType="begin"/>
      </w:r>
      <w:r w:rsidR="003E3288" w:rsidRPr="00274CCD">
        <w:rPr>
          <w:bCs w:val="0"/>
        </w:rPr>
        <w:instrText xml:space="preserve"> SEQ Table \* ARABIC </w:instrText>
      </w:r>
      <w:r w:rsidR="003E3288" w:rsidRPr="00274CCD">
        <w:rPr>
          <w:bCs w:val="0"/>
        </w:rPr>
        <w:fldChar w:fldCharType="separate"/>
      </w:r>
      <w:r w:rsidR="00154CF7">
        <w:rPr>
          <w:bCs w:val="0"/>
          <w:noProof/>
        </w:rPr>
        <w:t>74</w:t>
      </w:r>
      <w:r w:rsidR="003E3288" w:rsidRPr="00274CCD">
        <w:rPr>
          <w:bCs w:val="0"/>
          <w:noProof/>
        </w:rPr>
        <w:fldChar w:fldCharType="end"/>
      </w:r>
      <w:bookmarkEnd w:id="789"/>
      <w:bookmarkEnd w:id="790"/>
      <w:r w:rsidR="00BA3F4B" w:rsidRPr="00975E6B">
        <w:t xml:space="preserve"> </w:t>
      </w:r>
      <w:r w:rsidRPr="00975E6B">
        <w:t>– Activity data submission – Royal Hobart Hospital</w:t>
      </w:r>
    </w:p>
    <w:tbl>
      <w:tblPr>
        <w:tblW w:w="5000" w:type="pct"/>
        <w:tblLayout w:type="fixed"/>
        <w:tblLook w:val="04A0" w:firstRow="1" w:lastRow="0" w:firstColumn="1" w:lastColumn="0" w:noHBand="0" w:noVBand="1"/>
        <w:tblCaption w:val="Table 74 - Activity submission - Royal Hobart Hospital"/>
        <w:tblDescription w:val="This table highlights the transfer of activity data from Royal Hobart Hospital to TAS-DHHS and then through to IHPA submission and finalisation. There are 8 columns. Column 1 is the NHCDC product type, Column 2 is the activity related to 2013-14 costs, column 3 is the adjustments to Column 2, column 4 is the activity submitted to the jurisdiction, column 5 is the adjustments to column 4, column 6 is the activity submitted to IHPA, column 7 is the adjustments to column 6 and column 8 is the total activity submitted for the Round 18 NHCDC.&#10;"/>
      </w:tblPr>
      <w:tblGrid>
        <w:gridCol w:w="1668"/>
        <w:gridCol w:w="1007"/>
        <w:gridCol w:w="1009"/>
        <w:gridCol w:w="1007"/>
        <w:gridCol w:w="1008"/>
        <w:gridCol w:w="1006"/>
        <w:gridCol w:w="1008"/>
        <w:gridCol w:w="1008"/>
      </w:tblGrid>
      <w:tr w:rsidR="00B5622A" w:rsidRPr="00B5622A" w:rsidTr="00E14378">
        <w:trPr>
          <w:trHeight w:val="1040"/>
        </w:trPr>
        <w:tc>
          <w:tcPr>
            <w:tcW w:w="956"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B5622A" w:rsidRPr="00CD1518" w:rsidRDefault="00B5622A" w:rsidP="00B5622A">
            <w:pPr>
              <w:spacing w:line="240" w:lineRule="auto"/>
              <w:rPr>
                <w:b/>
                <w:bCs/>
                <w:color w:val="FFFFFF"/>
                <w:sz w:val="14"/>
                <w:szCs w:val="14"/>
                <w:lang w:eastAsia="en-AU"/>
              </w:rPr>
            </w:pPr>
            <w:r w:rsidRPr="00CD1518">
              <w:rPr>
                <w:b/>
                <w:bCs/>
                <w:color w:val="FFFFFF"/>
                <w:sz w:val="14"/>
                <w:szCs w:val="14"/>
                <w:lang w:eastAsia="en-AU"/>
              </w:rPr>
              <w:t>Product</w:t>
            </w:r>
          </w:p>
        </w:tc>
        <w:tc>
          <w:tcPr>
            <w:tcW w:w="577" w:type="pct"/>
            <w:tcBorders>
              <w:top w:val="single" w:sz="4" w:space="0" w:color="5B9BD5"/>
              <w:left w:val="nil"/>
              <w:bottom w:val="single" w:sz="4" w:space="0" w:color="5B9BD5"/>
              <w:right w:val="single" w:sz="4" w:space="0" w:color="5B9BD5"/>
            </w:tcBorders>
            <w:shd w:val="clear" w:color="auto" w:fill="002060"/>
            <w:vAlign w:val="bottom"/>
            <w:hideMark/>
          </w:tcPr>
          <w:p w:rsidR="00B5622A" w:rsidRPr="00CD1518" w:rsidRDefault="00B5622A" w:rsidP="00B5622A">
            <w:pPr>
              <w:spacing w:line="240" w:lineRule="auto"/>
              <w:jc w:val="center"/>
              <w:rPr>
                <w:b/>
                <w:bCs/>
                <w:color w:val="FFFFFF"/>
                <w:sz w:val="14"/>
                <w:szCs w:val="14"/>
                <w:lang w:eastAsia="en-AU"/>
              </w:rPr>
            </w:pPr>
            <w:r w:rsidRPr="00CD1518">
              <w:rPr>
                <w:b/>
                <w:bCs/>
                <w:color w:val="FFFFFF"/>
                <w:sz w:val="14"/>
                <w:szCs w:val="14"/>
                <w:lang w:eastAsia="en-AU"/>
              </w:rPr>
              <w:t>Activity related to 2013-14 Costs</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B5622A" w:rsidRPr="00CD1518" w:rsidRDefault="00B5622A" w:rsidP="00B5622A">
            <w:pPr>
              <w:spacing w:line="240" w:lineRule="auto"/>
              <w:jc w:val="center"/>
              <w:rPr>
                <w:b/>
                <w:bCs/>
                <w:color w:val="FFFFFF"/>
                <w:sz w:val="12"/>
                <w:szCs w:val="12"/>
                <w:lang w:eastAsia="en-AU"/>
              </w:rPr>
            </w:pPr>
            <w:r w:rsidRPr="00CD1518">
              <w:rPr>
                <w:b/>
                <w:bCs/>
                <w:color w:val="FFFFFF"/>
                <w:sz w:val="12"/>
                <w:szCs w:val="12"/>
                <w:lang w:eastAsia="en-AU"/>
              </w:rPr>
              <w:t>Adjustment</w:t>
            </w:r>
          </w:p>
        </w:tc>
        <w:tc>
          <w:tcPr>
            <w:tcW w:w="577" w:type="pct"/>
            <w:tcBorders>
              <w:top w:val="single" w:sz="4" w:space="0" w:color="5B9BD5"/>
              <w:left w:val="nil"/>
              <w:bottom w:val="single" w:sz="4" w:space="0" w:color="5B9BD5"/>
              <w:right w:val="single" w:sz="4" w:space="0" w:color="5B9BD5"/>
            </w:tcBorders>
            <w:shd w:val="clear" w:color="auto" w:fill="002060"/>
            <w:vAlign w:val="bottom"/>
            <w:hideMark/>
          </w:tcPr>
          <w:p w:rsidR="00B5622A" w:rsidRPr="00CD1518" w:rsidRDefault="00B5622A" w:rsidP="00B5622A">
            <w:pPr>
              <w:spacing w:line="240" w:lineRule="auto"/>
              <w:jc w:val="center"/>
              <w:rPr>
                <w:b/>
                <w:bCs/>
                <w:color w:val="FFFFFF"/>
                <w:sz w:val="14"/>
                <w:szCs w:val="14"/>
                <w:lang w:eastAsia="en-AU"/>
              </w:rPr>
            </w:pPr>
            <w:r w:rsidRPr="00CD1518">
              <w:rPr>
                <w:b/>
                <w:bCs/>
                <w:color w:val="FFFFFF"/>
                <w:sz w:val="14"/>
                <w:szCs w:val="14"/>
                <w:lang w:eastAsia="en-AU"/>
              </w:rPr>
              <w:t>Activity submitted to jurisdiction</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B5622A" w:rsidRPr="00CD1518" w:rsidRDefault="00B5622A" w:rsidP="00B5622A">
            <w:pPr>
              <w:spacing w:line="240" w:lineRule="auto"/>
              <w:jc w:val="center"/>
              <w:rPr>
                <w:b/>
                <w:bCs/>
                <w:color w:val="FFFFFF"/>
                <w:sz w:val="12"/>
                <w:szCs w:val="12"/>
                <w:lang w:eastAsia="en-AU"/>
              </w:rPr>
            </w:pPr>
            <w:r w:rsidRPr="00CD1518">
              <w:rPr>
                <w:b/>
                <w:bCs/>
                <w:color w:val="FFFFFF"/>
                <w:sz w:val="12"/>
                <w:szCs w:val="12"/>
                <w:lang w:eastAsia="en-AU"/>
              </w:rPr>
              <w:t>Adjustment</w:t>
            </w:r>
          </w:p>
        </w:tc>
        <w:tc>
          <w:tcPr>
            <w:tcW w:w="577" w:type="pct"/>
            <w:tcBorders>
              <w:top w:val="single" w:sz="4" w:space="0" w:color="5B9BD5"/>
              <w:left w:val="nil"/>
              <w:bottom w:val="single" w:sz="4" w:space="0" w:color="5B9BD5"/>
              <w:right w:val="single" w:sz="4" w:space="0" w:color="5B9BD5"/>
            </w:tcBorders>
            <w:shd w:val="clear" w:color="auto" w:fill="002060"/>
            <w:vAlign w:val="bottom"/>
            <w:hideMark/>
          </w:tcPr>
          <w:p w:rsidR="00B5622A" w:rsidRPr="00CD1518" w:rsidRDefault="00B5622A" w:rsidP="00B5622A">
            <w:pPr>
              <w:spacing w:line="240" w:lineRule="auto"/>
              <w:jc w:val="center"/>
              <w:rPr>
                <w:b/>
                <w:bCs/>
                <w:color w:val="FFFFFF"/>
                <w:sz w:val="14"/>
                <w:szCs w:val="14"/>
                <w:lang w:eastAsia="en-AU"/>
              </w:rPr>
            </w:pPr>
            <w:r w:rsidRPr="00CD1518">
              <w:rPr>
                <w:b/>
                <w:bCs/>
                <w:color w:val="FFFFFF"/>
                <w:sz w:val="14"/>
                <w:szCs w:val="14"/>
                <w:lang w:eastAsia="en-AU"/>
              </w:rPr>
              <w:t>Activity received by IHPA</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B5622A" w:rsidRPr="00CD1518" w:rsidRDefault="00B5622A" w:rsidP="00B5622A">
            <w:pPr>
              <w:spacing w:line="240" w:lineRule="auto"/>
              <w:jc w:val="center"/>
              <w:rPr>
                <w:b/>
                <w:bCs/>
                <w:color w:val="FFFFFF"/>
                <w:sz w:val="12"/>
                <w:szCs w:val="12"/>
                <w:lang w:eastAsia="en-AU"/>
              </w:rPr>
            </w:pPr>
            <w:r w:rsidRPr="00CD1518">
              <w:rPr>
                <w:b/>
                <w:bCs/>
                <w:color w:val="FFFFFF"/>
                <w:sz w:val="12"/>
                <w:szCs w:val="12"/>
                <w:lang w:eastAsia="en-AU"/>
              </w:rPr>
              <w:t>Adjustment</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B5622A" w:rsidRPr="00CD1518" w:rsidRDefault="00B5622A" w:rsidP="00B5622A">
            <w:pPr>
              <w:spacing w:line="240" w:lineRule="auto"/>
              <w:jc w:val="center"/>
              <w:rPr>
                <w:b/>
                <w:bCs/>
                <w:color w:val="FFFFFF"/>
                <w:sz w:val="14"/>
                <w:szCs w:val="14"/>
                <w:lang w:eastAsia="en-AU"/>
              </w:rPr>
            </w:pPr>
            <w:r w:rsidRPr="00CD1518">
              <w:rPr>
                <w:b/>
                <w:bCs/>
                <w:color w:val="FFFFFF"/>
                <w:sz w:val="14"/>
                <w:szCs w:val="14"/>
                <w:lang w:eastAsia="en-AU"/>
              </w:rPr>
              <w:t>Total Activity submitted for Round 18 NHCDC</w:t>
            </w:r>
          </w:p>
        </w:tc>
      </w:tr>
      <w:tr w:rsidR="00B5622A" w:rsidRPr="00B5622A" w:rsidTr="00CD1518">
        <w:trPr>
          <w:trHeight w:val="26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B5622A" w:rsidRPr="00CD1518" w:rsidRDefault="00B5622A">
            <w:pPr>
              <w:spacing w:line="240" w:lineRule="auto"/>
              <w:rPr>
                <w:color w:val="000000"/>
                <w:sz w:val="14"/>
                <w:szCs w:val="14"/>
                <w:lang w:eastAsia="en-AU"/>
              </w:rPr>
            </w:pPr>
            <w:r w:rsidRPr="00CD1518">
              <w:rPr>
                <w:color w:val="000000"/>
                <w:sz w:val="14"/>
                <w:szCs w:val="14"/>
                <w:lang w:eastAsia="en-AU"/>
              </w:rPr>
              <w:t>Acute</w:t>
            </w:r>
          </w:p>
        </w:tc>
        <w:tc>
          <w:tcPr>
            <w:tcW w:w="577" w:type="pct"/>
            <w:tcBorders>
              <w:top w:val="nil"/>
              <w:left w:val="nil"/>
              <w:bottom w:val="single" w:sz="4" w:space="0" w:color="5B9BD5"/>
              <w:right w:val="single" w:sz="4" w:space="0" w:color="5B9BD5"/>
            </w:tcBorders>
            <w:shd w:val="clear" w:color="000000" w:fill="FFFFFF"/>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64,341</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64,341</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(18,606)</w:t>
            </w:r>
          </w:p>
        </w:tc>
        <w:tc>
          <w:tcPr>
            <w:tcW w:w="577" w:type="pct"/>
            <w:tcBorders>
              <w:top w:val="nil"/>
              <w:left w:val="nil"/>
              <w:bottom w:val="single" w:sz="4" w:space="0" w:color="5B9BD5"/>
              <w:right w:val="single" w:sz="4" w:space="0" w:color="5B9BD5"/>
            </w:tcBorders>
            <w:shd w:val="clear" w:color="000000" w:fill="FFFFFF"/>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45,735</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45,735</w:t>
            </w:r>
          </w:p>
        </w:tc>
      </w:tr>
      <w:tr w:rsidR="00B5622A" w:rsidRPr="00B5622A" w:rsidTr="00CD1518">
        <w:trPr>
          <w:trHeight w:val="26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B5622A" w:rsidRPr="00CD1518" w:rsidRDefault="00B5622A">
            <w:pPr>
              <w:spacing w:line="240" w:lineRule="auto"/>
              <w:rPr>
                <w:color w:val="000000"/>
                <w:sz w:val="14"/>
                <w:szCs w:val="14"/>
                <w:lang w:eastAsia="en-AU"/>
              </w:rPr>
            </w:pPr>
            <w:r w:rsidRPr="00CD1518">
              <w:rPr>
                <w:color w:val="000000"/>
                <w:sz w:val="14"/>
                <w:szCs w:val="14"/>
                <w:lang w:eastAsia="en-AU"/>
              </w:rPr>
              <w:t>Non-admitted</w:t>
            </w:r>
          </w:p>
        </w:tc>
        <w:tc>
          <w:tcPr>
            <w:tcW w:w="577"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271,566</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271,566</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(137,872)</w:t>
            </w:r>
          </w:p>
        </w:tc>
        <w:tc>
          <w:tcPr>
            <w:tcW w:w="577"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133,694</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133,694</w:t>
            </w:r>
          </w:p>
        </w:tc>
      </w:tr>
      <w:tr w:rsidR="00B5622A" w:rsidRPr="00B5622A" w:rsidTr="00CD1518">
        <w:trPr>
          <w:trHeight w:val="26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B5622A" w:rsidRPr="00CD1518" w:rsidRDefault="00B5622A">
            <w:pPr>
              <w:spacing w:line="240" w:lineRule="auto"/>
              <w:rPr>
                <w:color w:val="000000"/>
                <w:sz w:val="14"/>
                <w:szCs w:val="14"/>
                <w:lang w:eastAsia="en-AU"/>
              </w:rPr>
            </w:pPr>
            <w:r w:rsidRPr="00CD1518">
              <w:rPr>
                <w:color w:val="000000"/>
                <w:sz w:val="14"/>
                <w:szCs w:val="14"/>
                <w:lang w:eastAsia="en-AU"/>
              </w:rPr>
              <w:t>Emergency</w:t>
            </w:r>
          </w:p>
        </w:tc>
        <w:tc>
          <w:tcPr>
            <w:tcW w:w="577" w:type="pct"/>
            <w:tcBorders>
              <w:top w:val="nil"/>
              <w:left w:val="nil"/>
              <w:bottom w:val="single" w:sz="4" w:space="0" w:color="5B9BD5"/>
              <w:right w:val="single" w:sz="4" w:space="0" w:color="5B9BD5"/>
            </w:tcBorders>
            <w:shd w:val="clear" w:color="000000" w:fill="FFFFFF"/>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54,091</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54,091</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54,091</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54,091</w:t>
            </w:r>
          </w:p>
        </w:tc>
      </w:tr>
      <w:tr w:rsidR="00B5622A" w:rsidRPr="00B5622A" w:rsidTr="00CD1518">
        <w:trPr>
          <w:trHeight w:val="26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B5622A" w:rsidRPr="00CD1518" w:rsidRDefault="00B5622A">
            <w:pPr>
              <w:spacing w:line="240" w:lineRule="auto"/>
              <w:rPr>
                <w:color w:val="000000"/>
                <w:sz w:val="14"/>
                <w:szCs w:val="14"/>
                <w:lang w:eastAsia="en-AU"/>
              </w:rPr>
            </w:pPr>
            <w:proofErr w:type="spellStart"/>
            <w:r w:rsidRPr="00CD1518">
              <w:rPr>
                <w:color w:val="000000"/>
                <w:sz w:val="14"/>
                <w:szCs w:val="14"/>
                <w:lang w:eastAsia="en-AU"/>
              </w:rPr>
              <w:t>Sub Acute</w:t>
            </w:r>
            <w:proofErr w:type="spellEnd"/>
          </w:p>
        </w:tc>
        <w:tc>
          <w:tcPr>
            <w:tcW w:w="577"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1,302</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1,302</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(41)</w:t>
            </w:r>
          </w:p>
        </w:tc>
        <w:tc>
          <w:tcPr>
            <w:tcW w:w="577"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1,261</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1,261</w:t>
            </w:r>
          </w:p>
        </w:tc>
      </w:tr>
      <w:tr w:rsidR="00B5622A" w:rsidRPr="00B5622A" w:rsidTr="00CD1518">
        <w:trPr>
          <w:trHeight w:val="26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B5622A" w:rsidRPr="00CD1518" w:rsidRDefault="00B5622A">
            <w:pPr>
              <w:spacing w:line="240" w:lineRule="auto"/>
              <w:rPr>
                <w:color w:val="000000"/>
                <w:sz w:val="14"/>
                <w:szCs w:val="14"/>
                <w:lang w:eastAsia="en-AU"/>
              </w:rPr>
            </w:pPr>
            <w:r w:rsidRPr="00CD1518">
              <w:rPr>
                <w:color w:val="000000"/>
                <w:sz w:val="14"/>
                <w:szCs w:val="14"/>
                <w:lang w:eastAsia="en-AU"/>
              </w:rPr>
              <w:t>Mental Health</w:t>
            </w:r>
          </w:p>
        </w:tc>
        <w:tc>
          <w:tcPr>
            <w:tcW w:w="577" w:type="pct"/>
            <w:tcBorders>
              <w:top w:val="nil"/>
              <w:left w:val="nil"/>
              <w:bottom w:val="single" w:sz="4" w:space="0" w:color="5B9BD5"/>
              <w:right w:val="single" w:sz="4" w:space="0" w:color="5B9BD5"/>
            </w:tcBorders>
            <w:shd w:val="clear" w:color="000000" w:fill="FFFFFF"/>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r>
      <w:tr w:rsidR="00B5622A" w:rsidRPr="00B5622A" w:rsidTr="00CD1518">
        <w:trPr>
          <w:trHeight w:val="26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B5622A" w:rsidRPr="00CD1518" w:rsidRDefault="00B5622A">
            <w:pPr>
              <w:spacing w:line="240" w:lineRule="auto"/>
              <w:rPr>
                <w:color w:val="000000"/>
                <w:sz w:val="14"/>
                <w:szCs w:val="14"/>
                <w:lang w:eastAsia="en-AU"/>
              </w:rPr>
            </w:pPr>
            <w:r w:rsidRPr="00CD1518">
              <w:rPr>
                <w:color w:val="000000"/>
                <w:sz w:val="14"/>
                <w:szCs w:val="14"/>
                <w:lang w:eastAsia="en-AU"/>
              </w:rPr>
              <w:t>Other</w:t>
            </w:r>
          </w:p>
        </w:tc>
        <w:tc>
          <w:tcPr>
            <w:tcW w:w="577"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2,926</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2,926</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(116)</w:t>
            </w:r>
          </w:p>
        </w:tc>
        <w:tc>
          <w:tcPr>
            <w:tcW w:w="577"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2,393</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(1,110)</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1,283</w:t>
            </w:r>
          </w:p>
        </w:tc>
      </w:tr>
      <w:tr w:rsidR="00B5622A" w:rsidRPr="00B5622A" w:rsidTr="00CD1518">
        <w:trPr>
          <w:trHeight w:val="26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B5622A" w:rsidRPr="00CD1518" w:rsidRDefault="00B5622A">
            <w:pPr>
              <w:spacing w:line="240" w:lineRule="auto"/>
              <w:rPr>
                <w:color w:val="000000"/>
                <w:sz w:val="14"/>
                <w:szCs w:val="14"/>
                <w:lang w:eastAsia="en-AU"/>
              </w:rPr>
            </w:pPr>
            <w:r w:rsidRPr="00CD1518">
              <w:rPr>
                <w:color w:val="000000"/>
                <w:sz w:val="14"/>
                <w:szCs w:val="14"/>
                <w:lang w:eastAsia="en-AU"/>
              </w:rPr>
              <w:t>Research</w:t>
            </w:r>
          </w:p>
        </w:tc>
        <w:tc>
          <w:tcPr>
            <w:tcW w:w="577" w:type="pct"/>
            <w:tcBorders>
              <w:top w:val="nil"/>
              <w:left w:val="nil"/>
              <w:bottom w:val="single" w:sz="4" w:space="0" w:color="5B9BD5"/>
              <w:right w:val="single" w:sz="4" w:space="0" w:color="5B9BD5"/>
            </w:tcBorders>
            <w:shd w:val="clear" w:color="000000" w:fill="FFFFFF"/>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r>
      <w:tr w:rsidR="00B5622A" w:rsidRPr="00B5622A" w:rsidTr="00CD1518">
        <w:trPr>
          <w:trHeight w:val="26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B5622A" w:rsidRPr="00CD1518" w:rsidRDefault="00B5622A">
            <w:pPr>
              <w:spacing w:line="240" w:lineRule="auto"/>
              <w:rPr>
                <w:color w:val="000000"/>
                <w:sz w:val="14"/>
                <w:szCs w:val="14"/>
                <w:lang w:eastAsia="en-AU"/>
              </w:rPr>
            </w:pPr>
            <w:r w:rsidRPr="00CD1518">
              <w:rPr>
                <w:color w:val="000000"/>
                <w:sz w:val="14"/>
                <w:szCs w:val="14"/>
                <w:lang w:eastAsia="en-AU"/>
              </w:rPr>
              <w:t>Teaching and Training</w:t>
            </w:r>
          </w:p>
        </w:tc>
        <w:tc>
          <w:tcPr>
            <w:tcW w:w="577"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1</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1</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(1)</w:t>
            </w:r>
          </w:p>
        </w:tc>
        <w:tc>
          <w:tcPr>
            <w:tcW w:w="577"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B5622A" w:rsidRPr="00CD1518" w:rsidRDefault="00B5622A" w:rsidP="00CD1518">
            <w:pPr>
              <w:spacing w:line="240" w:lineRule="auto"/>
              <w:jc w:val="right"/>
              <w:rPr>
                <w:color w:val="000000"/>
                <w:sz w:val="14"/>
                <w:szCs w:val="14"/>
                <w:lang w:eastAsia="en-AU"/>
              </w:rPr>
            </w:pPr>
            <w:r w:rsidRPr="00CD1518">
              <w:rPr>
                <w:color w:val="000000"/>
                <w:sz w:val="14"/>
                <w:szCs w:val="14"/>
                <w:lang w:eastAsia="en-AU"/>
              </w:rPr>
              <w:t>-</w:t>
            </w:r>
          </w:p>
        </w:tc>
      </w:tr>
      <w:tr w:rsidR="00B5622A" w:rsidRPr="00B5622A" w:rsidTr="00CD1518">
        <w:trPr>
          <w:trHeight w:val="260"/>
        </w:trPr>
        <w:tc>
          <w:tcPr>
            <w:tcW w:w="956" w:type="pct"/>
            <w:tcBorders>
              <w:top w:val="nil"/>
              <w:left w:val="single" w:sz="4" w:space="0" w:color="5B9BD5"/>
              <w:bottom w:val="single" w:sz="4" w:space="0" w:color="5B9BD5"/>
              <w:right w:val="single" w:sz="4" w:space="0" w:color="5B9BD5"/>
            </w:tcBorders>
            <w:shd w:val="clear" w:color="000000" w:fill="D0CECE"/>
            <w:noWrap/>
            <w:vAlign w:val="center"/>
            <w:hideMark/>
          </w:tcPr>
          <w:p w:rsidR="00B5622A" w:rsidRPr="00CD1518" w:rsidRDefault="00B5622A">
            <w:pPr>
              <w:spacing w:line="240" w:lineRule="auto"/>
              <w:rPr>
                <w:b/>
                <w:bCs/>
                <w:color w:val="000000"/>
                <w:sz w:val="14"/>
                <w:szCs w:val="14"/>
                <w:lang w:eastAsia="en-AU"/>
              </w:rPr>
            </w:pPr>
            <w:r w:rsidRPr="00CD1518">
              <w:rPr>
                <w:b/>
                <w:bCs/>
                <w:color w:val="000000"/>
                <w:sz w:val="14"/>
                <w:szCs w:val="14"/>
                <w:lang w:eastAsia="en-AU"/>
              </w:rPr>
              <w:t>Total</w:t>
            </w:r>
          </w:p>
        </w:tc>
        <w:tc>
          <w:tcPr>
            <w:tcW w:w="577" w:type="pct"/>
            <w:tcBorders>
              <w:top w:val="nil"/>
              <w:left w:val="nil"/>
              <w:bottom w:val="single" w:sz="4" w:space="0" w:color="5B9BD5"/>
              <w:right w:val="single" w:sz="4" w:space="0" w:color="5B9BD5"/>
            </w:tcBorders>
            <w:shd w:val="clear" w:color="000000" w:fill="D0CECE"/>
            <w:noWrap/>
            <w:vAlign w:val="center"/>
            <w:hideMark/>
          </w:tcPr>
          <w:p w:rsidR="00B5622A" w:rsidRPr="00CD1518" w:rsidRDefault="00B5622A" w:rsidP="00CD1518">
            <w:pPr>
              <w:spacing w:line="240" w:lineRule="auto"/>
              <w:jc w:val="right"/>
              <w:rPr>
                <w:b/>
                <w:bCs/>
                <w:color w:val="000000"/>
                <w:sz w:val="14"/>
                <w:szCs w:val="14"/>
                <w:lang w:eastAsia="en-AU"/>
              </w:rPr>
            </w:pPr>
            <w:r w:rsidRPr="00CD1518">
              <w:rPr>
                <w:b/>
                <w:bCs/>
                <w:color w:val="000000"/>
                <w:sz w:val="14"/>
                <w:szCs w:val="14"/>
                <w:lang w:eastAsia="en-AU"/>
              </w:rPr>
              <w:t>394,227</w:t>
            </w:r>
          </w:p>
        </w:tc>
        <w:tc>
          <w:tcPr>
            <w:tcW w:w="578" w:type="pct"/>
            <w:tcBorders>
              <w:top w:val="nil"/>
              <w:left w:val="nil"/>
              <w:bottom w:val="single" w:sz="4" w:space="0" w:color="5B9BD5"/>
              <w:right w:val="single" w:sz="4" w:space="0" w:color="5B9BD5"/>
            </w:tcBorders>
            <w:shd w:val="clear" w:color="000000" w:fill="D0CECE"/>
            <w:noWrap/>
            <w:vAlign w:val="center"/>
            <w:hideMark/>
          </w:tcPr>
          <w:p w:rsidR="00B5622A" w:rsidRPr="00CD1518" w:rsidRDefault="00B5622A" w:rsidP="00CD1518">
            <w:pPr>
              <w:spacing w:line="240" w:lineRule="auto"/>
              <w:jc w:val="right"/>
              <w:rPr>
                <w:b/>
                <w:bCs/>
                <w:color w:val="000000"/>
                <w:sz w:val="14"/>
                <w:szCs w:val="14"/>
                <w:lang w:eastAsia="en-AU"/>
              </w:rPr>
            </w:pPr>
            <w:r w:rsidRPr="00CD1518">
              <w:rPr>
                <w:b/>
                <w:bCs/>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0CECE"/>
            <w:noWrap/>
            <w:vAlign w:val="center"/>
            <w:hideMark/>
          </w:tcPr>
          <w:p w:rsidR="00B5622A" w:rsidRPr="00CD1518" w:rsidRDefault="00B5622A" w:rsidP="00CD1518">
            <w:pPr>
              <w:spacing w:line="240" w:lineRule="auto"/>
              <w:jc w:val="right"/>
              <w:rPr>
                <w:b/>
                <w:bCs/>
                <w:color w:val="000000"/>
                <w:sz w:val="14"/>
                <w:szCs w:val="14"/>
                <w:lang w:eastAsia="en-AU"/>
              </w:rPr>
            </w:pPr>
            <w:r w:rsidRPr="00CD1518">
              <w:rPr>
                <w:b/>
                <w:bCs/>
                <w:color w:val="000000"/>
                <w:sz w:val="14"/>
                <w:szCs w:val="14"/>
                <w:lang w:eastAsia="en-AU"/>
              </w:rPr>
              <w:t>394,227</w:t>
            </w:r>
          </w:p>
        </w:tc>
        <w:tc>
          <w:tcPr>
            <w:tcW w:w="578" w:type="pct"/>
            <w:tcBorders>
              <w:top w:val="nil"/>
              <w:left w:val="nil"/>
              <w:bottom w:val="single" w:sz="4" w:space="0" w:color="5B9BD5"/>
              <w:right w:val="single" w:sz="4" w:space="0" w:color="5B9BD5"/>
            </w:tcBorders>
            <w:shd w:val="clear" w:color="000000" w:fill="D0CECE"/>
            <w:noWrap/>
            <w:vAlign w:val="center"/>
            <w:hideMark/>
          </w:tcPr>
          <w:p w:rsidR="00B5622A" w:rsidRPr="00CD1518" w:rsidRDefault="00B5622A" w:rsidP="00CD1518">
            <w:pPr>
              <w:spacing w:line="240" w:lineRule="auto"/>
              <w:jc w:val="right"/>
              <w:rPr>
                <w:b/>
                <w:bCs/>
                <w:color w:val="000000"/>
                <w:sz w:val="14"/>
                <w:szCs w:val="14"/>
                <w:lang w:eastAsia="en-AU"/>
              </w:rPr>
            </w:pPr>
            <w:r w:rsidRPr="00CD1518">
              <w:rPr>
                <w:b/>
                <w:bCs/>
                <w:color w:val="000000"/>
                <w:sz w:val="14"/>
                <w:szCs w:val="14"/>
                <w:lang w:eastAsia="en-AU"/>
              </w:rPr>
              <w:t>(156,636)</w:t>
            </w:r>
          </w:p>
        </w:tc>
        <w:tc>
          <w:tcPr>
            <w:tcW w:w="577" w:type="pct"/>
            <w:tcBorders>
              <w:top w:val="nil"/>
              <w:left w:val="nil"/>
              <w:bottom w:val="single" w:sz="4" w:space="0" w:color="5B9BD5"/>
              <w:right w:val="single" w:sz="4" w:space="0" w:color="5B9BD5"/>
            </w:tcBorders>
            <w:shd w:val="clear" w:color="000000" w:fill="D0CECE"/>
            <w:noWrap/>
            <w:vAlign w:val="center"/>
            <w:hideMark/>
          </w:tcPr>
          <w:p w:rsidR="00B5622A" w:rsidRPr="00CD1518" w:rsidRDefault="00B5622A" w:rsidP="00CD1518">
            <w:pPr>
              <w:spacing w:line="240" w:lineRule="auto"/>
              <w:jc w:val="right"/>
              <w:rPr>
                <w:b/>
                <w:bCs/>
                <w:color w:val="000000"/>
                <w:sz w:val="14"/>
                <w:szCs w:val="14"/>
                <w:lang w:eastAsia="en-AU"/>
              </w:rPr>
            </w:pPr>
            <w:r w:rsidRPr="00CD1518">
              <w:rPr>
                <w:b/>
                <w:bCs/>
                <w:color w:val="000000"/>
                <w:sz w:val="14"/>
                <w:szCs w:val="14"/>
                <w:lang w:eastAsia="en-AU"/>
              </w:rPr>
              <w:t>237,174</w:t>
            </w:r>
          </w:p>
        </w:tc>
        <w:tc>
          <w:tcPr>
            <w:tcW w:w="578" w:type="pct"/>
            <w:tcBorders>
              <w:top w:val="nil"/>
              <w:left w:val="nil"/>
              <w:bottom w:val="single" w:sz="4" w:space="0" w:color="5B9BD5"/>
              <w:right w:val="single" w:sz="4" w:space="0" w:color="5B9BD5"/>
            </w:tcBorders>
            <w:shd w:val="clear" w:color="000000" w:fill="D0CECE"/>
            <w:noWrap/>
            <w:vAlign w:val="center"/>
            <w:hideMark/>
          </w:tcPr>
          <w:p w:rsidR="00B5622A" w:rsidRPr="00CD1518" w:rsidRDefault="00B5622A" w:rsidP="00CD1518">
            <w:pPr>
              <w:spacing w:line="240" w:lineRule="auto"/>
              <w:jc w:val="right"/>
              <w:rPr>
                <w:b/>
                <w:bCs/>
                <w:color w:val="000000"/>
                <w:sz w:val="14"/>
                <w:szCs w:val="14"/>
                <w:lang w:eastAsia="en-AU"/>
              </w:rPr>
            </w:pPr>
            <w:r w:rsidRPr="00CD1518">
              <w:rPr>
                <w:b/>
                <w:bCs/>
                <w:color w:val="000000"/>
                <w:sz w:val="14"/>
                <w:szCs w:val="14"/>
                <w:lang w:eastAsia="en-AU"/>
              </w:rPr>
              <w:t>(1,110)</w:t>
            </w:r>
          </w:p>
        </w:tc>
        <w:tc>
          <w:tcPr>
            <w:tcW w:w="578" w:type="pct"/>
            <w:tcBorders>
              <w:top w:val="nil"/>
              <w:left w:val="nil"/>
              <w:bottom w:val="single" w:sz="4" w:space="0" w:color="5B9BD5"/>
              <w:right w:val="single" w:sz="4" w:space="0" w:color="5B9BD5"/>
            </w:tcBorders>
            <w:shd w:val="clear" w:color="000000" w:fill="D0CECE"/>
            <w:noWrap/>
            <w:vAlign w:val="center"/>
            <w:hideMark/>
          </w:tcPr>
          <w:p w:rsidR="00B5622A" w:rsidRPr="00CD1518" w:rsidRDefault="00B5622A" w:rsidP="00CD1518">
            <w:pPr>
              <w:spacing w:line="240" w:lineRule="auto"/>
              <w:jc w:val="right"/>
              <w:rPr>
                <w:b/>
                <w:bCs/>
                <w:color w:val="000000"/>
                <w:sz w:val="14"/>
                <w:szCs w:val="14"/>
                <w:lang w:eastAsia="en-AU"/>
              </w:rPr>
            </w:pPr>
            <w:r w:rsidRPr="00CD1518">
              <w:rPr>
                <w:b/>
                <w:bCs/>
                <w:color w:val="000000"/>
                <w:sz w:val="14"/>
                <w:szCs w:val="14"/>
                <w:lang w:eastAsia="en-AU"/>
              </w:rPr>
              <w:t>236,064</w:t>
            </w:r>
          </w:p>
        </w:tc>
      </w:tr>
    </w:tbl>
    <w:p w:rsidR="00763A20" w:rsidRPr="00975E6B" w:rsidRDefault="00763A20" w:rsidP="00763A20">
      <w:pPr>
        <w:pStyle w:val="BodyText"/>
      </w:pPr>
      <w:r w:rsidRPr="00975E6B">
        <w:rPr>
          <w:bCs/>
          <w:i/>
          <w:sz w:val="16"/>
          <w:szCs w:val="16"/>
        </w:rPr>
        <w:t xml:space="preserve">Source: KPMG based on data supplied by </w:t>
      </w:r>
      <w:r w:rsidR="00901CD9" w:rsidRPr="00975E6B">
        <w:rPr>
          <w:bCs/>
          <w:i/>
          <w:sz w:val="16"/>
          <w:szCs w:val="16"/>
        </w:rPr>
        <w:t>Royal Hobart</w:t>
      </w:r>
      <w:r w:rsidRPr="00975E6B">
        <w:rPr>
          <w:bCs/>
          <w:i/>
          <w:sz w:val="16"/>
          <w:szCs w:val="16"/>
        </w:rPr>
        <w:t xml:space="preserve">, </w:t>
      </w:r>
      <w:r w:rsidR="00246CFD" w:rsidRPr="00975E6B">
        <w:rPr>
          <w:bCs/>
          <w:i/>
          <w:sz w:val="16"/>
          <w:szCs w:val="16"/>
        </w:rPr>
        <w:t>TAS-DHHS</w:t>
      </w:r>
      <w:r w:rsidRPr="00975E6B">
        <w:rPr>
          <w:bCs/>
          <w:i/>
          <w:sz w:val="16"/>
          <w:szCs w:val="16"/>
        </w:rPr>
        <w:t xml:space="preserve"> and IHPA </w:t>
      </w:r>
    </w:p>
    <w:p w:rsidR="00763A20" w:rsidRPr="00975E6B" w:rsidRDefault="00763A20" w:rsidP="00763A20">
      <w:pPr>
        <w:pStyle w:val="BodyText"/>
      </w:pPr>
      <w:r w:rsidRPr="00D06D4E">
        <w:t>The following should be noted about the tran</w:t>
      </w:r>
      <w:r w:rsidRPr="00417884">
        <w:t xml:space="preserve">sfer of activity data for </w:t>
      </w:r>
      <w:r w:rsidR="00901CD9" w:rsidRPr="00417884">
        <w:t>Royal Hobart</w:t>
      </w:r>
      <w:r w:rsidRPr="00417884">
        <w:t>:</w:t>
      </w:r>
    </w:p>
    <w:p w:rsidR="00417884" w:rsidRPr="00B464CA" w:rsidRDefault="00417884" w:rsidP="00C00F23">
      <w:pPr>
        <w:pStyle w:val="BodyText"/>
        <w:numPr>
          <w:ilvl w:val="0"/>
          <w:numId w:val="39"/>
        </w:numPr>
      </w:pPr>
      <w:r>
        <w:t xml:space="preserve">A small variance was noted between total records from source </w:t>
      </w:r>
      <w:r w:rsidRPr="00C264CF">
        <w:t xml:space="preserve">detailed in </w:t>
      </w:r>
      <w:r w:rsidR="00267786">
        <w:fldChar w:fldCharType="begin"/>
      </w:r>
      <w:r w:rsidR="00267786">
        <w:instrText xml:space="preserve"> REF _Ref434265222 \h </w:instrText>
      </w:r>
      <w:r w:rsidR="00267786">
        <w:fldChar w:fldCharType="separate"/>
      </w:r>
      <w:r w:rsidR="00154CF7" w:rsidRPr="00D06D4E">
        <w:t xml:space="preserve">Table </w:t>
      </w:r>
      <w:r w:rsidR="00154CF7">
        <w:rPr>
          <w:noProof/>
        </w:rPr>
        <w:t>73</w:t>
      </w:r>
      <w:r w:rsidR="00267786">
        <w:fldChar w:fldCharType="end"/>
      </w:r>
      <w:r>
        <w:t xml:space="preserve"> (391,300 records) and total </w:t>
      </w:r>
      <w:r w:rsidRPr="00C264CF">
        <w:t>activity related to 2013-14 costs by NHCDC product in</w:t>
      </w:r>
      <w:r>
        <w:t xml:space="preserve"> </w:t>
      </w:r>
      <w:r w:rsidR="00267786">
        <w:fldChar w:fldCharType="begin"/>
      </w:r>
      <w:r w:rsidR="00267786">
        <w:instrText xml:space="preserve"> REF _Ref433226870 \h </w:instrText>
      </w:r>
      <w:r w:rsidR="00267786">
        <w:fldChar w:fldCharType="separate"/>
      </w:r>
      <w:r w:rsidR="00154CF7" w:rsidRPr="00975E6B">
        <w:t xml:space="preserve">Table </w:t>
      </w:r>
      <w:r w:rsidR="00154CF7">
        <w:rPr>
          <w:bCs/>
          <w:noProof/>
        </w:rPr>
        <w:t>74</w:t>
      </w:r>
      <w:r w:rsidR="00267786">
        <w:fldChar w:fldCharType="end"/>
      </w:r>
      <w:r w:rsidR="00267786">
        <w:t xml:space="preserve"> </w:t>
      </w:r>
      <w:r>
        <w:t>(394,227 records) and related to additional activity allocated to the “Other” product category.</w:t>
      </w:r>
    </w:p>
    <w:p w:rsidR="00763A20" w:rsidRPr="00975E6B" w:rsidRDefault="00763A20" w:rsidP="00F26328">
      <w:pPr>
        <w:pStyle w:val="BodyText"/>
        <w:numPr>
          <w:ilvl w:val="0"/>
          <w:numId w:val="39"/>
        </w:numPr>
      </w:pPr>
      <w:r w:rsidRPr="00975E6B">
        <w:t>The adjustments made by the jurisdiction relate to the inclusion of WIP and externally-referred patients (identified as either non-hospital patients or bulk-billed).</w:t>
      </w:r>
    </w:p>
    <w:p w:rsidR="00763A20" w:rsidRPr="00975E6B" w:rsidRDefault="00763A20" w:rsidP="00F26328">
      <w:pPr>
        <w:pStyle w:val="BodyText"/>
        <w:numPr>
          <w:ilvl w:val="0"/>
          <w:numId w:val="39"/>
        </w:numPr>
      </w:pPr>
      <w:r w:rsidRPr="00975E6B">
        <w:t xml:space="preserve">The adjustment to the </w:t>
      </w:r>
      <w:r w:rsidR="00AF7351" w:rsidRPr="00975E6B">
        <w:t xml:space="preserve">‘other’ </w:t>
      </w:r>
      <w:r w:rsidRPr="00975E6B">
        <w:t>product relates to the UQB adjustment discussed in Item</w:t>
      </w:r>
      <w:r w:rsidR="00AF7351" w:rsidRPr="00975E6B">
        <w:t> </w:t>
      </w:r>
      <w:r w:rsidRPr="00975E6B">
        <w:t>J of the explanation of reconciliation items.</w:t>
      </w:r>
    </w:p>
    <w:p w:rsidR="00763A20" w:rsidRPr="00975E6B" w:rsidRDefault="00763A20" w:rsidP="00F26328">
      <w:pPr>
        <w:pStyle w:val="BodyText"/>
        <w:numPr>
          <w:ilvl w:val="0"/>
          <w:numId w:val="39"/>
        </w:numPr>
      </w:pPr>
      <w:r w:rsidRPr="00975E6B">
        <w:t xml:space="preserve">Adjustments made by IHPA relating to admitted emergency reallocations </w:t>
      </w:r>
      <w:r w:rsidR="009E6082" w:rsidRPr="00975E6B">
        <w:t xml:space="preserve">for reporting and analysis purposes </w:t>
      </w:r>
      <w:r w:rsidRPr="00975E6B">
        <w:t>(as discussed in Item J of the explanation of reconciliation items) has no impact on the reported activity.</w:t>
      </w:r>
    </w:p>
    <w:p w:rsidR="00763A20" w:rsidRPr="00975E6B" w:rsidRDefault="00763A20" w:rsidP="003B387A">
      <w:pPr>
        <w:pStyle w:val="Heading3"/>
        <w:numPr>
          <w:ilvl w:val="2"/>
          <w:numId w:val="77"/>
        </w:numPr>
      </w:pPr>
      <w:r w:rsidRPr="00497F12">
        <w:t>Treatment</w:t>
      </w:r>
      <w:r w:rsidRPr="00975E6B">
        <w:t xml:space="preserve"> of </w:t>
      </w:r>
      <w:r w:rsidR="00DA7807" w:rsidRPr="00975E6B">
        <w:t>WIP</w:t>
      </w:r>
    </w:p>
    <w:p w:rsidR="00763A20" w:rsidRPr="00975E6B" w:rsidRDefault="00372387" w:rsidP="00763A20">
      <w:pPr>
        <w:pStyle w:val="BodyText"/>
      </w:pPr>
      <w:r w:rsidRPr="00975E6B">
        <w:fldChar w:fldCharType="begin"/>
      </w:r>
      <w:r w:rsidRPr="00975E6B">
        <w:instrText xml:space="preserve"> REF _Ref434265246 \h </w:instrText>
      </w:r>
      <w:r w:rsidR="00975E6B">
        <w:instrText xml:space="preserve"> \* MERGEFORMAT </w:instrText>
      </w:r>
      <w:r w:rsidRPr="00975E6B">
        <w:fldChar w:fldCharType="separate"/>
      </w:r>
      <w:r w:rsidR="00154CF7" w:rsidRPr="00975E6B">
        <w:t xml:space="preserve">Table </w:t>
      </w:r>
      <w:r w:rsidR="00154CF7">
        <w:rPr>
          <w:noProof/>
        </w:rPr>
        <w:t>75</w:t>
      </w:r>
      <w:r w:rsidRPr="00975E6B">
        <w:fldChar w:fldCharType="end"/>
      </w:r>
      <w:r w:rsidRPr="00975E6B">
        <w:t xml:space="preserve"> </w:t>
      </w:r>
      <w:r w:rsidR="00763A20" w:rsidRPr="00975E6B">
        <w:t xml:space="preserve">demonstrates models for </w:t>
      </w:r>
      <w:r w:rsidR="00B83F07" w:rsidRPr="00975E6B">
        <w:t>WIP</w:t>
      </w:r>
      <w:r w:rsidR="00763A20" w:rsidRPr="00975E6B">
        <w:t xml:space="preserve"> and what was included in the </w:t>
      </w:r>
      <w:r w:rsidR="00901CD9" w:rsidRPr="00975E6B">
        <w:t>Royal Hobart</w:t>
      </w:r>
      <w:r w:rsidR="00763A20" w:rsidRPr="00975E6B">
        <w:t xml:space="preserve"> Round 18 NHCDC submission.</w:t>
      </w:r>
    </w:p>
    <w:p w:rsidR="00763A20" w:rsidRPr="00975E6B" w:rsidRDefault="00763A20" w:rsidP="00763A20">
      <w:pPr>
        <w:pStyle w:val="Caption"/>
      </w:pPr>
      <w:bookmarkStart w:id="791" w:name="_Ref434265246"/>
      <w:r w:rsidRPr="00975E6B">
        <w:t xml:space="preserve">Table </w:t>
      </w:r>
      <w:r w:rsidR="00AC3838">
        <w:fldChar w:fldCharType="begin"/>
      </w:r>
      <w:r w:rsidR="00AC3838">
        <w:instrText xml:space="preserve"> SEQ Table \* ARABIC </w:instrText>
      </w:r>
      <w:r w:rsidR="00AC3838">
        <w:fldChar w:fldCharType="separate"/>
      </w:r>
      <w:proofErr w:type="gramStart"/>
      <w:r w:rsidR="00154CF7">
        <w:rPr>
          <w:noProof/>
        </w:rPr>
        <w:t>75</w:t>
      </w:r>
      <w:r w:rsidR="00AC3838">
        <w:rPr>
          <w:noProof/>
        </w:rPr>
        <w:fldChar w:fldCharType="end"/>
      </w:r>
      <w:bookmarkEnd w:id="791"/>
      <w:r w:rsidRPr="00975E6B">
        <w:t xml:space="preserve"> – </w:t>
      </w:r>
      <w:r w:rsidR="00DA7807" w:rsidRPr="00975E6B">
        <w:t>WIP</w:t>
      </w:r>
      <w:r w:rsidRPr="00975E6B">
        <w:t xml:space="preserve"> – Royal Hobart Hospital</w:t>
      </w:r>
      <w:proofErr w:type="gramEnd"/>
    </w:p>
    <w:tbl>
      <w:tblPr>
        <w:tblStyle w:val="ListTable4-Accent11"/>
        <w:tblW w:w="5000" w:type="pct"/>
        <w:tblLayout w:type="fixed"/>
        <w:tblLook w:val="0620" w:firstRow="1" w:lastRow="0" w:firstColumn="0" w:lastColumn="0" w:noHBand="1" w:noVBand="1"/>
        <w:tblCaption w:val="Table 75 - Models for Work In Progress - Royal Hobart Hospital"/>
        <w:tblDescription w:val="This table describes the models for Work In Progress and how that applied to Royal Hobart Hospital.  The first column is the model number, the second column is the description and the third column is how that model was applied for the relevant hospital.&#10;"/>
      </w:tblPr>
      <w:tblGrid>
        <w:gridCol w:w="870"/>
        <w:gridCol w:w="4364"/>
        <w:gridCol w:w="3487"/>
      </w:tblGrid>
      <w:tr w:rsidR="00763A20"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99" w:type="pct"/>
            <w:tcBorders>
              <w:right w:val="single" w:sz="4" w:space="0" w:color="548DD4" w:themeColor="text2" w:themeTint="99"/>
            </w:tcBorders>
            <w:shd w:val="clear" w:color="auto" w:fill="002060"/>
            <w:noWrap/>
          </w:tcPr>
          <w:p w:rsidR="00763A20" w:rsidRPr="00975E6B" w:rsidRDefault="00763A20" w:rsidP="0029344A">
            <w:r w:rsidRPr="00975E6B">
              <w:t>Model</w:t>
            </w:r>
          </w:p>
        </w:tc>
        <w:tc>
          <w:tcPr>
            <w:tcW w:w="2502" w:type="pct"/>
            <w:tcBorders>
              <w:left w:val="single" w:sz="4" w:space="0" w:color="548DD4" w:themeColor="text2" w:themeTint="99"/>
            </w:tcBorders>
            <w:shd w:val="clear" w:color="auto" w:fill="002060"/>
          </w:tcPr>
          <w:p w:rsidR="00763A20" w:rsidRPr="00975E6B" w:rsidRDefault="00763A20" w:rsidP="0029344A">
            <w:r w:rsidRPr="00975E6B">
              <w:t>Description</w:t>
            </w:r>
          </w:p>
        </w:tc>
        <w:tc>
          <w:tcPr>
            <w:tcW w:w="1999" w:type="pct"/>
            <w:tcBorders>
              <w:left w:val="single" w:sz="4" w:space="0" w:color="548DD4" w:themeColor="text2" w:themeTint="99"/>
            </w:tcBorders>
            <w:shd w:val="clear" w:color="auto" w:fill="002060"/>
          </w:tcPr>
          <w:p w:rsidR="00763A20" w:rsidRPr="00975E6B" w:rsidRDefault="00763A20" w:rsidP="0029344A">
            <w:pPr>
              <w:jc w:val="center"/>
            </w:pPr>
            <w:r w:rsidRPr="00975E6B">
              <w:t>Submitted to Round 18 NHCDC</w:t>
            </w:r>
          </w:p>
        </w:tc>
      </w:tr>
      <w:tr w:rsidR="00763A20" w:rsidRPr="00975E6B" w:rsidTr="0029344A">
        <w:tc>
          <w:tcPr>
            <w:tcW w:w="499" w:type="pct"/>
            <w:tcBorders>
              <w:right w:val="single" w:sz="4" w:space="0" w:color="548DD4" w:themeColor="text2" w:themeTint="99"/>
            </w:tcBorders>
            <w:noWrap/>
          </w:tcPr>
          <w:p w:rsidR="00763A20" w:rsidRPr="00975E6B" w:rsidRDefault="00763A20" w:rsidP="001140D3">
            <w:pPr>
              <w:jc w:val="center"/>
            </w:pPr>
            <w:r w:rsidRPr="00975E6B">
              <w:t>1</w:t>
            </w:r>
          </w:p>
        </w:tc>
        <w:tc>
          <w:tcPr>
            <w:tcW w:w="2501" w:type="pct"/>
            <w:tcBorders>
              <w:left w:val="single" w:sz="4" w:space="0" w:color="548DD4" w:themeColor="text2" w:themeTint="99"/>
            </w:tcBorders>
          </w:tcPr>
          <w:p w:rsidR="00763A20" w:rsidRPr="00975E6B" w:rsidRDefault="00763A20" w:rsidP="0029344A">
            <w:r w:rsidRPr="00975E6B">
              <w:t>Admitted and Discharged Patients in 2013/14 only</w:t>
            </w:r>
          </w:p>
        </w:tc>
        <w:tc>
          <w:tcPr>
            <w:tcW w:w="1999" w:type="pct"/>
            <w:tcBorders>
              <w:left w:val="single" w:sz="4" w:space="0" w:color="548DD4" w:themeColor="text2" w:themeTint="99"/>
            </w:tcBorders>
          </w:tcPr>
          <w:p w:rsidR="00763A20" w:rsidRPr="00975E6B" w:rsidRDefault="00763A20" w:rsidP="0029344A">
            <w:pPr>
              <w:jc w:val="center"/>
            </w:pPr>
            <w:r w:rsidRPr="00975E6B">
              <w:t>Submitted to Round 18 of the NHCDC</w:t>
            </w:r>
          </w:p>
        </w:tc>
      </w:tr>
      <w:tr w:rsidR="00763A20" w:rsidRPr="00975E6B" w:rsidTr="0029344A">
        <w:tc>
          <w:tcPr>
            <w:tcW w:w="499" w:type="pct"/>
            <w:tcBorders>
              <w:right w:val="single" w:sz="4" w:space="0" w:color="548DD4" w:themeColor="text2" w:themeTint="99"/>
            </w:tcBorders>
            <w:noWrap/>
          </w:tcPr>
          <w:p w:rsidR="00763A20" w:rsidRPr="00975E6B" w:rsidRDefault="00763A20" w:rsidP="001140D3">
            <w:pPr>
              <w:jc w:val="center"/>
            </w:pPr>
            <w:r w:rsidRPr="00975E6B">
              <w:t>2</w:t>
            </w:r>
          </w:p>
        </w:tc>
        <w:tc>
          <w:tcPr>
            <w:tcW w:w="2501" w:type="pct"/>
            <w:tcBorders>
              <w:left w:val="single" w:sz="4" w:space="0" w:color="548DD4" w:themeColor="text2" w:themeTint="99"/>
            </w:tcBorders>
          </w:tcPr>
          <w:p w:rsidR="00763A20" w:rsidRPr="00975E6B" w:rsidRDefault="00763A20" w:rsidP="0029344A">
            <w:r w:rsidRPr="00975E6B">
              <w:t>Costs for patients discharged in 2013/14 but admitted prior to 2013/14</w:t>
            </w:r>
          </w:p>
        </w:tc>
        <w:tc>
          <w:tcPr>
            <w:tcW w:w="1999" w:type="pct"/>
            <w:tcBorders>
              <w:left w:val="single" w:sz="4" w:space="0" w:color="548DD4" w:themeColor="text2" w:themeTint="99"/>
            </w:tcBorders>
          </w:tcPr>
          <w:p w:rsidR="00763A20" w:rsidRPr="00975E6B" w:rsidRDefault="00763A20" w:rsidP="0029344A">
            <w:pPr>
              <w:jc w:val="center"/>
            </w:pPr>
            <w:r w:rsidRPr="00975E6B">
              <w:t>Submitted to Round 18 of the NHCDC</w:t>
            </w:r>
          </w:p>
        </w:tc>
      </w:tr>
      <w:tr w:rsidR="00763A20" w:rsidRPr="00975E6B" w:rsidTr="0029344A">
        <w:tc>
          <w:tcPr>
            <w:tcW w:w="499" w:type="pct"/>
            <w:tcBorders>
              <w:right w:val="single" w:sz="4" w:space="0" w:color="548DD4" w:themeColor="text2" w:themeTint="99"/>
            </w:tcBorders>
            <w:noWrap/>
          </w:tcPr>
          <w:p w:rsidR="00763A20" w:rsidRPr="00975E6B" w:rsidRDefault="00763A20" w:rsidP="001140D3">
            <w:pPr>
              <w:jc w:val="center"/>
            </w:pPr>
            <w:r w:rsidRPr="00975E6B">
              <w:t>3</w:t>
            </w:r>
          </w:p>
        </w:tc>
        <w:tc>
          <w:tcPr>
            <w:tcW w:w="2501" w:type="pct"/>
            <w:tcBorders>
              <w:left w:val="single" w:sz="4" w:space="0" w:color="548DD4" w:themeColor="text2" w:themeTint="99"/>
            </w:tcBorders>
          </w:tcPr>
          <w:p w:rsidR="00763A20" w:rsidRPr="00975E6B" w:rsidRDefault="00763A20" w:rsidP="0029344A">
            <w:r w:rsidRPr="00975E6B">
              <w:t>Costs for patients admitted prior to or in 2013/14 and remain admitted at 30/06/2014</w:t>
            </w:r>
          </w:p>
        </w:tc>
        <w:tc>
          <w:tcPr>
            <w:tcW w:w="1999" w:type="pct"/>
            <w:tcBorders>
              <w:left w:val="single" w:sz="4" w:space="0" w:color="548DD4" w:themeColor="text2" w:themeTint="99"/>
            </w:tcBorders>
          </w:tcPr>
          <w:p w:rsidR="00763A20" w:rsidRPr="00975E6B" w:rsidRDefault="00763A20" w:rsidP="0029344A">
            <w:pPr>
              <w:jc w:val="center"/>
            </w:pPr>
            <w:r w:rsidRPr="00975E6B">
              <w:t>Not submitted to Round 18 of the NHCDC</w:t>
            </w:r>
          </w:p>
        </w:tc>
      </w:tr>
      <w:tr w:rsidR="00625C35" w:rsidRPr="00975E6B" w:rsidTr="0029344A">
        <w:tc>
          <w:tcPr>
            <w:tcW w:w="499" w:type="pct"/>
            <w:tcBorders>
              <w:right w:val="single" w:sz="4" w:space="0" w:color="548DD4" w:themeColor="text2" w:themeTint="99"/>
            </w:tcBorders>
            <w:noWrap/>
          </w:tcPr>
          <w:p w:rsidR="00625C35" w:rsidRPr="00975E6B" w:rsidRDefault="00625C35" w:rsidP="00625C35">
            <w:pPr>
              <w:jc w:val="center"/>
            </w:pPr>
            <w:r w:rsidRPr="00975E6B">
              <w:t>4</w:t>
            </w:r>
          </w:p>
        </w:tc>
        <w:tc>
          <w:tcPr>
            <w:tcW w:w="2501" w:type="pct"/>
            <w:tcBorders>
              <w:left w:val="single" w:sz="4" w:space="0" w:color="548DD4" w:themeColor="text2" w:themeTint="99"/>
            </w:tcBorders>
          </w:tcPr>
          <w:p w:rsidR="00625C35" w:rsidRPr="00975E6B" w:rsidRDefault="00625C35" w:rsidP="00625C35">
            <w:r w:rsidRPr="00975E6B">
              <w:t>Costs for patients admitted prior to 2013/14 and still admitted at 30/06/2014</w:t>
            </w:r>
          </w:p>
        </w:tc>
        <w:tc>
          <w:tcPr>
            <w:tcW w:w="1999" w:type="pct"/>
            <w:tcBorders>
              <w:left w:val="single" w:sz="4" w:space="0" w:color="548DD4" w:themeColor="text2" w:themeTint="99"/>
            </w:tcBorders>
          </w:tcPr>
          <w:p w:rsidR="00625C35" w:rsidRPr="00975E6B" w:rsidRDefault="00625C35" w:rsidP="00625C35">
            <w:pPr>
              <w:jc w:val="center"/>
            </w:pPr>
            <w:r w:rsidRPr="00975E6B">
              <w:t>Not submitted to Round 18 of the NHCDC</w:t>
            </w:r>
          </w:p>
        </w:tc>
      </w:tr>
    </w:tbl>
    <w:p w:rsidR="00763A20" w:rsidRPr="00975E6B" w:rsidRDefault="00763A20" w:rsidP="00763A20">
      <w:pPr>
        <w:pStyle w:val="FootnoteText"/>
        <w:rPr>
          <w:bCs/>
          <w:i/>
          <w:sz w:val="16"/>
          <w:szCs w:val="16"/>
        </w:rPr>
      </w:pPr>
      <w:r w:rsidRPr="00975E6B">
        <w:rPr>
          <w:bCs/>
          <w:i/>
          <w:sz w:val="16"/>
          <w:szCs w:val="16"/>
        </w:rPr>
        <w:t xml:space="preserve">Source: KPMG, based on </w:t>
      </w:r>
      <w:r w:rsidR="00901CD9" w:rsidRPr="00975E6B">
        <w:rPr>
          <w:bCs/>
          <w:i/>
          <w:sz w:val="16"/>
          <w:szCs w:val="16"/>
        </w:rPr>
        <w:t>Royal Hobart</w:t>
      </w:r>
      <w:r w:rsidRPr="00975E6B">
        <w:rPr>
          <w:bCs/>
          <w:i/>
          <w:sz w:val="16"/>
          <w:szCs w:val="16"/>
        </w:rPr>
        <w:t xml:space="preserve"> templates and review discussions</w:t>
      </w:r>
    </w:p>
    <w:p w:rsidR="00763A20" w:rsidRPr="00975E6B" w:rsidRDefault="00763A20" w:rsidP="00763A20">
      <w:pPr>
        <w:pStyle w:val="BodyText"/>
      </w:pPr>
      <w:r w:rsidRPr="00975E6B">
        <w:lastRenderedPageBreak/>
        <w:t xml:space="preserve">In summary, TAS-DHHS submitted </w:t>
      </w:r>
      <w:r w:rsidR="00B7080E" w:rsidRPr="00975E6B">
        <w:t xml:space="preserve">WIP </w:t>
      </w:r>
      <w:r w:rsidRPr="00975E6B">
        <w:t xml:space="preserve">costs for </w:t>
      </w:r>
      <w:r w:rsidR="00901CD9" w:rsidRPr="00975E6B">
        <w:t>Royal Hobart</w:t>
      </w:r>
      <w:r w:rsidRPr="00975E6B">
        <w:t xml:space="preserve"> for admitted and discharged patients in 2013/14, and the 2012/13 </w:t>
      </w:r>
      <w:r w:rsidR="00B7080E" w:rsidRPr="00975E6B">
        <w:t xml:space="preserve">WIP </w:t>
      </w:r>
      <w:r w:rsidRPr="00975E6B">
        <w:t>costs incurred for patients admitted prior to, but discharged, in 2013/14.</w:t>
      </w:r>
    </w:p>
    <w:p w:rsidR="00763A20" w:rsidRPr="00975E6B" w:rsidRDefault="00763A20" w:rsidP="005D5688">
      <w:pPr>
        <w:pStyle w:val="Heading4"/>
        <w:numPr>
          <w:ilvl w:val="0"/>
          <w:numId w:val="0"/>
        </w:numPr>
        <w:ind w:left="720" w:hanging="720"/>
      </w:pPr>
      <w:r w:rsidRPr="00975E6B">
        <w:t>Escalation factor</w:t>
      </w:r>
    </w:p>
    <w:p w:rsidR="00763A20" w:rsidRPr="00975E6B" w:rsidRDefault="00763A20" w:rsidP="00763A20">
      <w:pPr>
        <w:pStyle w:val="BodyText"/>
      </w:pPr>
      <w:r w:rsidRPr="00975E6B">
        <w:t>No escalation factor to costs incurred prior to 2013/14 was applied to the Tasmanian Round 18 submission to the NHCDC.</w:t>
      </w:r>
    </w:p>
    <w:p w:rsidR="00763A20" w:rsidRPr="00975E6B" w:rsidRDefault="00763A20" w:rsidP="003B387A">
      <w:pPr>
        <w:pStyle w:val="Heading3"/>
        <w:numPr>
          <w:ilvl w:val="2"/>
          <w:numId w:val="77"/>
        </w:numPr>
      </w:pPr>
      <w:r w:rsidRPr="00497F12">
        <w:t>Treatment</w:t>
      </w:r>
      <w:r w:rsidRPr="00975E6B">
        <w:t xml:space="preserve"> of other specific cost items</w:t>
      </w:r>
    </w:p>
    <w:p w:rsidR="00763A20" w:rsidRPr="00975E6B" w:rsidRDefault="00EB4E48" w:rsidP="00763A20">
      <w:r w:rsidRPr="00975E6B">
        <w:t>The following items were discussed during the reviews to understand their treatment in the costing process. The cost data is used to inform the NEP and specific funding model adjustments for particular patient cohorts</w:t>
      </w:r>
      <w:r w:rsidR="00763A20" w:rsidRPr="00975E6B">
        <w:t>. TAS-</w:t>
      </w:r>
      <w:r w:rsidR="00D043DD" w:rsidRPr="00975E6B">
        <w:t>DHHS’s treatment</w:t>
      </w:r>
      <w:r w:rsidR="00763A20" w:rsidRPr="00975E6B">
        <w:t xml:space="preserve"> (on behalf of </w:t>
      </w:r>
      <w:r w:rsidR="00901CD9" w:rsidRPr="00975E6B">
        <w:t>Royal Hobart</w:t>
      </w:r>
      <w:r w:rsidR="00763A20" w:rsidRPr="00975E6B">
        <w:t>) of each of the items is summarised in</w:t>
      </w:r>
      <w:r w:rsidR="00372387" w:rsidRPr="00975E6B">
        <w:t xml:space="preserve"> </w:t>
      </w:r>
      <w:r w:rsidR="00372387" w:rsidRPr="00975E6B">
        <w:fldChar w:fldCharType="begin"/>
      </w:r>
      <w:r w:rsidR="00372387" w:rsidRPr="00975E6B">
        <w:instrText xml:space="preserve"> REF _Ref434265269 \h </w:instrText>
      </w:r>
      <w:r w:rsidR="00975E6B">
        <w:instrText xml:space="preserve"> \* MERGEFORMAT </w:instrText>
      </w:r>
      <w:r w:rsidR="00372387" w:rsidRPr="00975E6B">
        <w:fldChar w:fldCharType="separate"/>
      </w:r>
      <w:r w:rsidR="00154CF7" w:rsidRPr="00975E6B">
        <w:t xml:space="preserve">Table </w:t>
      </w:r>
      <w:r w:rsidR="00154CF7">
        <w:rPr>
          <w:noProof/>
        </w:rPr>
        <w:t>76</w:t>
      </w:r>
      <w:r w:rsidR="00372387" w:rsidRPr="00975E6B">
        <w:fldChar w:fldCharType="end"/>
      </w:r>
      <w:r w:rsidR="00763A20" w:rsidRPr="00975E6B">
        <w:t>.</w:t>
      </w:r>
    </w:p>
    <w:p w:rsidR="00763A20" w:rsidRPr="00975E6B" w:rsidRDefault="00763A20" w:rsidP="00763A20">
      <w:pPr>
        <w:pStyle w:val="Caption"/>
      </w:pPr>
      <w:bookmarkStart w:id="792" w:name="_Ref434265269"/>
      <w:r w:rsidRPr="00975E6B">
        <w:t xml:space="preserve">Table </w:t>
      </w:r>
      <w:fldSimple w:instr=" SEQ Table \* ARABIC ">
        <w:r w:rsidR="00154CF7">
          <w:rPr>
            <w:noProof/>
          </w:rPr>
          <w:t>76</w:t>
        </w:r>
      </w:fldSimple>
      <w:bookmarkEnd w:id="792"/>
      <w:r w:rsidRPr="00975E6B">
        <w:t xml:space="preserve"> – Treatment of other specific cost items – Royal Hobart Hospital</w:t>
      </w:r>
    </w:p>
    <w:tbl>
      <w:tblPr>
        <w:tblStyle w:val="ListTable4-Accent11"/>
        <w:tblW w:w="5000" w:type="pct"/>
        <w:tblLayout w:type="fixed"/>
        <w:tblLook w:val="0620" w:firstRow="1" w:lastRow="0" w:firstColumn="0" w:lastColumn="0" w:noHBand="1" w:noVBand="1"/>
        <w:tblCaption w:val="Table 76 - Treatment of specific items - Royal Hobart Hospital"/>
        <w:tblDescription w:val="This table describes how Royal Hobart Hospital treated specific items in their Round 18 NHCDC Submission.  The first column is the item and the second column is the description of the treatment.&#10;"/>
      </w:tblPr>
      <w:tblGrid>
        <w:gridCol w:w="2761"/>
        <w:gridCol w:w="5960"/>
      </w:tblGrid>
      <w:tr w:rsidR="00763A20" w:rsidRPr="00975E6B" w:rsidTr="00E14378">
        <w:trPr>
          <w:cnfStyle w:val="100000000000" w:firstRow="1" w:lastRow="0" w:firstColumn="0" w:lastColumn="0" w:oddVBand="0" w:evenVBand="0" w:oddHBand="0" w:evenHBand="0" w:firstRowFirstColumn="0" w:firstRowLastColumn="0" w:lastRowFirstColumn="0" w:lastRowLastColumn="0"/>
          <w:tblHeader/>
        </w:trPr>
        <w:tc>
          <w:tcPr>
            <w:tcW w:w="1583" w:type="pct"/>
            <w:tcBorders>
              <w:right w:val="single" w:sz="4" w:space="0" w:color="548DD4" w:themeColor="text2" w:themeTint="99"/>
            </w:tcBorders>
            <w:shd w:val="clear" w:color="auto" w:fill="002060"/>
            <w:noWrap/>
          </w:tcPr>
          <w:p w:rsidR="00763A20" w:rsidRPr="00975E6B" w:rsidRDefault="00763A20" w:rsidP="0029344A">
            <w:r w:rsidRPr="00975E6B">
              <w:t>Item</w:t>
            </w:r>
          </w:p>
        </w:tc>
        <w:tc>
          <w:tcPr>
            <w:tcW w:w="3417" w:type="pct"/>
            <w:tcBorders>
              <w:left w:val="single" w:sz="4" w:space="0" w:color="548DD4" w:themeColor="text2" w:themeTint="99"/>
            </w:tcBorders>
            <w:shd w:val="clear" w:color="auto" w:fill="002060"/>
          </w:tcPr>
          <w:p w:rsidR="00763A20" w:rsidRPr="00975E6B" w:rsidRDefault="00763A20" w:rsidP="0029344A">
            <w:r w:rsidRPr="00975E6B">
              <w:t>Treatment</w:t>
            </w:r>
          </w:p>
        </w:tc>
      </w:tr>
      <w:tr w:rsidR="00763A20" w:rsidRPr="00975E6B" w:rsidTr="003D1169">
        <w:tc>
          <w:tcPr>
            <w:tcW w:w="1583" w:type="pct"/>
            <w:tcBorders>
              <w:right w:val="single" w:sz="4" w:space="0" w:color="548DD4" w:themeColor="text2" w:themeTint="99"/>
            </w:tcBorders>
            <w:noWrap/>
          </w:tcPr>
          <w:p w:rsidR="00763A20" w:rsidRPr="00975E6B" w:rsidRDefault="00763A20" w:rsidP="0029344A">
            <w:pPr>
              <w:pStyle w:val="BodyText"/>
              <w:jc w:val="left"/>
            </w:pPr>
            <w:r w:rsidRPr="00975E6B">
              <w:t>Research</w:t>
            </w:r>
          </w:p>
        </w:tc>
        <w:tc>
          <w:tcPr>
            <w:tcW w:w="3417" w:type="pct"/>
            <w:tcBorders>
              <w:left w:val="single" w:sz="4" w:space="0" w:color="548DD4" w:themeColor="text2" w:themeTint="99"/>
            </w:tcBorders>
          </w:tcPr>
          <w:p w:rsidR="00763A20" w:rsidRPr="00975E6B" w:rsidRDefault="00763A20" w:rsidP="0029344A">
            <w:pPr>
              <w:pStyle w:val="BodyText"/>
              <w:jc w:val="left"/>
            </w:pPr>
            <w:r w:rsidRPr="00975E6B">
              <w:t>Not reported by product – spread across patient costed cohort</w:t>
            </w:r>
          </w:p>
        </w:tc>
      </w:tr>
      <w:tr w:rsidR="00763A20" w:rsidRPr="00975E6B" w:rsidTr="003D1169">
        <w:tc>
          <w:tcPr>
            <w:tcW w:w="1583" w:type="pct"/>
            <w:tcBorders>
              <w:right w:val="single" w:sz="4" w:space="0" w:color="548DD4" w:themeColor="text2" w:themeTint="99"/>
            </w:tcBorders>
            <w:noWrap/>
          </w:tcPr>
          <w:p w:rsidR="00763A20" w:rsidRPr="00975E6B" w:rsidRDefault="00763A20" w:rsidP="0029344A">
            <w:pPr>
              <w:pStyle w:val="BodyText"/>
              <w:jc w:val="left"/>
            </w:pPr>
            <w:r w:rsidRPr="00975E6B">
              <w:t>Teaching and Training</w:t>
            </w:r>
          </w:p>
        </w:tc>
        <w:tc>
          <w:tcPr>
            <w:tcW w:w="3417" w:type="pct"/>
            <w:tcBorders>
              <w:left w:val="single" w:sz="4" w:space="0" w:color="548DD4" w:themeColor="text2" w:themeTint="99"/>
            </w:tcBorders>
          </w:tcPr>
          <w:p w:rsidR="00763A20" w:rsidRPr="00975E6B" w:rsidRDefault="00763A20" w:rsidP="0029344A">
            <w:pPr>
              <w:pStyle w:val="BodyText"/>
              <w:jc w:val="left"/>
            </w:pPr>
            <w:r w:rsidRPr="00975E6B">
              <w:t>Teaching and Training is reported at product level and is not in the costed patient level data submitted to IHPA.</w:t>
            </w:r>
          </w:p>
        </w:tc>
      </w:tr>
      <w:tr w:rsidR="00763A20" w:rsidRPr="00975E6B" w:rsidTr="003D1169">
        <w:tc>
          <w:tcPr>
            <w:tcW w:w="1583" w:type="pct"/>
            <w:tcBorders>
              <w:right w:val="single" w:sz="4" w:space="0" w:color="548DD4" w:themeColor="text2" w:themeTint="99"/>
            </w:tcBorders>
            <w:noWrap/>
          </w:tcPr>
          <w:p w:rsidR="00763A20" w:rsidRPr="00975E6B" w:rsidRDefault="00763A20" w:rsidP="0029344A">
            <w:pPr>
              <w:pStyle w:val="BodyText"/>
              <w:jc w:val="left"/>
            </w:pPr>
            <w:r w:rsidRPr="00975E6B">
              <w:t>Shared/Other commercial entities</w:t>
            </w:r>
          </w:p>
        </w:tc>
        <w:tc>
          <w:tcPr>
            <w:tcW w:w="3417" w:type="pct"/>
            <w:tcBorders>
              <w:left w:val="single" w:sz="4" w:space="0" w:color="548DD4" w:themeColor="text2" w:themeTint="99"/>
            </w:tcBorders>
          </w:tcPr>
          <w:p w:rsidR="00763A20" w:rsidRPr="00975E6B" w:rsidRDefault="00763A20">
            <w:pPr>
              <w:pStyle w:val="BodyText"/>
              <w:jc w:val="left"/>
            </w:pPr>
            <w:r w:rsidRPr="00975E6B">
              <w:t xml:space="preserve">All expenditure is </w:t>
            </w:r>
            <w:r w:rsidR="00EF71BF" w:rsidRPr="00975E6B">
              <w:t>removed from the</w:t>
            </w:r>
            <w:r w:rsidRPr="00975E6B">
              <w:t xml:space="preserve"> GL prior to costing.</w:t>
            </w:r>
          </w:p>
        </w:tc>
      </w:tr>
      <w:tr w:rsidR="00901115" w:rsidRPr="00975E6B" w:rsidTr="003D1169">
        <w:tc>
          <w:tcPr>
            <w:tcW w:w="1583" w:type="pct"/>
            <w:tcBorders>
              <w:right w:val="single" w:sz="4" w:space="0" w:color="548DD4" w:themeColor="text2" w:themeTint="99"/>
            </w:tcBorders>
            <w:noWrap/>
          </w:tcPr>
          <w:p w:rsidR="00901115" w:rsidRPr="00975E6B" w:rsidRDefault="00901115" w:rsidP="00901115">
            <w:pPr>
              <w:pStyle w:val="BodyText"/>
              <w:jc w:val="left"/>
            </w:pPr>
            <w:r w:rsidRPr="00975E6B">
              <w:t xml:space="preserve">Intensive Care Unit </w:t>
            </w:r>
          </w:p>
        </w:tc>
        <w:tc>
          <w:tcPr>
            <w:tcW w:w="3417" w:type="pct"/>
            <w:tcBorders>
              <w:left w:val="single" w:sz="4" w:space="0" w:color="548DD4" w:themeColor="text2" w:themeTint="99"/>
            </w:tcBorders>
          </w:tcPr>
          <w:p w:rsidR="00901115" w:rsidRPr="00975E6B" w:rsidRDefault="00901115" w:rsidP="00901115">
            <w:pPr>
              <w:pStyle w:val="BodyText"/>
              <w:jc w:val="left"/>
            </w:pPr>
            <w:r w:rsidRPr="00975E6B">
              <w:t>No change to the costing methodology. Feeder adjusts for nursing based on PCCL score as with other wards.</w:t>
            </w:r>
          </w:p>
        </w:tc>
      </w:tr>
      <w:tr w:rsidR="00901115" w:rsidRPr="00975E6B" w:rsidTr="003D1169">
        <w:tc>
          <w:tcPr>
            <w:tcW w:w="1583" w:type="pct"/>
            <w:tcBorders>
              <w:right w:val="single" w:sz="4" w:space="0" w:color="548DD4" w:themeColor="text2" w:themeTint="99"/>
            </w:tcBorders>
            <w:noWrap/>
          </w:tcPr>
          <w:p w:rsidR="00901115" w:rsidRPr="00975E6B" w:rsidRDefault="00EE5E5B" w:rsidP="00901115">
            <w:pPr>
              <w:pStyle w:val="BodyText"/>
              <w:jc w:val="left"/>
            </w:pPr>
            <w:r w:rsidRPr="00975E6B">
              <w:t>Aboriginal and Torres Strait Islander</w:t>
            </w:r>
            <w:r w:rsidR="00901115" w:rsidRPr="00975E6B">
              <w:t xml:space="preserve"> patients</w:t>
            </w:r>
          </w:p>
        </w:tc>
        <w:tc>
          <w:tcPr>
            <w:tcW w:w="3417" w:type="pct"/>
            <w:tcBorders>
              <w:left w:val="single" w:sz="4" w:space="0" w:color="548DD4" w:themeColor="text2" w:themeTint="99"/>
            </w:tcBorders>
          </w:tcPr>
          <w:p w:rsidR="00901115" w:rsidRPr="00975E6B" w:rsidRDefault="00901115" w:rsidP="00901115">
            <w:pPr>
              <w:pStyle w:val="BodyText"/>
              <w:jc w:val="left"/>
            </w:pPr>
            <w:r w:rsidRPr="00975E6B">
              <w:t>No change to the costing methodology. No ATSI weights or adjustments made. Costs based on resources linked.</w:t>
            </w:r>
          </w:p>
        </w:tc>
      </w:tr>
      <w:tr w:rsidR="00901115" w:rsidRPr="00975E6B" w:rsidTr="003D1169">
        <w:trPr>
          <w:trHeight w:val="516"/>
        </w:trPr>
        <w:tc>
          <w:tcPr>
            <w:tcW w:w="1583" w:type="pct"/>
            <w:tcBorders>
              <w:right w:val="single" w:sz="4" w:space="0" w:color="548DD4" w:themeColor="text2" w:themeTint="99"/>
            </w:tcBorders>
            <w:noWrap/>
          </w:tcPr>
          <w:p w:rsidR="00901115" w:rsidRPr="00975E6B" w:rsidRDefault="00901115" w:rsidP="00901115">
            <w:pPr>
              <w:pStyle w:val="BodyText"/>
              <w:jc w:val="left"/>
            </w:pPr>
            <w:r w:rsidRPr="00975E6B">
              <w:t xml:space="preserve">Private Patients </w:t>
            </w:r>
          </w:p>
        </w:tc>
        <w:tc>
          <w:tcPr>
            <w:tcW w:w="3417" w:type="pct"/>
            <w:tcBorders>
              <w:left w:val="single" w:sz="4" w:space="0" w:color="548DD4" w:themeColor="text2" w:themeTint="99"/>
            </w:tcBorders>
          </w:tcPr>
          <w:p w:rsidR="00901115" w:rsidRPr="00975E6B" w:rsidRDefault="00901115" w:rsidP="00901115">
            <w:pPr>
              <w:pStyle w:val="BodyText"/>
              <w:jc w:val="left"/>
            </w:pPr>
            <w:r w:rsidRPr="00975E6B">
              <w:t>No change to the costing methodology. No private patient weights or adjustments made.</w:t>
            </w:r>
          </w:p>
        </w:tc>
      </w:tr>
      <w:tr w:rsidR="00901115" w:rsidRPr="00975E6B" w:rsidTr="003D1169">
        <w:tc>
          <w:tcPr>
            <w:tcW w:w="1583" w:type="pct"/>
            <w:tcBorders>
              <w:right w:val="single" w:sz="4" w:space="0" w:color="548DD4" w:themeColor="text2" w:themeTint="99"/>
            </w:tcBorders>
            <w:noWrap/>
          </w:tcPr>
          <w:p w:rsidR="00901115" w:rsidRPr="00975E6B" w:rsidRDefault="00901115" w:rsidP="00901115">
            <w:pPr>
              <w:pStyle w:val="BodyText"/>
              <w:jc w:val="left"/>
            </w:pPr>
            <w:r w:rsidRPr="00975E6B">
              <w:t>PBS drugs</w:t>
            </w:r>
          </w:p>
        </w:tc>
        <w:tc>
          <w:tcPr>
            <w:tcW w:w="3417" w:type="pct"/>
            <w:tcBorders>
              <w:left w:val="single" w:sz="4" w:space="0" w:color="548DD4" w:themeColor="text2" w:themeTint="99"/>
            </w:tcBorders>
          </w:tcPr>
          <w:p w:rsidR="00901115" w:rsidRPr="00975E6B" w:rsidRDefault="00901115" w:rsidP="00901115">
            <w:pPr>
              <w:pStyle w:val="BodyText"/>
              <w:jc w:val="left"/>
            </w:pPr>
            <w:r w:rsidRPr="00975E6B">
              <w:t>Included in the Round 18 submission, with no offsets undertaken.</w:t>
            </w:r>
          </w:p>
        </w:tc>
      </w:tr>
    </w:tbl>
    <w:p w:rsidR="00763A20" w:rsidRPr="00975E6B" w:rsidRDefault="0040035E" w:rsidP="00763A20">
      <w:pPr>
        <w:pStyle w:val="FootnoteText"/>
        <w:rPr>
          <w:bCs/>
          <w:i/>
          <w:sz w:val="16"/>
          <w:szCs w:val="16"/>
        </w:rPr>
      </w:pPr>
      <w:r w:rsidRPr="00975E6B">
        <w:rPr>
          <w:bCs/>
          <w:i/>
          <w:sz w:val="16"/>
          <w:szCs w:val="16"/>
        </w:rPr>
        <w:t>S</w:t>
      </w:r>
      <w:r w:rsidR="00763A20" w:rsidRPr="00975E6B">
        <w:rPr>
          <w:bCs/>
          <w:i/>
          <w:sz w:val="16"/>
          <w:szCs w:val="16"/>
        </w:rPr>
        <w:t>ource: KPMG</w:t>
      </w:r>
    </w:p>
    <w:p w:rsidR="00763A20" w:rsidRPr="00975E6B" w:rsidRDefault="00763A20" w:rsidP="003B387A">
      <w:pPr>
        <w:pStyle w:val="Heading3"/>
        <w:numPr>
          <w:ilvl w:val="2"/>
          <w:numId w:val="77"/>
        </w:numPr>
      </w:pPr>
      <w:r w:rsidRPr="00497F12">
        <w:t>Sample</w:t>
      </w:r>
      <w:r w:rsidRPr="00975E6B">
        <w:t xml:space="preserve"> patient data</w:t>
      </w:r>
    </w:p>
    <w:p w:rsidR="00763A20" w:rsidRPr="00975E6B" w:rsidRDefault="00763A20" w:rsidP="001140D3">
      <w:r w:rsidRPr="00975E6B">
        <w:t xml:space="preserve">IHPA selected a sample of five patients from </w:t>
      </w:r>
      <w:r w:rsidR="00901CD9" w:rsidRPr="00975E6B">
        <w:t>Royal Hobart</w:t>
      </w:r>
      <w:r w:rsidRPr="00975E6B">
        <w:t xml:space="preserve"> for the purposes of testing the data flow from jurisdictions to IHPA at the patient level. TAS-DHHS provided the patient level costs for all five patients that were reconciled to IHPA records (with minor $1 - $2 variances noted for three records). The results are summarised in</w:t>
      </w:r>
      <w:r w:rsidR="008602E3">
        <w:t xml:space="preserve"> </w:t>
      </w:r>
      <w:r w:rsidR="008602E3">
        <w:fldChar w:fldCharType="begin"/>
      </w:r>
      <w:r w:rsidR="008602E3">
        <w:instrText xml:space="preserve"> REF _Ref444517800 \h  \* MERGEFORMAT </w:instrText>
      </w:r>
      <w:r w:rsidR="008602E3">
        <w:fldChar w:fldCharType="separate"/>
      </w:r>
      <w:r w:rsidR="00154CF7" w:rsidRPr="00975E6B">
        <w:t xml:space="preserve">Table </w:t>
      </w:r>
      <w:r w:rsidR="00154CF7">
        <w:rPr>
          <w:bCs/>
          <w:noProof/>
        </w:rPr>
        <w:t>77</w:t>
      </w:r>
      <w:r w:rsidR="008602E3">
        <w:fldChar w:fldCharType="end"/>
      </w:r>
      <w:r w:rsidRPr="00274CCD">
        <w:t>.</w:t>
      </w:r>
    </w:p>
    <w:p w:rsidR="00B5622A" w:rsidRPr="00975E6B" w:rsidRDefault="00763A20" w:rsidP="008602E3">
      <w:pPr>
        <w:pStyle w:val="Caption"/>
        <w:pageBreakBefore/>
      </w:pPr>
      <w:bookmarkStart w:id="793" w:name="_Ref434265295"/>
      <w:bookmarkStart w:id="794" w:name="_Ref444517800"/>
      <w:r w:rsidRPr="00975E6B">
        <w:lastRenderedPageBreak/>
        <w:t xml:space="preserve">Table </w:t>
      </w:r>
      <w:r w:rsidR="003E3288" w:rsidRPr="008602E3">
        <w:rPr>
          <w:bCs w:val="0"/>
        </w:rPr>
        <w:fldChar w:fldCharType="begin"/>
      </w:r>
      <w:r w:rsidR="003E3288" w:rsidRPr="008602E3">
        <w:rPr>
          <w:bCs w:val="0"/>
        </w:rPr>
        <w:instrText xml:space="preserve"> SEQ Table \* ARABIC </w:instrText>
      </w:r>
      <w:r w:rsidR="003E3288" w:rsidRPr="008602E3">
        <w:rPr>
          <w:bCs w:val="0"/>
        </w:rPr>
        <w:fldChar w:fldCharType="separate"/>
      </w:r>
      <w:r w:rsidR="00154CF7">
        <w:rPr>
          <w:bCs w:val="0"/>
          <w:noProof/>
        </w:rPr>
        <w:t>77</w:t>
      </w:r>
      <w:r w:rsidR="003E3288" w:rsidRPr="008602E3">
        <w:rPr>
          <w:bCs w:val="0"/>
          <w:noProof/>
        </w:rPr>
        <w:fldChar w:fldCharType="end"/>
      </w:r>
      <w:bookmarkEnd w:id="793"/>
      <w:bookmarkEnd w:id="794"/>
      <w:r w:rsidRPr="00975E6B">
        <w:t xml:space="preserve"> – Sample patients – Royal Hobart Hospital</w:t>
      </w:r>
    </w:p>
    <w:tbl>
      <w:tblPr>
        <w:tblW w:w="5000" w:type="pct"/>
        <w:tblLook w:val="04A0" w:firstRow="1" w:lastRow="0" w:firstColumn="1" w:lastColumn="0" w:noHBand="0" w:noVBand="1"/>
        <w:tblCaption w:val="Table 77 - Sample patients - Royal Hobart Hospital"/>
        <w:tblDescription w:val="This table presents the results of the 5 sample patients tested for the data flow from jurisdictions to IHPA at the patient level for Royal Hobart Hospital. There are 5 columns.  Column 1 is the sample number, Column 2 is the product type, column 3 is the amount in  jurisdiction records, Column 4 is the amount received by IHPA and Column 5 is the variance between jurisdiction and IHPA.&#10;"/>
      </w:tblPr>
      <w:tblGrid>
        <w:gridCol w:w="500"/>
        <w:gridCol w:w="2267"/>
        <w:gridCol w:w="2267"/>
        <w:gridCol w:w="2267"/>
        <w:gridCol w:w="1420"/>
      </w:tblGrid>
      <w:tr w:rsidR="00B5622A" w:rsidRPr="00B5622A" w:rsidTr="00E14378">
        <w:trPr>
          <w:trHeight w:val="260"/>
        </w:trPr>
        <w:tc>
          <w:tcPr>
            <w:tcW w:w="286"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B5622A" w:rsidRPr="00B5622A" w:rsidRDefault="00B5622A" w:rsidP="00B5622A">
            <w:pPr>
              <w:spacing w:line="240" w:lineRule="auto"/>
              <w:jc w:val="center"/>
              <w:rPr>
                <w:b/>
                <w:bCs/>
                <w:color w:val="FFFFFF"/>
                <w:lang w:eastAsia="en-AU"/>
              </w:rPr>
            </w:pPr>
            <w:r w:rsidRPr="00B5622A">
              <w:rPr>
                <w:b/>
                <w:bCs/>
                <w:color w:val="FFFFFF"/>
                <w:lang w:eastAsia="en-AU"/>
              </w:rPr>
              <w:t>#</w:t>
            </w:r>
          </w:p>
        </w:tc>
        <w:tc>
          <w:tcPr>
            <w:tcW w:w="1300" w:type="pct"/>
            <w:tcBorders>
              <w:top w:val="single" w:sz="4" w:space="0" w:color="5B9BD5"/>
              <w:left w:val="nil"/>
              <w:bottom w:val="single" w:sz="4" w:space="0" w:color="5B9BD5"/>
              <w:right w:val="single" w:sz="4" w:space="0" w:color="5B9BD5"/>
            </w:tcBorders>
            <w:shd w:val="clear" w:color="auto" w:fill="002060"/>
            <w:vAlign w:val="bottom"/>
            <w:hideMark/>
          </w:tcPr>
          <w:p w:rsidR="00B5622A" w:rsidRPr="00B5622A" w:rsidRDefault="00B5622A" w:rsidP="00B5622A">
            <w:pPr>
              <w:spacing w:line="240" w:lineRule="auto"/>
              <w:rPr>
                <w:b/>
                <w:bCs/>
                <w:color w:val="FFFFFF"/>
                <w:lang w:eastAsia="en-AU"/>
              </w:rPr>
            </w:pPr>
            <w:r w:rsidRPr="00B5622A">
              <w:rPr>
                <w:b/>
                <w:bCs/>
                <w:color w:val="FFFFFF"/>
                <w:lang w:eastAsia="en-AU"/>
              </w:rPr>
              <w:t>Product</w:t>
            </w:r>
          </w:p>
        </w:tc>
        <w:tc>
          <w:tcPr>
            <w:tcW w:w="1300" w:type="pct"/>
            <w:tcBorders>
              <w:top w:val="single" w:sz="4" w:space="0" w:color="5B9BD5"/>
              <w:left w:val="nil"/>
              <w:bottom w:val="single" w:sz="4" w:space="0" w:color="5B9BD5"/>
              <w:right w:val="single" w:sz="4" w:space="0" w:color="5B9BD5"/>
            </w:tcBorders>
            <w:shd w:val="clear" w:color="auto" w:fill="002060"/>
            <w:vAlign w:val="bottom"/>
            <w:hideMark/>
          </w:tcPr>
          <w:p w:rsidR="00B5622A" w:rsidRPr="00B5622A" w:rsidRDefault="00B5622A" w:rsidP="00B5622A">
            <w:pPr>
              <w:spacing w:line="240" w:lineRule="auto"/>
              <w:jc w:val="center"/>
              <w:rPr>
                <w:b/>
                <w:bCs/>
                <w:color w:val="FFFFFF"/>
                <w:lang w:eastAsia="en-AU"/>
              </w:rPr>
            </w:pPr>
            <w:r w:rsidRPr="00B5622A">
              <w:rPr>
                <w:b/>
                <w:bCs/>
                <w:color w:val="FFFFFF"/>
                <w:lang w:eastAsia="en-AU"/>
              </w:rPr>
              <w:t>Jurisdiction records</w:t>
            </w:r>
          </w:p>
        </w:tc>
        <w:tc>
          <w:tcPr>
            <w:tcW w:w="1300" w:type="pct"/>
            <w:tcBorders>
              <w:top w:val="single" w:sz="4" w:space="0" w:color="5B9BD5"/>
              <w:left w:val="nil"/>
              <w:bottom w:val="single" w:sz="4" w:space="0" w:color="5B9BD5"/>
              <w:right w:val="single" w:sz="4" w:space="0" w:color="5B9BD5"/>
            </w:tcBorders>
            <w:shd w:val="clear" w:color="auto" w:fill="002060"/>
            <w:vAlign w:val="bottom"/>
            <w:hideMark/>
          </w:tcPr>
          <w:p w:rsidR="00B5622A" w:rsidRPr="00B5622A" w:rsidRDefault="00B5622A" w:rsidP="00B5622A">
            <w:pPr>
              <w:spacing w:line="240" w:lineRule="auto"/>
              <w:jc w:val="center"/>
              <w:rPr>
                <w:b/>
                <w:bCs/>
                <w:color w:val="FFFFFF"/>
                <w:lang w:eastAsia="en-AU"/>
              </w:rPr>
            </w:pPr>
            <w:r w:rsidRPr="00B5622A">
              <w:rPr>
                <w:b/>
                <w:bCs/>
                <w:color w:val="FFFFFF"/>
                <w:lang w:eastAsia="en-AU"/>
              </w:rPr>
              <w:t>Received by IHPA</w:t>
            </w:r>
          </w:p>
        </w:tc>
        <w:tc>
          <w:tcPr>
            <w:tcW w:w="815" w:type="pct"/>
            <w:tcBorders>
              <w:top w:val="single" w:sz="4" w:space="0" w:color="5B9BD5"/>
              <w:left w:val="nil"/>
              <w:bottom w:val="nil"/>
              <w:right w:val="single" w:sz="4" w:space="0" w:color="5B9BD5"/>
            </w:tcBorders>
            <w:shd w:val="clear" w:color="auto" w:fill="002060"/>
            <w:vAlign w:val="bottom"/>
            <w:hideMark/>
          </w:tcPr>
          <w:p w:rsidR="00B5622A" w:rsidRPr="00B5622A" w:rsidRDefault="00B5622A" w:rsidP="00B5622A">
            <w:pPr>
              <w:spacing w:line="240" w:lineRule="auto"/>
              <w:jc w:val="center"/>
              <w:rPr>
                <w:b/>
                <w:bCs/>
                <w:color w:val="FFFFFF"/>
                <w:lang w:eastAsia="en-AU"/>
              </w:rPr>
            </w:pPr>
            <w:r w:rsidRPr="00B5622A">
              <w:rPr>
                <w:b/>
                <w:bCs/>
                <w:color w:val="FFFFFF"/>
                <w:lang w:eastAsia="en-AU"/>
              </w:rPr>
              <w:t>Variance</w:t>
            </w:r>
          </w:p>
        </w:tc>
      </w:tr>
      <w:tr w:rsidR="00B5622A" w:rsidRPr="00B5622A" w:rsidTr="00CD1518">
        <w:trPr>
          <w:trHeight w:val="260"/>
        </w:trPr>
        <w:tc>
          <w:tcPr>
            <w:tcW w:w="286" w:type="pct"/>
            <w:tcBorders>
              <w:top w:val="nil"/>
              <w:left w:val="single" w:sz="4" w:space="0" w:color="5B9BD5"/>
              <w:bottom w:val="single" w:sz="4" w:space="0" w:color="5B9BD5"/>
              <w:right w:val="single" w:sz="4" w:space="0" w:color="5B9BD5"/>
            </w:tcBorders>
            <w:shd w:val="clear" w:color="000000" w:fill="FFFFFF"/>
            <w:noWrap/>
            <w:vAlign w:val="bottom"/>
            <w:hideMark/>
          </w:tcPr>
          <w:p w:rsidR="00B5622A" w:rsidRPr="00B5622A" w:rsidRDefault="00B5622A" w:rsidP="00B5622A">
            <w:pPr>
              <w:spacing w:line="240" w:lineRule="auto"/>
              <w:jc w:val="center"/>
              <w:rPr>
                <w:color w:val="000000"/>
                <w:lang w:eastAsia="en-AU"/>
              </w:rPr>
            </w:pPr>
            <w:r w:rsidRPr="00B5622A">
              <w:rPr>
                <w:color w:val="000000"/>
                <w:lang w:eastAsia="en-AU"/>
              </w:rPr>
              <w:t>1</w:t>
            </w:r>
          </w:p>
        </w:tc>
        <w:tc>
          <w:tcPr>
            <w:tcW w:w="1300" w:type="pct"/>
            <w:tcBorders>
              <w:top w:val="nil"/>
              <w:left w:val="single" w:sz="4" w:space="0" w:color="5B9BD5"/>
              <w:bottom w:val="single" w:sz="4" w:space="0" w:color="5B9BD5"/>
              <w:right w:val="single" w:sz="4" w:space="0" w:color="5B9BD5"/>
            </w:tcBorders>
            <w:shd w:val="clear" w:color="auto" w:fill="auto"/>
            <w:noWrap/>
            <w:vAlign w:val="bottom"/>
            <w:hideMark/>
          </w:tcPr>
          <w:p w:rsidR="00B5622A" w:rsidRPr="00B5622A" w:rsidRDefault="00B5622A" w:rsidP="00B5622A">
            <w:pPr>
              <w:spacing w:line="240" w:lineRule="auto"/>
              <w:rPr>
                <w:color w:val="000000"/>
                <w:lang w:eastAsia="en-AU"/>
              </w:rPr>
            </w:pPr>
            <w:r w:rsidRPr="00B5622A">
              <w:rPr>
                <w:color w:val="000000"/>
                <w:lang w:eastAsia="en-AU"/>
              </w:rPr>
              <w:t xml:space="preserve"> Acute </w:t>
            </w:r>
          </w:p>
        </w:tc>
        <w:tc>
          <w:tcPr>
            <w:tcW w:w="1300" w:type="pct"/>
            <w:tcBorders>
              <w:top w:val="nil"/>
              <w:left w:val="nil"/>
              <w:bottom w:val="single" w:sz="4" w:space="0" w:color="5B9BD5"/>
              <w:right w:val="single" w:sz="4" w:space="0" w:color="5B9BD5"/>
            </w:tcBorders>
            <w:shd w:val="clear" w:color="000000" w:fill="FFFFFF"/>
            <w:noWrap/>
            <w:vAlign w:val="bottom"/>
            <w:hideMark/>
          </w:tcPr>
          <w:p w:rsidR="00B5622A" w:rsidRPr="00B5622A" w:rsidRDefault="00B5622A" w:rsidP="00CD1518">
            <w:pPr>
              <w:spacing w:line="240" w:lineRule="auto"/>
              <w:jc w:val="right"/>
              <w:rPr>
                <w:color w:val="000000"/>
                <w:lang w:eastAsia="en-AU"/>
              </w:rPr>
            </w:pPr>
            <w:r w:rsidRPr="00B5622A">
              <w:rPr>
                <w:color w:val="000000"/>
                <w:lang w:eastAsia="en-AU"/>
              </w:rPr>
              <w:t xml:space="preserve"> $10,337 </w:t>
            </w:r>
          </w:p>
        </w:tc>
        <w:tc>
          <w:tcPr>
            <w:tcW w:w="1300" w:type="pct"/>
            <w:tcBorders>
              <w:top w:val="nil"/>
              <w:left w:val="nil"/>
              <w:bottom w:val="single" w:sz="4" w:space="0" w:color="5B9BD5"/>
              <w:right w:val="single" w:sz="4" w:space="0" w:color="5B9BD5"/>
            </w:tcBorders>
            <w:shd w:val="clear" w:color="000000" w:fill="FFFFFF"/>
            <w:noWrap/>
            <w:vAlign w:val="bottom"/>
            <w:hideMark/>
          </w:tcPr>
          <w:p w:rsidR="00B5622A" w:rsidRPr="00B5622A" w:rsidRDefault="00B5622A" w:rsidP="00CD1518">
            <w:pPr>
              <w:spacing w:line="240" w:lineRule="auto"/>
              <w:jc w:val="right"/>
              <w:rPr>
                <w:color w:val="000000"/>
                <w:lang w:eastAsia="en-AU"/>
              </w:rPr>
            </w:pPr>
            <w:r w:rsidRPr="00B5622A">
              <w:rPr>
                <w:color w:val="000000"/>
                <w:lang w:eastAsia="en-AU"/>
              </w:rPr>
              <w:t xml:space="preserve"> $10,335 </w:t>
            </w:r>
          </w:p>
        </w:tc>
        <w:tc>
          <w:tcPr>
            <w:tcW w:w="815" w:type="pct"/>
            <w:tcBorders>
              <w:top w:val="single" w:sz="4" w:space="0" w:color="5B9BD5"/>
              <w:left w:val="nil"/>
              <w:bottom w:val="single" w:sz="4" w:space="0" w:color="5B9BD5"/>
              <w:right w:val="single" w:sz="4" w:space="0" w:color="5B9BD5"/>
            </w:tcBorders>
            <w:shd w:val="clear" w:color="000000" w:fill="FFFFFF"/>
            <w:noWrap/>
            <w:vAlign w:val="bottom"/>
            <w:hideMark/>
          </w:tcPr>
          <w:p w:rsidR="00B5622A" w:rsidRPr="00B5622A" w:rsidRDefault="00B5622A" w:rsidP="00CD1518">
            <w:pPr>
              <w:spacing w:line="240" w:lineRule="auto"/>
              <w:jc w:val="right"/>
              <w:rPr>
                <w:color w:val="000000"/>
                <w:lang w:eastAsia="en-AU"/>
              </w:rPr>
            </w:pPr>
            <w:r w:rsidRPr="00B5622A">
              <w:rPr>
                <w:color w:val="000000"/>
                <w:lang w:eastAsia="en-AU"/>
              </w:rPr>
              <w:t xml:space="preserve"> $(2)</w:t>
            </w:r>
          </w:p>
        </w:tc>
      </w:tr>
      <w:tr w:rsidR="00B5622A" w:rsidRPr="00B5622A" w:rsidTr="00CD1518">
        <w:trPr>
          <w:trHeight w:val="260"/>
        </w:trPr>
        <w:tc>
          <w:tcPr>
            <w:tcW w:w="286" w:type="pct"/>
            <w:tcBorders>
              <w:top w:val="nil"/>
              <w:left w:val="single" w:sz="4" w:space="0" w:color="5B9BD5"/>
              <w:bottom w:val="single" w:sz="4" w:space="0" w:color="5B9BD5"/>
              <w:right w:val="single" w:sz="4" w:space="0" w:color="5B9BD5"/>
            </w:tcBorders>
            <w:shd w:val="clear" w:color="000000" w:fill="DDEBF7"/>
            <w:noWrap/>
            <w:vAlign w:val="bottom"/>
            <w:hideMark/>
          </w:tcPr>
          <w:p w:rsidR="00B5622A" w:rsidRPr="00B5622A" w:rsidRDefault="00B5622A" w:rsidP="00B5622A">
            <w:pPr>
              <w:spacing w:line="240" w:lineRule="auto"/>
              <w:jc w:val="center"/>
              <w:rPr>
                <w:color w:val="000000"/>
                <w:lang w:eastAsia="en-AU"/>
              </w:rPr>
            </w:pPr>
            <w:r w:rsidRPr="00B5622A">
              <w:rPr>
                <w:color w:val="000000"/>
                <w:lang w:eastAsia="en-AU"/>
              </w:rPr>
              <w:t>2</w:t>
            </w:r>
          </w:p>
        </w:tc>
        <w:tc>
          <w:tcPr>
            <w:tcW w:w="1300" w:type="pct"/>
            <w:tcBorders>
              <w:top w:val="nil"/>
              <w:left w:val="single" w:sz="4" w:space="0" w:color="5B9BD5"/>
              <w:bottom w:val="single" w:sz="4" w:space="0" w:color="5B9BD5"/>
              <w:right w:val="single" w:sz="4" w:space="0" w:color="5B9BD5"/>
            </w:tcBorders>
            <w:shd w:val="clear" w:color="000000" w:fill="DDEBF7"/>
            <w:noWrap/>
            <w:vAlign w:val="bottom"/>
            <w:hideMark/>
          </w:tcPr>
          <w:p w:rsidR="00B5622A" w:rsidRPr="00B5622A" w:rsidRDefault="00B5622A" w:rsidP="00B5622A">
            <w:pPr>
              <w:spacing w:line="240" w:lineRule="auto"/>
              <w:rPr>
                <w:color w:val="000000"/>
                <w:lang w:eastAsia="en-AU"/>
              </w:rPr>
            </w:pPr>
            <w:r w:rsidRPr="00B5622A">
              <w:rPr>
                <w:color w:val="000000"/>
                <w:lang w:eastAsia="en-AU"/>
              </w:rPr>
              <w:t xml:space="preserve"> Acute </w:t>
            </w:r>
          </w:p>
        </w:tc>
        <w:tc>
          <w:tcPr>
            <w:tcW w:w="1300" w:type="pct"/>
            <w:tcBorders>
              <w:top w:val="nil"/>
              <w:left w:val="nil"/>
              <w:bottom w:val="single" w:sz="4" w:space="0" w:color="5B9BD5"/>
              <w:right w:val="single" w:sz="4" w:space="0" w:color="5B9BD5"/>
            </w:tcBorders>
            <w:shd w:val="clear" w:color="000000" w:fill="DDEBF7"/>
            <w:noWrap/>
            <w:vAlign w:val="bottom"/>
            <w:hideMark/>
          </w:tcPr>
          <w:p w:rsidR="00B5622A" w:rsidRPr="00B5622A" w:rsidRDefault="00B5622A" w:rsidP="00CD1518">
            <w:pPr>
              <w:spacing w:line="240" w:lineRule="auto"/>
              <w:jc w:val="right"/>
              <w:rPr>
                <w:color w:val="000000"/>
                <w:lang w:eastAsia="en-AU"/>
              </w:rPr>
            </w:pPr>
            <w:r w:rsidRPr="00B5622A">
              <w:rPr>
                <w:color w:val="000000"/>
                <w:lang w:eastAsia="en-AU"/>
              </w:rPr>
              <w:t xml:space="preserve"> $991,717 </w:t>
            </w:r>
          </w:p>
        </w:tc>
        <w:tc>
          <w:tcPr>
            <w:tcW w:w="1300" w:type="pct"/>
            <w:tcBorders>
              <w:top w:val="nil"/>
              <w:left w:val="nil"/>
              <w:bottom w:val="single" w:sz="4" w:space="0" w:color="5B9BD5"/>
              <w:right w:val="single" w:sz="4" w:space="0" w:color="5B9BD5"/>
            </w:tcBorders>
            <w:shd w:val="clear" w:color="000000" w:fill="DDEBF7"/>
            <w:noWrap/>
            <w:vAlign w:val="bottom"/>
            <w:hideMark/>
          </w:tcPr>
          <w:p w:rsidR="00B5622A" w:rsidRPr="00B5622A" w:rsidRDefault="00B5622A" w:rsidP="00CD1518">
            <w:pPr>
              <w:spacing w:line="240" w:lineRule="auto"/>
              <w:jc w:val="right"/>
              <w:rPr>
                <w:color w:val="000000"/>
                <w:lang w:eastAsia="en-AU"/>
              </w:rPr>
            </w:pPr>
            <w:r w:rsidRPr="00B5622A">
              <w:rPr>
                <w:color w:val="000000"/>
                <w:lang w:eastAsia="en-AU"/>
              </w:rPr>
              <w:t xml:space="preserve"> $991,716 </w:t>
            </w:r>
          </w:p>
        </w:tc>
        <w:tc>
          <w:tcPr>
            <w:tcW w:w="815" w:type="pct"/>
            <w:tcBorders>
              <w:top w:val="nil"/>
              <w:left w:val="nil"/>
              <w:bottom w:val="single" w:sz="4" w:space="0" w:color="5B9BD5"/>
              <w:right w:val="single" w:sz="4" w:space="0" w:color="5B9BD5"/>
            </w:tcBorders>
            <w:shd w:val="clear" w:color="000000" w:fill="DDEBF7"/>
            <w:noWrap/>
            <w:vAlign w:val="bottom"/>
            <w:hideMark/>
          </w:tcPr>
          <w:p w:rsidR="00B5622A" w:rsidRPr="00B5622A" w:rsidRDefault="00B5622A" w:rsidP="00CD1518">
            <w:pPr>
              <w:spacing w:line="240" w:lineRule="auto"/>
              <w:jc w:val="right"/>
              <w:rPr>
                <w:color w:val="000000"/>
                <w:lang w:eastAsia="en-AU"/>
              </w:rPr>
            </w:pPr>
            <w:r w:rsidRPr="00B5622A">
              <w:rPr>
                <w:color w:val="000000"/>
                <w:lang w:eastAsia="en-AU"/>
              </w:rPr>
              <w:t xml:space="preserve"> $(1)</w:t>
            </w:r>
          </w:p>
        </w:tc>
      </w:tr>
      <w:tr w:rsidR="009C3210" w:rsidRPr="00B5622A" w:rsidTr="00CD1518">
        <w:trPr>
          <w:trHeight w:val="260"/>
        </w:trPr>
        <w:tc>
          <w:tcPr>
            <w:tcW w:w="286"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B5622A" w:rsidRDefault="009C3210" w:rsidP="009C3210">
            <w:pPr>
              <w:spacing w:line="240" w:lineRule="auto"/>
              <w:jc w:val="center"/>
              <w:rPr>
                <w:color w:val="000000"/>
                <w:lang w:eastAsia="en-AU"/>
              </w:rPr>
            </w:pPr>
            <w:r w:rsidRPr="00B5622A">
              <w:rPr>
                <w:color w:val="000000"/>
                <w:lang w:eastAsia="en-AU"/>
              </w:rPr>
              <w:t>3</w:t>
            </w:r>
          </w:p>
        </w:tc>
        <w:tc>
          <w:tcPr>
            <w:tcW w:w="1300"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B5622A" w:rsidRDefault="009C3210" w:rsidP="009C3210">
            <w:pPr>
              <w:spacing w:line="240" w:lineRule="auto"/>
              <w:rPr>
                <w:color w:val="000000"/>
                <w:lang w:eastAsia="en-AU"/>
              </w:rPr>
            </w:pPr>
            <w:r w:rsidRPr="00B5622A">
              <w:rPr>
                <w:color w:val="000000"/>
                <w:lang w:eastAsia="en-AU"/>
              </w:rPr>
              <w:t xml:space="preserve"> Non-admitted ED </w:t>
            </w:r>
          </w:p>
        </w:tc>
        <w:tc>
          <w:tcPr>
            <w:tcW w:w="1300" w:type="pct"/>
            <w:tcBorders>
              <w:top w:val="nil"/>
              <w:left w:val="nil"/>
              <w:bottom w:val="single" w:sz="4" w:space="0" w:color="5B9BD5"/>
              <w:right w:val="single" w:sz="4" w:space="0" w:color="5B9BD5"/>
            </w:tcBorders>
            <w:shd w:val="clear" w:color="000000" w:fill="FFFFFF"/>
            <w:noWrap/>
            <w:vAlign w:val="bottom"/>
            <w:hideMark/>
          </w:tcPr>
          <w:p w:rsidR="009C3210" w:rsidRPr="00B5622A" w:rsidRDefault="009C3210" w:rsidP="00CD1518">
            <w:pPr>
              <w:spacing w:line="240" w:lineRule="auto"/>
              <w:jc w:val="right"/>
              <w:rPr>
                <w:color w:val="000000"/>
                <w:lang w:eastAsia="en-AU"/>
              </w:rPr>
            </w:pPr>
            <w:r w:rsidRPr="00B5622A">
              <w:rPr>
                <w:color w:val="000000"/>
                <w:lang w:eastAsia="en-AU"/>
              </w:rPr>
              <w:t xml:space="preserve"> $3 </w:t>
            </w:r>
          </w:p>
        </w:tc>
        <w:tc>
          <w:tcPr>
            <w:tcW w:w="1300" w:type="pct"/>
            <w:tcBorders>
              <w:top w:val="nil"/>
              <w:left w:val="nil"/>
              <w:bottom w:val="single" w:sz="4" w:space="0" w:color="5B9BD5"/>
              <w:right w:val="single" w:sz="4" w:space="0" w:color="5B9BD5"/>
            </w:tcBorders>
            <w:shd w:val="clear" w:color="000000" w:fill="FFFFFF"/>
            <w:noWrap/>
            <w:vAlign w:val="bottom"/>
            <w:hideMark/>
          </w:tcPr>
          <w:p w:rsidR="009C3210" w:rsidRPr="00B5622A" w:rsidRDefault="009C3210" w:rsidP="00CD1518">
            <w:pPr>
              <w:spacing w:line="240" w:lineRule="auto"/>
              <w:jc w:val="right"/>
              <w:rPr>
                <w:color w:val="000000"/>
                <w:lang w:eastAsia="en-AU"/>
              </w:rPr>
            </w:pPr>
            <w:r>
              <w:rPr>
                <w:color w:val="000000"/>
                <w:lang w:eastAsia="en-AU"/>
              </w:rPr>
              <w:t xml:space="preserve"> $</w:t>
            </w:r>
            <w:r w:rsidRPr="00B5622A">
              <w:rPr>
                <w:color w:val="000000"/>
                <w:lang w:eastAsia="en-AU"/>
              </w:rPr>
              <w:t xml:space="preserve">2 </w:t>
            </w:r>
          </w:p>
        </w:tc>
        <w:tc>
          <w:tcPr>
            <w:tcW w:w="815" w:type="pct"/>
            <w:tcBorders>
              <w:top w:val="nil"/>
              <w:left w:val="nil"/>
              <w:bottom w:val="single" w:sz="4" w:space="0" w:color="5B9BD5"/>
              <w:right w:val="single" w:sz="4" w:space="0" w:color="5B9BD5"/>
            </w:tcBorders>
            <w:shd w:val="clear" w:color="000000" w:fill="FFFFFF"/>
            <w:noWrap/>
            <w:vAlign w:val="bottom"/>
            <w:hideMark/>
          </w:tcPr>
          <w:p w:rsidR="009C3210" w:rsidRPr="00B5622A" w:rsidRDefault="009C3210" w:rsidP="00CD1518">
            <w:pPr>
              <w:spacing w:line="240" w:lineRule="auto"/>
              <w:jc w:val="right"/>
              <w:rPr>
                <w:color w:val="000000"/>
                <w:lang w:eastAsia="en-AU"/>
              </w:rPr>
            </w:pPr>
            <w:r w:rsidRPr="00B5622A">
              <w:rPr>
                <w:color w:val="000000"/>
                <w:lang w:eastAsia="en-AU"/>
              </w:rPr>
              <w:t xml:space="preserve"> $(1)</w:t>
            </w:r>
          </w:p>
        </w:tc>
      </w:tr>
      <w:tr w:rsidR="00B5622A" w:rsidRPr="00B5622A" w:rsidTr="00CD1518">
        <w:trPr>
          <w:trHeight w:val="260"/>
        </w:trPr>
        <w:tc>
          <w:tcPr>
            <w:tcW w:w="286" w:type="pct"/>
            <w:tcBorders>
              <w:top w:val="nil"/>
              <w:left w:val="single" w:sz="4" w:space="0" w:color="5B9BD5"/>
              <w:bottom w:val="single" w:sz="4" w:space="0" w:color="5B9BD5"/>
              <w:right w:val="single" w:sz="4" w:space="0" w:color="5B9BD5"/>
            </w:tcBorders>
            <w:shd w:val="clear" w:color="000000" w:fill="DDEBF7"/>
            <w:noWrap/>
            <w:vAlign w:val="bottom"/>
            <w:hideMark/>
          </w:tcPr>
          <w:p w:rsidR="00B5622A" w:rsidRPr="00B5622A" w:rsidRDefault="00B5622A" w:rsidP="00B5622A">
            <w:pPr>
              <w:spacing w:line="240" w:lineRule="auto"/>
              <w:jc w:val="center"/>
              <w:rPr>
                <w:color w:val="000000"/>
                <w:lang w:eastAsia="en-AU"/>
              </w:rPr>
            </w:pPr>
            <w:r w:rsidRPr="00B5622A">
              <w:rPr>
                <w:color w:val="000000"/>
                <w:lang w:eastAsia="en-AU"/>
              </w:rPr>
              <w:t>4</w:t>
            </w:r>
          </w:p>
        </w:tc>
        <w:tc>
          <w:tcPr>
            <w:tcW w:w="1300" w:type="pct"/>
            <w:tcBorders>
              <w:top w:val="nil"/>
              <w:left w:val="single" w:sz="4" w:space="0" w:color="5B9BD5"/>
              <w:bottom w:val="single" w:sz="4" w:space="0" w:color="5B9BD5"/>
              <w:right w:val="single" w:sz="4" w:space="0" w:color="5B9BD5"/>
            </w:tcBorders>
            <w:shd w:val="clear" w:color="000000" w:fill="DDEBF7"/>
            <w:noWrap/>
            <w:vAlign w:val="bottom"/>
            <w:hideMark/>
          </w:tcPr>
          <w:p w:rsidR="00B5622A" w:rsidRPr="00B5622A" w:rsidRDefault="00B5622A" w:rsidP="00B5622A">
            <w:pPr>
              <w:spacing w:line="240" w:lineRule="auto"/>
              <w:rPr>
                <w:color w:val="000000"/>
                <w:lang w:eastAsia="en-AU"/>
              </w:rPr>
            </w:pPr>
            <w:r w:rsidRPr="00B5622A">
              <w:rPr>
                <w:color w:val="000000"/>
                <w:lang w:eastAsia="en-AU"/>
              </w:rPr>
              <w:t xml:space="preserve"> Admitted ED </w:t>
            </w:r>
          </w:p>
        </w:tc>
        <w:tc>
          <w:tcPr>
            <w:tcW w:w="1300" w:type="pct"/>
            <w:tcBorders>
              <w:top w:val="nil"/>
              <w:left w:val="nil"/>
              <w:bottom w:val="single" w:sz="4" w:space="0" w:color="5B9BD5"/>
              <w:right w:val="single" w:sz="4" w:space="0" w:color="5B9BD5"/>
            </w:tcBorders>
            <w:shd w:val="clear" w:color="000000" w:fill="DDEBF7"/>
            <w:noWrap/>
            <w:vAlign w:val="bottom"/>
            <w:hideMark/>
          </w:tcPr>
          <w:p w:rsidR="00B5622A" w:rsidRPr="00B5622A" w:rsidRDefault="00B5622A" w:rsidP="00CD1518">
            <w:pPr>
              <w:spacing w:line="240" w:lineRule="auto"/>
              <w:jc w:val="right"/>
              <w:rPr>
                <w:color w:val="000000"/>
                <w:lang w:eastAsia="en-AU"/>
              </w:rPr>
            </w:pPr>
            <w:r w:rsidRPr="00B5622A">
              <w:rPr>
                <w:color w:val="000000"/>
                <w:lang w:eastAsia="en-AU"/>
              </w:rPr>
              <w:t xml:space="preserve"> $452 </w:t>
            </w:r>
          </w:p>
        </w:tc>
        <w:tc>
          <w:tcPr>
            <w:tcW w:w="1300" w:type="pct"/>
            <w:tcBorders>
              <w:top w:val="nil"/>
              <w:left w:val="nil"/>
              <w:bottom w:val="single" w:sz="4" w:space="0" w:color="5B9BD5"/>
              <w:right w:val="single" w:sz="4" w:space="0" w:color="5B9BD5"/>
            </w:tcBorders>
            <w:shd w:val="clear" w:color="000000" w:fill="DDEBF7"/>
            <w:noWrap/>
            <w:vAlign w:val="bottom"/>
            <w:hideMark/>
          </w:tcPr>
          <w:p w:rsidR="00B5622A" w:rsidRPr="00B5622A" w:rsidRDefault="00B5622A" w:rsidP="00CD1518">
            <w:pPr>
              <w:spacing w:line="240" w:lineRule="auto"/>
              <w:jc w:val="right"/>
              <w:rPr>
                <w:color w:val="000000"/>
                <w:lang w:eastAsia="en-AU"/>
              </w:rPr>
            </w:pPr>
            <w:r w:rsidRPr="00B5622A">
              <w:rPr>
                <w:color w:val="000000"/>
                <w:lang w:eastAsia="en-AU"/>
              </w:rPr>
              <w:t xml:space="preserve"> $452 </w:t>
            </w:r>
          </w:p>
        </w:tc>
        <w:tc>
          <w:tcPr>
            <w:tcW w:w="815" w:type="pct"/>
            <w:tcBorders>
              <w:top w:val="nil"/>
              <w:left w:val="nil"/>
              <w:bottom w:val="single" w:sz="4" w:space="0" w:color="5B9BD5"/>
              <w:right w:val="single" w:sz="4" w:space="0" w:color="5B9BD5"/>
            </w:tcBorders>
            <w:shd w:val="clear" w:color="000000" w:fill="DDEBF7"/>
            <w:noWrap/>
            <w:vAlign w:val="bottom"/>
            <w:hideMark/>
          </w:tcPr>
          <w:p w:rsidR="00B5622A" w:rsidRPr="00B5622A" w:rsidRDefault="00B5622A" w:rsidP="00CD1518">
            <w:pPr>
              <w:spacing w:line="240" w:lineRule="auto"/>
              <w:jc w:val="right"/>
              <w:rPr>
                <w:color w:val="000000"/>
                <w:lang w:eastAsia="en-AU"/>
              </w:rPr>
            </w:pPr>
            <w:r w:rsidRPr="00B5622A">
              <w:rPr>
                <w:color w:val="000000"/>
                <w:lang w:eastAsia="en-AU"/>
              </w:rPr>
              <w:t xml:space="preserve"> $-   </w:t>
            </w:r>
          </w:p>
        </w:tc>
      </w:tr>
      <w:tr w:rsidR="00B5622A" w:rsidRPr="00B5622A" w:rsidTr="00CD1518">
        <w:trPr>
          <w:trHeight w:val="260"/>
        </w:trPr>
        <w:tc>
          <w:tcPr>
            <w:tcW w:w="286" w:type="pct"/>
            <w:tcBorders>
              <w:top w:val="nil"/>
              <w:left w:val="single" w:sz="4" w:space="0" w:color="5B9BD5"/>
              <w:bottom w:val="single" w:sz="4" w:space="0" w:color="5B9BD5"/>
              <w:right w:val="single" w:sz="4" w:space="0" w:color="5B9BD5"/>
            </w:tcBorders>
            <w:shd w:val="clear" w:color="000000" w:fill="FFFFFF"/>
            <w:noWrap/>
            <w:vAlign w:val="bottom"/>
            <w:hideMark/>
          </w:tcPr>
          <w:p w:rsidR="00B5622A" w:rsidRPr="00B5622A" w:rsidRDefault="00B5622A" w:rsidP="00B5622A">
            <w:pPr>
              <w:spacing w:line="240" w:lineRule="auto"/>
              <w:jc w:val="center"/>
              <w:rPr>
                <w:color w:val="000000"/>
                <w:lang w:eastAsia="en-AU"/>
              </w:rPr>
            </w:pPr>
            <w:r w:rsidRPr="00B5622A">
              <w:rPr>
                <w:color w:val="000000"/>
                <w:lang w:eastAsia="en-AU"/>
              </w:rPr>
              <w:t>5</w:t>
            </w:r>
          </w:p>
        </w:tc>
        <w:tc>
          <w:tcPr>
            <w:tcW w:w="1300" w:type="pct"/>
            <w:tcBorders>
              <w:top w:val="nil"/>
              <w:left w:val="single" w:sz="4" w:space="0" w:color="5B9BD5"/>
              <w:bottom w:val="single" w:sz="4" w:space="0" w:color="5B9BD5"/>
              <w:right w:val="single" w:sz="4" w:space="0" w:color="5B9BD5"/>
            </w:tcBorders>
            <w:shd w:val="clear" w:color="000000" w:fill="FFFFFF"/>
            <w:noWrap/>
            <w:vAlign w:val="bottom"/>
            <w:hideMark/>
          </w:tcPr>
          <w:p w:rsidR="00B5622A" w:rsidRPr="00B5622A" w:rsidRDefault="00B5622A" w:rsidP="00B5622A">
            <w:pPr>
              <w:spacing w:line="240" w:lineRule="auto"/>
              <w:rPr>
                <w:color w:val="000000"/>
                <w:lang w:eastAsia="en-AU"/>
              </w:rPr>
            </w:pPr>
            <w:r w:rsidRPr="00B5622A">
              <w:rPr>
                <w:color w:val="000000"/>
                <w:lang w:eastAsia="en-AU"/>
              </w:rPr>
              <w:t xml:space="preserve"> Non-admitted </w:t>
            </w:r>
          </w:p>
        </w:tc>
        <w:tc>
          <w:tcPr>
            <w:tcW w:w="1300" w:type="pct"/>
            <w:tcBorders>
              <w:top w:val="nil"/>
              <w:left w:val="nil"/>
              <w:bottom w:val="single" w:sz="4" w:space="0" w:color="5B9BD5"/>
              <w:right w:val="single" w:sz="4" w:space="0" w:color="5B9BD5"/>
            </w:tcBorders>
            <w:shd w:val="clear" w:color="000000" w:fill="FFFFFF"/>
            <w:noWrap/>
            <w:vAlign w:val="bottom"/>
            <w:hideMark/>
          </w:tcPr>
          <w:p w:rsidR="00B5622A" w:rsidRPr="00B5622A" w:rsidRDefault="00B5622A" w:rsidP="00CD1518">
            <w:pPr>
              <w:spacing w:line="240" w:lineRule="auto"/>
              <w:jc w:val="right"/>
              <w:rPr>
                <w:color w:val="000000"/>
                <w:lang w:eastAsia="en-AU"/>
              </w:rPr>
            </w:pPr>
            <w:r w:rsidRPr="00B5622A">
              <w:rPr>
                <w:color w:val="000000"/>
                <w:lang w:eastAsia="en-AU"/>
              </w:rPr>
              <w:t xml:space="preserve"> $151 </w:t>
            </w:r>
          </w:p>
        </w:tc>
        <w:tc>
          <w:tcPr>
            <w:tcW w:w="1300" w:type="pct"/>
            <w:tcBorders>
              <w:top w:val="nil"/>
              <w:left w:val="nil"/>
              <w:bottom w:val="single" w:sz="4" w:space="0" w:color="5B9BD5"/>
              <w:right w:val="single" w:sz="4" w:space="0" w:color="5B9BD5"/>
            </w:tcBorders>
            <w:shd w:val="clear" w:color="000000" w:fill="FFFFFF"/>
            <w:noWrap/>
            <w:vAlign w:val="bottom"/>
            <w:hideMark/>
          </w:tcPr>
          <w:p w:rsidR="00B5622A" w:rsidRPr="00B5622A" w:rsidRDefault="009C3210" w:rsidP="00CD1518">
            <w:pPr>
              <w:spacing w:line="240" w:lineRule="auto"/>
              <w:jc w:val="right"/>
              <w:rPr>
                <w:color w:val="000000"/>
                <w:lang w:eastAsia="en-AU"/>
              </w:rPr>
            </w:pPr>
            <w:r>
              <w:rPr>
                <w:color w:val="000000"/>
                <w:lang w:eastAsia="en-AU"/>
              </w:rPr>
              <w:t xml:space="preserve"> $1</w:t>
            </w:r>
            <w:r w:rsidR="00B5622A" w:rsidRPr="00B5622A">
              <w:rPr>
                <w:color w:val="000000"/>
                <w:lang w:eastAsia="en-AU"/>
              </w:rPr>
              <w:t xml:space="preserve">50 </w:t>
            </w:r>
          </w:p>
        </w:tc>
        <w:tc>
          <w:tcPr>
            <w:tcW w:w="815" w:type="pct"/>
            <w:tcBorders>
              <w:top w:val="nil"/>
              <w:left w:val="nil"/>
              <w:bottom w:val="single" w:sz="4" w:space="0" w:color="5B9BD5"/>
              <w:right w:val="single" w:sz="4" w:space="0" w:color="5B9BD5"/>
            </w:tcBorders>
            <w:shd w:val="clear" w:color="000000" w:fill="FFFFFF"/>
            <w:noWrap/>
            <w:vAlign w:val="bottom"/>
            <w:hideMark/>
          </w:tcPr>
          <w:p w:rsidR="00B5622A" w:rsidRPr="00B5622A" w:rsidRDefault="00B5622A" w:rsidP="00CD1518">
            <w:pPr>
              <w:spacing w:line="240" w:lineRule="auto"/>
              <w:jc w:val="right"/>
              <w:rPr>
                <w:color w:val="000000"/>
                <w:lang w:eastAsia="en-AU"/>
              </w:rPr>
            </w:pPr>
            <w:r w:rsidRPr="00B5622A">
              <w:rPr>
                <w:color w:val="000000"/>
                <w:lang w:eastAsia="en-AU"/>
              </w:rPr>
              <w:t xml:space="preserve"> $(1)</w:t>
            </w:r>
          </w:p>
        </w:tc>
      </w:tr>
    </w:tbl>
    <w:p w:rsidR="00763A20" w:rsidRPr="00975E6B" w:rsidRDefault="00763A20" w:rsidP="00763A20">
      <w:pPr>
        <w:pStyle w:val="FootnoteText"/>
        <w:rPr>
          <w:bCs/>
          <w:i/>
          <w:sz w:val="16"/>
          <w:szCs w:val="16"/>
        </w:rPr>
      </w:pPr>
      <w:r w:rsidRPr="00975E6B">
        <w:rPr>
          <w:bCs/>
          <w:i/>
          <w:sz w:val="16"/>
          <w:szCs w:val="16"/>
        </w:rPr>
        <w:t xml:space="preserve">Source: KPMG, based on </w:t>
      </w:r>
      <w:r w:rsidR="00901CD9" w:rsidRPr="00975E6B">
        <w:rPr>
          <w:bCs/>
          <w:i/>
          <w:sz w:val="16"/>
          <w:szCs w:val="16"/>
        </w:rPr>
        <w:t>Royal Hobart</w:t>
      </w:r>
      <w:r w:rsidRPr="00975E6B">
        <w:rPr>
          <w:bCs/>
          <w:i/>
          <w:sz w:val="16"/>
          <w:szCs w:val="16"/>
        </w:rPr>
        <w:t xml:space="preserve"> and IHPA data</w:t>
      </w:r>
    </w:p>
    <w:p w:rsidR="006C142F" w:rsidRPr="00975E6B" w:rsidRDefault="006C142F" w:rsidP="003B387A">
      <w:pPr>
        <w:pStyle w:val="Heading2"/>
        <w:numPr>
          <w:ilvl w:val="1"/>
          <w:numId w:val="77"/>
        </w:numPr>
      </w:pPr>
      <w:bookmarkStart w:id="795" w:name="_Toc444523677"/>
      <w:r w:rsidRPr="00497F12">
        <w:t>Application</w:t>
      </w:r>
      <w:r w:rsidRPr="00975E6B">
        <w:t xml:space="preserve"> of AHPCS Version 3.1</w:t>
      </w:r>
      <w:bookmarkEnd w:id="795"/>
    </w:p>
    <w:p w:rsidR="006C142F" w:rsidRPr="00975E6B" w:rsidRDefault="006C142F" w:rsidP="001140D3">
      <w:r w:rsidRPr="00975E6B">
        <w:fldChar w:fldCharType="begin"/>
      </w:r>
      <w:r w:rsidRPr="00975E6B">
        <w:instrText xml:space="preserve"> REF _Ref434059801 \h </w:instrText>
      </w:r>
      <w:r w:rsidR="00975E6B">
        <w:instrText xml:space="preserve"> \* MERGEFORMAT </w:instrText>
      </w:r>
      <w:r w:rsidRPr="00975E6B">
        <w:fldChar w:fldCharType="separate"/>
      </w:r>
      <w:r w:rsidR="00154CF7" w:rsidRPr="00975E6B">
        <w:t xml:space="preserve">Table </w:t>
      </w:r>
      <w:r w:rsidR="00154CF7">
        <w:rPr>
          <w:noProof/>
        </w:rPr>
        <w:t>78</w:t>
      </w:r>
      <w:r w:rsidRPr="00975E6B">
        <w:fldChar w:fldCharType="end"/>
      </w:r>
      <w:r w:rsidRPr="00975E6B">
        <w:t xml:space="preserve"> summarises </w:t>
      </w:r>
      <w:r w:rsidR="00CA6430" w:rsidRPr="00975E6B">
        <w:t>Tasmania</w:t>
      </w:r>
      <w:r w:rsidRPr="00975E6B">
        <w:t xml:space="preserve">’s application of selected standards from version 3.1 of the AHPCS (outlined in Section </w:t>
      </w:r>
      <w:r w:rsidRPr="00975E6B">
        <w:fldChar w:fldCharType="begin"/>
      </w:r>
      <w:r w:rsidRPr="00975E6B">
        <w:instrText xml:space="preserve"> REF _Ref434054856 \r \h  \* MERGEFORMAT </w:instrText>
      </w:r>
      <w:r w:rsidRPr="00975E6B">
        <w:fldChar w:fldCharType="separate"/>
      </w:r>
      <w:r w:rsidR="00154CF7">
        <w:t>1.3.4</w:t>
      </w:r>
      <w:r w:rsidRPr="00975E6B">
        <w:fldChar w:fldCharType="end"/>
      </w:r>
      <w:r w:rsidRPr="00975E6B">
        <w:t xml:space="preserve">) to the </w:t>
      </w:r>
      <w:r w:rsidR="00901CD9" w:rsidRPr="00975E6B">
        <w:t>Royal Hobart</w:t>
      </w:r>
      <w:r w:rsidRPr="00975E6B">
        <w:t>’s Round 18 NHCDC submission</w:t>
      </w:r>
      <w:r w:rsidR="00274CCD">
        <w:t>.</w:t>
      </w:r>
    </w:p>
    <w:p w:rsidR="006C142F" w:rsidRPr="00975E6B" w:rsidRDefault="006C142F" w:rsidP="006C142F">
      <w:pPr>
        <w:pStyle w:val="Caption"/>
      </w:pPr>
      <w:bookmarkStart w:id="796" w:name="_Ref434059801"/>
      <w:r w:rsidRPr="00975E6B">
        <w:t xml:space="preserve">Table </w:t>
      </w:r>
      <w:fldSimple w:instr=" SEQ Table \* ARABIC ">
        <w:r w:rsidR="00154CF7">
          <w:rPr>
            <w:noProof/>
          </w:rPr>
          <w:t>78</w:t>
        </w:r>
      </w:fldSimple>
      <w:bookmarkEnd w:id="796"/>
      <w:r w:rsidRPr="00975E6B">
        <w:t xml:space="preserve"> – Application of Costing Standards – Royal Hobart Hospital</w:t>
      </w:r>
    </w:p>
    <w:tbl>
      <w:tblPr>
        <w:tblStyle w:val="ListTable4-Accent11"/>
        <w:tblW w:w="5000" w:type="pct"/>
        <w:tblLayout w:type="fixed"/>
        <w:tblLook w:val="0620" w:firstRow="1" w:lastRow="0" w:firstColumn="0" w:lastColumn="0" w:noHBand="1" w:noVBand="1"/>
        <w:tblCaption w:val="Table 78 - Application of Costing Standards - Royal Hobart Hospital"/>
        <w:tblDescription w:val="This table describes the application of the in-scope costing standards for Tasmania based on the hospital sampled.  The first column is the Costing Standard number, the second column is the costing standard title and the third column is the discussion of the application of the costing standard for the relevant hospital.&#10;"/>
      </w:tblPr>
      <w:tblGrid>
        <w:gridCol w:w="1451"/>
        <w:gridCol w:w="3201"/>
        <w:gridCol w:w="4069"/>
      </w:tblGrid>
      <w:tr w:rsidR="006C142F" w:rsidRPr="00975E6B" w:rsidTr="00E14378">
        <w:trPr>
          <w:cnfStyle w:val="100000000000" w:firstRow="1" w:lastRow="0" w:firstColumn="0" w:lastColumn="0" w:oddVBand="0" w:evenVBand="0" w:oddHBand="0" w:evenHBand="0" w:firstRowFirstColumn="0" w:firstRowLastColumn="0" w:lastRowFirstColumn="0" w:lastRowLastColumn="0"/>
          <w:tblHeader/>
        </w:trPr>
        <w:tc>
          <w:tcPr>
            <w:tcW w:w="832" w:type="pct"/>
            <w:tcBorders>
              <w:right w:val="single" w:sz="4" w:space="0" w:color="548DD4" w:themeColor="text2" w:themeTint="99"/>
            </w:tcBorders>
            <w:shd w:val="clear" w:color="auto" w:fill="002060"/>
            <w:noWrap/>
          </w:tcPr>
          <w:p w:rsidR="006C142F" w:rsidRPr="00975E6B" w:rsidRDefault="006C142F" w:rsidP="00992E09">
            <w:r w:rsidRPr="00975E6B">
              <w:t>No.</w:t>
            </w:r>
          </w:p>
        </w:tc>
        <w:tc>
          <w:tcPr>
            <w:tcW w:w="1835" w:type="pct"/>
            <w:tcBorders>
              <w:left w:val="single" w:sz="4" w:space="0" w:color="548DD4" w:themeColor="text2" w:themeTint="99"/>
            </w:tcBorders>
            <w:shd w:val="clear" w:color="auto" w:fill="002060"/>
          </w:tcPr>
          <w:p w:rsidR="006C142F" w:rsidRPr="00975E6B" w:rsidRDefault="006C142F" w:rsidP="00992E09">
            <w:r w:rsidRPr="00975E6B">
              <w:t>Title</w:t>
            </w:r>
          </w:p>
        </w:tc>
        <w:tc>
          <w:tcPr>
            <w:tcW w:w="2333" w:type="pct"/>
            <w:tcBorders>
              <w:left w:val="single" w:sz="4" w:space="0" w:color="548DD4" w:themeColor="text2" w:themeTint="99"/>
            </w:tcBorders>
            <w:shd w:val="clear" w:color="auto" w:fill="002060"/>
          </w:tcPr>
          <w:p w:rsidR="006C142F" w:rsidRPr="00975E6B" w:rsidRDefault="006C142F" w:rsidP="00992E09">
            <w:r w:rsidRPr="00975E6B">
              <w:t>Discussion</w:t>
            </w:r>
          </w:p>
        </w:tc>
      </w:tr>
      <w:tr w:rsidR="006C142F" w:rsidRPr="00975E6B" w:rsidTr="001140D3">
        <w:tc>
          <w:tcPr>
            <w:tcW w:w="832" w:type="pct"/>
            <w:tcBorders>
              <w:right w:val="single" w:sz="4" w:space="0" w:color="548DD4" w:themeColor="text2" w:themeTint="99"/>
            </w:tcBorders>
            <w:noWrap/>
          </w:tcPr>
          <w:p w:rsidR="006C142F" w:rsidRPr="00975E6B" w:rsidRDefault="006C142F" w:rsidP="00992E09">
            <w:pPr>
              <w:pStyle w:val="BodyText"/>
              <w:jc w:val="left"/>
            </w:pPr>
            <w:r w:rsidRPr="00975E6B">
              <w:t>SCP 1.004</w:t>
            </w:r>
          </w:p>
        </w:tc>
        <w:tc>
          <w:tcPr>
            <w:tcW w:w="1835" w:type="pct"/>
            <w:tcBorders>
              <w:left w:val="single" w:sz="4" w:space="0" w:color="548DD4" w:themeColor="text2" w:themeTint="99"/>
            </w:tcBorders>
          </w:tcPr>
          <w:p w:rsidR="006C142F" w:rsidRPr="00975E6B" w:rsidRDefault="006C142F" w:rsidP="00992E09">
            <w:pPr>
              <w:pStyle w:val="BodyText"/>
              <w:jc w:val="left"/>
            </w:pPr>
            <w:r w:rsidRPr="00975E6B">
              <w:t>Hospital Products in Scope</w:t>
            </w:r>
          </w:p>
        </w:tc>
        <w:tc>
          <w:tcPr>
            <w:tcW w:w="2333" w:type="pct"/>
            <w:tcBorders>
              <w:left w:val="single" w:sz="4" w:space="0" w:color="548DD4" w:themeColor="text2" w:themeTint="99"/>
            </w:tcBorders>
          </w:tcPr>
          <w:p w:rsidR="006C142F" w:rsidRPr="00975E6B" w:rsidRDefault="006C142F" w:rsidP="00992E09">
            <w:pPr>
              <w:pStyle w:val="BodyText"/>
              <w:jc w:val="left"/>
            </w:pPr>
            <w:r w:rsidRPr="00975E6B">
              <w:t>TAS-DHHS demonstrated through the templates and interview process that costs are reported against admitted</w:t>
            </w:r>
            <w:r w:rsidR="00846982" w:rsidRPr="00975E6B">
              <w:t xml:space="preserve"> acute</w:t>
            </w:r>
            <w:r w:rsidRPr="00975E6B">
              <w:t xml:space="preserve">, emergency and non-admitted products. </w:t>
            </w:r>
          </w:p>
          <w:p w:rsidR="006C142F" w:rsidRPr="00975E6B" w:rsidRDefault="006C142F" w:rsidP="00992E09">
            <w:pPr>
              <w:pStyle w:val="BodyText"/>
              <w:jc w:val="left"/>
            </w:pPr>
            <w:r w:rsidRPr="00975E6B">
              <w:t>It was noted that costs are also created for non-patient products (such as unlinked records).</w:t>
            </w:r>
          </w:p>
        </w:tc>
      </w:tr>
      <w:tr w:rsidR="006C142F" w:rsidRPr="00975E6B" w:rsidTr="001140D3">
        <w:trPr>
          <w:trHeight w:val="1908"/>
        </w:trPr>
        <w:tc>
          <w:tcPr>
            <w:tcW w:w="832" w:type="pct"/>
            <w:tcBorders>
              <w:right w:val="single" w:sz="4" w:space="0" w:color="548DD4" w:themeColor="text2" w:themeTint="99"/>
            </w:tcBorders>
            <w:noWrap/>
          </w:tcPr>
          <w:p w:rsidR="006C142F" w:rsidRPr="00975E6B" w:rsidRDefault="006C142F" w:rsidP="00992E09">
            <w:pPr>
              <w:pStyle w:val="BodyText"/>
              <w:jc w:val="left"/>
            </w:pPr>
            <w:r w:rsidRPr="00975E6B">
              <w:t>SCP 2.003</w:t>
            </w:r>
          </w:p>
        </w:tc>
        <w:tc>
          <w:tcPr>
            <w:tcW w:w="1835" w:type="pct"/>
            <w:tcBorders>
              <w:left w:val="single" w:sz="4" w:space="0" w:color="548DD4" w:themeColor="text2" w:themeTint="99"/>
            </w:tcBorders>
          </w:tcPr>
          <w:p w:rsidR="006C142F" w:rsidRPr="00975E6B" w:rsidRDefault="006C142F" w:rsidP="00992E09">
            <w:pPr>
              <w:pStyle w:val="BodyText"/>
              <w:jc w:val="left"/>
            </w:pPr>
            <w:r w:rsidRPr="00975E6B">
              <w:t>Product Costs in Scope</w:t>
            </w:r>
          </w:p>
        </w:tc>
        <w:tc>
          <w:tcPr>
            <w:tcW w:w="2333" w:type="pct"/>
            <w:tcBorders>
              <w:left w:val="single" w:sz="4" w:space="0" w:color="548DD4" w:themeColor="text2" w:themeTint="99"/>
            </w:tcBorders>
          </w:tcPr>
          <w:p w:rsidR="006C142F" w:rsidRPr="00975E6B" w:rsidRDefault="006C142F" w:rsidP="00992E09">
            <w:pPr>
              <w:pStyle w:val="BodyText"/>
              <w:jc w:val="left"/>
            </w:pPr>
            <w:r w:rsidRPr="00975E6B">
              <w:t>TAS-DHHS noted in the interview process that costs are not imputed for private patients.</w:t>
            </w:r>
          </w:p>
        </w:tc>
      </w:tr>
      <w:tr w:rsidR="006C142F" w:rsidRPr="00975E6B" w:rsidTr="001140D3">
        <w:tc>
          <w:tcPr>
            <w:tcW w:w="832" w:type="pct"/>
            <w:tcBorders>
              <w:right w:val="single" w:sz="4" w:space="0" w:color="548DD4" w:themeColor="text2" w:themeTint="99"/>
            </w:tcBorders>
            <w:noWrap/>
          </w:tcPr>
          <w:p w:rsidR="006C142F" w:rsidRPr="00975E6B" w:rsidRDefault="006C142F" w:rsidP="00992E09">
            <w:pPr>
              <w:pStyle w:val="BodyText"/>
              <w:jc w:val="left"/>
            </w:pPr>
            <w:r w:rsidRPr="00975E6B">
              <w:t>SCP 2A.003</w:t>
            </w:r>
          </w:p>
        </w:tc>
        <w:tc>
          <w:tcPr>
            <w:tcW w:w="1835" w:type="pct"/>
            <w:tcBorders>
              <w:left w:val="single" w:sz="4" w:space="0" w:color="548DD4" w:themeColor="text2" w:themeTint="99"/>
            </w:tcBorders>
          </w:tcPr>
          <w:p w:rsidR="006C142F" w:rsidRPr="00975E6B" w:rsidRDefault="006C142F" w:rsidP="00992E09">
            <w:pPr>
              <w:pStyle w:val="BodyText"/>
              <w:jc w:val="left"/>
            </w:pPr>
            <w:r w:rsidRPr="00975E6B">
              <w:t>Teaching and Training Costs</w:t>
            </w:r>
          </w:p>
        </w:tc>
        <w:tc>
          <w:tcPr>
            <w:tcW w:w="2333" w:type="pct"/>
            <w:tcBorders>
              <w:left w:val="single" w:sz="4" w:space="0" w:color="548DD4" w:themeColor="text2" w:themeTint="99"/>
            </w:tcBorders>
          </w:tcPr>
          <w:p w:rsidR="006C142F" w:rsidRPr="00975E6B" w:rsidRDefault="00B45B9A" w:rsidP="00B45B9A">
            <w:pPr>
              <w:pStyle w:val="BodyText"/>
              <w:jc w:val="left"/>
            </w:pPr>
            <w:r w:rsidRPr="00975E6B">
              <w:t>Teaching and Training costs are reported at product level and are not in the costed patient level data submitted to IHPA.</w:t>
            </w:r>
          </w:p>
        </w:tc>
      </w:tr>
      <w:tr w:rsidR="006C142F" w:rsidRPr="00975E6B" w:rsidTr="001140D3">
        <w:tc>
          <w:tcPr>
            <w:tcW w:w="832" w:type="pct"/>
            <w:tcBorders>
              <w:right w:val="single" w:sz="4" w:space="0" w:color="548DD4" w:themeColor="text2" w:themeTint="99"/>
            </w:tcBorders>
            <w:noWrap/>
          </w:tcPr>
          <w:p w:rsidR="006C142F" w:rsidRPr="00975E6B" w:rsidRDefault="006C142F" w:rsidP="00992E09">
            <w:pPr>
              <w:pStyle w:val="BodyText"/>
              <w:jc w:val="left"/>
            </w:pPr>
            <w:r w:rsidRPr="00975E6B">
              <w:t>SCP 2B.002</w:t>
            </w:r>
          </w:p>
        </w:tc>
        <w:tc>
          <w:tcPr>
            <w:tcW w:w="1835" w:type="pct"/>
            <w:tcBorders>
              <w:left w:val="single" w:sz="4" w:space="0" w:color="548DD4" w:themeColor="text2" w:themeTint="99"/>
            </w:tcBorders>
          </w:tcPr>
          <w:p w:rsidR="006C142F" w:rsidRPr="00975E6B" w:rsidRDefault="006C142F" w:rsidP="00992E09">
            <w:pPr>
              <w:pStyle w:val="BodyText"/>
              <w:jc w:val="left"/>
            </w:pPr>
            <w:r w:rsidRPr="00975E6B">
              <w:t>Research Costs</w:t>
            </w:r>
          </w:p>
        </w:tc>
        <w:tc>
          <w:tcPr>
            <w:tcW w:w="2333" w:type="pct"/>
            <w:tcBorders>
              <w:left w:val="single" w:sz="4" w:space="0" w:color="548DD4" w:themeColor="text2" w:themeTint="99"/>
            </w:tcBorders>
          </w:tcPr>
          <w:p w:rsidR="006C142F" w:rsidRPr="00975E6B" w:rsidRDefault="00B45B9A" w:rsidP="00B45B9A">
            <w:pPr>
              <w:pStyle w:val="BodyText"/>
              <w:jc w:val="left"/>
            </w:pPr>
            <w:r w:rsidRPr="00975E6B">
              <w:t>Research costs are not reported by product, but spread across patient costed cohort</w:t>
            </w:r>
          </w:p>
        </w:tc>
      </w:tr>
      <w:tr w:rsidR="006C142F" w:rsidRPr="00975E6B" w:rsidTr="001140D3">
        <w:trPr>
          <w:trHeight w:val="516"/>
        </w:trPr>
        <w:tc>
          <w:tcPr>
            <w:tcW w:w="832" w:type="pct"/>
            <w:tcBorders>
              <w:right w:val="single" w:sz="4" w:space="0" w:color="548DD4" w:themeColor="text2" w:themeTint="99"/>
            </w:tcBorders>
            <w:noWrap/>
          </w:tcPr>
          <w:p w:rsidR="006C142F" w:rsidRPr="00975E6B" w:rsidRDefault="006C142F" w:rsidP="00992E09">
            <w:pPr>
              <w:pStyle w:val="BodyText"/>
              <w:jc w:val="left"/>
            </w:pPr>
            <w:r w:rsidRPr="00975E6B">
              <w:t>SCP 3.001</w:t>
            </w:r>
          </w:p>
        </w:tc>
        <w:tc>
          <w:tcPr>
            <w:tcW w:w="1835" w:type="pct"/>
            <w:tcBorders>
              <w:left w:val="single" w:sz="4" w:space="0" w:color="548DD4" w:themeColor="text2" w:themeTint="99"/>
            </w:tcBorders>
          </w:tcPr>
          <w:p w:rsidR="006C142F" w:rsidRPr="00975E6B" w:rsidRDefault="006C142F" w:rsidP="00992E09">
            <w:pPr>
              <w:pStyle w:val="BodyText"/>
              <w:jc w:val="left"/>
            </w:pPr>
            <w:r w:rsidRPr="00975E6B">
              <w:t>Matching Production and Cost</w:t>
            </w:r>
          </w:p>
        </w:tc>
        <w:tc>
          <w:tcPr>
            <w:tcW w:w="2333" w:type="pct"/>
            <w:tcBorders>
              <w:left w:val="single" w:sz="4" w:space="0" w:color="548DD4" w:themeColor="text2" w:themeTint="99"/>
            </w:tcBorders>
          </w:tcPr>
          <w:p w:rsidR="006C142F" w:rsidRPr="00975E6B" w:rsidRDefault="006C142F" w:rsidP="00992E09">
            <w:pPr>
              <w:pStyle w:val="BodyText"/>
              <w:jc w:val="left"/>
            </w:pPr>
            <w:r w:rsidRPr="00975E6B">
              <w:t>This was demonstrated during the site visit and an excel file was produced from the costing system which outlined all transfers and offsets utilised.</w:t>
            </w:r>
          </w:p>
        </w:tc>
      </w:tr>
      <w:tr w:rsidR="00AD71DB" w:rsidRPr="00975E6B" w:rsidTr="001140D3">
        <w:tc>
          <w:tcPr>
            <w:tcW w:w="832" w:type="pct"/>
            <w:tcBorders>
              <w:right w:val="single" w:sz="4" w:space="0" w:color="548DD4" w:themeColor="text2" w:themeTint="99"/>
            </w:tcBorders>
            <w:noWrap/>
          </w:tcPr>
          <w:p w:rsidR="00AD71DB" w:rsidRPr="00975E6B" w:rsidRDefault="00AD71DB" w:rsidP="00AD71DB">
            <w:pPr>
              <w:pStyle w:val="BodyText"/>
              <w:jc w:val="left"/>
            </w:pPr>
            <w:r w:rsidRPr="00975E6B">
              <w:t>SCP 3A.001</w:t>
            </w:r>
          </w:p>
        </w:tc>
        <w:tc>
          <w:tcPr>
            <w:tcW w:w="1835" w:type="pct"/>
            <w:tcBorders>
              <w:left w:val="single" w:sz="4" w:space="0" w:color="548DD4" w:themeColor="text2" w:themeTint="99"/>
            </w:tcBorders>
          </w:tcPr>
          <w:p w:rsidR="00AD71DB" w:rsidRPr="00975E6B" w:rsidRDefault="00AD71DB" w:rsidP="00AD71DB">
            <w:pPr>
              <w:pStyle w:val="BodyText"/>
              <w:jc w:val="left"/>
            </w:pPr>
            <w:r w:rsidRPr="00975E6B">
              <w:t>Matching Production and Cost – Overhead Cost Allocation</w:t>
            </w:r>
          </w:p>
        </w:tc>
        <w:tc>
          <w:tcPr>
            <w:tcW w:w="2333" w:type="pct"/>
            <w:tcBorders>
              <w:left w:val="single" w:sz="4" w:space="0" w:color="548DD4" w:themeColor="text2" w:themeTint="99"/>
            </w:tcBorders>
          </w:tcPr>
          <w:p w:rsidR="00AD71DB" w:rsidRPr="00975E6B" w:rsidRDefault="00AD71DB" w:rsidP="00AD71DB">
            <w:pPr>
              <w:pStyle w:val="BodyText"/>
              <w:jc w:val="left"/>
            </w:pPr>
            <w:r w:rsidRPr="00975E6B">
              <w:t xml:space="preserve">The jurisdiction was able to demonstrate that overhead costs were fully allocated to </w:t>
            </w:r>
            <w:r w:rsidRPr="00975E6B">
              <w:lastRenderedPageBreak/>
              <w:t>direct patient care areas via the pre allocation and post allocation data included in the templates.</w:t>
            </w:r>
          </w:p>
        </w:tc>
      </w:tr>
      <w:tr w:rsidR="00037F64" w:rsidRPr="00975E6B" w:rsidTr="001140D3">
        <w:tc>
          <w:tcPr>
            <w:tcW w:w="832" w:type="pct"/>
            <w:tcBorders>
              <w:right w:val="single" w:sz="4" w:space="0" w:color="548DD4" w:themeColor="text2" w:themeTint="99"/>
            </w:tcBorders>
            <w:noWrap/>
          </w:tcPr>
          <w:p w:rsidR="00037F64" w:rsidRPr="00975E6B" w:rsidRDefault="00037F64" w:rsidP="00037F64">
            <w:pPr>
              <w:pStyle w:val="BodyText"/>
              <w:jc w:val="left"/>
            </w:pPr>
            <w:r w:rsidRPr="00975E6B">
              <w:lastRenderedPageBreak/>
              <w:t>SCP 3B.001</w:t>
            </w:r>
          </w:p>
        </w:tc>
        <w:tc>
          <w:tcPr>
            <w:tcW w:w="1835" w:type="pct"/>
            <w:tcBorders>
              <w:left w:val="single" w:sz="4" w:space="0" w:color="548DD4" w:themeColor="text2" w:themeTint="99"/>
            </w:tcBorders>
          </w:tcPr>
          <w:p w:rsidR="00037F64" w:rsidRPr="00975E6B" w:rsidRDefault="00037F64" w:rsidP="00037F64">
            <w:pPr>
              <w:pStyle w:val="BodyText"/>
              <w:jc w:val="left"/>
            </w:pPr>
            <w:r w:rsidRPr="00975E6B">
              <w:t>Matching Production and Cost – Costing all Products</w:t>
            </w:r>
          </w:p>
        </w:tc>
        <w:tc>
          <w:tcPr>
            <w:tcW w:w="2333" w:type="pct"/>
            <w:tcBorders>
              <w:left w:val="single" w:sz="4" w:space="0" w:color="548DD4" w:themeColor="text2" w:themeTint="99"/>
            </w:tcBorders>
          </w:tcPr>
          <w:p w:rsidR="00037F64" w:rsidRPr="00975E6B" w:rsidRDefault="00037F64">
            <w:pPr>
              <w:pStyle w:val="BodyText"/>
              <w:jc w:val="left"/>
            </w:pPr>
            <w:r w:rsidRPr="00975E6B">
              <w:t>Demonstrated in the template. TAS-DHHS provided an overview of their internal reconciliation process which demonstrated the allocation of costs to products.</w:t>
            </w:r>
          </w:p>
        </w:tc>
      </w:tr>
      <w:tr w:rsidR="006C142F" w:rsidRPr="00975E6B" w:rsidTr="001140D3">
        <w:tc>
          <w:tcPr>
            <w:tcW w:w="832" w:type="pct"/>
            <w:tcBorders>
              <w:right w:val="single" w:sz="4" w:space="0" w:color="548DD4" w:themeColor="text2" w:themeTint="99"/>
            </w:tcBorders>
            <w:noWrap/>
          </w:tcPr>
          <w:p w:rsidR="006C142F" w:rsidRPr="00975E6B" w:rsidRDefault="006C142F" w:rsidP="00992E09">
            <w:pPr>
              <w:pStyle w:val="BodyText"/>
              <w:jc w:val="left"/>
            </w:pPr>
            <w:r w:rsidRPr="00975E6B">
              <w:t>SCP 3C.001</w:t>
            </w:r>
          </w:p>
        </w:tc>
        <w:tc>
          <w:tcPr>
            <w:tcW w:w="1835" w:type="pct"/>
            <w:tcBorders>
              <w:left w:val="single" w:sz="4" w:space="0" w:color="548DD4" w:themeColor="text2" w:themeTint="99"/>
            </w:tcBorders>
          </w:tcPr>
          <w:p w:rsidR="006C142F" w:rsidRPr="00975E6B" w:rsidRDefault="006C142F" w:rsidP="00992E09">
            <w:pPr>
              <w:pStyle w:val="BodyText"/>
              <w:jc w:val="left"/>
            </w:pPr>
            <w:r w:rsidRPr="00975E6B">
              <w:t>Matching Production and Cost – Commercial Business Entities</w:t>
            </w:r>
          </w:p>
        </w:tc>
        <w:tc>
          <w:tcPr>
            <w:tcW w:w="2333" w:type="pct"/>
            <w:tcBorders>
              <w:left w:val="single" w:sz="4" w:space="0" w:color="548DD4" w:themeColor="text2" w:themeTint="99"/>
            </w:tcBorders>
          </w:tcPr>
          <w:p w:rsidR="006C142F" w:rsidRPr="00975E6B" w:rsidRDefault="006C142F" w:rsidP="00992E09">
            <w:pPr>
              <w:pStyle w:val="BodyText"/>
              <w:jc w:val="left"/>
            </w:pPr>
            <w:r w:rsidRPr="00975E6B">
              <w:t>Based on discussions during the review, adherence with standard was demonstrated.</w:t>
            </w:r>
          </w:p>
        </w:tc>
      </w:tr>
      <w:tr w:rsidR="006C142F" w:rsidRPr="00975E6B" w:rsidTr="001140D3">
        <w:tc>
          <w:tcPr>
            <w:tcW w:w="832" w:type="pct"/>
            <w:tcBorders>
              <w:right w:val="single" w:sz="4" w:space="0" w:color="548DD4" w:themeColor="text2" w:themeTint="99"/>
            </w:tcBorders>
            <w:noWrap/>
          </w:tcPr>
          <w:p w:rsidR="006C142F" w:rsidRPr="00975E6B" w:rsidRDefault="006C142F" w:rsidP="00992E09">
            <w:pPr>
              <w:pStyle w:val="BodyText"/>
              <w:jc w:val="left"/>
            </w:pPr>
            <w:r w:rsidRPr="00975E6B">
              <w:t>SCP 3E.001</w:t>
            </w:r>
          </w:p>
        </w:tc>
        <w:tc>
          <w:tcPr>
            <w:tcW w:w="1835" w:type="pct"/>
            <w:tcBorders>
              <w:left w:val="single" w:sz="4" w:space="0" w:color="548DD4" w:themeColor="text2" w:themeTint="99"/>
            </w:tcBorders>
          </w:tcPr>
          <w:p w:rsidR="006C142F" w:rsidRPr="00975E6B" w:rsidRDefault="006C142F" w:rsidP="00992E09">
            <w:pPr>
              <w:pStyle w:val="BodyText"/>
              <w:jc w:val="left"/>
            </w:pPr>
            <w:r w:rsidRPr="00975E6B">
              <w:t>Matching Production and Cost – Offsets and Recoveries</w:t>
            </w:r>
          </w:p>
        </w:tc>
        <w:tc>
          <w:tcPr>
            <w:tcW w:w="2333" w:type="pct"/>
            <w:tcBorders>
              <w:left w:val="single" w:sz="4" w:space="0" w:color="548DD4" w:themeColor="text2" w:themeTint="99"/>
            </w:tcBorders>
          </w:tcPr>
          <w:p w:rsidR="006C142F" w:rsidRPr="00975E6B" w:rsidRDefault="006C142F" w:rsidP="00992E09">
            <w:pPr>
              <w:pStyle w:val="BodyText"/>
              <w:jc w:val="left"/>
            </w:pPr>
            <w:r w:rsidRPr="00975E6B">
              <w:t>Cost recoveries for salaries and wages and work cover expenses noted in the template.</w:t>
            </w:r>
          </w:p>
        </w:tc>
      </w:tr>
      <w:tr w:rsidR="006C142F" w:rsidRPr="00975E6B" w:rsidTr="001140D3">
        <w:tc>
          <w:tcPr>
            <w:tcW w:w="832" w:type="pct"/>
            <w:tcBorders>
              <w:right w:val="single" w:sz="4" w:space="0" w:color="548DD4" w:themeColor="text2" w:themeTint="99"/>
            </w:tcBorders>
            <w:noWrap/>
          </w:tcPr>
          <w:p w:rsidR="006C142F" w:rsidRPr="00975E6B" w:rsidRDefault="006C142F" w:rsidP="00992E09">
            <w:pPr>
              <w:pStyle w:val="BodyText"/>
              <w:jc w:val="left"/>
            </w:pPr>
            <w:r w:rsidRPr="00975E6B">
              <w:t>SCP 3G.001</w:t>
            </w:r>
          </w:p>
        </w:tc>
        <w:tc>
          <w:tcPr>
            <w:tcW w:w="1835" w:type="pct"/>
            <w:tcBorders>
              <w:left w:val="single" w:sz="4" w:space="0" w:color="548DD4" w:themeColor="text2" w:themeTint="99"/>
            </w:tcBorders>
          </w:tcPr>
          <w:p w:rsidR="006C142F" w:rsidRPr="00975E6B" w:rsidRDefault="006C142F" w:rsidP="00992E09">
            <w:pPr>
              <w:pStyle w:val="BodyText"/>
              <w:jc w:val="left"/>
            </w:pPr>
            <w:r w:rsidRPr="00975E6B">
              <w:t>Matching Production and Cost – Reconciliation to Source Data</w:t>
            </w:r>
          </w:p>
        </w:tc>
        <w:tc>
          <w:tcPr>
            <w:tcW w:w="2333" w:type="pct"/>
            <w:tcBorders>
              <w:left w:val="single" w:sz="4" w:space="0" w:color="548DD4" w:themeColor="text2" w:themeTint="99"/>
            </w:tcBorders>
          </w:tcPr>
          <w:p w:rsidR="006C142F" w:rsidRPr="00975E6B" w:rsidRDefault="006C142F" w:rsidP="00992E09">
            <w:pPr>
              <w:pStyle w:val="BodyText"/>
              <w:jc w:val="left"/>
            </w:pPr>
            <w:r w:rsidRPr="00975E6B">
              <w:t>Based on discussions during the review, TAS-DHHS completes a final reconciliation of its costing system to source documentation. KPMG did not sight these reconciliations.</w:t>
            </w:r>
          </w:p>
        </w:tc>
      </w:tr>
      <w:tr w:rsidR="006C142F" w:rsidRPr="00975E6B" w:rsidTr="001140D3">
        <w:tc>
          <w:tcPr>
            <w:tcW w:w="832" w:type="pct"/>
            <w:tcBorders>
              <w:right w:val="single" w:sz="4" w:space="0" w:color="548DD4" w:themeColor="text2" w:themeTint="99"/>
            </w:tcBorders>
            <w:noWrap/>
          </w:tcPr>
          <w:p w:rsidR="006C142F" w:rsidRPr="00975E6B" w:rsidRDefault="006C142F" w:rsidP="00992E09">
            <w:pPr>
              <w:pStyle w:val="BodyText"/>
              <w:jc w:val="left"/>
            </w:pPr>
            <w:r w:rsidRPr="00975E6B">
              <w:t>GL2.004</w:t>
            </w:r>
          </w:p>
        </w:tc>
        <w:tc>
          <w:tcPr>
            <w:tcW w:w="1835" w:type="pct"/>
            <w:tcBorders>
              <w:left w:val="single" w:sz="4" w:space="0" w:color="548DD4" w:themeColor="text2" w:themeTint="99"/>
            </w:tcBorders>
          </w:tcPr>
          <w:p w:rsidR="006C142F" w:rsidRPr="00975E6B" w:rsidRDefault="006C142F" w:rsidP="00992E09">
            <w:pPr>
              <w:pStyle w:val="BodyText"/>
              <w:jc w:val="left"/>
            </w:pPr>
            <w:r w:rsidRPr="00975E6B">
              <w:t>Account Code Mapping to Line Items</w:t>
            </w:r>
          </w:p>
        </w:tc>
        <w:tc>
          <w:tcPr>
            <w:tcW w:w="2333" w:type="pct"/>
            <w:tcBorders>
              <w:left w:val="single" w:sz="4" w:space="0" w:color="548DD4" w:themeColor="text2" w:themeTint="99"/>
            </w:tcBorders>
          </w:tcPr>
          <w:p w:rsidR="006C142F" w:rsidRPr="00975E6B" w:rsidRDefault="006C142F" w:rsidP="00992E09">
            <w:pPr>
              <w:pStyle w:val="BodyText"/>
              <w:jc w:val="left"/>
            </w:pPr>
            <w:r w:rsidRPr="00975E6B">
              <w:t xml:space="preserve">TAS-DHHS mapped total costs to the standard specified line items </w:t>
            </w:r>
          </w:p>
        </w:tc>
      </w:tr>
      <w:tr w:rsidR="006C142F" w:rsidRPr="00975E6B" w:rsidTr="001140D3">
        <w:tc>
          <w:tcPr>
            <w:tcW w:w="832" w:type="pct"/>
            <w:tcBorders>
              <w:right w:val="single" w:sz="4" w:space="0" w:color="548DD4" w:themeColor="text2" w:themeTint="99"/>
            </w:tcBorders>
            <w:noWrap/>
          </w:tcPr>
          <w:p w:rsidR="006C142F" w:rsidRPr="00975E6B" w:rsidRDefault="006C142F" w:rsidP="00992E09">
            <w:pPr>
              <w:pStyle w:val="BodyText"/>
              <w:jc w:val="left"/>
            </w:pPr>
            <w:r w:rsidRPr="00975E6B">
              <w:t>COST 5.002</w:t>
            </w:r>
          </w:p>
        </w:tc>
        <w:tc>
          <w:tcPr>
            <w:tcW w:w="1835" w:type="pct"/>
            <w:tcBorders>
              <w:left w:val="single" w:sz="4" w:space="0" w:color="548DD4" w:themeColor="text2" w:themeTint="99"/>
            </w:tcBorders>
          </w:tcPr>
          <w:p w:rsidR="006C142F" w:rsidRPr="00975E6B" w:rsidRDefault="006C142F" w:rsidP="00992E09">
            <w:pPr>
              <w:pStyle w:val="BodyText"/>
              <w:jc w:val="left"/>
            </w:pPr>
            <w:r w:rsidRPr="00975E6B">
              <w:t>Treatment of Work-In-Progress Costs</w:t>
            </w:r>
          </w:p>
        </w:tc>
        <w:tc>
          <w:tcPr>
            <w:tcW w:w="2333" w:type="pct"/>
            <w:tcBorders>
              <w:left w:val="single" w:sz="4" w:space="0" w:color="548DD4" w:themeColor="text2" w:themeTint="99"/>
            </w:tcBorders>
          </w:tcPr>
          <w:p w:rsidR="006C142F" w:rsidRPr="00975E6B" w:rsidRDefault="006C142F" w:rsidP="00992E09">
            <w:pPr>
              <w:pStyle w:val="BodyText"/>
              <w:jc w:val="left"/>
            </w:pPr>
            <w:r w:rsidRPr="00975E6B">
              <w:t>Based on discussions during the review, patients are allocated costs based on their consumption of resources for that reporting period. Where costs are incurred in prior years, these are included in the final costed data and NHCDC submission.</w:t>
            </w:r>
          </w:p>
        </w:tc>
      </w:tr>
    </w:tbl>
    <w:p w:rsidR="006C142F" w:rsidRPr="00975E6B" w:rsidRDefault="006C142F" w:rsidP="006C142F">
      <w:pPr>
        <w:pStyle w:val="FootnoteText"/>
        <w:rPr>
          <w:i/>
          <w:sz w:val="20"/>
          <w:szCs w:val="22"/>
        </w:rPr>
      </w:pPr>
      <w:r w:rsidRPr="00975E6B">
        <w:rPr>
          <w:bCs/>
          <w:i/>
          <w:sz w:val="16"/>
          <w:szCs w:val="16"/>
        </w:rPr>
        <w:t>Source: KPMG</w:t>
      </w:r>
    </w:p>
    <w:p w:rsidR="00763A20" w:rsidRPr="00975E6B" w:rsidRDefault="00763A20" w:rsidP="003B387A">
      <w:pPr>
        <w:pStyle w:val="Heading2"/>
        <w:numPr>
          <w:ilvl w:val="1"/>
          <w:numId w:val="77"/>
        </w:numPr>
      </w:pPr>
      <w:bookmarkStart w:id="797" w:name="_Toc444523678"/>
      <w:r w:rsidRPr="00497F12">
        <w:t>Conclusion</w:t>
      </w:r>
      <w:bookmarkEnd w:id="797"/>
    </w:p>
    <w:p w:rsidR="006C142F" w:rsidRPr="00975E6B" w:rsidRDefault="006C142F" w:rsidP="006C142F">
      <w:pPr>
        <w:pStyle w:val="BodyText"/>
      </w:pPr>
      <w:r w:rsidRPr="00975E6B">
        <w:t xml:space="preserve">The findings of the </w:t>
      </w:r>
      <w:r w:rsidR="00CA6430" w:rsidRPr="00975E6B">
        <w:t>Tasmania</w:t>
      </w:r>
      <w:r w:rsidRPr="00975E6B">
        <w:t xml:space="preserve"> Round 18 IFR are summarised below:</w:t>
      </w:r>
    </w:p>
    <w:p w:rsidR="006C142F" w:rsidRPr="00975E6B" w:rsidRDefault="006C142F" w:rsidP="00F26328">
      <w:pPr>
        <w:pStyle w:val="BodyText"/>
        <w:numPr>
          <w:ilvl w:val="0"/>
          <w:numId w:val="48"/>
        </w:numPr>
      </w:pPr>
      <w:r w:rsidRPr="00975E6B">
        <w:t>TAS-DHHS implemented the User Cost patient costing software for the Round 18 NHCDC submission.</w:t>
      </w:r>
    </w:p>
    <w:p w:rsidR="006C142F" w:rsidRPr="00975E6B" w:rsidRDefault="006C142F" w:rsidP="00F26328">
      <w:pPr>
        <w:pStyle w:val="BodyText"/>
        <w:numPr>
          <w:ilvl w:val="0"/>
          <w:numId w:val="48"/>
        </w:numPr>
      </w:pPr>
      <w:r w:rsidRPr="00975E6B">
        <w:rPr>
          <w:bCs/>
        </w:rPr>
        <w:t xml:space="preserve">The </w:t>
      </w:r>
      <w:r w:rsidRPr="00975E6B">
        <w:t xml:space="preserve">financial reconciliation demonstrated the transformation of cost data for the </w:t>
      </w:r>
      <w:r w:rsidR="00901CD9" w:rsidRPr="00975E6B">
        <w:t>Royal Hobart</w:t>
      </w:r>
      <w:r w:rsidRPr="00975E6B">
        <w:t xml:space="preserve">. The costs submitted to the jurisdiction </w:t>
      </w:r>
      <w:r w:rsidR="00620E0C" w:rsidRPr="00975E6B">
        <w:t>a</w:t>
      </w:r>
      <w:r w:rsidRPr="00975E6B">
        <w:t>ccounted for 76</w:t>
      </w:r>
      <w:r w:rsidR="00DA7807" w:rsidRPr="00975E6B">
        <w:t> percent</w:t>
      </w:r>
      <w:r w:rsidRPr="00975E6B">
        <w:t xml:space="preserve"> of the </w:t>
      </w:r>
      <w:r w:rsidR="001044F3" w:rsidRPr="00975E6B">
        <w:t xml:space="preserve">GL for </w:t>
      </w:r>
      <w:r w:rsidR="00901CD9" w:rsidRPr="00975E6B">
        <w:t>Royal Hobart</w:t>
      </w:r>
      <w:r w:rsidRPr="00975E6B">
        <w:t xml:space="preserve">. A minimal variance of $4 was noted between the hospital expenditure and the </w:t>
      </w:r>
      <w:r w:rsidR="00622CC1" w:rsidRPr="00975E6B">
        <w:t>costs allocated to patients.</w:t>
      </w:r>
    </w:p>
    <w:p w:rsidR="007857EA" w:rsidRPr="00975E6B" w:rsidRDefault="00366F39" w:rsidP="00F26328">
      <w:pPr>
        <w:pStyle w:val="BodyText"/>
        <w:numPr>
          <w:ilvl w:val="0"/>
          <w:numId w:val="48"/>
        </w:numPr>
      </w:pPr>
      <w:r w:rsidRPr="00975E6B">
        <w:lastRenderedPageBreak/>
        <w:t>Non-admitted patient</w:t>
      </w:r>
      <w:r w:rsidR="007857EA" w:rsidRPr="00975E6B">
        <w:t xml:space="preserve"> costs relating to externally referred and bulk-billed patients were excluded Teaching and Training costs were also excluded (these costs are reported at product level, just not submitted as part of the NHCDC).</w:t>
      </w:r>
    </w:p>
    <w:p w:rsidR="00622CC1" w:rsidRPr="00975E6B" w:rsidRDefault="00622CC1" w:rsidP="00F26328">
      <w:pPr>
        <w:pStyle w:val="BodyText"/>
        <w:numPr>
          <w:ilvl w:val="0"/>
          <w:numId w:val="48"/>
        </w:numPr>
      </w:pPr>
      <w:r w:rsidRPr="00975E6B">
        <w:t xml:space="preserve">A variance of $172,426 was noted between the costs submitted by the jurisdiction and the costs received by IHPA (Items H and I in </w:t>
      </w:r>
      <w:r w:rsidRPr="00975E6B">
        <w:fldChar w:fldCharType="begin"/>
      </w:r>
      <w:r w:rsidRPr="00975E6B">
        <w:instrText xml:space="preserve"> REF _Ref434060239 \h </w:instrText>
      </w:r>
      <w:r w:rsidR="00975E6B">
        <w:instrText xml:space="preserve"> \* MERGEFORMAT </w:instrText>
      </w:r>
      <w:r w:rsidRPr="00975E6B">
        <w:fldChar w:fldCharType="separate"/>
      </w:r>
      <w:r w:rsidR="00154CF7" w:rsidRPr="00975E6B">
        <w:t xml:space="preserve">Table </w:t>
      </w:r>
      <w:r w:rsidR="00154CF7">
        <w:rPr>
          <w:noProof/>
        </w:rPr>
        <w:t>71</w:t>
      </w:r>
      <w:r w:rsidRPr="00975E6B">
        <w:fldChar w:fldCharType="end"/>
      </w:r>
      <w:r w:rsidRPr="00975E6B">
        <w:t>).</w:t>
      </w:r>
    </w:p>
    <w:p w:rsidR="006C142F" w:rsidRPr="00975E6B" w:rsidRDefault="00622CC1" w:rsidP="00F26328">
      <w:pPr>
        <w:pStyle w:val="BodyText"/>
        <w:numPr>
          <w:ilvl w:val="0"/>
          <w:numId w:val="48"/>
        </w:numPr>
      </w:pPr>
      <w:r w:rsidRPr="00975E6B">
        <w:t>Total NHCDC activity data for the hospitals was adjusted by TAS-DHHS for the removal of records associated with excluded costs</w:t>
      </w:r>
      <w:r w:rsidR="00C50DA9" w:rsidRPr="00975E6B">
        <w:t xml:space="preserve">. </w:t>
      </w:r>
      <w:r w:rsidRPr="00975E6B">
        <w:t>IHPA made adjustments for UQB activity</w:t>
      </w:r>
      <w:r w:rsidR="00C50DA9" w:rsidRPr="00975E6B">
        <w:t xml:space="preserve">. </w:t>
      </w:r>
    </w:p>
    <w:p w:rsidR="00622CC1" w:rsidRPr="00975E6B" w:rsidRDefault="00622CC1" w:rsidP="00F26328">
      <w:pPr>
        <w:pStyle w:val="BodyText"/>
        <w:numPr>
          <w:ilvl w:val="0"/>
          <w:numId w:val="35"/>
        </w:numPr>
      </w:pPr>
      <w:r w:rsidRPr="00975E6B">
        <w:t xml:space="preserve">The number of records linked from source to product </w:t>
      </w:r>
      <w:r w:rsidR="0074117C" w:rsidRPr="00975E6B">
        <w:t xml:space="preserve">was </w:t>
      </w:r>
      <w:r w:rsidRPr="00975E6B">
        <w:t>significant with all feeders having a greater than 87</w:t>
      </w:r>
      <w:r w:rsidR="00DA7807" w:rsidRPr="00975E6B">
        <w:t> percent</w:t>
      </w:r>
      <w:r w:rsidRPr="00975E6B">
        <w:t xml:space="preserve"> link or match</w:t>
      </w:r>
      <w:r w:rsidR="00F66840" w:rsidRPr="00975E6B">
        <w:t xml:space="preserve">. </w:t>
      </w:r>
      <w:r w:rsidR="00037F64" w:rsidRPr="00975E6B">
        <w:t xml:space="preserve">This suggests that there is robustness in the level of feeder activity reported back to episodes. </w:t>
      </w:r>
      <w:r w:rsidR="00F66840" w:rsidRPr="00975E6B">
        <w:t>The greatest variance was noted in</w:t>
      </w:r>
      <w:r w:rsidR="00DC166E" w:rsidRPr="00975E6B">
        <w:t xml:space="preserve"> pharmacy as these records represented services offered to patients in other facilities.</w:t>
      </w:r>
    </w:p>
    <w:p w:rsidR="00622CC1" w:rsidRPr="00975E6B" w:rsidRDefault="00622CC1" w:rsidP="00F26328">
      <w:pPr>
        <w:pStyle w:val="BodyText"/>
        <w:numPr>
          <w:ilvl w:val="0"/>
          <w:numId w:val="48"/>
        </w:numPr>
      </w:pPr>
      <w:r w:rsidRPr="00975E6B">
        <w:t xml:space="preserve">WIP </w:t>
      </w:r>
      <w:r w:rsidR="0074117C" w:rsidRPr="00975E6B">
        <w:t xml:space="preserve">was </w:t>
      </w:r>
      <w:r w:rsidRPr="00975E6B">
        <w:t xml:space="preserve">treated in accordance with the COST 5.002 of the AHPCS Version 3.1. </w:t>
      </w:r>
      <w:r w:rsidR="005A64EB" w:rsidRPr="00975E6B">
        <w:t>It is noted</w:t>
      </w:r>
      <w:r w:rsidRPr="00975E6B">
        <w:t xml:space="preserve"> that no escalation factor </w:t>
      </w:r>
      <w:r w:rsidR="0074117C" w:rsidRPr="00975E6B">
        <w:t xml:space="preserve">was </w:t>
      </w:r>
      <w:r w:rsidRPr="00975E6B">
        <w:t>applied to prior year costs.</w:t>
      </w:r>
    </w:p>
    <w:p w:rsidR="00037F64" w:rsidRPr="00975E6B" w:rsidRDefault="00037F64" w:rsidP="00F26328">
      <w:pPr>
        <w:pStyle w:val="BodyText"/>
        <w:numPr>
          <w:ilvl w:val="0"/>
          <w:numId w:val="48"/>
        </w:numPr>
      </w:pPr>
      <w:r w:rsidRPr="00975E6B">
        <w:t xml:space="preserve">On review of the five sample patients selected for Royal Hobart, minor $1 - $2 variances were noted for three of the patient records. </w:t>
      </w:r>
    </w:p>
    <w:p w:rsidR="00325700" w:rsidRPr="00975E6B" w:rsidRDefault="00325700" w:rsidP="001140D3">
      <w:pPr>
        <w:pStyle w:val="BodyText"/>
      </w:pPr>
      <w:r w:rsidRPr="00975E6B">
        <w:t xml:space="preserve">Based on discussions held during the site visit, and a review of the financial reconciliation provided, TAS-DHHS has robust reconciliation processes in place. As such, nothing has come to our attention to suggest that the financial data </w:t>
      </w:r>
      <w:r w:rsidR="00FA471E" w:rsidRPr="00975E6B">
        <w:t xml:space="preserve">for </w:t>
      </w:r>
      <w:r w:rsidR="00901CD9" w:rsidRPr="00975E6B">
        <w:t>Royal Hobart</w:t>
      </w:r>
      <w:r w:rsidR="00FA471E" w:rsidRPr="00975E6B">
        <w:t xml:space="preserve"> </w:t>
      </w:r>
      <w:r w:rsidRPr="00975E6B">
        <w:t>is not fit for NHCDC submission. Furthermore, the data flow from the jurisdiction to IHPA demonstrated no unexplained variances.</w:t>
      </w:r>
    </w:p>
    <w:p w:rsidR="00325700" w:rsidRPr="00975E6B" w:rsidRDefault="00325700" w:rsidP="001140D3">
      <w:pPr>
        <w:pStyle w:val="BodyText"/>
      </w:pPr>
    </w:p>
    <w:p w:rsidR="00BA70A6" w:rsidRPr="00975E6B" w:rsidRDefault="00BA70A6" w:rsidP="003B387A">
      <w:pPr>
        <w:pStyle w:val="Heading1"/>
        <w:numPr>
          <w:ilvl w:val="0"/>
          <w:numId w:val="77"/>
        </w:numPr>
      </w:pPr>
      <w:bookmarkStart w:id="798" w:name="_Toc444523679"/>
      <w:r w:rsidRPr="0038548D">
        <w:lastRenderedPageBreak/>
        <w:t>Victoria</w:t>
      </w:r>
      <w:bookmarkEnd w:id="798"/>
    </w:p>
    <w:p w:rsidR="00FC0F41" w:rsidRPr="00975E6B" w:rsidRDefault="00FC0F41" w:rsidP="003B387A">
      <w:pPr>
        <w:pStyle w:val="Heading2"/>
        <w:numPr>
          <w:ilvl w:val="1"/>
          <w:numId w:val="77"/>
        </w:numPr>
      </w:pPr>
      <w:bookmarkStart w:id="799" w:name="_Toc444523680"/>
      <w:r w:rsidRPr="0038548D">
        <w:t>Jurisdictional</w:t>
      </w:r>
      <w:r w:rsidRPr="00975E6B">
        <w:t xml:space="preserve"> overview</w:t>
      </w:r>
      <w:bookmarkEnd w:id="799"/>
    </w:p>
    <w:p w:rsidR="00FC0F41" w:rsidRPr="00975E6B" w:rsidRDefault="00FC0F41" w:rsidP="003B387A">
      <w:pPr>
        <w:pStyle w:val="Heading3"/>
        <w:numPr>
          <w:ilvl w:val="2"/>
          <w:numId w:val="77"/>
        </w:numPr>
      </w:pPr>
      <w:r w:rsidRPr="0038548D">
        <w:t>Management</w:t>
      </w:r>
      <w:r w:rsidRPr="00975E6B">
        <w:t xml:space="preserve"> of NHCDC process </w:t>
      </w:r>
    </w:p>
    <w:p w:rsidR="00FC0F41" w:rsidRPr="00975E6B" w:rsidRDefault="00FC0F41" w:rsidP="00FC0F41">
      <w:pPr>
        <w:pStyle w:val="BodyText"/>
      </w:pPr>
      <w:r w:rsidRPr="00975E6B">
        <w:t>The Victorian Department of Health and Human Services (</w:t>
      </w:r>
      <w:r w:rsidR="001044F3" w:rsidRPr="00975E6B">
        <w:t>Victoria Health</w:t>
      </w:r>
      <w:r w:rsidRPr="00975E6B">
        <w:t xml:space="preserve">) is responsible for the collation, review and submission of data to the NHCDC. The data submitted to the NHCDC is sourced from Victorian Cost Data Collection (VCDC). VCDC data is submitted by hospital and health services to support </w:t>
      </w:r>
      <w:r w:rsidR="00B64F77" w:rsidRPr="00975E6B">
        <w:t>Victoria</w:t>
      </w:r>
      <w:r w:rsidR="001044F3" w:rsidRPr="00975E6B">
        <w:t xml:space="preserve"> Health</w:t>
      </w:r>
      <w:r w:rsidRPr="00975E6B">
        <w:t xml:space="preserve">’s annual funding model, i.e. it is the basis of the calculation of the annual Weighted Inlier Equivalent Separation price. </w:t>
      </w:r>
    </w:p>
    <w:p w:rsidR="00FC0F41" w:rsidRPr="00975E6B" w:rsidRDefault="00FC0F41" w:rsidP="00FC0F41">
      <w:pPr>
        <w:pStyle w:val="BodyText"/>
      </w:pPr>
      <w:r w:rsidRPr="00975E6B">
        <w:t xml:space="preserve">Victorian health services are responsible for the preparation of the costing data, including reconciliation to source financial and activity data. Health services submit the VCDC data by campus to </w:t>
      </w:r>
      <w:r w:rsidR="00B64F77" w:rsidRPr="00975E6B">
        <w:t>Victoria</w:t>
      </w:r>
      <w:r w:rsidR="001044F3" w:rsidRPr="00975E6B">
        <w:t xml:space="preserve"> Health</w:t>
      </w:r>
      <w:r w:rsidRPr="00975E6B">
        <w:t xml:space="preserve"> via an online portal, either monthly or annually.</w:t>
      </w:r>
    </w:p>
    <w:p w:rsidR="00FC0F41" w:rsidRPr="00975E6B" w:rsidRDefault="00FC0F41" w:rsidP="00FC0F41">
      <w:pPr>
        <w:pStyle w:val="BodyText"/>
      </w:pPr>
      <w:r w:rsidRPr="00975E6B">
        <w:t xml:space="preserve">During the VCDC process, </w:t>
      </w:r>
      <w:r w:rsidR="00B64F77" w:rsidRPr="00975E6B">
        <w:t>Victoria</w:t>
      </w:r>
      <w:r w:rsidR="001044F3" w:rsidRPr="00975E6B">
        <w:t xml:space="preserve"> Health</w:t>
      </w:r>
      <w:r w:rsidRPr="00975E6B">
        <w:t xml:space="preserve"> performs a range of checks on the data to ensure that it is fit for purpose. </w:t>
      </w:r>
      <w:r w:rsidR="00B64F77" w:rsidRPr="00975E6B">
        <w:t>Victoria</w:t>
      </w:r>
      <w:r w:rsidR="001044F3" w:rsidRPr="00975E6B">
        <w:t xml:space="preserve"> Health</w:t>
      </w:r>
      <w:r w:rsidR="00BA3F4B" w:rsidRPr="00975E6B">
        <w:t xml:space="preserve"> </w:t>
      </w:r>
      <w:r w:rsidRPr="00975E6B">
        <w:t xml:space="preserve">does not adjust the costing data submitted by the health services, e.g. for </w:t>
      </w:r>
      <w:r w:rsidR="001044F3" w:rsidRPr="00975E6B">
        <w:t>work in progress (</w:t>
      </w:r>
      <w:r w:rsidRPr="00975E6B">
        <w:t>WIP</w:t>
      </w:r>
      <w:r w:rsidR="001044F3" w:rsidRPr="00975E6B">
        <w:t>) patients</w:t>
      </w:r>
      <w:r w:rsidRPr="00975E6B">
        <w:t xml:space="preserve">. Health services may advise of exclusions to the data submitted and these records are flagged as invalid costs and excluded from the VCDC process. Where </w:t>
      </w:r>
      <w:r w:rsidR="00B64F77" w:rsidRPr="00975E6B">
        <w:t>Victoria</w:t>
      </w:r>
      <w:r w:rsidR="001044F3" w:rsidRPr="00975E6B">
        <w:t xml:space="preserve"> Health</w:t>
      </w:r>
      <w:r w:rsidRPr="00975E6B">
        <w:t xml:space="preserve"> identifies potential inclusions or exclusions, </w:t>
      </w:r>
      <w:r w:rsidR="001044F3" w:rsidRPr="00975E6B">
        <w:t>it</w:t>
      </w:r>
      <w:r w:rsidRPr="00975E6B">
        <w:t xml:space="preserve"> will liaise with the relevant health service to confirm if any adjustment should be processed.</w:t>
      </w:r>
    </w:p>
    <w:p w:rsidR="00FC0F41" w:rsidRPr="00975E6B" w:rsidRDefault="00FC0F41" w:rsidP="00FC0F41">
      <w:pPr>
        <w:pStyle w:val="BodyText"/>
      </w:pPr>
      <w:r w:rsidRPr="00975E6B">
        <w:t xml:space="preserve">Prior to the final NHCDC submission to IHPA, the Secretary of </w:t>
      </w:r>
      <w:r w:rsidR="00B64F77" w:rsidRPr="00975E6B">
        <w:t>Victoria</w:t>
      </w:r>
      <w:r w:rsidR="001044F3" w:rsidRPr="00975E6B">
        <w:t xml:space="preserve"> Health</w:t>
      </w:r>
      <w:r w:rsidRPr="00975E6B">
        <w:t xml:space="preserve"> approves the submission.</w:t>
      </w:r>
    </w:p>
    <w:p w:rsidR="00213482" w:rsidRPr="00975E6B" w:rsidRDefault="00213482" w:rsidP="00F71180">
      <w:pPr>
        <w:pStyle w:val="BodyText"/>
      </w:pPr>
      <w:r w:rsidRPr="00975E6B">
        <w:t xml:space="preserve">Victoria nominated two hospitals to participate in the IFR for Round 18, St Vincent’s Hospital and the Royal Victorian Eye and Ear hospital. Both these hospitals are located in Melbourne’s central business district. </w:t>
      </w:r>
    </w:p>
    <w:p w:rsidR="00FC0F41" w:rsidRPr="00975E6B" w:rsidRDefault="00FC0F41" w:rsidP="003B387A">
      <w:pPr>
        <w:pStyle w:val="Heading2"/>
        <w:numPr>
          <w:ilvl w:val="1"/>
          <w:numId w:val="77"/>
        </w:numPr>
      </w:pPr>
      <w:bookmarkStart w:id="800" w:name="_Toc435468622"/>
      <w:bookmarkStart w:id="801" w:name="_Toc434584650"/>
      <w:bookmarkStart w:id="802" w:name="_Toc434585024"/>
      <w:bookmarkStart w:id="803" w:name="_Toc434585161"/>
      <w:bookmarkStart w:id="804" w:name="_Toc434584660"/>
      <w:bookmarkStart w:id="805" w:name="_Toc434585034"/>
      <w:bookmarkStart w:id="806" w:name="_Toc434585171"/>
      <w:bookmarkStart w:id="807" w:name="_Toc444523681"/>
      <w:bookmarkEnd w:id="800"/>
      <w:bookmarkEnd w:id="801"/>
      <w:bookmarkEnd w:id="802"/>
      <w:bookmarkEnd w:id="803"/>
      <w:bookmarkEnd w:id="804"/>
      <w:bookmarkEnd w:id="805"/>
      <w:bookmarkEnd w:id="806"/>
      <w:r w:rsidRPr="00975E6B">
        <w:t xml:space="preserve">St </w:t>
      </w:r>
      <w:r w:rsidRPr="003B387A">
        <w:t>Vincent’s</w:t>
      </w:r>
      <w:r w:rsidRPr="00975E6B">
        <w:t xml:space="preserve"> Hospital</w:t>
      </w:r>
      <w:bookmarkEnd w:id="807"/>
    </w:p>
    <w:p w:rsidR="00FC0F41" w:rsidRPr="00975E6B" w:rsidRDefault="00FC0F41" w:rsidP="003B387A">
      <w:pPr>
        <w:pStyle w:val="Heading3"/>
        <w:numPr>
          <w:ilvl w:val="2"/>
          <w:numId w:val="77"/>
        </w:numPr>
      </w:pPr>
      <w:r w:rsidRPr="003B387A">
        <w:t>Overview</w:t>
      </w:r>
    </w:p>
    <w:p w:rsidR="00FC0F41" w:rsidRPr="00975E6B" w:rsidRDefault="00FC0F41" w:rsidP="00FC0F41">
      <w:pPr>
        <w:pStyle w:val="BodyText"/>
      </w:pPr>
      <w:r w:rsidRPr="00975E6B">
        <w:t xml:space="preserve">St Vincent’s Hospital </w:t>
      </w:r>
      <w:r w:rsidR="00EE6A00" w:rsidRPr="00975E6B">
        <w:t>(</w:t>
      </w:r>
      <w:r w:rsidR="001044F3" w:rsidRPr="00975E6B">
        <w:t>St Vincent’s</w:t>
      </w:r>
      <w:r w:rsidR="00EE6A00" w:rsidRPr="00975E6B">
        <w:t xml:space="preserve">) </w:t>
      </w:r>
      <w:r w:rsidRPr="00975E6B">
        <w:t>is a tertiary public healthcare service with 17</w:t>
      </w:r>
      <w:r w:rsidR="003B3E8B" w:rsidRPr="00975E6B">
        <w:t> </w:t>
      </w:r>
      <w:r w:rsidRPr="00975E6B">
        <w:t xml:space="preserve">sites across greater Melbourne. </w:t>
      </w:r>
      <w:r w:rsidR="001044F3" w:rsidRPr="00975E6B">
        <w:t>St Vincent’s</w:t>
      </w:r>
      <w:r w:rsidRPr="00975E6B">
        <w:t xml:space="preserve"> works with a vast network of collaborative partners to deliver high quality treatment</w:t>
      </w:r>
      <w:r w:rsidR="003B3E8B" w:rsidRPr="00975E6B">
        <w:t xml:space="preserve">, and is a major </w:t>
      </w:r>
      <w:r w:rsidRPr="00975E6B">
        <w:t>teaching, research</w:t>
      </w:r>
      <w:r w:rsidR="003B3E8B" w:rsidRPr="00975E6B">
        <w:t xml:space="preserve"> and tertiary referral centre</w:t>
      </w:r>
      <w:r w:rsidRPr="00975E6B">
        <w:t xml:space="preserve">. Partners include University of Melbourne, St Vincent’s Institute, O’Brien Institute, Bionics Institute, the University of Wollongong, Eastern Palliative Care and the Australian Catholic University. </w:t>
      </w:r>
      <w:r w:rsidR="001044F3" w:rsidRPr="00975E6B">
        <w:t>St</w:t>
      </w:r>
      <w:r w:rsidR="003B3E8B" w:rsidRPr="00975E6B">
        <w:t> </w:t>
      </w:r>
      <w:r w:rsidR="001044F3" w:rsidRPr="00975E6B">
        <w:t>Vincent’s</w:t>
      </w:r>
      <w:r w:rsidRPr="00975E6B">
        <w:t xml:space="preserve"> has more than 5,700 staff and 880 beds in daily use.</w:t>
      </w:r>
    </w:p>
    <w:p w:rsidR="00FC0F41" w:rsidRPr="00975E6B" w:rsidRDefault="001044F3" w:rsidP="00FC0F41">
      <w:pPr>
        <w:pStyle w:val="BodyText"/>
      </w:pPr>
      <w:r w:rsidRPr="00975E6B">
        <w:t>St Vincent’s</w:t>
      </w:r>
      <w:r w:rsidR="00FC0F41" w:rsidRPr="00975E6B">
        <w:t xml:space="preserve"> provides a range of services, including acute medical and surgical services, emergency and critical care, aged care, diagnostics, rehabilitation, allied health, mental health, palliative care and residential care.</w:t>
      </w:r>
      <w:r w:rsidR="00FC0F41" w:rsidRPr="00975E6B">
        <w:rPr>
          <w:rStyle w:val="FootnoteReference"/>
        </w:rPr>
        <w:footnoteReference w:id="11"/>
      </w:r>
    </w:p>
    <w:p w:rsidR="00FC0F41" w:rsidRPr="00975E6B" w:rsidRDefault="00FC0F41" w:rsidP="003B387A">
      <w:pPr>
        <w:pStyle w:val="Heading3"/>
        <w:numPr>
          <w:ilvl w:val="2"/>
          <w:numId w:val="77"/>
        </w:numPr>
      </w:pPr>
      <w:r w:rsidRPr="003B387A">
        <w:lastRenderedPageBreak/>
        <w:t>Financial</w:t>
      </w:r>
      <w:r w:rsidRPr="00975E6B">
        <w:t xml:space="preserve"> data</w:t>
      </w:r>
    </w:p>
    <w:p w:rsidR="00FC0F41" w:rsidRPr="00975E6B" w:rsidRDefault="00FC0F41" w:rsidP="00FC0F41">
      <w:pPr>
        <w:pStyle w:val="BodyText"/>
      </w:pPr>
      <w:r w:rsidRPr="00975E6B">
        <w:t xml:space="preserve">For the Round 18 IFR, the hospital’s clinical costing analyst who also participated in consultations during the review completed St Vincent’s IFR templates. St Vincent’s are responsible for the preparation and submission of the VCDC data to </w:t>
      </w:r>
      <w:r w:rsidR="00B64F77" w:rsidRPr="00975E6B">
        <w:t>Victoria</w:t>
      </w:r>
      <w:r w:rsidR="001044F3" w:rsidRPr="00975E6B">
        <w:t xml:space="preserve"> Health</w:t>
      </w:r>
      <w:r w:rsidRPr="00975E6B">
        <w:t>.</w:t>
      </w:r>
    </w:p>
    <w:p w:rsidR="00FC0F41" w:rsidRPr="00975E6B" w:rsidRDefault="006A585D" w:rsidP="00FC0F41">
      <w:pPr>
        <w:pStyle w:val="BodyText"/>
      </w:pPr>
      <w:r w:rsidRPr="00975E6B">
        <w:fldChar w:fldCharType="begin"/>
      </w:r>
      <w:r w:rsidRPr="00975E6B">
        <w:instrText xml:space="preserve"> REF _Ref434265349 \h </w:instrText>
      </w:r>
      <w:r w:rsidR="00975E6B">
        <w:instrText xml:space="preserve"> \* MERGEFORMAT </w:instrText>
      </w:r>
      <w:r w:rsidRPr="00975E6B">
        <w:fldChar w:fldCharType="separate"/>
      </w:r>
      <w:r w:rsidR="00154CF7" w:rsidRPr="00975E6B">
        <w:t xml:space="preserve">Table </w:t>
      </w:r>
      <w:r w:rsidR="00154CF7">
        <w:rPr>
          <w:noProof/>
        </w:rPr>
        <w:t>79</w:t>
      </w:r>
      <w:r w:rsidRPr="00975E6B">
        <w:fldChar w:fldCharType="end"/>
      </w:r>
      <w:r w:rsidRPr="00975E6B">
        <w:t xml:space="preserve"> </w:t>
      </w:r>
      <w:r w:rsidR="00FC0F41" w:rsidRPr="00975E6B">
        <w:t>presents an overview of the template results for expenditures used for costing (at the hospital level), the jurisdictional process for cost data received and the IHPA process for cost data received.</w:t>
      </w:r>
    </w:p>
    <w:p w:rsidR="00FC0F41" w:rsidRPr="00975E6B" w:rsidRDefault="00FC0F41" w:rsidP="00FC0F41">
      <w:pPr>
        <w:pStyle w:val="Caption"/>
        <w:sectPr w:rsidR="00FC0F41" w:rsidRPr="00975E6B" w:rsidSect="00835E8A">
          <w:endnotePr>
            <w:numFmt w:val="decimal"/>
          </w:endnotePr>
          <w:pgSz w:w="11907" w:h="16840" w:code="9"/>
          <w:pgMar w:top="1964" w:right="1474" w:bottom="1588" w:left="1474" w:header="958" w:footer="737" w:gutter="454"/>
          <w:cols w:space="720"/>
          <w:docGrid w:linePitch="272"/>
        </w:sectPr>
      </w:pPr>
    </w:p>
    <w:p w:rsidR="00FC0F41" w:rsidRPr="00975E6B" w:rsidRDefault="00FC0F41" w:rsidP="00FC0F41">
      <w:pPr>
        <w:pStyle w:val="Caption"/>
      </w:pPr>
      <w:bookmarkStart w:id="808" w:name="_Ref434265349"/>
      <w:r w:rsidRPr="00975E6B">
        <w:lastRenderedPageBreak/>
        <w:t xml:space="preserve">Table </w:t>
      </w:r>
      <w:fldSimple w:instr=" SEQ Table \* ARABIC ">
        <w:r w:rsidR="00154CF7">
          <w:rPr>
            <w:noProof/>
          </w:rPr>
          <w:t>79</w:t>
        </w:r>
      </w:fldSimple>
      <w:bookmarkEnd w:id="808"/>
      <w:r w:rsidRPr="00975E6B">
        <w:t xml:space="preserve"> – Round 18 NHCDC Reconciliation – St Vincent’s Hospital</w:t>
      </w:r>
    </w:p>
    <w:p w:rsidR="00FC0F41" w:rsidRPr="00975E6B" w:rsidRDefault="007939A0" w:rsidP="00FC0F41">
      <w:r>
        <w:rPr>
          <w:noProof/>
          <w:lang w:eastAsia="en-AU"/>
        </w:rPr>
        <w:drawing>
          <wp:inline distT="0" distB="0" distL="0" distR="0" wp14:anchorId="61F78CE0" wp14:editId="70E44710">
            <wp:extent cx="8534400" cy="3857625"/>
            <wp:effectExtent l="0" t="0" r="0" b="9525"/>
            <wp:docPr id="35" name="Picture 35" descr="This table presents the financial reconciliation of hospital expenditure for Round 18 for St Vincent's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10;" title="Table 79 - Round 18 NHCDC Reconciliation - St Vincent's Hospi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This table presents the financial reconciliation of hospital expenditure for Round 18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10;"/>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8534400" cy="3857625"/>
                    </a:xfrm>
                    <a:prstGeom prst="rect">
                      <a:avLst/>
                    </a:prstGeom>
                    <a:noFill/>
                    <a:ln>
                      <a:noFill/>
                    </a:ln>
                  </pic:spPr>
                </pic:pic>
              </a:graphicData>
            </a:graphic>
          </wp:inline>
        </w:drawing>
      </w:r>
    </w:p>
    <w:p w:rsidR="00FC0F41" w:rsidRPr="00975E6B" w:rsidRDefault="00FC0F41" w:rsidP="00FC0F41">
      <w:pPr>
        <w:rPr>
          <w:bCs/>
          <w:i/>
          <w:sz w:val="16"/>
          <w:szCs w:val="16"/>
        </w:rPr>
      </w:pPr>
      <w:r w:rsidRPr="00975E6B">
        <w:rPr>
          <w:bCs/>
          <w:i/>
          <w:sz w:val="16"/>
          <w:szCs w:val="16"/>
        </w:rPr>
        <w:t xml:space="preserve">Source: KPMG based on </w:t>
      </w:r>
      <w:r w:rsidR="001044F3" w:rsidRPr="00975E6B">
        <w:rPr>
          <w:bCs/>
          <w:i/>
          <w:sz w:val="16"/>
          <w:szCs w:val="16"/>
        </w:rPr>
        <w:t>St Vincent’s</w:t>
      </w:r>
      <w:r w:rsidRPr="00975E6B">
        <w:rPr>
          <w:bCs/>
          <w:i/>
          <w:sz w:val="16"/>
          <w:szCs w:val="16"/>
        </w:rPr>
        <w:t xml:space="preserve"> IFR templates</w:t>
      </w:r>
    </w:p>
    <w:p w:rsidR="00FC0F41" w:rsidRPr="00975E6B" w:rsidRDefault="00FC0F41" w:rsidP="00FC0F41">
      <w:pPr>
        <w:rPr>
          <w:bCs/>
          <w:i/>
          <w:sz w:val="16"/>
          <w:szCs w:val="16"/>
        </w:rPr>
      </w:pPr>
      <w:r w:rsidRPr="00975E6B">
        <w:rPr>
          <w:bCs/>
          <w:i/>
          <w:sz w:val="16"/>
          <w:szCs w:val="16"/>
        </w:rPr>
        <w:t>* These figures include admitted emergency costs.</w:t>
      </w:r>
    </w:p>
    <w:p w:rsidR="00FC0F41" w:rsidRPr="00975E6B" w:rsidRDefault="00FC0F41" w:rsidP="00FC0F41">
      <w:pPr>
        <w:pStyle w:val="Heading4"/>
        <w:sectPr w:rsidR="00FC0F41" w:rsidRPr="00975E6B" w:rsidSect="00835E8A">
          <w:endnotePr>
            <w:numFmt w:val="decimal"/>
          </w:endnotePr>
          <w:pgSz w:w="16840" w:h="11907" w:orient="landscape" w:code="9"/>
          <w:pgMar w:top="1474" w:right="1964" w:bottom="1474" w:left="1588" w:header="958" w:footer="737" w:gutter="454"/>
          <w:cols w:space="720"/>
          <w:docGrid w:linePitch="272"/>
        </w:sectPr>
      </w:pPr>
    </w:p>
    <w:p w:rsidR="00FC0F41" w:rsidRPr="00975E6B" w:rsidRDefault="00FC0F41" w:rsidP="003B387A">
      <w:pPr>
        <w:pStyle w:val="Heading4"/>
        <w:numPr>
          <w:ilvl w:val="0"/>
          <w:numId w:val="0"/>
        </w:numPr>
      </w:pPr>
      <w:r w:rsidRPr="00975E6B">
        <w:lastRenderedPageBreak/>
        <w:t>Explanation of reconciliation items</w:t>
      </w:r>
    </w:p>
    <w:p w:rsidR="00FC0F41" w:rsidRPr="00975E6B" w:rsidRDefault="00C61E2B" w:rsidP="00FC0F41">
      <w:pPr>
        <w:pStyle w:val="BodyText"/>
      </w:pPr>
      <w:r w:rsidRPr="00975E6B">
        <w:fldChar w:fldCharType="begin"/>
      </w:r>
      <w:r w:rsidRPr="00975E6B">
        <w:instrText xml:space="preserve"> REF _Ref434265375 \h </w:instrText>
      </w:r>
      <w:r w:rsidR="00975E6B">
        <w:instrText xml:space="preserve"> \* MERGEFORMAT </w:instrText>
      </w:r>
      <w:r w:rsidRPr="00975E6B">
        <w:fldChar w:fldCharType="separate"/>
      </w:r>
      <w:r w:rsidR="00154CF7" w:rsidRPr="00975E6B">
        <w:t xml:space="preserve">Table </w:t>
      </w:r>
      <w:r w:rsidR="00154CF7">
        <w:rPr>
          <w:noProof/>
        </w:rPr>
        <w:t>80</w:t>
      </w:r>
      <w:r w:rsidRPr="00975E6B">
        <w:fldChar w:fldCharType="end"/>
      </w:r>
      <w:r w:rsidRPr="00975E6B">
        <w:t xml:space="preserve"> </w:t>
      </w:r>
      <w:r w:rsidR="00FC0F41" w:rsidRPr="00975E6B">
        <w:t>discusses each of the reconciliation items, including adjustments, inclusions and exclusions to the general ledger</w:t>
      </w:r>
      <w:r w:rsidR="001044F3" w:rsidRPr="00975E6B">
        <w:t xml:space="preserve"> (GL)</w:t>
      </w:r>
      <w:r w:rsidR="00FC0F41" w:rsidRPr="00975E6B">
        <w:t>.</w:t>
      </w:r>
    </w:p>
    <w:p w:rsidR="00FC0F41" w:rsidRPr="00975E6B" w:rsidRDefault="00FC0F41" w:rsidP="00FC0F41">
      <w:pPr>
        <w:pStyle w:val="Caption"/>
      </w:pPr>
      <w:bookmarkStart w:id="809" w:name="_Ref434265375"/>
      <w:r w:rsidRPr="00975E6B">
        <w:t xml:space="preserve">Table </w:t>
      </w:r>
      <w:fldSimple w:instr=" SEQ Table \* ARABIC ">
        <w:r w:rsidR="00154CF7">
          <w:rPr>
            <w:noProof/>
          </w:rPr>
          <w:t>80</w:t>
        </w:r>
      </w:fldSimple>
      <w:bookmarkEnd w:id="809"/>
      <w:r w:rsidRPr="00975E6B">
        <w:t xml:space="preserve"> – </w:t>
      </w:r>
      <w:r w:rsidR="00704A46" w:rsidRPr="00975E6B">
        <w:t>Financial Reconciliation, explanation of items</w:t>
      </w:r>
      <w:r w:rsidRPr="00975E6B">
        <w:t xml:space="preserve"> – St Vincent’s Hospital</w:t>
      </w:r>
    </w:p>
    <w:tbl>
      <w:tblPr>
        <w:tblStyle w:val="ListTable4-Accent11"/>
        <w:tblW w:w="5000" w:type="pct"/>
        <w:tblLayout w:type="fixed"/>
        <w:tblLook w:val="0620" w:firstRow="1" w:lastRow="0" w:firstColumn="0" w:lastColumn="0" w:noHBand="1" w:noVBand="1"/>
        <w:tblCaption w:val="Table 80 - Financial reconciliation, explanation of items - St Vincent's Hospital"/>
        <w:tblDescription w:val="This table describes the information presented in Table 79.  The first column is the item number (A to K), the second column is the title of the item number and the third column is a description of the financial information included at that item.&#10;"/>
      </w:tblPr>
      <w:tblGrid>
        <w:gridCol w:w="722"/>
        <w:gridCol w:w="2622"/>
        <w:gridCol w:w="5377"/>
      </w:tblGrid>
      <w:tr w:rsidR="00FC0F41"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14" w:type="pct"/>
            <w:tcBorders>
              <w:right w:val="single" w:sz="4" w:space="0" w:color="548DD4" w:themeColor="text2" w:themeTint="99"/>
            </w:tcBorders>
            <w:shd w:val="clear" w:color="auto" w:fill="002060"/>
            <w:noWrap/>
          </w:tcPr>
          <w:p w:rsidR="00FC0F41" w:rsidRPr="00975E6B" w:rsidRDefault="00FC0F41" w:rsidP="00C70986">
            <w:r w:rsidRPr="00975E6B">
              <w:t>Item</w:t>
            </w:r>
          </w:p>
        </w:tc>
        <w:tc>
          <w:tcPr>
            <w:tcW w:w="1503" w:type="pct"/>
            <w:tcBorders>
              <w:left w:val="single" w:sz="4" w:space="0" w:color="548DD4" w:themeColor="text2" w:themeTint="99"/>
            </w:tcBorders>
            <w:shd w:val="clear" w:color="auto" w:fill="002060"/>
          </w:tcPr>
          <w:p w:rsidR="00FC0F41" w:rsidRPr="00975E6B" w:rsidRDefault="00FC0F41" w:rsidP="00C70986">
            <w:r w:rsidRPr="00975E6B">
              <w:t>Heading</w:t>
            </w:r>
          </w:p>
        </w:tc>
        <w:tc>
          <w:tcPr>
            <w:tcW w:w="3083" w:type="pct"/>
            <w:tcBorders>
              <w:left w:val="single" w:sz="4" w:space="0" w:color="548DD4" w:themeColor="text2" w:themeTint="99"/>
            </w:tcBorders>
            <w:shd w:val="clear" w:color="auto" w:fill="002060"/>
          </w:tcPr>
          <w:p w:rsidR="00FC0F41" w:rsidRPr="00975E6B" w:rsidRDefault="00FC0F41" w:rsidP="00C70986">
            <w:r w:rsidRPr="00975E6B">
              <w:t>Discussion</w:t>
            </w:r>
          </w:p>
        </w:tc>
      </w:tr>
      <w:tr w:rsidR="00FC0F41" w:rsidRPr="00975E6B" w:rsidTr="00C70986">
        <w:tc>
          <w:tcPr>
            <w:tcW w:w="414" w:type="pct"/>
            <w:tcBorders>
              <w:right w:val="single" w:sz="4" w:space="0" w:color="548DD4" w:themeColor="text2" w:themeTint="99"/>
            </w:tcBorders>
            <w:noWrap/>
          </w:tcPr>
          <w:p w:rsidR="00FC0F41" w:rsidRPr="00975E6B" w:rsidRDefault="00FC0F41" w:rsidP="00C70986">
            <w:pPr>
              <w:pStyle w:val="BodyText"/>
            </w:pPr>
            <w:r w:rsidRPr="00975E6B">
              <w:t>A</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General Ledger</w:t>
            </w:r>
          </w:p>
        </w:tc>
        <w:tc>
          <w:tcPr>
            <w:tcW w:w="3083" w:type="pct"/>
            <w:tcBorders>
              <w:left w:val="single" w:sz="4" w:space="0" w:color="548DD4" w:themeColor="text2" w:themeTint="99"/>
            </w:tcBorders>
          </w:tcPr>
          <w:p w:rsidR="00FC0F41" w:rsidRPr="00975E6B" w:rsidRDefault="00FC0F41" w:rsidP="00B11E5B">
            <w:pPr>
              <w:pStyle w:val="BodyText"/>
            </w:pPr>
            <w:r w:rsidRPr="00975E6B">
              <w:t xml:space="preserve">The GL amount of $619.5 million represents the total for </w:t>
            </w:r>
            <w:r w:rsidR="001044F3" w:rsidRPr="00975E6B">
              <w:t>St Vincent’s</w:t>
            </w:r>
            <w:r w:rsidRPr="00975E6B">
              <w:t xml:space="preserve"> and reconciles to the F1 (the financial reporting tool used by hospitals to submit financial data to </w:t>
            </w:r>
            <w:r w:rsidR="00B64F77" w:rsidRPr="00975E6B">
              <w:t>Victoria</w:t>
            </w:r>
            <w:r w:rsidR="00B11E5B" w:rsidRPr="00975E6B">
              <w:t xml:space="preserve"> Health</w:t>
            </w:r>
            <w:r w:rsidRPr="00975E6B">
              <w:t>).</w:t>
            </w:r>
          </w:p>
        </w:tc>
      </w:tr>
      <w:tr w:rsidR="00FC0F41" w:rsidRPr="00975E6B" w:rsidTr="00C70986">
        <w:tc>
          <w:tcPr>
            <w:tcW w:w="414" w:type="pct"/>
            <w:tcBorders>
              <w:right w:val="single" w:sz="4" w:space="0" w:color="548DD4" w:themeColor="text2" w:themeTint="99"/>
            </w:tcBorders>
            <w:noWrap/>
          </w:tcPr>
          <w:p w:rsidR="00FC0F41" w:rsidRPr="00975E6B" w:rsidRDefault="00FC0F41" w:rsidP="00C70986">
            <w:pPr>
              <w:pStyle w:val="BodyText"/>
            </w:pPr>
            <w:r w:rsidRPr="00975E6B">
              <w:t>B</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Adjustments to the GL</w:t>
            </w:r>
          </w:p>
        </w:tc>
        <w:tc>
          <w:tcPr>
            <w:tcW w:w="3083" w:type="pct"/>
            <w:tcBorders>
              <w:left w:val="single" w:sz="4" w:space="0" w:color="548DD4" w:themeColor="text2" w:themeTint="99"/>
            </w:tcBorders>
          </w:tcPr>
          <w:p w:rsidR="00FC0F41" w:rsidRPr="00975E6B" w:rsidRDefault="00FC0F41" w:rsidP="00C70986">
            <w:pPr>
              <w:pStyle w:val="BodyText"/>
            </w:pPr>
            <w:r w:rsidRPr="00975E6B">
              <w:t>A number of adjustments are made to the GL.</w:t>
            </w:r>
          </w:p>
          <w:p w:rsidR="00FC0F41" w:rsidRPr="00975E6B" w:rsidRDefault="00FC0F41" w:rsidP="00C70986">
            <w:pPr>
              <w:pStyle w:val="BodyText"/>
            </w:pPr>
            <w:r w:rsidRPr="00975E6B">
              <w:t>Expenditure items totalled $10.6 million and related to:</w:t>
            </w:r>
          </w:p>
          <w:p w:rsidR="00FC0F41" w:rsidRPr="00975E6B" w:rsidRDefault="00FC0F41" w:rsidP="00F26328">
            <w:pPr>
              <w:pStyle w:val="BodyText"/>
              <w:numPr>
                <w:ilvl w:val="0"/>
                <w:numId w:val="52"/>
              </w:numPr>
            </w:pPr>
            <w:r w:rsidRPr="00975E6B">
              <w:t>$10.1 million National Blood Allocation (allocated to patients).</w:t>
            </w:r>
          </w:p>
          <w:p w:rsidR="00FC0F41" w:rsidRPr="00975E6B" w:rsidRDefault="00FC0F41" w:rsidP="00F26328">
            <w:pPr>
              <w:pStyle w:val="BodyText"/>
              <w:numPr>
                <w:ilvl w:val="0"/>
                <w:numId w:val="52"/>
              </w:numPr>
            </w:pPr>
            <w:r w:rsidRPr="00975E6B">
              <w:t>$</w:t>
            </w:r>
            <w:r w:rsidR="00E82391" w:rsidRPr="00975E6B">
              <w:t>451,788</w:t>
            </w:r>
            <w:r w:rsidRPr="00975E6B">
              <w:t xml:space="preserve"> Health purchasing Victoria (allocated to the health service based on its share of the total acute health care budget).</w:t>
            </w:r>
          </w:p>
          <w:p w:rsidR="00FC0F41" w:rsidRPr="00975E6B" w:rsidRDefault="00FC0F41" w:rsidP="00C70986">
            <w:pPr>
              <w:pStyle w:val="BodyText"/>
            </w:pPr>
            <w:r w:rsidRPr="00975E6B">
              <w:t>We note that Depreciation and Amortisation is also excluded for patient costing purposes, however, it is done so in reporting for the F1. That is the GL amount in Item A is exclusive of depreciation and amortisation</w:t>
            </w:r>
            <w:r w:rsidR="00C50DA9" w:rsidRPr="00975E6B">
              <w:t xml:space="preserve">. </w:t>
            </w:r>
          </w:p>
          <w:p w:rsidR="00FC0F41" w:rsidRPr="00975E6B" w:rsidRDefault="00FC0F41" w:rsidP="003B3E8B">
            <w:pPr>
              <w:pStyle w:val="BodyText"/>
            </w:pPr>
            <w:r w:rsidRPr="00975E6B">
              <w:t>These adjustments established an expenditure base for costing of $630.1 million for St Vincent’s. This was approximately 102</w:t>
            </w:r>
            <w:r w:rsidR="00DA7807" w:rsidRPr="00975E6B">
              <w:t> percent</w:t>
            </w:r>
            <w:r w:rsidRPr="00975E6B">
              <w:t xml:space="preserve"> of total expenditure reported in the GL.</w:t>
            </w:r>
          </w:p>
        </w:tc>
      </w:tr>
      <w:tr w:rsidR="00FC0F41" w:rsidRPr="00975E6B" w:rsidTr="00C70986">
        <w:tc>
          <w:tcPr>
            <w:tcW w:w="414" w:type="pct"/>
            <w:tcBorders>
              <w:right w:val="single" w:sz="4" w:space="0" w:color="548DD4" w:themeColor="text2" w:themeTint="99"/>
            </w:tcBorders>
            <w:noWrap/>
          </w:tcPr>
          <w:p w:rsidR="00FC0F41" w:rsidRPr="00975E6B" w:rsidRDefault="00FC0F41" w:rsidP="00C70986">
            <w:pPr>
              <w:pStyle w:val="BodyText"/>
            </w:pPr>
            <w:r w:rsidRPr="00975E6B">
              <w:t>C</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Allocation of Costs</w:t>
            </w:r>
          </w:p>
        </w:tc>
        <w:tc>
          <w:tcPr>
            <w:tcW w:w="3083" w:type="pct"/>
            <w:tcBorders>
              <w:left w:val="single" w:sz="4" w:space="0" w:color="548DD4" w:themeColor="text2" w:themeTint="99"/>
            </w:tcBorders>
          </w:tcPr>
          <w:p w:rsidR="00FC0F41" w:rsidRPr="00975E6B" w:rsidRDefault="00FC0F41" w:rsidP="00C70986">
            <w:pPr>
              <w:pStyle w:val="BodyText"/>
            </w:pPr>
            <w:r w:rsidRPr="00975E6B">
              <w:t>Once the adjustments are applied, costs are allocated to patients.</w:t>
            </w:r>
          </w:p>
          <w:p w:rsidR="00FC0F41" w:rsidRPr="00975E6B" w:rsidRDefault="00FC0F41" w:rsidP="00F26328">
            <w:pPr>
              <w:pStyle w:val="BodyText"/>
              <w:numPr>
                <w:ilvl w:val="0"/>
                <w:numId w:val="38"/>
              </w:numPr>
            </w:pPr>
            <w:r w:rsidRPr="00975E6B">
              <w:t>The template demonstrated that the total of all direct cost centres of $534.2 million was allocated post allocation.</w:t>
            </w:r>
          </w:p>
          <w:p w:rsidR="00FC0F41" w:rsidRPr="00975E6B" w:rsidRDefault="00FC0F41" w:rsidP="00F26328">
            <w:pPr>
              <w:pStyle w:val="BodyText"/>
              <w:numPr>
                <w:ilvl w:val="0"/>
                <w:numId w:val="38"/>
              </w:numPr>
            </w:pPr>
            <w:r w:rsidRPr="00975E6B">
              <w:t>The template demonstrated that overheads of $95.9 million were allocated down to direct cost centres, post allocation.</w:t>
            </w:r>
          </w:p>
        </w:tc>
      </w:tr>
      <w:tr w:rsidR="00FC0F41" w:rsidRPr="00975E6B" w:rsidTr="00C70986">
        <w:tc>
          <w:tcPr>
            <w:tcW w:w="414" w:type="pct"/>
            <w:tcBorders>
              <w:right w:val="single" w:sz="4" w:space="0" w:color="548DD4" w:themeColor="text2" w:themeTint="99"/>
            </w:tcBorders>
            <w:noWrap/>
          </w:tcPr>
          <w:p w:rsidR="00FC0F41" w:rsidRPr="00975E6B" w:rsidRDefault="00FC0F41" w:rsidP="00C70986">
            <w:pPr>
              <w:pStyle w:val="BodyText"/>
            </w:pPr>
            <w:r w:rsidRPr="00975E6B">
              <w:t>D</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Post Allocation Adjustments</w:t>
            </w:r>
          </w:p>
        </w:tc>
        <w:tc>
          <w:tcPr>
            <w:tcW w:w="3083" w:type="pct"/>
            <w:tcBorders>
              <w:left w:val="single" w:sz="4" w:space="0" w:color="548DD4" w:themeColor="text2" w:themeTint="99"/>
            </w:tcBorders>
          </w:tcPr>
          <w:p w:rsidR="00FC0F41" w:rsidRPr="00975E6B" w:rsidRDefault="00FC0F41" w:rsidP="00C70986">
            <w:pPr>
              <w:pStyle w:val="BodyText"/>
            </w:pPr>
            <w:r w:rsidRPr="00975E6B">
              <w:t xml:space="preserve">A range of costs were excluded after the allocation of costs in Item C. The amounts excluded include: </w:t>
            </w:r>
          </w:p>
          <w:p w:rsidR="00FC0F41" w:rsidRPr="00975E6B" w:rsidRDefault="00FC0F41" w:rsidP="00F26328">
            <w:pPr>
              <w:pStyle w:val="BodyText"/>
              <w:numPr>
                <w:ilvl w:val="0"/>
                <w:numId w:val="38"/>
              </w:numPr>
            </w:pPr>
            <w:r w:rsidRPr="00975E6B">
              <w:t>Current WIP excluded - $23.8 million (2013/14 costs for patients not discharged at 30 June 2014)</w:t>
            </w:r>
          </w:p>
          <w:p w:rsidR="00FC0F41" w:rsidRPr="00975E6B" w:rsidRDefault="00FC0F41" w:rsidP="00F26328">
            <w:pPr>
              <w:pStyle w:val="BodyText"/>
              <w:numPr>
                <w:ilvl w:val="0"/>
                <w:numId w:val="38"/>
              </w:numPr>
            </w:pPr>
            <w:r w:rsidRPr="00975E6B">
              <w:t>WIP from 2012/13 included - $14.3 million.</w:t>
            </w:r>
          </w:p>
          <w:p w:rsidR="00FC0F41" w:rsidRPr="00975E6B" w:rsidRDefault="00FC0F41">
            <w:pPr>
              <w:pStyle w:val="BodyText"/>
              <w:rPr>
                <w:i/>
              </w:rPr>
            </w:pPr>
            <w:r w:rsidRPr="00975E6B">
              <w:t xml:space="preserve">The total expenditure allocated to patients was </w:t>
            </w:r>
            <w:r w:rsidRPr="00975E6B">
              <w:lastRenderedPageBreak/>
              <w:t xml:space="preserve">$620.6 million. As this amount includes prior year costs (i.e. WIP 2012/13), no percentage of the GL </w:t>
            </w:r>
            <w:r w:rsidR="0074117C" w:rsidRPr="00975E6B">
              <w:t xml:space="preserve">was </w:t>
            </w:r>
            <w:r w:rsidRPr="00975E6B">
              <w:t>calculated.</w:t>
            </w:r>
          </w:p>
        </w:tc>
      </w:tr>
      <w:tr w:rsidR="00FC0F41" w:rsidRPr="00975E6B" w:rsidTr="00C70986">
        <w:tc>
          <w:tcPr>
            <w:tcW w:w="414" w:type="pct"/>
            <w:tcBorders>
              <w:right w:val="single" w:sz="4" w:space="0" w:color="548DD4" w:themeColor="text2" w:themeTint="99"/>
            </w:tcBorders>
            <w:noWrap/>
          </w:tcPr>
          <w:p w:rsidR="00FC0F41" w:rsidRPr="00975E6B" w:rsidRDefault="00FC0F41" w:rsidP="00C70986">
            <w:pPr>
              <w:pStyle w:val="BodyText"/>
            </w:pPr>
            <w:r w:rsidRPr="00975E6B">
              <w:lastRenderedPageBreak/>
              <w:t>E</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Costed Products Submitted to jurisdiction</w:t>
            </w:r>
          </w:p>
        </w:tc>
        <w:tc>
          <w:tcPr>
            <w:tcW w:w="3083" w:type="pct"/>
            <w:tcBorders>
              <w:left w:val="single" w:sz="4" w:space="0" w:color="548DD4" w:themeColor="text2" w:themeTint="99"/>
            </w:tcBorders>
          </w:tcPr>
          <w:p w:rsidR="00FC0F41" w:rsidRPr="00975E6B" w:rsidRDefault="00FC0F41">
            <w:pPr>
              <w:pStyle w:val="BodyText"/>
            </w:pPr>
            <w:r w:rsidRPr="00975E6B">
              <w:t xml:space="preserve">Costs derived by the hospital and reported at product level are equal to $620.8 million. </w:t>
            </w:r>
            <w:r w:rsidR="001044F3" w:rsidRPr="00975E6B">
              <w:t>St Vincent’s</w:t>
            </w:r>
            <w:r w:rsidRPr="00975E6B">
              <w:t xml:space="preserve"> submitted </w:t>
            </w:r>
            <w:r w:rsidR="008E6DA4" w:rsidRPr="00975E6B">
              <w:t>acute</w:t>
            </w:r>
            <w:r w:rsidRPr="00975E6B">
              <w:t xml:space="preserve">, </w:t>
            </w:r>
            <w:r w:rsidR="008E6DA4" w:rsidRPr="00975E6B">
              <w:t>non</w:t>
            </w:r>
            <w:r w:rsidR="00366F39" w:rsidRPr="00975E6B">
              <w:t>-</w:t>
            </w:r>
            <w:r w:rsidR="001E2D16" w:rsidRPr="00975E6B">
              <w:t>admitted,</w:t>
            </w:r>
            <w:r w:rsidRPr="00975E6B">
              <w:t xml:space="preserve"> </w:t>
            </w:r>
            <w:r w:rsidR="008E6DA4" w:rsidRPr="00975E6B">
              <w:t>emergency</w:t>
            </w:r>
            <w:r w:rsidRPr="00975E6B">
              <w:t xml:space="preserve">, </w:t>
            </w:r>
            <w:r w:rsidR="008E6DA4" w:rsidRPr="00975E6B">
              <w:t xml:space="preserve">mental </w:t>
            </w:r>
            <w:r w:rsidRPr="00975E6B">
              <w:t xml:space="preserve">health, </w:t>
            </w:r>
            <w:r w:rsidR="002A25A7" w:rsidRPr="00975E6B">
              <w:t>subacute</w:t>
            </w:r>
            <w:r w:rsidRPr="00975E6B">
              <w:t xml:space="preserve"> and </w:t>
            </w:r>
            <w:r w:rsidR="008E6DA4" w:rsidRPr="00975E6B">
              <w:t xml:space="preserve">other </w:t>
            </w:r>
            <w:r w:rsidRPr="00975E6B">
              <w:t>costed products. A variance of $</w:t>
            </w:r>
            <w:r w:rsidR="008E6DA4" w:rsidRPr="00975E6B">
              <w:t>158,865</w:t>
            </w:r>
            <w:r w:rsidRPr="00975E6B">
              <w:t xml:space="preserve"> was noted between Items D and E</w:t>
            </w:r>
            <w:r w:rsidR="00C50DA9" w:rsidRPr="00975E6B">
              <w:t xml:space="preserve">. </w:t>
            </w:r>
            <w:r w:rsidRPr="00975E6B">
              <w:t>This related to a timing issue and file being overwritten</w:t>
            </w:r>
            <w:r w:rsidR="00C50DA9" w:rsidRPr="00975E6B">
              <w:t xml:space="preserve">. </w:t>
            </w:r>
          </w:p>
        </w:tc>
      </w:tr>
      <w:tr w:rsidR="00FC0F41" w:rsidRPr="00975E6B" w:rsidTr="00C70986">
        <w:trPr>
          <w:trHeight w:val="285"/>
        </w:trPr>
        <w:tc>
          <w:tcPr>
            <w:tcW w:w="414" w:type="pct"/>
            <w:tcBorders>
              <w:right w:val="single" w:sz="4" w:space="0" w:color="548DD4" w:themeColor="text2" w:themeTint="99"/>
            </w:tcBorders>
            <w:noWrap/>
          </w:tcPr>
          <w:p w:rsidR="00FC0F41" w:rsidRPr="00975E6B" w:rsidRDefault="00FC0F41" w:rsidP="00C70986">
            <w:pPr>
              <w:pStyle w:val="BodyText"/>
            </w:pPr>
            <w:r w:rsidRPr="00975E6B">
              <w:t>F</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Costed Products received by jurisdiction</w:t>
            </w:r>
          </w:p>
        </w:tc>
        <w:tc>
          <w:tcPr>
            <w:tcW w:w="3083" w:type="pct"/>
            <w:tcBorders>
              <w:left w:val="single" w:sz="4" w:space="0" w:color="548DD4" w:themeColor="text2" w:themeTint="99"/>
            </w:tcBorders>
          </w:tcPr>
          <w:p w:rsidR="00FC0F41" w:rsidRPr="00975E6B" w:rsidRDefault="00FC0F41">
            <w:pPr>
              <w:pStyle w:val="BodyText"/>
            </w:pPr>
            <w:r w:rsidRPr="00975E6B">
              <w:t>A variance was noted between Items E and F of $</w:t>
            </w:r>
            <w:r w:rsidR="00EE6A00" w:rsidRPr="00975E6B">
              <w:t>158</w:t>
            </w:r>
            <w:r w:rsidR="001C4346" w:rsidRPr="00975E6B">
              <w:t xml:space="preserve">, </w:t>
            </w:r>
            <w:r w:rsidR="008E6DA4" w:rsidRPr="00975E6B">
              <w:t xml:space="preserve">865 </w:t>
            </w:r>
            <w:r w:rsidRPr="00975E6B">
              <w:t>and relates to the variance identified in Item E. The costed products received by the jurisdiction in Item F reconciles to Item D</w:t>
            </w:r>
          </w:p>
        </w:tc>
      </w:tr>
      <w:tr w:rsidR="00FC0F41" w:rsidRPr="00975E6B" w:rsidTr="00C70986">
        <w:tc>
          <w:tcPr>
            <w:tcW w:w="414" w:type="pct"/>
            <w:tcBorders>
              <w:right w:val="single" w:sz="4" w:space="0" w:color="548DD4" w:themeColor="text2" w:themeTint="99"/>
            </w:tcBorders>
            <w:noWrap/>
          </w:tcPr>
          <w:p w:rsidR="00FC0F41" w:rsidRPr="00975E6B" w:rsidRDefault="00FC0F41" w:rsidP="00C70986">
            <w:pPr>
              <w:pStyle w:val="BodyText"/>
            </w:pPr>
            <w:r w:rsidRPr="00975E6B">
              <w:t>G</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Final Adjustments</w:t>
            </w:r>
          </w:p>
        </w:tc>
        <w:tc>
          <w:tcPr>
            <w:tcW w:w="3083" w:type="pct"/>
            <w:tcBorders>
              <w:left w:val="single" w:sz="4" w:space="0" w:color="548DD4" w:themeColor="text2" w:themeTint="99"/>
            </w:tcBorders>
          </w:tcPr>
          <w:p w:rsidR="00FC0F41" w:rsidRPr="00975E6B" w:rsidRDefault="00B64F77" w:rsidP="00C70986">
            <w:pPr>
              <w:pStyle w:val="BodyText"/>
            </w:pPr>
            <w:r w:rsidRPr="00975E6B">
              <w:t>Victoria</w:t>
            </w:r>
            <w:r w:rsidR="00FC0F41" w:rsidRPr="00975E6B">
              <w:t>-DHHS made a number of adjustments to the hospital submission. The adjustments made for Round 18 totalled $235.5 million and included:</w:t>
            </w:r>
          </w:p>
          <w:p w:rsidR="00FC0F41" w:rsidRPr="00975E6B" w:rsidRDefault="00FC0F41" w:rsidP="00F26328">
            <w:pPr>
              <w:pStyle w:val="BodyText"/>
              <w:numPr>
                <w:ilvl w:val="0"/>
                <w:numId w:val="45"/>
              </w:numPr>
            </w:pPr>
            <w:r w:rsidRPr="00975E6B">
              <w:t>Records that failed the validation tests and could not be linked to the VCDC dataset totalling $13.9 million were excluded.</w:t>
            </w:r>
          </w:p>
          <w:p w:rsidR="00FC0F41" w:rsidRPr="00975E6B" w:rsidRDefault="00FC0F41" w:rsidP="00F26328">
            <w:pPr>
              <w:pStyle w:val="BodyText"/>
              <w:numPr>
                <w:ilvl w:val="0"/>
                <w:numId w:val="45"/>
              </w:numPr>
            </w:pPr>
            <w:r w:rsidRPr="00975E6B">
              <w:t>Records that were not mappable to the National Health Reform Agreement in scope Tier 2 clinics totalling $221.6 million were excluded.</w:t>
            </w:r>
          </w:p>
          <w:p w:rsidR="00FC0F41" w:rsidRPr="00975E6B" w:rsidRDefault="00FC0F41" w:rsidP="00AE5BD0">
            <w:pPr>
              <w:pStyle w:val="BodyText"/>
            </w:pPr>
            <w:r w:rsidRPr="00975E6B">
              <w:t xml:space="preserve">The total NHCDC costs submitted to IHPA by </w:t>
            </w:r>
            <w:r w:rsidR="00B64F77" w:rsidRPr="00975E6B">
              <w:t>Victoria</w:t>
            </w:r>
            <w:r w:rsidR="00EE6A00" w:rsidRPr="00975E6B">
              <w:t xml:space="preserve"> Health</w:t>
            </w:r>
            <w:r w:rsidRPr="00975E6B">
              <w:t xml:space="preserve"> was $385.2 million. We note </w:t>
            </w:r>
            <w:r w:rsidR="00EE6A00" w:rsidRPr="00975E6B">
              <w:t xml:space="preserve">a variance of </w:t>
            </w:r>
            <w:r w:rsidRPr="00975E6B">
              <w:t>$</w:t>
            </w:r>
            <w:r w:rsidR="00EE6A00" w:rsidRPr="00975E6B">
              <w:t>158,865</w:t>
            </w:r>
            <w:r w:rsidRPr="00975E6B">
              <w:t xml:space="preserve"> between Item F and G. It relates to the variance identified at Item E and F.</w:t>
            </w:r>
          </w:p>
        </w:tc>
      </w:tr>
      <w:tr w:rsidR="00FC0F41" w:rsidRPr="00975E6B" w:rsidTr="00C70986">
        <w:tc>
          <w:tcPr>
            <w:tcW w:w="414" w:type="pct"/>
            <w:tcBorders>
              <w:right w:val="single" w:sz="4" w:space="0" w:color="548DD4" w:themeColor="text2" w:themeTint="99"/>
            </w:tcBorders>
            <w:noWrap/>
          </w:tcPr>
          <w:p w:rsidR="00FC0F41" w:rsidRPr="00975E6B" w:rsidRDefault="00FC0F41" w:rsidP="00C70986">
            <w:pPr>
              <w:pStyle w:val="BodyText"/>
            </w:pPr>
            <w:r w:rsidRPr="00975E6B">
              <w:t>H</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Costed products submitted to IHPA</w:t>
            </w:r>
          </w:p>
        </w:tc>
        <w:tc>
          <w:tcPr>
            <w:tcW w:w="3083" w:type="pct"/>
            <w:tcBorders>
              <w:left w:val="single" w:sz="4" w:space="0" w:color="548DD4" w:themeColor="text2" w:themeTint="99"/>
            </w:tcBorders>
          </w:tcPr>
          <w:p w:rsidR="00FC0F41" w:rsidRPr="00975E6B" w:rsidRDefault="00FC0F41">
            <w:pPr>
              <w:pStyle w:val="BodyText"/>
            </w:pPr>
            <w:r w:rsidRPr="00975E6B">
              <w:t xml:space="preserve">Costs derived by the jurisdiction and reported at product level were $385.2 million. </w:t>
            </w:r>
            <w:r w:rsidR="00B64F77" w:rsidRPr="00975E6B">
              <w:t>Victoria</w:t>
            </w:r>
            <w:r w:rsidR="00EE6A00" w:rsidRPr="00975E6B">
              <w:t xml:space="preserve"> Health</w:t>
            </w:r>
            <w:r w:rsidRPr="00975E6B">
              <w:t xml:space="preserve"> submitted </w:t>
            </w:r>
            <w:r w:rsidR="00EE6A00" w:rsidRPr="00975E6B">
              <w:t>a</w:t>
            </w:r>
            <w:r w:rsidRPr="00975E6B">
              <w:t xml:space="preserve">cute, </w:t>
            </w:r>
            <w:r w:rsidR="00366F39" w:rsidRPr="00975E6B">
              <w:t>non-admitted</w:t>
            </w:r>
            <w:r w:rsidRPr="00975E6B">
              <w:t xml:space="preserve">, </w:t>
            </w:r>
            <w:r w:rsidR="00EE6A00" w:rsidRPr="00975E6B">
              <w:t>e</w:t>
            </w:r>
            <w:r w:rsidRPr="00975E6B">
              <w:t xml:space="preserve">mergency, </w:t>
            </w:r>
            <w:r w:rsidR="001E2D16" w:rsidRPr="00975E6B">
              <w:t>subacute</w:t>
            </w:r>
            <w:r w:rsidRPr="00975E6B">
              <w:t xml:space="preserve"> and </w:t>
            </w:r>
            <w:r w:rsidR="00EE6A00" w:rsidRPr="00975E6B">
              <w:t>o</w:t>
            </w:r>
            <w:r w:rsidRPr="00975E6B">
              <w:t>ther costed products.</w:t>
            </w:r>
          </w:p>
        </w:tc>
      </w:tr>
      <w:tr w:rsidR="00FC0F41" w:rsidRPr="00975E6B" w:rsidTr="00C70986">
        <w:tc>
          <w:tcPr>
            <w:tcW w:w="414" w:type="pct"/>
            <w:tcBorders>
              <w:right w:val="single" w:sz="4" w:space="0" w:color="548DD4" w:themeColor="text2" w:themeTint="99"/>
            </w:tcBorders>
            <w:noWrap/>
          </w:tcPr>
          <w:p w:rsidR="00FC0F41" w:rsidRPr="00975E6B" w:rsidRDefault="00FC0F41" w:rsidP="00C70986">
            <w:pPr>
              <w:pStyle w:val="BodyText"/>
            </w:pPr>
            <w:r w:rsidRPr="00975E6B">
              <w:t>I</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Total costed products received by IHPA</w:t>
            </w:r>
          </w:p>
        </w:tc>
        <w:tc>
          <w:tcPr>
            <w:tcW w:w="3083" w:type="pct"/>
            <w:tcBorders>
              <w:left w:val="single" w:sz="4" w:space="0" w:color="548DD4" w:themeColor="text2" w:themeTint="99"/>
            </w:tcBorders>
          </w:tcPr>
          <w:p w:rsidR="00FC0F41" w:rsidRPr="00975E6B" w:rsidRDefault="00FC0F41" w:rsidP="00C70986">
            <w:pPr>
              <w:pStyle w:val="BodyText"/>
            </w:pPr>
            <w:r w:rsidRPr="00975E6B">
              <w:t>Costs received by IHPA totalled $385.2 million. We note no variance between Item H and Item I.</w:t>
            </w:r>
          </w:p>
        </w:tc>
      </w:tr>
      <w:tr w:rsidR="00FC0F41" w:rsidRPr="00975E6B" w:rsidTr="00C70986">
        <w:tc>
          <w:tcPr>
            <w:tcW w:w="414" w:type="pct"/>
            <w:tcBorders>
              <w:right w:val="single" w:sz="4" w:space="0" w:color="548DD4" w:themeColor="text2" w:themeTint="99"/>
            </w:tcBorders>
            <w:noWrap/>
          </w:tcPr>
          <w:p w:rsidR="00FC0F41" w:rsidRPr="00975E6B" w:rsidRDefault="00FC0F41" w:rsidP="00C70986">
            <w:pPr>
              <w:pStyle w:val="BodyText"/>
            </w:pPr>
            <w:r w:rsidRPr="00975E6B">
              <w:t>J</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IHPA Adjustments</w:t>
            </w:r>
          </w:p>
        </w:tc>
        <w:tc>
          <w:tcPr>
            <w:tcW w:w="3083" w:type="pct"/>
            <w:tcBorders>
              <w:left w:val="single" w:sz="4" w:space="0" w:color="548DD4" w:themeColor="text2" w:themeTint="99"/>
            </w:tcBorders>
          </w:tcPr>
          <w:p w:rsidR="00FC0F41" w:rsidRPr="00975E6B" w:rsidRDefault="00FC0F41" w:rsidP="00C70986">
            <w:pPr>
              <w:pStyle w:val="BodyText"/>
              <w:rPr>
                <w:i/>
              </w:rPr>
            </w:pPr>
            <w:r w:rsidRPr="00975E6B">
              <w:rPr>
                <w:i/>
              </w:rPr>
              <w:t>Admitted Emergency</w:t>
            </w:r>
          </w:p>
          <w:p w:rsidR="00FC0F41" w:rsidRPr="00975E6B" w:rsidRDefault="00FC0F41">
            <w:pPr>
              <w:pStyle w:val="BodyText"/>
            </w:pPr>
            <w:r w:rsidRPr="00975E6B">
              <w:t xml:space="preserve">Upon receipt of cost data, IHPA allocates the admitted emergency costs back to admitted patients for the purposes of reporting and analysis. Within IHPA’s reconciliation, this amount </w:t>
            </w:r>
            <w:r w:rsidR="0074117C" w:rsidRPr="00975E6B">
              <w:t xml:space="preserve">was </w:t>
            </w:r>
            <w:r w:rsidRPr="00975E6B">
              <w:t xml:space="preserve">a duplication of admitted emergency costs and not an additional cost. For </w:t>
            </w:r>
            <w:r w:rsidRPr="00975E6B">
              <w:lastRenderedPageBreak/>
              <w:t>St Vincent’s this amounted to $14.9 million.</w:t>
            </w:r>
          </w:p>
        </w:tc>
      </w:tr>
      <w:tr w:rsidR="00FC0F41" w:rsidRPr="00975E6B" w:rsidTr="00C70986">
        <w:tc>
          <w:tcPr>
            <w:tcW w:w="414" w:type="pct"/>
            <w:tcBorders>
              <w:right w:val="single" w:sz="4" w:space="0" w:color="548DD4" w:themeColor="text2" w:themeTint="99"/>
            </w:tcBorders>
            <w:noWrap/>
          </w:tcPr>
          <w:p w:rsidR="00FC0F41" w:rsidRPr="00975E6B" w:rsidRDefault="00FC0F41" w:rsidP="00C70986">
            <w:pPr>
              <w:pStyle w:val="BodyText"/>
            </w:pPr>
            <w:r w:rsidRPr="00975E6B">
              <w:lastRenderedPageBreak/>
              <w:t>K</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Final NHCDC costed products</w:t>
            </w:r>
          </w:p>
        </w:tc>
        <w:tc>
          <w:tcPr>
            <w:tcW w:w="3083" w:type="pct"/>
            <w:tcBorders>
              <w:left w:val="single" w:sz="4" w:space="0" w:color="548DD4" w:themeColor="text2" w:themeTint="99"/>
            </w:tcBorders>
          </w:tcPr>
          <w:p w:rsidR="00FC0F41" w:rsidRPr="00975E6B" w:rsidRDefault="00FC0F41">
            <w:pPr>
              <w:pStyle w:val="BodyText"/>
            </w:pPr>
            <w:r w:rsidRPr="00975E6B">
              <w:t xml:space="preserve">The final NHCDC costed data for St Vincent’s loaded into the </w:t>
            </w:r>
            <w:r w:rsidR="00EE6A00" w:rsidRPr="00975E6B">
              <w:t xml:space="preserve">NHCDC </w:t>
            </w:r>
            <w:r w:rsidRPr="00975E6B">
              <w:t>Round 18 cost data set was $400.1</w:t>
            </w:r>
            <w:r w:rsidR="00EE6A00" w:rsidRPr="00975E6B">
              <w:t> </w:t>
            </w:r>
            <w:r w:rsidRPr="00975E6B">
              <w:t>million, which includes the admitted emergency cost of $14.9</w:t>
            </w:r>
            <w:r w:rsidR="002067EB" w:rsidRPr="00975E6B">
              <w:t> </w:t>
            </w:r>
            <w:r w:rsidRPr="00975E6B">
              <w:t>million.</w:t>
            </w:r>
          </w:p>
        </w:tc>
      </w:tr>
    </w:tbl>
    <w:p w:rsidR="00FC0F41" w:rsidRPr="00975E6B" w:rsidRDefault="00F034D9" w:rsidP="00FC0F41">
      <w:pPr>
        <w:pStyle w:val="FootnoteText"/>
        <w:rPr>
          <w:bCs/>
          <w:i/>
          <w:sz w:val="16"/>
          <w:szCs w:val="16"/>
        </w:rPr>
      </w:pPr>
      <w:r w:rsidRPr="00975E6B">
        <w:rPr>
          <w:bCs/>
          <w:i/>
          <w:sz w:val="16"/>
          <w:szCs w:val="16"/>
        </w:rPr>
        <w:t>Source: KPMG, based on St Vincent’s templates and review discussions</w:t>
      </w:r>
    </w:p>
    <w:p w:rsidR="00FC0F41" w:rsidRPr="00975E6B" w:rsidRDefault="00FC0F41" w:rsidP="003B387A">
      <w:pPr>
        <w:pStyle w:val="Heading3"/>
        <w:numPr>
          <w:ilvl w:val="2"/>
          <w:numId w:val="77"/>
        </w:numPr>
      </w:pPr>
      <w:r w:rsidRPr="003B387A">
        <w:t>Activity</w:t>
      </w:r>
      <w:r w:rsidRPr="00975E6B">
        <w:t xml:space="preserve"> data</w:t>
      </w:r>
    </w:p>
    <w:p w:rsidR="00FC0F41" w:rsidRPr="00975E6B" w:rsidRDefault="00C61E2B" w:rsidP="00FC0F41">
      <w:pPr>
        <w:pStyle w:val="BodyText"/>
      </w:pPr>
      <w:r w:rsidRPr="00975E6B">
        <w:fldChar w:fldCharType="begin"/>
      </w:r>
      <w:r w:rsidRPr="00975E6B">
        <w:instrText xml:space="preserve"> REF _Ref434265393 \h </w:instrText>
      </w:r>
      <w:r w:rsidR="00975E6B">
        <w:instrText xml:space="preserve"> \* MERGEFORMAT </w:instrText>
      </w:r>
      <w:r w:rsidRPr="00975E6B">
        <w:fldChar w:fldCharType="separate"/>
      </w:r>
      <w:r w:rsidR="00154CF7" w:rsidRPr="00975E6B">
        <w:t xml:space="preserve">Table </w:t>
      </w:r>
      <w:r w:rsidR="00154CF7" w:rsidRPr="00154CF7">
        <w:t>81</w:t>
      </w:r>
      <w:r w:rsidRPr="00975E6B">
        <w:fldChar w:fldCharType="end"/>
      </w:r>
      <w:r w:rsidRPr="00975E6B">
        <w:t xml:space="preserve"> </w:t>
      </w:r>
      <w:r w:rsidR="00FC0F41" w:rsidRPr="00975E6B">
        <w:t>presents activity and feeder data for St Vincent’s Hospital.</w:t>
      </w:r>
    </w:p>
    <w:p w:rsidR="00FE6FE7" w:rsidRPr="00975E6B" w:rsidRDefault="00FC0F41" w:rsidP="00CD1518">
      <w:pPr>
        <w:pStyle w:val="Caption"/>
      </w:pPr>
      <w:bookmarkStart w:id="810" w:name="_Ref434265393"/>
      <w:r w:rsidRPr="00975E6B">
        <w:t xml:space="preserve">Table </w:t>
      </w:r>
      <w:r w:rsidR="003E3288" w:rsidRPr="00274CCD">
        <w:rPr>
          <w:bCs w:val="0"/>
        </w:rPr>
        <w:fldChar w:fldCharType="begin"/>
      </w:r>
      <w:r w:rsidR="003E3288" w:rsidRPr="00274CCD">
        <w:rPr>
          <w:bCs w:val="0"/>
        </w:rPr>
        <w:instrText xml:space="preserve"> SEQ Table \* ARABIC </w:instrText>
      </w:r>
      <w:r w:rsidR="003E3288" w:rsidRPr="00274CCD">
        <w:rPr>
          <w:bCs w:val="0"/>
        </w:rPr>
        <w:fldChar w:fldCharType="separate"/>
      </w:r>
      <w:r w:rsidR="00154CF7">
        <w:rPr>
          <w:bCs w:val="0"/>
          <w:noProof/>
        </w:rPr>
        <w:t>81</w:t>
      </w:r>
      <w:r w:rsidR="003E3288" w:rsidRPr="00274CCD">
        <w:rPr>
          <w:bCs w:val="0"/>
          <w:noProof/>
        </w:rPr>
        <w:fldChar w:fldCharType="end"/>
      </w:r>
      <w:bookmarkEnd w:id="810"/>
      <w:r w:rsidR="00BA3F4B" w:rsidRPr="00274CCD">
        <w:t xml:space="preserve"> </w:t>
      </w:r>
      <w:r w:rsidRPr="00274CCD">
        <w:t>–</w:t>
      </w:r>
      <w:r w:rsidRPr="00975E6B">
        <w:t xml:space="preserve"> Activity data – St Vincent’s Hospital</w:t>
      </w:r>
    </w:p>
    <w:tbl>
      <w:tblPr>
        <w:tblW w:w="5101" w:type="pct"/>
        <w:tblLayout w:type="fixed"/>
        <w:tblLook w:val="04A0" w:firstRow="1" w:lastRow="0" w:firstColumn="1" w:lastColumn="0" w:noHBand="0" w:noVBand="1"/>
        <w:tblCaption w:val="Table 81 - Activity data - St Vincent's Hospital"/>
        <w:tblDescription w:val="This table presents activity and feeder data for St Vincent's Hospital.  There are 11 columns.  Column 1 is the Data source, Column 2 is the number of records from source, Column 3 is the number of records in costing system, Column 4 is the variance between Column 2 and 3, Column 5 is the number of records linked to acute, column 6 is the number of records linked to emergency, Column 7 is the number of records linked to non-admitted, column 8 is the total linked records, column 9 is the number linked to other, column 10 is the number of unlinked records and column 11 is the % of linked to source."/>
      </w:tblPr>
      <w:tblGrid>
        <w:gridCol w:w="1384"/>
        <w:gridCol w:w="852"/>
        <w:gridCol w:w="851"/>
        <w:gridCol w:w="504"/>
        <w:gridCol w:w="733"/>
        <w:gridCol w:w="733"/>
        <w:gridCol w:w="733"/>
        <w:gridCol w:w="842"/>
        <w:gridCol w:w="706"/>
        <w:gridCol w:w="849"/>
        <w:gridCol w:w="710"/>
      </w:tblGrid>
      <w:tr w:rsidR="003E3288" w:rsidRPr="00FE6FE7" w:rsidTr="00E14378">
        <w:trPr>
          <w:cantSplit/>
          <w:trHeight w:val="818"/>
          <w:tblHeader/>
        </w:trPr>
        <w:tc>
          <w:tcPr>
            <w:tcW w:w="778" w:type="pct"/>
            <w:tcBorders>
              <w:top w:val="single" w:sz="4" w:space="0" w:color="5B9BD5"/>
              <w:left w:val="single" w:sz="4" w:space="0" w:color="5B9BD5"/>
              <w:bottom w:val="nil"/>
              <w:right w:val="nil"/>
            </w:tcBorders>
            <w:shd w:val="clear" w:color="auto" w:fill="002060"/>
            <w:vAlign w:val="bottom"/>
            <w:hideMark/>
          </w:tcPr>
          <w:p w:rsidR="00FE6FE7" w:rsidRPr="00CD1518" w:rsidRDefault="00FE6FE7" w:rsidP="00FE6FE7">
            <w:pPr>
              <w:spacing w:line="240" w:lineRule="auto"/>
              <w:rPr>
                <w:b/>
                <w:bCs/>
                <w:color w:val="FFFFFF"/>
                <w:sz w:val="12"/>
                <w:szCs w:val="12"/>
                <w:lang w:eastAsia="en-AU"/>
              </w:rPr>
            </w:pPr>
            <w:r w:rsidRPr="00CD1518">
              <w:rPr>
                <w:b/>
                <w:bCs/>
                <w:color w:val="FFFFFF"/>
                <w:sz w:val="12"/>
                <w:szCs w:val="12"/>
                <w:lang w:eastAsia="en-AU"/>
              </w:rPr>
              <w:t>Data</w:t>
            </w:r>
          </w:p>
        </w:tc>
        <w:tc>
          <w:tcPr>
            <w:tcW w:w="479" w:type="pct"/>
            <w:tcBorders>
              <w:top w:val="single" w:sz="4" w:space="0" w:color="5B9BD5"/>
              <w:left w:val="single" w:sz="4" w:space="0" w:color="5B9BD5"/>
              <w:bottom w:val="nil"/>
              <w:right w:val="single" w:sz="4" w:space="0" w:color="5B9BD5"/>
            </w:tcBorders>
            <w:shd w:val="clear" w:color="auto" w:fill="002060"/>
            <w:vAlign w:val="bottom"/>
            <w:hideMark/>
          </w:tcPr>
          <w:p w:rsidR="00FE6FE7" w:rsidRPr="00CD1518" w:rsidRDefault="00FE6FE7" w:rsidP="00FE6FE7">
            <w:pPr>
              <w:spacing w:line="240" w:lineRule="auto"/>
              <w:jc w:val="center"/>
              <w:rPr>
                <w:b/>
                <w:bCs/>
                <w:color w:val="FFFFFF"/>
                <w:sz w:val="12"/>
                <w:szCs w:val="12"/>
                <w:lang w:eastAsia="en-AU"/>
              </w:rPr>
            </w:pPr>
            <w:r w:rsidRPr="00CD1518">
              <w:rPr>
                <w:b/>
                <w:bCs/>
                <w:color w:val="FFFFFF"/>
                <w:sz w:val="12"/>
                <w:szCs w:val="12"/>
                <w:lang w:eastAsia="en-AU"/>
              </w:rPr>
              <w:t># Records from Source</w:t>
            </w:r>
          </w:p>
        </w:tc>
        <w:tc>
          <w:tcPr>
            <w:tcW w:w="478" w:type="pct"/>
            <w:tcBorders>
              <w:top w:val="single" w:sz="4" w:space="0" w:color="5B9BD5"/>
              <w:left w:val="nil"/>
              <w:bottom w:val="nil"/>
              <w:right w:val="nil"/>
            </w:tcBorders>
            <w:shd w:val="clear" w:color="auto" w:fill="002060"/>
            <w:vAlign w:val="bottom"/>
            <w:hideMark/>
          </w:tcPr>
          <w:p w:rsidR="00FE6FE7" w:rsidRPr="00CD1518" w:rsidRDefault="00FE6FE7" w:rsidP="00FE6FE7">
            <w:pPr>
              <w:spacing w:line="240" w:lineRule="auto"/>
              <w:jc w:val="center"/>
              <w:rPr>
                <w:b/>
                <w:bCs/>
                <w:color w:val="FFFFFF"/>
                <w:sz w:val="12"/>
                <w:szCs w:val="12"/>
                <w:lang w:eastAsia="en-AU"/>
              </w:rPr>
            </w:pPr>
            <w:r w:rsidRPr="00CD1518">
              <w:rPr>
                <w:b/>
                <w:bCs/>
                <w:color w:val="FFFFFF"/>
                <w:sz w:val="12"/>
                <w:szCs w:val="12"/>
                <w:lang w:eastAsia="en-AU"/>
              </w:rPr>
              <w:t># Records in costing system</w:t>
            </w:r>
          </w:p>
        </w:tc>
        <w:tc>
          <w:tcPr>
            <w:tcW w:w="283" w:type="pct"/>
            <w:tcBorders>
              <w:top w:val="single" w:sz="4" w:space="0" w:color="5B9BD5"/>
              <w:left w:val="single" w:sz="4" w:space="0" w:color="5B9BD5"/>
              <w:bottom w:val="nil"/>
              <w:right w:val="single" w:sz="4" w:space="0" w:color="5B9BD5"/>
            </w:tcBorders>
            <w:shd w:val="clear" w:color="auto" w:fill="002060"/>
            <w:textDirection w:val="btLr"/>
            <w:vAlign w:val="center"/>
            <w:hideMark/>
          </w:tcPr>
          <w:p w:rsidR="00FE6FE7" w:rsidRPr="00CD1518" w:rsidRDefault="00FE6FE7" w:rsidP="00CD1518">
            <w:pPr>
              <w:spacing w:line="240" w:lineRule="auto"/>
              <w:ind w:left="113" w:right="113"/>
              <w:rPr>
                <w:b/>
                <w:bCs/>
                <w:color w:val="FFFFFF"/>
                <w:sz w:val="12"/>
                <w:szCs w:val="12"/>
                <w:lang w:eastAsia="en-AU"/>
              </w:rPr>
            </w:pPr>
            <w:r w:rsidRPr="00CD1518">
              <w:rPr>
                <w:b/>
                <w:bCs/>
                <w:color w:val="FFFFFF"/>
                <w:sz w:val="12"/>
                <w:szCs w:val="12"/>
                <w:lang w:eastAsia="en-AU"/>
              </w:rPr>
              <w:t>Variance</w:t>
            </w:r>
          </w:p>
        </w:tc>
        <w:tc>
          <w:tcPr>
            <w:tcW w:w="412" w:type="pct"/>
            <w:tcBorders>
              <w:top w:val="single" w:sz="4" w:space="0" w:color="5B9BD5"/>
              <w:left w:val="nil"/>
              <w:bottom w:val="nil"/>
              <w:right w:val="nil"/>
            </w:tcBorders>
            <w:shd w:val="clear" w:color="auto" w:fill="002060"/>
            <w:vAlign w:val="bottom"/>
            <w:hideMark/>
          </w:tcPr>
          <w:p w:rsidR="00FE6FE7" w:rsidRPr="00CD1518" w:rsidRDefault="00FE6FE7" w:rsidP="00FE6FE7">
            <w:pPr>
              <w:spacing w:line="240" w:lineRule="auto"/>
              <w:jc w:val="center"/>
              <w:rPr>
                <w:b/>
                <w:bCs/>
                <w:color w:val="FFFFFF"/>
                <w:sz w:val="12"/>
                <w:szCs w:val="12"/>
                <w:lang w:eastAsia="en-AU"/>
              </w:rPr>
            </w:pPr>
            <w:r w:rsidRPr="00CD1518">
              <w:rPr>
                <w:b/>
                <w:bCs/>
                <w:color w:val="FFFFFF"/>
                <w:sz w:val="12"/>
                <w:szCs w:val="12"/>
                <w:lang w:eastAsia="en-AU"/>
              </w:rPr>
              <w:t># Records linked to Acute</w:t>
            </w:r>
          </w:p>
        </w:tc>
        <w:tc>
          <w:tcPr>
            <w:tcW w:w="412" w:type="pct"/>
            <w:tcBorders>
              <w:top w:val="single" w:sz="4" w:space="0" w:color="5B9BD5"/>
              <w:left w:val="single" w:sz="4" w:space="0" w:color="5B9BD5"/>
              <w:bottom w:val="nil"/>
              <w:right w:val="single" w:sz="4" w:space="0" w:color="5B9BD5"/>
            </w:tcBorders>
            <w:shd w:val="clear" w:color="auto" w:fill="002060"/>
            <w:vAlign w:val="bottom"/>
            <w:hideMark/>
          </w:tcPr>
          <w:p w:rsidR="00FE6FE7" w:rsidRPr="00CD1518" w:rsidRDefault="00FE6FE7">
            <w:pPr>
              <w:spacing w:line="240" w:lineRule="auto"/>
              <w:jc w:val="center"/>
              <w:rPr>
                <w:b/>
                <w:bCs/>
                <w:color w:val="FFFFFF"/>
                <w:sz w:val="12"/>
                <w:szCs w:val="12"/>
                <w:lang w:eastAsia="en-AU"/>
              </w:rPr>
            </w:pPr>
            <w:r w:rsidRPr="00CD1518">
              <w:rPr>
                <w:b/>
                <w:bCs/>
                <w:color w:val="FFFFFF"/>
                <w:sz w:val="12"/>
                <w:szCs w:val="12"/>
                <w:lang w:eastAsia="en-AU"/>
              </w:rPr>
              <w:t xml:space="preserve"># Records linked to </w:t>
            </w:r>
            <w:proofErr w:type="spellStart"/>
            <w:r w:rsidRPr="00CD1518">
              <w:rPr>
                <w:b/>
                <w:bCs/>
                <w:color w:val="FFFFFF"/>
                <w:sz w:val="12"/>
                <w:szCs w:val="12"/>
                <w:lang w:eastAsia="en-AU"/>
              </w:rPr>
              <w:t>Emerg</w:t>
            </w:r>
            <w:proofErr w:type="spellEnd"/>
            <w:r>
              <w:rPr>
                <w:b/>
                <w:bCs/>
                <w:color w:val="FFFFFF"/>
                <w:sz w:val="12"/>
                <w:szCs w:val="12"/>
                <w:lang w:eastAsia="en-AU"/>
              </w:rPr>
              <w:t>.</w:t>
            </w:r>
          </w:p>
        </w:tc>
        <w:tc>
          <w:tcPr>
            <w:tcW w:w="412" w:type="pct"/>
            <w:tcBorders>
              <w:top w:val="single" w:sz="4" w:space="0" w:color="5B9BD5"/>
              <w:left w:val="nil"/>
              <w:bottom w:val="nil"/>
              <w:right w:val="single" w:sz="4" w:space="0" w:color="5B9BD5"/>
            </w:tcBorders>
            <w:shd w:val="clear" w:color="auto" w:fill="002060"/>
            <w:vAlign w:val="bottom"/>
            <w:hideMark/>
          </w:tcPr>
          <w:p w:rsidR="00FE6FE7" w:rsidRPr="00CD1518" w:rsidRDefault="00FE6FE7" w:rsidP="00FE6FE7">
            <w:pPr>
              <w:spacing w:line="240" w:lineRule="auto"/>
              <w:jc w:val="center"/>
              <w:rPr>
                <w:b/>
                <w:bCs/>
                <w:color w:val="FFFFFF"/>
                <w:sz w:val="12"/>
                <w:szCs w:val="12"/>
                <w:lang w:eastAsia="en-AU"/>
              </w:rPr>
            </w:pPr>
            <w:r w:rsidRPr="00CD1518">
              <w:rPr>
                <w:b/>
                <w:bCs/>
                <w:color w:val="FFFFFF"/>
                <w:sz w:val="12"/>
                <w:szCs w:val="12"/>
                <w:lang w:eastAsia="en-AU"/>
              </w:rPr>
              <w:t xml:space="preserve"># Records linked to </w:t>
            </w:r>
            <w:r w:rsidRPr="00CD1518">
              <w:rPr>
                <w:b/>
                <w:bCs/>
                <w:color w:val="FFFFFF"/>
                <w:sz w:val="11"/>
                <w:szCs w:val="11"/>
                <w:lang w:eastAsia="en-AU"/>
              </w:rPr>
              <w:t>Non-admitted</w:t>
            </w:r>
          </w:p>
        </w:tc>
        <w:tc>
          <w:tcPr>
            <w:tcW w:w="473" w:type="pct"/>
            <w:tcBorders>
              <w:top w:val="single" w:sz="4" w:space="0" w:color="5B9BD5"/>
              <w:left w:val="nil"/>
              <w:bottom w:val="nil"/>
              <w:right w:val="single" w:sz="4" w:space="0" w:color="5B9BD5"/>
            </w:tcBorders>
            <w:shd w:val="clear" w:color="auto" w:fill="002060"/>
            <w:vAlign w:val="bottom"/>
            <w:hideMark/>
          </w:tcPr>
          <w:p w:rsidR="00FE6FE7" w:rsidRPr="00CD1518" w:rsidRDefault="00FE6FE7" w:rsidP="00FE6FE7">
            <w:pPr>
              <w:spacing w:line="240" w:lineRule="auto"/>
              <w:jc w:val="center"/>
              <w:rPr>
                <w:b/>
                <w:bCs/>
                <w:color w:val="FFFFFF"/>
                <w:sz w:val="12"/>
                <w:szCs w:val="12"/>
                <w:lang w:eastAsia="en-AU"/>
              </w:rPr>
            </w:pPr>
            <w:r w:rsidRPr="00CD1518">
              <w:rPr>
                <w:b/>
                <w:bCs/>
                <w:color w:val="FFFFFF"/>
                <w:sz w:val="12"/>
                <w:szCs w:val="12"/>
                <w:lang w:eastAsia="en-AU"/>
              </w:rPr>
              <w:t>Total Linking Process</w:t>
            </w:r>
          </w:p>
        </w:tc>
        <w:tc>
          <w:tcPr>
            <w:tcW w:w="397" w:type="pct"/>
            <w:tcBorders>
              <w:top w:val="single" w:sz="4" w:space="0" w:color="5B9BD5"/>
              <w:left w:val="nil"/>
              <w:bottom w:val="nil"/>
              <w:right w:val="nil"/>
            </w:tcBorders>
            <w:shd w:val="clear" w:color="auto" w:fill="002060"/>
            <w:vAlign w:val="bottom"/>
            <w:hideMark/>
          </w:tcPr>
          <w:p w:rsidR="00FE6FE7" w:rsidRPr="00CD1518" w:rsidRDefault="00FE6FE7" w:rsidP="00FE6FE7">
            <w:pPr>
              <w:spacing w:line="240" w:lineRule="auto"/>
              <w:jc w:val="center"/>
              <w:rPr>
                <w:b/>
                <w:bCs/>
                <w:color w:val="FFFFFF"/>
                <w:sz w:val="12"/>
                <w:szCs w:val="12"/>
                <w:lang w:eastAsia="en-AU"/>
              </w:rPr>
            </w:pPr>
            <w:r w:rsidRPr="00CD1518">
              <w:rPr>
                <w:b/>
                <w:bCs/>
                <w:color w:val="FFFFFF"/>
                <w:sz w:val="12"/>
                <w:szCs w:val="12"/>
                <w:lang w:eastAsia="en-AU"/>
              </w:rPr>
              <w:t># Records linked to Other</w:t>
            </w:r>
          </w:p>
        </w:tc>
        <w:tc>
          <w:tcPr>
            <w:tcW w:w="477" w:type="pct"/>
            <w:tcBorders>
              <w:top w:val="single" w:sz="4" w:space="0" w:color="5B9BD5"/>
              <w:left w:val="single" w:sz="4" w:space="0" w:color="5B9BD5"/>
              <w:bottom w:val="nil"/>
              <w:right w:val="single" w:sz="4" w:space="0" w:color="5B9BD5"/>
            </w:tcBorders>
            <w:shd w:val="clear" w:color="auto" w:fill="002060"/>
            <w:vAlign w:val="bottom"/>
            <w:hideMark/>
          </w:tcPr>
          <w:p w:rsidR="00FE6FE7" w:rsidRPr="00CD1518" w:rsidRDefault="00FE6FE7" w:rsidP="00FE6FE7">
            <w:pPr>
              <w:spacing w:line="240" w:lineRule="auto"/>
              <w:jc w:val="center"/>
              <w:rPr>
                <w:b/>
                <w:bCs/>
                <w:color w:val="FFFFFF"/>
                <w:sz w:val="12"/>
                <w:szCs w:val="12"/>
                <w:lang w:eastAsia="en-AU"/>
              </w:rPr>
            </w:pPr>
            <w:r w:rsidRPr="00CD1518">
              <w:rPr>
                <w:b/>
                <w:bCs/>
                <w:color w:val="FFFFFF"/>
                <w:sz w:val="12"/>
                <w:szCs w:val="12"/>
                <w:lang w:eastAsia="en-AU"/>
              </w:rPr>
              <w:t xml:space="preserve"># </w:t>
            </w:r>
            <w:r w:rsidRPr="00CD1518">
              <w:rPr>
                <w:b/>
                <w:bCs/>
                <w:color w:val="FFFFFF"/>
                <w:sz w:val="11"/>
                <w:szCs w:val="11"/>
                <w:lang w:eastAsia="en-AU"/>
              </w:rPr>
              <w:t>Unlinked</w:t>
            </w:r>
            <w:r w:rsidRPr="00CD1518">
              <w:rPr>
                <w:b/>
                <w:bCs/>
                <w:color w:val="FFFFFF"/>
                <w:sz w:val="12"/>
                <w:szCs w:val="12"/>
                <w:lang w:eastAsia="en-AU"/>
              </w:rPr>
              <w:t xml:space="preserve"> records</w:t>
            </w:r>
          </w:p>
        </w:tc>
        <w:tc>
          <w:tcPr>
            <w:tcW w:w="399" w:type="pct"/>
            <w:tcBorders>
              <w:top w:val="single" w:sz="4" w:space="0" w:color="5B9BD5"/>
              <w:left w:val="nil"/>
              <w:bottom w:val="nil"/>
              <w:right w:val="single" w:sz="4" w:space="0" w:color="5B9BD5"/>
            </w:tcBorders>
            <w:shd w:val="clear" w:color="auto" w:fill="002060"/>
            <w:vAlign w:val="bottom"/>
            <w:hideMark/>
          </w:tcPr>
          <w:p w:rsidR="00FE6FE7" w:rsidRPr="00CD1518" w:rsidRDefault="00FE6FE7" w:rsidP="00FE6FE7">
            <w:pPr>
              <w:spacing w:line="240" w:lineRule="auto"/>
              <w:jc w:val="center"/>
              <w:rPr>
                <w:b/>
                <w:bCs/>
                <w:color w:val="FFFFFF"/>
                <w:sz w:val="12"/>
                <w:szCs w:val="12"/>
                <w:lang w:eastAsia="en-AU"/>
              </w:rPr>
            </w:pPr>
            <w:r w:rsidRPr="00CD1518">
              <w:rPr>
                <w:b/>
                <w:bCs/>
                <w:color w:val="FFFFFF"/>
                <w:sz w:val="12"/>
                <w:szCs w:val="12"/>
                <w:lang w:eastAsia="en-AU"/>
              </w:rPr>
              <w:t>% Linked</w:t>
            </w:r>
          </w:p>
        </w:tc>
      </w:tr>
      <w:tr w:rsidR="003E3288" w:rsidRPr="00FE6FE7" w:rsidTr="00261E9A">
        <w:trPr>
          <w:trHeight w:val="290"/>
        </w:trPr>
        <w:tc>
          <w:tcPr>
            <w:tcW w:w="778" w:type="pct"/>
            <w:tcBorders>
              <w:top w:val="nil"/>
              <w:left w:val="single" w:sz="4" w:space="0" w:color="5B9BD5"/>
              <w:bottom w:val="nil"/>
              <w:right w:val="nil"/>
            </w:tcBorders>
            <w:shd w:val="clear" w:color="000000" w:fill="D0CECE"/>
            <w:noWrap/>
            <w:vAlign w:val="center"/>
            <w:hideMark/>
          </w:tcPr>
          <w:p w:rsidR="00FE6FE7" w:rsidRPr="00CD1518" w:rsidRDefault="00FE6FE7">
            <w:pPr>
              <w:spacing w:line="240" w:lineRule="auto"/>
              <w:rPr>
                <w:b/>
                <w:bCs/>
                <w:color w:val="000000"/>
                <w:sz w:val="12"/>
                <w:szCs w:val="12"/>
                <w:lang w:eastAsia="en-AU"/>
              </w:rPr>
            </w:pPr>
            <w:r w:rsidRPr="00CD1518">
              <w:rPr>
                <w:b/>
                <w:bCs/>
                <w:color w:val="000000"/>
                <w:sz w:val="12"/>
                <w:szCs w:val="12"/>
                <w:lang w:eastAsia="en-AU"/>
              </w:rPr>
              <w:t>Activity Data</w:t>
            </w:r>
          </w:p>
        </w:tc>
        <w:tc>
          <w:tcPr>
            <w:tcW w:w="479" w:type="pct"/>
            <w:tcBorders>
              <w:top w:val="nil"/>
              <w:left w:val="single" w:sz="4" w:space="0" w:color="5B9BD5"/>
              <w:bottom w:val="nil"/>
              <w:right w:val="single" w:sz="4" w:space="0" w:color="5B9BD5"/>
            </w:tcBorders>
            <w:shd w:val="clear" w:color="000000" w:fill="D0CECE"/>
            <w:noWrap/>
            <w:vAlign w:val="bottom"/>
            <w:hideMark/>
          </w:tcPr>
          <w:p w:rsidR="00FE6FE7" w:rsidRPr="00CD1518" w:rsidRDefault="00FE6FE7" w:rsidP="00FE6FE7">
            <w:pPr>
              <w:spacing w:line="240" w:lineRule="auto"/>
              <w:rPr>
                <w:b/>
                <w:bCs/>
                <w:color w:val="000000"/>
                <w:sz w:val="12"/>
                <w:szCs w:val="12"/>
                <w:lang w:eastAsia="en-AU"/>
              </w:rPr>
            </w:pPr>
            <w:r w:rsidRPr="00CD1518">
              <w:rPr>
                <w:b/>
                <w:bCs/>
                <w:color w:val="000000"/>
                <w:sz w:val="12"/>
                <w:szCs w:val="12"/>
                <w:lang w:eastAsia="en-AU"/>
              </w:rPr>
              <w:t> </w:t>
            </w:r>
          </w:p>
        </w:tc>
        <w:tc>
          <w:tcPr>
            <w:tcW w:w="477" w:type="pct"/>
            <w:tcBorders>
              <w:top w:val="nil"/>
              <w:left w:val="nil"/>
              <w:bottom w:val="nil"/>
              <w:right w:val="nil"/>
            </w:tcBorders>
            <w:shd w:val="clear" w:color="000000" w:fill="D0CECE"/>
            <w:noWrap/>
            <w:vAlign w:val="bottom"/>
            <w:hideMark/>
          </w:tcPr>
          <w:p w:rsidR="00FE6FE7" w:rsidRPr="00CD1518" w:rsidRDefault="00FE6FE7" w:rsidP="00FE6FE7">
            <w:pPr>
              <w:spacing w:line="240" w:lineRule="auto"/>
              <w:rPr>
                <w:b/>
                <w:bCs/>
                <w:color w:val="000000"/>
                <w:sz w:val="12"/>
                <w:szCs w:val="12"/>
                <w:lang w:eastAsia="en-AU"/>
              </w:rPr>
            </w:pPr>
            <w:r w:rsidRPr="00CD1518">
              <w:rPr>
                <w:b/>
                <w:bCs/>
                <w:color w:val="000000"/>
                <w:sz w:val="12"/>
                <w:szCs w:val="12"/>
                <w:lang w:eastAsia="en-AU"/>
              </w:rPr>
              <w:t> </w:t>
            </w:r>
          </w:p>
        </w:tc>
        <w:tc>
          <w:tcPr>
            <w:tcW w:w="282" w:type="pct"/>
            <w:tcBorders>
              <w:top w:val="nil"/>
              <w:left w:val="single" w:sz="4" w:space="0" w:color="5B9BD5"/>
              <w:bottom w:val="nil"/>
              <w:right w:val="single" w:sz="4" w:space="0" w:color="5B9BD5"/>
            </w:tcBorders>
            <w:shd w:val="clear" w:color="000000" w:fill="D0CECE"/>
            <w:noWrap/>
            <w:vAlign w:val="bottom"/>
            <w:hideMark/>
          </w:tcPr>
          <w:p w:rsidR="00FE6FE7" w:rsidRPr="00CD1518" w:rsidRDefault="00FE6FE7" w:rsidP="00FE6FE7">
            <w:pPr>
              <w:spacing w:line="240" w:lineRule="auto"/>
              <w:rPr>
                <w:b/>
                <w:bCs/>
                <w:color w:val="000000"/>
                <w:sz w:val="12"/>
                <w:szCs w:val="12"/>
                <w:lang w:eastAsia="en-AU"/>
              </w:rPr>
            </w:pPr>
            <w:r w:rsidRPr="00CD1518">
              <w:rPr>
                <w:b/>
                <w:bCs/>
                <w:color w:val="000000"/>
                <w:sz w:val="12"/>
                <w:szCs w:val="12"/>
                <w:lang w:eastAsia="en-AU"/>
              </w:rPr>
              <w:t> </w:t>
            </w:r>
          </w:p>
        </w:tc>
        <w:tc>
          <w:tcPr>
            <w:tcW w:w="412" w:type="pct"/>
            <w:tcBorders>
              <w:top w:val="nil"/>
              <w:left w:val="nil"/>
              <w:bottom w:val="nil"/>
              <w:right w:val="nil"/>
            </w:tcBorders>
            <w:shd w:val="clear" w:color="000000" w:fill="D0CECE"/>
            <w:noWrap/>
            <w:vAlign w:val="bottom"/>
            <w:hideMark/>
          </w:tcPr>
          <w:p w:rsidR="00FE6FE7" w:rsidRPr="00CD1518" w:rsidRDefault="00FE6FE7" w:rsidP="00FE6FE7">
            <w:pPr>
              <w:spacing w:line="240" w:lineRule="auto"/>
              <w:rPr>
                <w:b/>
                <w:bCs/>
                <w:color w:val="000000"/>
                <w:sz w:val="12"/>
                <w:szCs w:val="12"/>
                <w:lang w:eastAsia="en-AU"/>
              </w:rPr>
            </w:pPr>
            <w:r w:rsidRPr="00CD1518">
              <w:rPr>
                <w:b/>
                <w:bCs/>
                <w:color w:val="000000"/>
                <w:sz w:val="12"/>
                <w:szCs w:val="12"/>
                <w:lang w:eastAsia="en-AU"/>
              </w:rPr>
              <w:t> </w:t>
            </w:r>
          </w:p>
        </w:tc>
        <w:tc>
          <w:tcPr>
            <w:tcW w:w="412" w:type="pct"/>
            <w:tcBorders>
              <w:top w:val="nil"/>
              <w:left w:val="single" w:sz="4" w:space="0" w:color="5B9BD5"/>
              <w:bottom w:val="nil"/>
              <w:right w:val="single" w:sz="4" w:space="0" w:color="5B9BD5"/>
            </w:tcBorders>
            <w:shd w:val="clear" w:color="000000" w:fill="D0CECE"/>
            <w:noWrap/>
            <w:vAlign w:val="bottom"/>
            <w:hideMark/>
          </w:tcPr>
          <w:p w:rsidR="00FE6FE7" w:rsidRPr="00CD1518" w:rsidRDefault="00FE6FE7" w:rsidP="00FE6FE7">
            <w:pPr>
              <w:spacing w:line="240" w:lineRule="auto"/>
              <w:rPr>
                <w:b/>
                <w:bCs/>
                <w:color w:val="000000"/>
                <w:sz w:val="12"/>
                <w:szCs w:val="12"/>
                <w:lang w:eastAsia="en-AU"/>
              </w:rPr>
            </w:pPr>
            <w:r w:rsidRPr="00CD1518">
              <w:rPr>
                <w:b/>
                <w:bCs/>
                <w:color w:val="000000"/>
                <w:sz w:val="12"/>
                <w:szCs w:val="12"/>
                <w:lang w:eastAsia="en-AU"/>
              </w:rPr>
              <w:t> </w:t>
            </w:r>
          </w:p>
        </w:tc>
        <w:tc>
          <w:tcPr>
            <w:tcW w:w="412" w:type="pct"/>
            <w:tcBorders>
              <w:top w:val="nil"/>
              <w:left w:val="nil"/>
              <w:bottom w:val="nil"/>
              <w:right w:val="single" w:sz="4" w:space="0" w:color="5B9BD5"/>
            </w:tcBorders>
            <w:shd w:val="clear" w:color="000000" w:fill="D0CECE"/>
            <w:noWrap/>
            <w:vAlign w:val="bottom"/>
            <w:hideMark/>
          </w:tcPr>
          <w:p w:rsidR="00FE6FE7" w:rsidRPr="00CD1518" w:rsidRDefault="00FE6FE7" w:rsidP="00FE6FE7">
            <w:pPr>
              <w:spacing w:line="240" w:lineRule="auto"/>
              <w:rPr>
                <w:b/>
                <w:bCs/>
                <w:color w:val="000000"/>
                <w:sz w:val="12"/>
                <w:szCs w:val="12"/>
                <w:lang w:eastAsia="en-AU"/>
              </w:rPr>
            </w:pPr>
            <w:r w:rsidRPr="00CD1518">
              <w:rPr>
                <w:b/>
                <w:bCs/>
                <w:color w:val="000000"/>
                <w:sz w:val="12"/>
                <w:szCs w:val="12"/>
                <w:lang w:eastAsia="en-AU"/>
              </w:rPr>
              <w:t> </w:t>
            </w:r>
          </w:p>
        </w:tc>
        <w:tc>
          <w:tcPr>
            <w:tcW w:w="473" w:type="pct"/>
            <w:tcBorders>
              <w:top w:val="nil"/>
              <w:left w:val="nil"/>
              <w:bottom w:val="nil"/>
              <w:right w:val="single" w:sz="4" w:space="0" w:color="5B9BD5"/>
            </w:tcBorders>
            <w:shd w:val="clear" w:color="000000" w:fill="D0CECE"/>
            <w:noWrap/>
            <w:vAlign w:val="bottom"/>
            <w:hideMark/>
          </w:tcPr>
          <w:p w:rsidR="00FE6FE7" w:rsidRPr="00CD1518" w:rsidRDefault="00FE6FE7" w:rsidP="00FE6FE7">
            <w:pPr>
              <w:spacing w:line="240" w:lineRule="auto"/>
              <w:rPr>
                <w:b/>
                <w:bCs/>
                <w:color w:val="000000"/>
                <w:sz w:val="12"/>
                <w:szCs w:val="12"/>
                <w:lang w:eastAsia="en-AU"/>
              </w:rPr>
            </w:pPr>
            <w:r w:rsidRPr="00CD1518">
              <w:rPr>
                <w:b/>
                <w:bCs/>
                <w:color w:val="000000"/>
                <w:sz w:val="12"/>
                <w:szCs w:val="12"/>
                <w:lang w:eastAsia="en-AU"/>
              </w:rPr>
              <w:t> </w:t>
            </w:r>
          </w:p>
        </w:tc>
        <w:tc>
          <w:tcPr>
            <w:tcW w:w="397" w:type="pct"/>
            <w:tcBorders>
              <w:top w:val="nil"/>
              <w:left w:val="nil"/>
              <w:bottom w:val="nil"/>
              <w:right w:val="nil"/>
            </w:tcBorders>
            <w:shd w:val="clear" w:color="000000" w:fill="D0CECE"/>
            <w:noWrap/>
            <w:vAlign w:val="bottom"/>
            <w:hideMark/>
          </w:tcPr>
          <w:p w:rsidR="00FE6FE7" w:rsidRPr="00CD1518" w:rsidRDefault="00FE6FE7" w:rsidP="00FE6FE7">
            <w:pPr>
              <w:spacing w:line="240" w:lineRule="auto"/>
              <w:rPr>
                <w:b/>
                <w:bCs/>
                <w:color w:val="000000"/>
                <w:sz w:val="12"/>
                <w:szCs w:val="12"/>
                <w:lang w:eastAsia="en-AU"/>
              </w:rPr>
            </w:pPr>
            <w:r w:rsidRPr="00CD1518">
              <w:rPr>
                <w:b/>
                <w:bCs/>
                <w:color w:val="000000"/>
                <w:sz w:val="12"/>
                <w:szCs w:val="12"/>
                <w:lang w:eastAsia="en-AU"/>
              </w:rPr>
              <w:t> </w:t>
            </w:r>
          </w:p>
        </w:tc>
        <w:tc>
          <w:tcPr>
            <w:tcW w:w="477" w:type="pct"/>
            <w:tcBorders>
              <w:top w:val="nil"/>
              <w:left w:val="single" w:sz="4" w:space="0" w:color="5B9BD5"/>
              <w:bottom w:val="nil"/>
              <w:right w:val="single" w:sz="4" w:space="0" w:color="5B9BD5"/>
            </w:tcBorders>
            <w:shd w:val="clear" w:color="000000" w:fill="D0CECE"/>
            <w:noWrap/>
            <w:vAlign w:val="bottom"/>
            <w:hideMark/>
          </w:tcPr>
          <w:p w:rsidR="00FE6FE7" w:rsidRPr="00CD1518" w:rsidRDefault="00FE6FE7" w:rsidP="00FE6FE7">
            <w:pPr>
              <w:spacing w:line="240" w:lineRule="auto"/>
              <w:rPr>
                <w:b/>
                <w:bCs/>
                <w:color w:val="000000"/>
                <w:sz w:val="12"/>
                <w:szCs w:val="12"/>
                <w:lang w:eastAsia="en-AU"/>
              </w:rPr>
            </w:pPr>
            <w:r w:rsidRPr="00CD1518">
              <w:rPr>
                <w:b/>
                <w:bCs/>
                <w:color w:val="000000"/>
                <w:sz w:val="12"/>
                <w:szCs w:val="12"/>
                <w:lang w:eastAsia="en-AU"/>
              </w:rPr>
              <w:t> </w:t>
            </w:r>
          </w:p>
        </w:tc>
        <w:tc>
          <w:tcPr>
            <w:tcW w:w="399" w:type="pct"/>
            <w:tcBorders>
              <w:top w:val="nil"/>
              <w:left w:val="nil"/>
              <w:bottom w:val="nil"/>
              <w:right w:val="single" w:sz="4" w:space="0" w:color="5B9BD5"/>
            </w:tcBorders>
            <w:shd w:val="clear" w:color="000000" w:fill="D0CECE"/>
            <w:noWrap/>
            <w:vAlign w:val="bottom"/>
            <w:hideMark/>
          </w:tcPr>
          <w:p w:rsidR="00FE6FE7" w:rsidRPr="00CD1518" w:rsidRDefault="00FE6FE7" w:rsidP="00FE6FE7">
            <w:pPr>
              <w:spacing w:line="240" w:lineRule="auto"/>
              <w:rPr>
                <w:b/>
                <w:bCs/>
                <w:color w:val="000000"/>
                <w:sz w:val="12"/>
                <w:szCs w:val="12"/>
                <w:lang w:eastAsia="en-AU"/>
              </w:rPr>
            </w:pPr>
            <w:r w:rsidRPr="00CD1518">
              <w:rPr>
                <w:b/>
                <w:bCs/>
                <w:color w:val="000000"/>
                <w:sz w:val="12"/>
                <w:szCs w:val="12"/>
                <w:lang w:eastAsia="en-AU"/>
              </w:rPr>
              <w:t> </w:t>
            </w:r>
          </w:p>
        </w:tc>
      </w:tr>
      <w:tr w:rsidR="008900DD" w:rsidRPr="00FE6FE7" w:rsidTr="00261E9A">
        <w:trPr>
          <w:trHeight w:val="290"/>
        </w:trPr>
        <w:tc>
          <w:tcPr>
            <w:tcW w:w="778" w:type="pct"/>
            <w:tcBorders>
              <w:top w:val="nil"/>
              <w:left w:val="single" w:sz="4" w:space="0" w:color="5B9BD5"/>
              <w:bottom w:val="nil"/>
              <w:right w:val="nil"/>
            </w:tcBorders>
            <w:shd w:val="clear" w:color="000000" w:fill="FFFFFF"/>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PAS</w:t>
            </w:r>
          </w:p>
        </w:tc>
        <w:tc>
          <w:tcPr>
            <w:tcW w:w="479"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55,660</w:t>
            </w:r>
          </w:p>
        </w:tc>
        <w:tc>
          <w:tcPr>
            <w:tcW w:w="47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55,660</w:t>
            </w:r>
          </w:p>
        </w:tc>
        <w:tc>
          <w:tcPr>
            <w:tcW w:w="282"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55,660</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55,660</w:t>
            </w:r>
          </w:p>
        </w:tc>
        <w:tc>
          <w:tcPr>
            <w:tcW w:w="39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9" w:type="pct"/>
            <w:tcBorders>
              <w:top w:val="nil"/>
              <w:left w:val="nil"/>
              <w:bottom w:val="nil"/>
              <w:right w:val="single" w:sz="4" w:space="0" w:color="5B9BD5"/>
            </w:tcBorders>
            <w:shd w:val="clear" w:color="000000" w:fill="FFFFFF"/>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r w:rsidR="003E3288" w:rsidRPr="00FE6FE7" w:rsidTr="00261E9A">
        <w:trPr>
          <w:trHeight w:val="290"/>
        </w:trPr>
        <w:tc>
          <w:tcPr>
            <w:tcW w:w="778" w:type="pct"/>
            <w:tcBorders>
              <w:top w:val="nil"/>
              <w:left w:val="single" w:sz="4" w:space="0" w:color="5B9BD5"/>
              <w:bottom w:val="nil"/>
              <w:right w:val="nil"/>
            </w:tcBorders>
            <w:shd w:val="clear" w:color="000000" w:fill="DDEBF7"/>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Emergency</w:t>
            </w:r>
          </w:p>
        </w:tc>
        <w:tc>
          <w:tcPr>
            <w:tcW w:w="479"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41,736</w:t>
            </w:r>
          </w:p>
        </w:tc>
        <w:tc>
          <w:tcPr>
            <w:tcW w:w="477"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41,736</w:t>
            </w:r>
          </w:p>
        </w:tc>
        <w:tc>
          <w:tcPr>
            <w:tcW w:w="282"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41,736</w:t>
            </w:r>
          </w:p>
        </w:tc>
        <w:tc>
          <w:tcPr>
            <w:tcW w:w="412"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41,736</w:t>
            </w:r>
          </w:p>
        </w:tc>
        <w:tc>
          <w:tcPr>
            <w:tcW w:w="397"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7"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9" w:type="pct"/>
            <w:tcBorders>
              <w:top w:val="nil"/>
              <w:left w:val="nil"/>
              <w:bottom w:val="nil"/>
              <w:right w:val="single" w:sz="4" w:space="0" w:color="5B9BD5"/>
            </w:tcBorders>
            <w:shd w:val="clear" w:color="000000" w:fill="DDEBF7"/>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r w:rsidR="008900DD" w:rsidRPr="00FE6FE7" w:rsidTr="00261E9A">
        <w:trPr>
          <w:trHeight w:val="290"/>
        </w:trPr>
        <w:tc>
          <w:tcPr>
            <w:tcW w:w="778" w:type="pct"/>
            <w:tcBorders>
              <w:top w:val="nil"/>
              <w:left w:val="single" w:sz="4" w:space="0" w:color="5B9BD5"/>
              <w:bottom w:val="nil"/>
              <w:right w:val="nil"/>
            </w:tcBorders>
            <w:shd w:val="clear" w:color="000000" w:fill="FFFFFF"/>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Non-admitted</w:t>
            </w:r>
          </w:p>
        </w:tc>
        <w:tc>
          <w:tcPr>
            <w:tcW w:w="479"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109,982</w:t>
            </w:r>
          </w:p>
        </w:tc>
        <w:tc>
          <w:tcPr>
            <w:tcW w:w="47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109,982</w:t>
            </w:r>
          </w:p>
        </w:tc>
        <w:tc>
          <w:tcPr>
            <w:tcW w:w="282"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109,982</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109,982</w:t>
            </w:r>
          </w:p>
        </w:tc>
        <w:tc>
          <w:tcPr>
            <w:tcW w:w="39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9" w:type="pct"/>
            <w:tcBorders>
              <w:top w:val="nil"/>
              <w:left w:val="nil"/>
              <w:bottom w:val="nil"/>
              <w:right w:val="single" w:sz="4" w:space="0" w:color="5B9BD5"/>
            </w:tcBorders>
            <w:shd w:val="clear" w:color="000000" w:fill="FFFFFF"/>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r w:rsidR="008900DD" w:rsidRPr="00FE6FE7" w:rsidTr="00261E9A">
        <w:trPr>
          <w:trHeight w:val="290"/>
        </w:trPr>
        <w:tc>
          <w:tcPr>
            <w:tcW w:w="778" w:type="pct"/>
            <w:tcBorders>
              <w:top w:val="nil"/>
              <w:left w:val="single" w:sz="4" w:space="0" w:color="5B9BD5"/>
              <w:bottom w:val="nil"/>
              <w:right w:val="nil"/>
            </w:tcBorders>
            <w:shd w:val="clear" w:color="000000" w:fill="DDEBF7"/>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Mental Health</w:t>
            </w:r>
          </w:p>
        </w:tc>
        <w:tc>
          <w:tcPr>
            <w:tcW w:w="479"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81,071</w:t>
            </w:r>
          </w:p>
        </w:tc>
        <w:tc>
          <w:tcPr>
            <w:tcW w:w="477"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81,071</w:t>
            </w:r>
          </w:p>
        </w:tc>
        <w:tc>
          <w:tcPr>
            <w:tcW w:w="282"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p>
        </w:tc>
        <w:tc>
          <w:tcPr>
            <w:tcW w:w="412"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p>
        </w:tc>
        <w:tc>
          <w:tcPr>
            <w:tcW w:w="412"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p>
        </w:tc>
        <w:tc>
          <w:tcPr>
            <w:tcW w:w="412"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81,071</w:t>
            </w:r>
          </w:p>
        </w:tc>
        <w:tc>
          <w:tcPr>
            <w:tcW w:w="397"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81,071</w:t>
            </w:r>
          </w:p>
        </w:tc>
        <w:tc>
          <w:tcPr>
            <w:tcW w:w="477"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p>
        </w:tc>
        <w:tc>
          <w:tcPr>
            <w:tcW w:w="399" w:type="pct"/>
            <w:tcBorders>
              <w:top w:val="nil"/>
              <w:left w:val="nil"/>
              <w:bottom w:val="nil"/>
              <w:right w:val="single" w:sz="4" w:space="0" w:color="5B9BD5"/>
            </w:tcBorders>
            <w:shd w:val="clear" w:color="000000" w:fill="DDEBF7"/>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r w:rsidR="008900DD" w:rsidRPr="00FE6FE7" w:rsidTr="00261E9A">
        <w:trPr>
          <w:trHeight w:val="290"/>
        </w:trPr>
        <w:tc>
          <w:tcPr>
            <w:tcW w:w="778" w:type="pct"/>
            <w:tcBorders>
              <w:top w:val="nil"/>
              <w:left w:val="single" w:sz="4" w:space="0" w:color="5B9BD5"/>
              <w:bottom w:val="single" w:sz="4" w:space="0" w:color="5B9BD5"/>
              <w:right w:val="nil"/>
            </w:tcBorders>
            <w:shd w:val="clear" w:color="000000" w:fill="FFFFFF"/>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Services not linked (</w:t>
            </w:r>
            <w:proofErr w:type="spellStart"/>
            <w:r w:rsidRPr="00CD1518">
              <w:rPr>
                <w:color w:val="000000"/>
                <w:sz w:val="12"/>
                <w:szCs w:val="12"/>
                <w:lang w:eastAsia="en-AU"/>
              </w:rPr>
              <w:t>Prog</w:t>
            </w:r>
            <w:proofErr w:type="spellEnd"/>
            <w:r w:rsidRPr="00CD1518">
              <w:rPr>
                <w:color w:val="000000"/>
                <w:sz w:val="12"/>
                <w:szCs w:val="12"/>
                <w:lang w:eastAsia="en-AU"/>
              </w:rPr>
              <w:t xml:space="preserve"> U)</w:t>
            </w:r>
          </w:p>
        </w:tc>
        <w:tc>
          <w:tcPr>
            <w:tcW w:w="479" w:type="pct"/>
            <w:tcBorders>
              <w:top w:val="nil"/>
              <w:left w:val="single" w:sz="4" w:space="0" w:color="5B9BD5"/>
              <w:bottom w:val="single" w:sz="4" w:space="0" w:color="5B9BD5"/>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135,925</w:t>
            </w:r>
          </w:p>
        </w:tc>
        <w:tc>
          <w:tcPr>
            <w:tcW w:w="477" w:type="pct"/>
            <w:tcBorders>
              <w:top w:val="nil"/>
              <w:left w:val="nil"/>
              <w:bottom w:val="single" w:sz="4" w:space="0" w:color="5B9BD5"/>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135,925</w:t>
            </w:r>
          </w:p>
        </w:tc>
        <w:tc>
          <w:tcPr>
            <w:tcW w:w="282" w:type="pct"/>
            <w:tcBorders>
              <w:top w:val="nil"/>
              <w:left w:val="nil"/>
              <w:bottom w:val="single" w:sz="4" w:space="0" w:color="5B9BD5"/>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p>
        </w:tc>
        <w:tc>
          <w:tcPr>
            <w:tcW w:w="412" w:type="pct"/>
            <w:tcBorders>
              <w:top w:val="nil"/>
              <w:left w:val="nil"/>
              <w:bottom w:val="single" w:sz="4" w:space="0" w:color="5B9BD5"/>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p>
        </w:tc>
        <w:tc>
          <w:tcPr>
            <w:tcW w:w="412" w:type="pct"/>
            <w:tcBorders>
              <w:top w:val="nil"/>
              <w:left w:val="nil"/>
              <w:bottom w:val="single" w:sz="4" w:space="0" w:color="5B9BD5"/>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p>
        </w:tc>
        <w:tc>
          <w:tcPr>
            <w:tcW w:w="412" w:type="pct"/>
            <w:tcBorders>
              <w:top w:val="nil"/>
              <w:left w:val="nil"/>
              <w:bottom w:val="single" w:sz="4" w:space="0" w:color="5B9BD5"/>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p>
        </w:tc>
        <w:tc>
          <w:tcPr>
            <w:tcW w:w="473" w:type="pct"/>
            <w:tcBorders>
              <w:top w:val="nil"/>
              <w:left w:val="nil"/>
              <w:bottom w:val="single" w:sz="4" w:space="0" w:color="5B9BD5"/>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135,925</w:t>
            </w:r>
          </w:p>
        </w:tc>
        <w:tc>
          <w:tcPr>
            <w:tcW w:w="397" w:type="pct"/>
            <w:tcBorders>
              <w:top w:val="nil"/>
              <w:left w:val="nil"/>
              <w:bottom w:val="single" w:sz="4" w:space="0" w:color="5B9BD5"/>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135,925</w:t>
            </w:r>
          </w:p>
        </w:tc>
        <w:tc>
          <w:tcPr>
            <w:tcW w:w="477" w:type="pct"/>
            <w:tcBorders>
              <w:top w:val="nil"/>
              <w:left w:val="nil"/>
              <w:bottom w:val="single" w:sz="4" w:space="0" w:color="5B9BD5"/>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p>
        </w:tc>
        <w:tc>
          <w:tcPr>
            <w:tcW w:w="399" w:type="pct"/>
            <w:tcBorders>
              <w:top w:val="nil"/>
              <w:left w:val="nil"/>
              <w:bottom w:val="single" w:sz="4" w:space="0" w:color="5B9BD5"/>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w:t>
            </w:r>
            <w:r w:rsidR="00EF242B">
              <w:rPr>
                <w:color w:val="000000"/>
                <w:sz w:val="12"/>
                <w:szCs w:val="12"/>
                <w:lang w:eastAsia="en-AU"/>
              </w:rPr>
              <w:t>00%</w:t>
            </w:r>
          </w:p>
        </w:tc>
      </w:tr>
      <w:tr w:rsidR="008900DD" w:rsidRPr="00FE6FE7" w:rsidTr="00261E9A">
        <w:trPr>
          <w:trHeight w:val="290"/>
        </w:trPr>
        <w:tc>
          <w:tcPr>
            <w:tcW w:w="778" w:type="pct"/>
            <w:tcBorders>
              <w:top w:val="nil"/>
              <w:left w:val="single" w:sz="4" w:space="0" w:color="5B9BD5"/>
              <w:bottom w:val="nil"/>
              <w:right w:val="nil"/>
            </w:tcBorders>
            <w:shd w:val="clear" w:color="000000" w:fill="DDEBF7"/>
            <w:noWrap/>
            <w:vAlign w:val="center"/>
            <w:hideMark/>
          </w:tcPr>
          <w:p w:rsidR="00EF242B" w:rsidRPr="00CD1518" w:rsidRDefault="00EF242B">
            <w:pPr>
              <w:spacing w:line="240" w:lineRule="auto"/>
              <w:rPr>
                <w:b/>
                <w:bCs/>
                <w:color w:val="000000"/>
                <w:sz w:val="12"/>
                <w:szCs w:val="12"/>
                <w:lang w:eastAsia="en-AU"/>
              </w:rPr>
            </w:pPr>
            <w:r w:rsidRPr="00CD1518">
              <w:rPr>
                <w:b/>
                <w:bCs/>
                <w:color w:val="000000"/>
                <w:sz w:val="12"/>
                <w:szCs w:val="12"/>
                <w:lang w:eastAsia="en-AU"/>
              </w:rPr>
              <w:t>TOTAL</w:t>
            </w:r>
          </w:p>
        </w:tc>
        <w:tc>
          <w:tcPr>
            <w:tcW w:w="479" w:type="pct"/>
            <w:tcBorders>
              <w:top w:val="nil"/>
              <w:left w:val="single" w:sz="4" w:space="0" w:color="5B9BD5"/>
              <w:bottom w:val="nil"/>
              <w:right w:val="single" w:sz="4" w:space="0" w:color="5B9BD5"/>
            </w:tcBorders>
            <w:shd w:val="clear" w:color="000000" w:fill="DDEBF7"/>
            <w:noWrap/>
            <w:vAlign w:val="center"/>
            <w:hideMark/>
          </w:tcPr>
          <w:p w:rsidR="00EF242B" w:rsidRPr="00CD1518" w:rsidRDefault="00EF242B" w:rsidP="00CD1518">
            <w:pPr>
              <w:spacing w:line="240" w:lineRule="auto"/>
              <w:jc w:val="right"/>
              <w:rPr>
                <w:b/>
                <w:bCs/>
                <w:color w:val="000000"/>
                <w:sz w:val="12"/>
                <w:szCs w:val="12"/>
                <w:lang w:eastAsia="en-AU"/>
              </w:rPr>
            </w:pPr>
            <w:r w:rsidRPr="00CD1518">
              <w:rPr>
                <w:b/>
                <w:bCs/>
                <w:color w:val="000000"/>
                <w:sz w:val="12"/>
                <w:szCs w:val="12"/>
                <w:lang w:eastAsia="en-AU"/>
              </w:rPr>
              <w:t>424,374</w:t>
            </w:r>
          </w:p>
        </w:tc>
        <w:tc>
          <w:tcPr>
            <w:tcW w:w="477" w:type="pct"/>
            <w:tcBorders>
              <w:top w:val="nil"/>
              <w:left w:val="nil"/>
              <w:bottom w:val="nil"/>
              <w:right w:val="single" w:sz="4" w:space="0" w:color="5B9BD5"/>
            </w:tcBorders>
            <w:shd w:val="clear" w:color="000000" w:fill="DDEBF7"/>
            <w:noWrap/>
            <w:vAlign w:val="center"/>
            <w:hideMark/>
          </w:tcPr>
          <w:p w:rsidR="00EF242B" w:rsidRPr="00CD1518" w:rsidRDefault="00EF242B" w:rsidP="00CD1518">
            <w:pPr>
              <w:spacing w:line="240" w:lineRule="auto"/>
              <w:jc w:val="right"/>
              <w:rPr>
                <w:b/>
                <w:bCs/>
                <w:color w:val="000000"/>
                <w:sz w:val="12"/>
                <w:szCs w:val="12"/>
                <w:lang w:eastAsia="en-AU"/>
              </w:rPr>
            </w:pPr>
            <w:r w:rsidRPr="00CD1518">
              <w:rPr>
                <w:b/>
                <w:bCs/>
                <w:color w:val="000000"/>
                <w:sz w:val="12"/>
                <w:szCs w:val="12"/>
                <w:lang w:eastAsia="en-AU"/>
              </w:rPr>
              <w:t>424,374</w:t>
            </w:r>
          </w:p>
        </w:tc>
        <w:tc>
          <w:tcPr>
            <w:tcW w:w="282" w:type="pct"/>
            <w:tcBorders>
              <w:top w:val="nil"/>
              <w:left w:val="nil"/>
              <w:bottom w:val="nil"/>
              <w:right w:val="single" w:sz="4" w:space="0" w:color="5B9BD5"/>
            </w:tcBorders>
            <w:shd w:val="clear" w:color="000000" w:fill="DDEBF7"/>
            <w:noWrap/>
            <w:vAlign w:val="center"/>
            <w:hideMark/>
          </w:tcPr>
          <w:p w:rsidR="00EF242B" w:rsidRPr="00CD1518" w:rsidRDefault="00EF242B"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412" w:type="pct"/>
            <w:tcBorders>
              <w:top w:val="nil"/>
              <w:left w:val="nil"/>
              <w:bottom w:val="nil"/>
              <w:right w:val="single" w:sz="4" w:space="0" w:color="5B9BD5"/>
            </w:tcBorders>
            <w:shd w:val="clear" w:color="000000" w:fill="DDEBF7"/>
            <w:noWrap/>
            <w:vAlign w:val="center"/>
            <w:hideMark/>
          </w:tcPr>
          <w:p w:rsidR="00EF242B" w:rsidRPr="00CD1518" w:rsidRDefault="00EF242B" w:rsidP="00CD1518">
            <w:pPr>
              <w:spacing w:line="240" w:lineRule="auto"/>
              <w:jc w:val="right"/>
              <w:rPr>
                <w:b/>
                <w:bCs/>
                <w:color w:val="000000"/>
                <w:sz w:val="12"/>
                <w:szCs w:val="12"/>
                <w:lang w:eastAsia="en-AU"/>
              </w:rPr>
            </w:pPr>
            <w:r w:rsidRPr="00CD1518">
              <w:rPr>
                <w:b/>
                <w:bCs/>
                <w:color w:val="000000"/>
                <w:sz w:val="12"/>
                <w:szCs w:val="12"/>
                <w:lang w:eastAsia="en-AU"/>
              </w:rPr>
              <w:t>55,660</w:t>
            </w:r>
          </w:p>
        </w:tc>
        <w:tc>
          <w:tcPr>
            <w:tcW w:w="412" w:type="pct"/>
            <w:tcBorders>
              <w:top w:val="nil"/>
              <w:left w:val="nil"/>
              <w:bottom w:val="nil"/>
              <w:right w:val="single" w:sz="4" w:space="0" w:color="5B9BD5"/>
            </w:tcBorders>
            <w:shd w:val="clear" w:color="000000" w:fill="DDEBF7"/>
            <w:noWrap/>
            <w:vAlign w:val="center"/>
            <w:hideMark/>
          </w:tcPr>
          <w:p w:rsidR="00EF242B" w:rsidRPr="00CD1518" w:rsidRDefault="00EF242B" w:rsidP="00CD1518">
            <w:pPr>
              <w:spacing w:line="240" w:lineRule="auto"/>
              <w:jc w:val="right"/>
              <w:rPr>
                <w:b/>
                <w:bCs/>
                <w:color w:val="000000"/>
                <w:sz w:val="12"/>
                <w:szCs w:val="12"/>
                <w:lang w:eastAsia="en-AU"/>
              </w:rPr>
            </w:pPr>
            <w:r w:rsidRPr="00CD1518">
              <w:rPr>
                <w:b/>
                <w:bCs/>
                <w:color w:val="000000"/>
                <w:sz w:val="12"/>
                <w:szCs w:val="12"/>
                <w:lang w:eastAsia="en-AU"/>
              </w:rPr>
              <w:t>41,736</w:t>
            </w:r>
          </w:p>
        </w:tc>
        <w:tc>
          <w:tcPr>
            <w:tcW w:w="412" w:type="pct"/>
            <w:tcBorders>
              <w:top w:val="nil"/>
              <w:left w:val="nil"/>
              <w:bottom w:val="nil"/>
              <w:right w:val="single" w:sz="4" w:space="0" w:color="5B9BD5"/>
            </w:tcBorders>
            <w:shd w:val="clear" w:color="000000" w:fill="DDEBF7"/>
            <w:noWrap/>
            <w:vAlign w:val="center"/>
            <w:hideMark/>
          </w:tcPr>
          <w:p w:rsidR="00EF242B" w:rsidRPr="00CD1518" w:rsidRDefault="00EF242B" w:rsidP="00CD1518">
            <w:pPr>
              <w:spacing w:line="240" w:lineRule="auto"/>
              <w:jc w:val="right"/>
              <w:rPr>
                <w:b/>
                <w:bCs/>
                <w:color w:val="000000"/>
                <w:sz w:val="12"/>
                <w:szCs w:val="12"/>
                <w:lang w:eastAsia="en-AU"/>
              </w:rPr>
            </w:pPr>
            <w:r w:rsidRPr="00CD1518">
              <w:rPr>
                <w:b/>
                <w:bCs/>
                <w:color w:val="000000"/>
                <w:sz w:val="12"/>
                <w:szCs w:val="12"/>
                <w:lang w:eastAsia="en-AU"/>
              </w:rPr>
              <w:t>109,982</w:t>
            </w:r>
          </w:p>
        </w:tc>
        <w:tc>
          <w:tcPr>
            <w:tcW w:w="473" w:type="pct"/>
            <w:tcBorders>
              <w:top w:val="nil"/>
              <w:left w:val="nil"/>
              <w:bottom w:val="nil"/>
              <w:right w:val="single" w:sz="4" w:space="0" w:color="5B9BD5"/>
            </w:tcBorders>
            <w:shd w:val="clear" w:color="000000" w:fill="DDEBF7"/>
            <w:noWrap/>
            <w:vAlign w:val="center"/>
            <w:hideMark/>
          </w:tcPr>
          <w:p w:rsidR="00EF242B" w:rsidRPr="00CD1518" w:rsidRDefault="00EF242B" w:rsidP="00CD1518">
            <w:pPr>
              <w:spacing w:line="240" w:lineRule="auto"/>
              <w:jc w:val="right"/>
              <w:rPr>
                <w:b/>
                <w:bCs/>
                <w:color w:val="000000"/>
                <w:sz w:val="12"/>
                <w:szCs w:val="12"/>
                <w:lang w:eastAsia="en-AU"/>
              </w:rPr>
            </w:pPr>
            <w:r w:rsidRPr="0036568D">
              <w:rPr>
                <w:b/>
                <w:bCs/>
                <w:color w:val="000000"/>
                <w:sz w:val="12"/>
                <w:szCs w:val="12"/>
                <w:lang w:eastAsia="en-AU"/>
              </w:rPr>
              <w:t>424,374</w:t>
            </w:r>
          </w:p>
        </w:tc>
        <w:tc>
          <w:tcPr>
            <w:tcW w:w="397" w:type="pct"/>
            <w:tcBorders>
              <w:top w:val="nil"/>
              <w:left w:val="nil"/>
              <w:bottom w:val="nil"/>
              <w:right w:val="single" w:sz="4" w:space="0" w:color="5B9BD5"/>
            </w:tcBorders>
            <w:shd w:val="clear" w:color="000000" w:fill="DDEBF7"/>
            <w:noWrap/>
            <w:vAlign w:val="center"/>
            <w:hideMark/>
          </w:tcPr>
          <w:p w:rsidR="00EF242B" w:rsidRPr="00CD1518" w:rsidRDefault="00EF242B"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477" w:type="pct"/>
            <w:tcBorders>
              <w:top w:val="nil"/>
              <w:left w:val="nil"/>
              <w:bottom w:val="nil"/>
              <w:right w:val="single" w:sz="4" w:space="0" w:color="5B9BD5"/>
            </w:tcBorders>
            <w:shd w:val="clear" w:color="000000" w:fill="DDEBF7"/>
            <w:noWrap/>
            <w:vAlign w:val="center"/>
            <w:hideMark/>
          </w:tcPr>
          <w:p w:rsidR="00EF242B" w:rsidRPr="00CD1518" w:rsidRDefault="00EF242B"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399" w:type="pct"/>
            <w:tcBorders>
              <w:top w:val="nil"/>
              <w:left w:val="nil"/>
              <w:bottom w:val="nil"/>
              <w:right w:val="single" w:sz="4" w:space="0" w:color="5B9BD5"/>
            </w:tcBorders>
            <w:shd w:val="clear" w:color="000000" w:fill="DDEBF7"/>
            <w:noWrap/>
            <w:vAlign w:val="center"/>
            <w:hideMark/>
          </w:tcPr>
          <w:p w:rsidR="00EF242B" w:rsidRPr="00CD1518" w:rsidRDefault="00EF242B" w:rsidP="00CD1518">
            <w:pPr>
              <w:spacing w:line="240" w:lineRule="auto"/>
              <w:jc w:val="right"/>
              <w:rPr>
                <w:b/>
                <w:bCs/>
                <w:color w:val="000000"/>
                <w:sz w:val="12"/>
                <w:szCs w:val="12"/>
                <w:lang w:eastAsia="en-AU"/>
              </w:rPr>
            </w:pPr>
          </w:p>
        </w:tc>
      </w:tr>
      <w:tr w:rsidR="003E3288" w:rsidRPr="00FE6FE7" w:rsidTr="00EF242B">
        <w:trPr>
          <w:trHeight w:val="290"/>
        </w:trPr>
        <w:tc>
          <w:tcPr>
            <w:tcW w:w="778" w:type="pct"/>
            <w:tcBorders>
              <w:top w:val="nil"/>
              <w:left w:val="single" w:sz="4" w:space="0" w:color="5B9BD5"/>
              <w:bottom w:val="nil"/>
              <w:right w:val="nil"/>
            </w:tcBorders>
            <w:shd w:val="clear" w:color="000000" w:fill="D0CECE"/>
            <w:noWrap/>
            <w:vAlign w:val="center"/>
            <w:hideMark/>
          </w:tcPr>
          <w:p w:rsidR="00FE6FE7" w:rsidRPr="00CD1518" w:rsidRDefault="00FE6FE7">
            <w:pPr>
              <w:spacing w:line="240" w:lineRule="auto"/>
              <w:rPr>
                <w:b/>
                <w:bCs/>
                <w:color w:val="000000"/>
                <w:sz w:val="12"/>
                <w:szCs w:val="12"/>
                <w:lang w:eastAsia="en-AU"/>
              </w:rPr>
            </w:pPr>
            <w:r w:rsidRPr="00CD1518">
              <w:rPr>
                <w:b/>
                <w:bCs/>
                <w:color w:val="000000"/>
                <w:sz w:val="12"/>
                <w:szCs w:val="12"/>
                <w:lang w:eastAsia="en-AU"/>
              </w:rPr>
              <w:t>Feeder Data</w:t>
            </w:r>
          </w:p>
        </w:tc>
        <w:tc>
          <w:tcPr>
            <w:tcW w:w="479" w:type="pct"/>
            <w:tcBorders>
              <w:top w:val="nil"/>
              <w:left w:val="single" w:sz="4" w:space="0" w:color="5B9BD5"/>
              <w:bottom w:val="nil"/>
              <w:right w:val="single" w:sz="4" w:space="0" w:color="5B9BD5"/>
            </w:tcBorders>
            <w:shd w:val="clear" w:color="000000" w:fill="D0CECE"/>
            <w:noWrap/>
            <w:vAlign w:val="center"/>
            <w:hideMark/>
          </w:tcPr>
          <w:p w:rsidR="00FE6FE7" w:rsidRPr="00CD1518" w:rsidRDefault="00FE6FE7" w:rsidP="00CD1518">
            <w:pPr>
              <w:spacing w:line="240" w:lineRule="auto"/>
              <w:jc w:val="right"/>
              <w:rPr>
                <w:b/>
                <w:bCs/>
                <w:color w:val="000000"/>
                <w:sz w:val="12"/>
                <w:szCs w:val="12"/>
                <w:lang w:eastAsia="en-AU"/>
              </w:rPr>
            </w:pPr>
          </w:p>
        </w:tc>
        <w:tc>
          <w:tcPr>
            <w:tcW w:w="478" w:type="pct"/>
            <w:tcBorders>
              <w:top w:val="nil"/>
              <w:left w:val="nil"/>
              <w:bottom w:val="nil"/>
              <w:right w:val="nil"/>
            </w:tcBorders>
            <w:shd w:val="clear" w:color="000000" w:fill="D0CECE"/>
            <w:noWrap/>
            <w:vAlign w:val="center"/>
            <w:hideMark/>
          </w:tcPr>
          <w:p w:rsidR="00FE6FE7" w:rsidRPr="00CD1518" w:rsidRDefault="00FE6FE7" w:rsidP="00CD1518">
            <w:pPr>
              <w:spacing w:line="240" w:lineRule="auto"/>
              <w:jc w:val="right"/>
              <w:rPr>
                <w:b/>
                <w:bCs/>
                <w:color w:val="000000"/>
                <w:sz w:val="12"/>
                <w:szCs w:val="12"/>
                <w:lang w:eastAsia="en-AU"/>
              </w:rPr>
            </w:pPr>
          </w:p>
        </w:tc>
        <w:tc>
          <w:tcPr>
            <w:tcW w:w="283" w:type="pct"/>
            <w:tcBorders>
              <w:top w:val="nil"/>
              <w:left w:val="single" w:sz="4" w:space="0" w:color="5B9BD5"/>
              <w:bottom w:val="nil"/>
              <w:right w:val="single" w:sz="4" w:space="0" w:color="5B9BD5"/>
            </w:tcBorders>
            <w:shd w:val="clear" w:color="000000" w:fill="D0CECE"/>
            <w:noWrap/>
            <w:vAlign w:val="center"/>
            <w:hideMark/>
          </w:tcPr>
          <w:p w:rsidR="00FE6FE7" w:rsidRPr="00CD1518" w:rsidRDefault="00FE6FE7" w:rsidP="00CD1518">
            <w:pPr>
              <w:spacing w:line="240" w:lineRule="auto"/>
              <w:jc w:val="right"/>
              <w:rPr>
                <w:b/>
                <w:bCs/>
                <w:color w:val="000000"/>
                <w:sz w:val="12"/>
                <w:szCs w:val="12"/>
                <w:lang w:eastAsia="en-AU"/>
              </w:rPr>
            </w:pPr>
          </w:p>
        </w:tc>
        <w:tc>
          <w:tcPr>
            <w:tcW w:w="412" w:type="pct"/>
            <w:tcBorders>
              <w:top w:val="nil"/>
              <w:left w:val="nil"/>
              <w:bottom w:val="nil"/>
              <w:right w:val="nil"/>
            </w:tcBorders>
            <w:shd w:val="clear" w:color="000000" w:fill="D0CECE"/>
            <w:noWrap/>
            <w:vAlign w:val="center"/>
            <w:hideMark/>
          </w:tcPr>
          <w:p w:rsidR="00FE6FE7" w:rsidRPr="00CD1518" w:rsidRDefault="00FE6FE7" w:rsidP="00CD1518">
            <w:pPr>
              <w:spacing w:line="240" w:lineRule="auto"/>
              <w:jc w:val="right"/>
              <w:rPr>
                <w:b/>
                <w:bCs/>
                <w:color w:val="000000"/>
                <w:sz w:val="12"/>
                <w:szCs w:val="12"/>
                <w:lang w:eastAsia="en-AU"/>
              </w:rPr>
            </w:pPr>
          </w:p>
        </w:tc>
        <w:tc>
          <w:tcPr>
            <w:tcW w:w="412" w:type="pct"/>
            <w:tcBorders>
              <w:top w:val="nil"/>
              <w:left w:val="single" w:sz="4" w:space="0" w:color="5B9BD5"/>
              <w:bottom w:val="nil"/>
              <w:right w:val="single" w:sz="4" w:space="0" w:color="5B9BD5"/>
            </w:tcBorders>
            <w:shd w:val="clear" w:color="000000" w:fill="D0CECE"/>
            <w:noWrap/>
            <w:vAlign w:val="center"/>
            <w:hideMark/>
          </w:tcPr>
          <w:p w:rsidR="00FE6FE7" w:rsidRPr="00CD1518" w:rsidRDefault="00FE6FE7" w:rsidP="00CD1518">
            <w:pPr>
              <w:spacing w:line="240" w:lineRule="auto"/>
              <w:jc w:val="right"/>
              <w:rPr>
                <w:b/>
                <w:bCs/>
                <w:color w:val="000000"/>
                <w:sz w:val="12"/>
                <w:szCs w:val="12"/>
                <w:lang w:eastAsia="en-AU"/>
              </w:rPr>
            </w:pPr>
          </w:p>
        </w:tc>
        <w:tc>
          <w:tcPr>
            <w:tcW w:w="412" w:type="pct"/>
            <w:tcBorders>
              <w:top w:val="nil"/>
              <w:left w:val="nil"/>
              <w:bottom w:val="nil"/>
              <w:right w:val="single" w:sz="4" w:space="0" w:color="5B9BD5"/>
            </w:tcBorders>
            <w:shd w:val="clear" w:color="000000" w:fill="D0CECE"/>
            <w:noWrap/>
            <w:vAlign w:val="center"/>
            <w:hideMark/>
          </w:tcPr>
          <w:p w:rsidR="00FE6FE7" w:rsidRPr="00CD1518" w:rsidRDefault="00FE6FE7" w:rsidP="00CD1518">
            <w:pPr>
              <w:spacing w:line="240" w:lineRule="auto"/>
              <w:jc w:val="right"/>
              <w:rPr>
                <w:b/>
                <w:bCs/>
                <w:color w:val="000000"/>
                <w:sz w:val="12"/>
                <w:szCs w:val="12"/>
                <w:lang w:eastAsia="en-AU"/>
              </w:rPr>
            </w:pPr>
          </w:p>
        </w:tc>
        <w:tc>
          <w:tcPr>
            <w:tcW w:w="473" w:type="pct"/>
            <w:tcBorders>
              <w:top w:val="nil"/>
              <w:left w:val="nil"/>
              <w:bottom w:val="nil"/>
              <w:right w:val="single" w:sz="4" w:space="0" w:color="5B9BD5"/>
            </w:tcBorders>
            <w:shd w:val="clear" w:color="000000" w:fill="D0CECE"/>
            <w:noWrap/>
            <w:vAlign w:val="center"/>
            <w:hideMark/>
          </w:tcPr>
          <w:p w:rsidR="00FE6FE7" w:rsidRPr="00CD1518" w:rsidRDefault="00FE6FE7" w:rsidP="00CD1518">
            <w:pPr>
              <w:spacing w:line="240" w:lineRule="auto"/>
              <w:jc w:val="right"/>
              <w:rPr>
                <w:b/>
                <w:bCs/>
                <w:color w:val="000000"/>
                <w:sz w:val="12"/>
                <w:szCs w:val="12"/>
                <w:lang w:eastAsia="en-AU"/>
              </w:rPr>
            </w:pPr>
          </w:p>
        </w:tc>
        <w:tc>
          <w:tcPr>
            <w:tcW w:w="397" w:type="pct"/>
            <w:tcBorders>
              <w:top w:val="nil"/>
              <w:left w:val="nil"/>
              <w:bottom w:val="nil"/>
              <w:right w:val="nil"/>
            </w:tcBorders>
            <w:shd w:val="clear" w:color="000000" w:fill="D0CECE"/>
            <w:noWrap/>
            <w:vAlign w:val="center"/>
            <w:hideMark/>
          </w:tcPr>
          <w:p w:rsidR="00FE6FE7" w:rsidRPr="00CD1518" w:rsidRDefault="00FE6FE7" w:rsidP="00CD1518">
            <w:pPr>
              <w:spacing w:line="240" w:lineRule="auto"/>
              <w:jc w:val="right"/>
              <w:rPr>
                <w:b/>
                <w:bCs/>
                <w:color w:val="000000"/>
                <w:sz w:val="12"/>
                <w:szCs w:val="12"/>
                <w:lang w:eastAsia="en-AU"/>
              </w:rPr>
            </w:pPr>
          </w:p>
        </w:tc>
        <w:tc>
          <w:tcPr>
            <w:tcW w:w="477" w:type="pct"/>
            <w:tcBorders>
              <w:top w:val="nil"/>
              <w:left w:val="single" w:sz="4" w:space="0" w:color="5B9BD5"/>
              <w:bottom w:val="nil"/>
              <w:right w:val="single" w:sz="4" w:space="0" w:color="5B9BD5"/>
            </w:tcBorders>
            <w:shd w:val="clear" w:color="000000" w:fill="D0CECE"/>
            <w:noWrap/>
            <w:vAlign w:val="center"/>
            <w:hideMark/>
          </w:tcPr>
          <w:p w:rsidR="00FE6FE7" w:rsidRPr="00CD1518" w:rsidRDefault="00FE6FE7" w:rsidP="00CD1518">
            <w:pPr>
              <w:spacing w:line="240" w:lineRule="auto"/>
              <w:jc w:val="right"/>
              <w:rPr>
                <w:b/>
                <w:bCs/>
                <w:color w:val="000000"/>
                <w:sz w:val="12"/>
                <w:szCs w:val="12"/>
                <w:lang w:eastAsia="en-AU"/>
              </w:rPr>
            </w:pPr>
          </w:p>
        </w:tc>
        <w:tc>
          <w:tcPr>
            <w:tcW w:w="399" w:type="pct"/>
            <w:tcBorders>
              <w:top w:val="nil"/>
              <w:left w:val="nil"/>
              <w:bottom w:val="nil"/>
              <w:right w:val="single" w:sz="4" w:space="0" w:color="5B9BD5"/>
            </w:tcBorders>
            <w:shd w:val="clear" w:color="000000" w:fill="D0CECE"/>
            <w:noWrap/>
            <w:vAlign w:val="center"/>
            <w:hideMark/>
          </w:tcPr>
          <w:p w:rsidR="00FE6FE7" w:rsidRPr="00CD1518" w:rsidRDefault="00FE6FE7" w:rsidP="00CD1518">
            <w:pPr>
              <w:spacing w:line="240" w:lineRule="auto"/>
              <w:jc w:val="right"/>
              <w:rPr>
                <w:b/>
                <w:bCs/>
                <w:color w:val="000000"/>
                <w:sz w:val="12"/>
                <w:szCs w:val="12"/>
                <w:lang w:eastAsia="en-AU"/>
              </w:rPr>
            </w:pPr>
          </w:p>
        </w:tc>
      </w:tr>
      <w:tr w:rsidR="008900DD" w:rsidRPr="00FE6FE7" w:rsidTr="00EF242B">
        <w:trPr>
          <w:trHeight w:val="290"/>
        </w:trPr>
        <w:tc>
          <w:tcPr>
            <w:tcW w:w="778" w:type="pct"/>
            <w:tcBorders>
              <w:top w:val="nil"/>
              <w:left w:val="single" w:sz="4" w:space="0" w:color="5B9BD5"/>
              <w:bottom w:val="nil"/>
              <w:right w:val="nil"/>
            </w:tcBorders>
            <w:shd w:val="clear" w:color="000000" w:fill="FFFFFF"/>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Ward Transfer file</w:t>
            </w:r>
          </w:p>
        </w:tc>
        <w:tc>
          <w:tcPr>
            <w:tcW w:w="479"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190,908</w:t>
            </w:r>
          </w:p>
        </w:tc>
        <w:tc>
          <w:tcPr>
            <w:tcW w:w="478"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190,908</w:t>
            </w:r>
          </w:p>
        </w:tc>
        <w:tc>
          <w:tcPr>
            <w:tcW w:w="28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190,908</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190,908</w:t>
            </w:r>
          </w:p>
        </w:tc>
        <w:tc>
          <w:tcPr>
            <w:tcW w:w="39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9" w:type="pct"/>
            <w:tcBorders>
              <w:top w:val="nil"/>
              <w:left w:val="nil"/>
              <w:bottom w:val="nil"/>
              <w:right w:val="single" w:sz="4" w:space="0" w:color="5B9BD5"/>
            </w:tcBorders>
            <w:shd w:val="clear" w:color="000000" w:fill="FFFFFF"/>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r w:rsidR="003E3288" w:rsidRPr="00FE6FE7" w:rsidTr="00EF242B">
        <w:trPr>
          <w:trHeight w:val="290"/>
        </w:trPr>
        <w:tc>
          <w:tcPr>
            <w:tcW w:w="778" w:type="pct"/>
            <w:tcBorders>
              <w:top w:val="nil"/>
              <w:left w:val="single" w:sz="4" w:space="0" w:color="5B9BD5"/>
              <w:bottom w:val="nil"/>
              <w:right w:val="nil"/>
            </w:tcBorders>
            <w:shd w:val="clear" w:color="000000" w:fill="DDEBF7"/>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Diagnosis Codes</w:t>
            </w:r>
          </w:p>
        </w:tc>
        <w:tc>
          <w:tcPr>
            <w:tcW w:w="479"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194,510</w:t>
            </w:r>
          </w:p>
        </w:tc>
        <w:tc>
          <w:tcPr>
            <w:tcW w:w="478"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194,510</w:t>
            </w:r>
          </w:p>
        </w:tc>
        <w:tc>
          <w:tcPr>
            <w:tcW w:w="283"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194,510</w:t>
            </w:r>
          </w:p>
        </w:tc>
        <w:tc>
          <w:tcPr>
            <w:tcW w:w="412"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194,510</w:t>
            </w:r>
          </w:p>
        </w:tc>
        <w:tc>
          <w:tcPr>
            <w:tcW w:w="397"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7"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9" w:type="pct"/>
            <w:tcBorders>
              <w:top w:val="nil"/>
              <w:left w:val="nil"/>
              <w:bottom w:val="nil"/>
              <w:right w:val="single" w:sz="4" w:space="0" w:color="5B9BD5"/>
            </w:tcBorders>
            <w:shd w:val="clear" w:color="000000" w:fill="DDEBF7"/>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r w:rsidR="003E3288" w:rsidRPr="00FE6FE7" w:rsidTr="00EF242B">
        <w:trPr>
          <w:trHeight w:val="290"/>
        </w:trPr>
        <w:tc>
          <w:tcPr>
            <w:tcW w:w="778" w:type="pct"/>
            <w:tcBorders>
              <w:top w:val="nil"/>
              <w:left w:val="single" w:sz="4" w:space="0" w:color="5B9BD5"/>
              <w:bottom w:val="nil"/>
              <w:right w:val="nil"/>
            </w:tcBorders>
            <w:shd w:val="clear" w:color="000000" w:fill="FFFFFF"/>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Procedure Codes</w:t>
            </w:r>
          </w:p>
        </w:tc>
        <w:tc>
          <w:tcPr>
            <w:tcW w:w="479"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113,629</w:t>
            </w:r>
          </w:p>
        </w:tc>
        <w:tc>
          <w:tcPr>
            <w:tcW w:w="478" w:type="pct"/>
            <w:tcBorders>
              <w:top w:val="nil"/>
              <w:left w:val="nil"/>
              <w:bottom w:val="nil"/>
              <w:right w:val="nil"/>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113,629</w:t>
            </w:r>
          </w:p>
        </w:tc>
        <w:tc>
          <w:tcPr>
            <w:tcW w:w="283"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nil"/>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113,629</w:t>
            </w:r>
          </w:p>
        </w:tc>
        <w:tc>
          <w:tcPr>
            <w:tcW w:w="412"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113,629</w:t>
            </w:r>
          </w:p>
        </w:tc>
        <w:tc>
          <w:tcPr>
            <w:tcW w:w="397" w:type="pct"/>
            <w:tcBorders>
              <w:top w:val="nil"/>
              <w:left w:val="nil"/>
              <w:bottom w:val="nil"/>
              <w:right w:val="nil"/>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7"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9" w:type="pct"/>
            <w:tcBorders>
              <w:top w:val="nil"/>
              <w:left w:val="nil"/>
              <w:bottom w:val="nil"/>
              <w:right w:val="single" w:sz="4" w:space="0" w:color="5B9BD5"/>
            </w:tcBorders>
            <w:shd w:val="clear" w:color="000000" w:fill="FFFFFF"/>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r w:rsidR="003E3288" w:rsidRPr="00FE6FE7" w:rsidTr="00EF242B">
        <w:trPr>
          <w:trHeight w:val="290"/>
        </w:trPr>
        <w:tc>
          <w:tcPr>
            <w:tcW w:w="778" w:type="pct"/>
            <w:tcBorders>
              <w:top w:val="nil"/>
              <w:left w:val="single" w:sz="4" w:space="0" w:color="5B9BD5"/>
              <w:bottom w:val="nil"/>
              <w:right w:val="nil"/>
            </w:tcBorders>
            <w:shd w:val="clear" w:color="000000" w:fill="DDEBF7"/>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Outpatient Booked &amp;Non Booked</w:t>
            </w:r>
          </w:p>
        </w:tc>
        <w:tc>
          <w:tcPr>
            <w:tcW w:w="479"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173,533</w:t>
            </w:r>
          </w:p>
        </w:tc>
        <w:tc>
          <w:tcPr>
            <w:tcW w:w="478"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173,533</w:t>
            </w:r>
          </w:p>
        </w:tc>
        <w:tc>
          <w:tcPr>
            <w:tcW w:w="283"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173,533</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173,533</w:t>
            </w:r>
          </w:p>
        </w:tc>
        <w:tc>
          <w:tcPr>
            <w:tcW w:w="397"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7"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9" w:type="pct"/>
            <w:tcBorders>
              <w:top w:val="nil"/>
              <w:left w:val="nil"/>
              <w:bottom w:val="nil"/>
              <w:right w:val="single" w:sz="4" w:space="0" w:color="5B9BD5"/>
            </w:tcBorders>
            <w:shd w:val="clear" w:color="000000" w:fill="DDEBF7"/>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r w:rsidR="003E3288" w:rsidRPr="00FE6FE7" w:rsidTr="00EF242B">
        <w:trPr>
          <w:trHeight w:val="290"/>
        </w:trPr>
        <w:tc>
          <w:tcPr>
            <w:tcW w:w="778" w:type="pct"/>
            <w:tcBorders>
              <w:top w:val="nil"/>
              <w:left w:val="single" w:sz="4" w:space="0" w:color="5B9BD5"/>
              <w:bottom w:val="nil"/>
              <w:right w:val="nil"/>
            </w:tcBorders>
            <w:shd w:val="clear" w:color="000000" w:fill="FFFFFF"/>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Emergency</w:t>
            </w:r>
          </w:p>
        </w:tc>
        <w:tc>
          <w:tcPr>
            <w:tcW w:w="479"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41,745</w:t>
            </w:r>
          </w:p>
        </w:tc>
        <w:tc>
          <w:tcPr>
            <w:tcW w:w="478" w:type="pct"/>
            <w:tcBorders>
              <w:top w:val="nil"/>
              <w:left w:val="nil"/>
              <w:bottom w:val="nil"/>
              <w:right w:val="nil"/>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41,745</w:t>
            </w:r>
          </w:p>
        </w:tc>
        <w:tc>
          <w:tcPr>
            <w:tcW w:w="283"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nil"/>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41,745</w:t>
            </w:r>
          </w:p>
        </w:tc>
        <w:tc>
          <w:tcPr>
            <w:tcW w:w="412"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41,745</w:t>
            </w:r>
          </w:p>
        </w:tc>
        <w:tc>
          <w:tcPr>
            <w:tcW w:w="397" w:type="pct"/>
            <w:tcBorders>
              <w:top w:val="nil"/>
              <w:left w:val="nil"/>
              <w:bottom w:val="nil"/>
              <w:right w:val="nil"/>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7"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9" w:type="pct"/>
            <w:tcBorders>
              <w:top w:val="nil"/>
              <w:left w:val="nil"/>
              <w:bottom w:val="nil"/>
              <w:right w:val="single" w:sz="4" w:space="0" w:color="5B9BD5"/>
            </w:tcBorders>
            <w:shd w:val="clear" w:color="000000" w:fill="FFFFFF"/>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r w:rsidR="003E3288" w:rsidRPr="00FE6FE7" w:rsidTr="00EF242B">
        <w:trPr>
          <w:trHeight w:val="290"/>
        </w:trPr>
        <w:tc>
          <w:tcPr>
            <w:tcW w:w="778" w:type="pct"/>
            <w:tcBorders>
              <w:top w:val="nil"/>
              <w:left w:val="single" w:sz="4" w:space="0" w:color="5B9BD5"/>
              <w:bottom w:val="nil"/>
              <w:right w:val="nil"/>
            </w:tcBorders>
            <w:shd w:val="clear" w:color="000000" w:fill="DDEBF7"/>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Surgical Minutes</w:t>
            </w:r>
          </w:p>
        </w:tc>
        <w:tc>
          <w:tcPr>
            <w:tcW w:w="479"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23,936</w:t>
            </w:r>
          </w:p>
        </w:tc>
        <w:tc>
          <w:tcPr>
            <w:tcW w:w="478"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23,936</w:t>
            </w:r>
          </w:p>
        </w:tc>
        <w:tc>
          <w:tcPr>
            <w:tcW w:w="283"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23,936</w:t>
            </w:r>
          </w:p>
        </w:tc>
        <w:tc>
          <w:tcPr>
            <w:tcW w:w="412"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23,936</w:t>
            </w:r>
          </w:p>
        </w:tc>
        <w:tc>
          <w:tcPr>
            <w:tcW w:w="397"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7"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9" w:type="pct"/>
            <w:tcBorders>
              <w:top w:val="nil"/>
              <w:left w:val="nil"/>
              <w:bottom w:val="nil"/>
              <w:right w:val="single" w:sz="4" w:space="0" w:color="5B9BD5"/>
            </w:tcBorders>
            <w:shd w:val="clear" w:color="000000" w:fill="DDEBF7"/>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r w:rsidR="003E3288" w:rsidRPr="00FE6FE7" w:rsidTr="00EF242B">
        <w:trPr>
          <w:trHeight w:val="290"/>
        </w:trPr>
        <w:tc>
          <w:tcPr>
            <w:tcW w:w="778" w:type="pct"/>
            <w:tcBorders>
              <w:top w:val="nil"/>
              <w:left w:val="single" w:sz="4" w:space="0" w:color="5B9BD5"/>
              <w:bottom w:val="nil"/>
              <w:right w:val="nil"/>
            </w:tcBorders>
            <w:shd w:val="clear" w:color="000000" w:fill="FFFFFF"/>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Anaesthetic Minutes</w:t>
            </w:r>
          </w:p>
        </w:tc>
        <w:tc>
          <w:tcPr>
            <w:tcW w:w="479"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19,636</w:t>
            </w:r>
          </w:p>
        </w:tc>
        <w:tc>
          <w:tcPr>
            <w:tcW w:w="478" w:type="pct"/>
            <w:tcBorders>
              <w:top w:val="nil"/>
              <w:left w:val="nil"/>
              <w:bottom w:val="nil"/>
              <w:right w:val="nil"/>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19,636</w:t>
            </w:r>
          </w:p>
        </w:tc>
        <w:tc>
          <w:tcPr>
            <w:tcW w:w="283"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nil"/>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19,636</w:t>
            </w:r>
          </w:p>
        </w:tc>
        <w:tc>
          <w:tcPr>
            <w:tcW w:w="412"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19,636</w:t>
            </w:r>
          </w:p>
        </w:tc>
        <w:tc>
          <w:tcPr>
            <w:tcW w:w="397" w:type="pct"/>
            <w:tcBorders>
              <w:top w:val="nil"/>
              <w:left w:val="nil"/>
              <w:bottom w:val="nil"/>
              <w:right w:val="nil"/>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7"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9" w:type="pct"/>
            <w:tcBorders>
              <w:top w:val="nil"/>
              <w:left w:val="nil"/>
              <w:bottom w:val="nil"/>
              <w:right w:val="single" w:sz="4" w:space="0" w:color="5B9BD5"/>
            </w:tcBorders>
            <w:shd w:val="clear" w:color="000000" w:fill="FFFFFF"/>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r w:rsidR="003E3288" w:rsidRPr="00FE6FE7" w:rsidTr="00EF242B">
        <w:trPr>
          <w:trHeight w:val="290"/>
        </w:trPr>
        <w:tc>
          <w:tcPr>
            <w:tcW w:w="778" w:type="pct"/>
            <w:tcBorders>
              <w:top w:val="nil"/>
              <w:left w:val="single" w:sz="4" w:space="0" w:color="5B9BD5"/>
              <w:bottom w:val="nil"/>
              <w:right w:val="nil"/>
            </w:tcBorders>
            <w:shd w:val="clear" w:color="000000" w:fill="DDEBF7"/>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Recovery Minutes</w:t>
            </w:r>
          </w:p>
        </w:tc>
        <w:tc>
          <w:tcPr>
            <w:tcW w:w="479"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18,790</w:t>
            </w:r>
          </w:p>
        </w:tc>
        <w:tc>
          <w:tcPr>
            <w:tcW w:w="478"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18,790</w:t>
            </w:r>
          </w:p>
        </w:tc>
        <w:tc>
          <w:tcPr>
            <w:tcW w:w="283"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18,790</w:t>
            </w:r>
          </w:p>
        </w:tc>
        <w:tc>
          <w:tcPr>
            <w:tcW w:w="412"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18,790</w:t>
            </w:r>
          </w:p>
        </w:tc>
        <w:tc>
          <w:tcPr>
            <w:tcW w:w="397"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7"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9" w:type="pct"/>
            <w:tcBorders>
              <w:top w:val="nil"/>
              <w:left w:val="nil"/>
              <w:bottom w:val="nil"/>
              <w:right w:val="single" w:sz="4" w:space="0" w:color="5B9BD5"/>
            </w:tcBorders>
            <w:shd w:val="clear" w:color="000000" w:fill="DDEBF7"/>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r w:rsidR="008900DD" w:rsidRPr="00FE6FE7" w:rsidTr="00EF242B">
        <w:trPr>
          <w:trHeight w:val="290"/>
        </w:trPr>
        <w:tc>
          <w:tcPr>
            <w:tcW w:w="778" w:type="pct"/>
            <w:tcBorders>
              <w:top w:val="nil"/>
              <w:left w:val="single" w:sz="4" w:space="0" w:color="5B9BD5"/>
              <w:bottom w:val="nil"/>
              <w:right w:val="nil"/>
            </w:tcBorders>
            <w:shd w:val="clear" w:color="000000" w:fill="FFFFFF"/>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Implants</w:t>
            </w:r>
          </w:p>
        </w:tc>
        <w:tc>
          <w:tcPr>
            <w:tcW w:w="479"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22,911</w:t>
            </w:r>
          </w:p>
        </w:tc>
        <w:tc>
          <w:tcPr>
            <w:tcW w:w="478"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22,911</w:t>
            </w:r>
          </w:p>
        </w:tc>
        <w:tc>
          <w:tcPr>
            <w:tcW w:w="28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22,911</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22,911</w:t>
            </w:r>
          </w:p>
        </w:tc>
        <w:tc>
          <w:tcPr>
            <w:tcW w:w="39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9" w:type="pct"/>
            <w:tcBorders>
              <w:top w:val="nil"/>
              <w:left w:val="nil"/>
              <w:bottom w:val="nil"/>
              <w:right w:val="single" w:sz="4" w:space="0" w:color="5B9BD5"/>
            </w:tcBorders>
            <w:shd w:val="clear" w:color="000000" w:fill="FFFFFF"/>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r w:rsidR="003E3288" w:rsidRPr="00FE6FE7" w:rsidTr="00EF242B">
        <w:trPr>
          <w:trHeight w:val="290"/>
        </w:trPr>
        <w:tc>
          <w:tcPr>
            <w:tcW w:w="778" w:type="pct"/>
            <w:tcBorders>
              <w:top w:val="nil"/>
              <w:left w:val="single" w:sz="4" w:space="0" w:color="5B9BD5"/>
              <w:bottom w:val="nil"/>
              <w:right w:val="nil"/>
            </w:tcBorders>
            <w:shd w:val="clear" w:color="000000" w:fill="DDEBF7"/>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Allied Health</w:t>
            </w:r>
          </w:p>
        </w:tc>
        <w:tc>
          <w:tcPr>
            <w:tcW w:w="479"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385,742</w:t>
            </w:r>
          </w:p>
        </w:tc>
        <w:tc>
          <w:tcPr>
            <w:tcW w:w="478"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385,742</w:t>
            </w:r>
          </w:p>
        </w:tc>
        <w:tc>
          <w:tcPr>
            <w:tcW w:w="283"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202,551</w:t>
            </w:r>
          </w:p>
        </w:tc>
        <w:tc>
          <w:tcPr>
            <w:tcW w:w="412"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3,712</w:t>
            </w:r>
          </w:p>
        </w:tc>
        <w:tc>
          <w:tcPr>
            <w:tcW w:w="412"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166,089</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372,352</w:t>
            </w:r>
          </w:p>
        </w:tc>
        <w:tc>
          <w:tcPr>
            <w:tcW w:w="397"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7"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(13,390)</w:t>
            </w:r>
          </w:p>
        </w:tc>
        <w:tc>
          <w:tcPr>
            <w:tcW w:w="399" w:type="pct"/>
            <w:tcBorders>
              <w:top w:val="nil"/>
              <w:left w:val="nil"/>
              <w:bottom w:val="nil"/>
              <w:right w:val="single" w:sz="4" w:space="0" w:color="5B9BD5"/>
            </w:tcBorders>
            <w:shd w:val="clear" w:color="000000" w:fill="DDEBF7"/>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96.5%</w:t>
            </w:r>
          </w:p>
        </w:tc>
      </w:tr>
      <w:tr w:rsidR="008900DD" w:rsidRPr="00FE6FE7" w:rsidTr="00EF242B">
        <w:trPr>
          <w:trHeight w:val="290"/>
        </w:trPr>
        <w:tc>
          <w:tcPr>
            <w:tcW w:w="778" w:type="pct"/>
            <w:tcBorders>
              <w:top w:val="nil"/>
              <w:left w:val="single" w:sz="4" w:space="0" w:color="5B9BD5"/>
              <w:bottom w:val="nil"/>
              <w:right w:val="nil"/>
            </w:tcBorders>
            <w:shd w:val="clear" w:color="000000" w:fill="FFFFFF"/>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 xml:space="preserve">Pharmacy </w:t>
            </w:r>
          </w:p>
        </w:tc>
        <w:tc>
          <w:tcPr>
            <w:tcW w:w="479"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279,813</w:t>
            </w:r>
          </w:p>
        </w:tc>
        <w:tc>
          <w:tcPr>
            <w:tcW w:w="478"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279,813</w:t>
            </w:r>
          </w:p>
        </w:tc>
        <w:tc>
          <w:tcPr>
            <w:tcW w:w="28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129,931</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13,379</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18,999</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162,309</w:t>
            </w:r>
          </w:p>
        </w:tc>
        <w:tc>
          <w:tcPr>
            <w:tcW w:w="39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(117,504)</w:t>
            </w:r>
          </w:p>
        </w:tc>
        <w:tc>
          <w:tcPr>
            <w:tcW w:w="399" w:type="pct"/>
            <w:tcBorders>
              <w:top w:val="nil"/>
              <w:left w:val="nil"/>
              <w:bottom w:val="nil"/>
              <w:right w:val="single" w:sz="4" w:space="0" w:color="5B9BD5"/>
            </w:tcBorders>
            <w:shd w:val="clear" w:color="000000" w:fill="FFFFFF"/>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58.0%</w:t>
            </w:r>
          </w:p>
        </w:tc>
      </w:tr>
      <w:tr w:rsidR="003E3288" w:rsidRPr="00FE6FE7" w:rsidTr="00EF242B">
        <w:trPr>
          <w:trHeight w:val="290"/>
        </w:trPr>
        <w:tc>
          <w:tcPr>
            <w:tcW w:w="778" w:type="pct"/>
            <w:tcBorders>
              <w:top w:val="nil"/>
              <w:left w:val="single" w:sz="4" w:space="0" w:color="5B9BD5"/>
              <w:bottom w:val="nil"/>
              <w:right w:val="nil"/>
            </w:tcBorders>
            <w:shd w:val="clear" w:color="000000" w:fill="DDEBF7"/>
            <w:noWrap/>
            <w:vAlign w:val="center"/>
            <w:hideMark/>
          </w:tcPr>
          <w:p w:rsidR="00FE6FE7" w:rsidRPr="00CD1518" w:rsidRDefault="00FE6FE7">
            <w:pPr>
              <w:spacing w:line="240" w:lineRule="auto"/>
              <w:rPr>
                <w:color w:val="000000"/>
                <w:sz w:val="12"/>
                <w:szCs w:val="12"/>
                <w:lang w:eastAsia="en-AU"/>
              </w:rPr>
            </w:pPr>
            <w:proofErr w:type="spellStart"/>
            <w:r w:rsidRPr="00CD1518">
              <w:rPr>
                <w:color w:val="000000"/>
                <w:sz w:val="12"/>
                <w:szCs w:val="12"/>
                <w:lang w:eastAsia="en-AU"/>
              </w:rPr>
              <w:t>PharmDayOncology</w:t>
            </w:r>
            <w:proofErr w:type="spellEnd"/>
            <w:r w:rsidRPr="00CD1518">
              <w:rPr>
                <w:color w:val="000000"/>
                <w:sz w:val="12"/>
                <w:szCs w:val="12"/>
                <w:lang w:eastAsia="en-AU"/>
              </w:rPr>
              <w:t xml:space="preserve"> </w:t>
            </w:r>
          </w:p>
        </w:tc>
        <w:tc>
          <w:tcPr>
            <w:tcW w:w="479"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13,080</w:t>
            </w:r>
          </w:p>
        </w:tc>
        <w:tc>
          <w:tcPr>
            <w:tcW w:w="478"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13,080</w:t>
            </w:r>
          </w:p>
        </w:tc>
        <w:tc>
          <w:tcPr>
            <w:tcW w:w="283"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9,716</w:t>
            </w:r>
          </w:p>
        </w:tc>
        <w:tc>
          <w:tcPr>
            <w:tcW w:w="412"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88</w:t>
            </w:r>
          </w:p>
        </w:tc>
        <w:tc>
          <w:tcPr>
            <w:tcW w:w="412"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2,951</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12,755</w:t>
            </w:r>
          </w:p>
        </w:tc>
        <w:tc>
          <w:tcPr>
            <w:tcW w:w="397"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7"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(325)</w:t>
            </w:r>
          </w:p>
        </w:tc>
        <w:tc>
          <w:tcPr>
            <w:tcW w:w="399" w:type="pct"/>
            <w:tcBorders>
              <w:top w:val="nil"/>
              <w:left w:val="nil"/>
              <w:bottom w:val="nil"/>
              <w:right w:val="single" w:sz="4" w:space="0" w:color="5B9BD5"/>
            </w:tcBorders>
            <w:shd w:val="clear" w:color="000000" w:fill="DDEBF7"/>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97.5%</w:t>
            </w:r>
          </w:p>
        </w:tc>
      </w:tr>
      <w:tr w:rsidR="008900DD" w:rsidRPr="00FE6FE7" w:rsidTr="00EF242B">
        <w:trPr>
          <w:trHeight w:val="290"/>
        </w:trPr>
        <w:tc>
          <w:tcPr>
            <w:tcW w:w="778" w:type="pct"/>
            <w:tcBorders>
              <w:top w:val="nil"/>
              <w:left w:val="single" w:sz="4" w:space="0" w:color="5B9BD5"/>
              <w:bottom w:val="nil"/>
              <w:right w:val="nil"/>
            </w:tcBorders>
            <w:shd w:val="clear" w:color="000000" w:fill="FFFFFF"/>
            <w:noWrap/>
            <w:vAlign w:val="center"/>
            <w:hideMark/>
          </w:tcPr>
          <w:p w:rsidR="00FE6FE7" w:rsidRPr="00CD1518" w:rsidRDefault="00FE6FE7">
            <w:pPr>
              <w:spacing w:line="240" w:lineRule="auto"/>
              <w:rPr>
                <w:color w:val="000000"/>
                <w:sz w:val="12"/>
                <w:szCs w:val="12"/>
                <w:lang w:eastAsia="en-AU"/>
              </w:rPr>
            </w:pPr>
            <w:proofErr w:type="spellStart"/>
            <w:r w:rsidRPr="00CD1518">
              <w:rPr>
                <w:color w:val="000000"/>
                <w:sz w:val="12"/>
                <w:szCs w:val="12"/>
                <w:lang w:eastAsia="en-AU"/>
              </w:rPr>
              <w:t>PharmStGeorges</w:t>
            </w:r>
            <w:proofErr w:type="spellEnd"/>
            <w:r w:rsidRPr="00CD1518">
              <w:rPr>
                <w:color w:val="000000"/>
                <w:sz w:val="12"/>
                <w:szCs w:val="12"/>
                <w:lang w:eastAsia="en-AU"/>
              </w:rPr>
              <w:t xml:space="preserve"> </w:t>
            </w:r>
          </w:p>
        </w:tc>
        <w:tc>
          <w:tcPr>
            <w:tcW w:w="479"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7,450</w:t>
            </w:r>
          </w:p>
        </w:tc>
        <w:tc>
          <w:tcPr>
            <w:tcW w:w="478"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7,450</w:t>
            </w:r>
          </w:p>
        </w:tc>
        <w:tc>
          <w:tcPr>
            <w:tcW w:w="28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6,896</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13</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161</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7,070</w:t>
            </w:r>
          </w:p>
        </w:tc>
        <w:tc>
          <w:tcPr>
            <w:tcW w:w="39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(380)</w:t>
            </w:r>
          </w:p>
        </w:tc>
        <w:tc>
          <w:tcPr>
            <w:tcW w:w="399" w:type="pct"/>
            <w:tcBorders>
              <w:top w:val="nil"/>
              <w:left w:val="nil"/>
              <w:bottom w:val="nil"/>
              <w:right w:val="single" w:sz="4" w:space="0" w:color="5B9BD5"/>
            </w:tcBorders>
            <w:shd w:val="clear" w:color="000000" w:fill="FFFFFF"/>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95%</w:t>
            </w:r>
          </w:p>
        </w:tc>
      </w:tr>
      <w:tr w:rsidR="003E3288" w:rsidRPr="00FE6FE7" w:rsidTr="00EF242B">
        <w:trPr>
          <w:trHeight w:val="290"/>
        </w:trPr>
        <w:tc>
          <w:tcPr>
            <w:tcW w:w="778" w:type="pct"/>
            <w:tcBorders>
              <w:top w:val="nil"/>
              <w:left w:val="single" w:sz="4" w:space="0" w:color="5B9BD5"/>
              <w:bottom w:val="nil"/>
              <w:right w:val="nil"/>
            </w:tcBorders>
            <w:shd w:val="clear" w:color="000000" w:fill="DDEBF7"/>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Total Imaging</w:t>
            </w:r>
          </w:p>
        </w:tc>
        <w:tc>
          <w:tcPr>
            <w:tcW w:w="479"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102,609</w:t>
            </w:r>
          </w:p>
        </w:tc>
        <w:tc>
          <w:tcPr>
            <w:tcW w:w="478"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102,609</w:t>
            </w:r>
          </w:p>
        </w:tc>
        <w:tc>
          <w:tcPr>
            <w:tcW w:w="283"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46,121</w:t>
            </w:r>
          </w:p>
        </w:tc>
        <w:tc>
          <w:tcPr>
            <w:tcW w:w="412"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24,330</w:t>
            </w:r>
          </w:p>
        </w:tc>
        <w:tc>
          <w:tcPr>
            <w:tcW w:w="412"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22,919</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93,370</w:t>
            </w:r>
          </w:p>
        </w:tc>
        <w:tc>
          <w:tcPr>
            <w:tcW w:w="397"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p>
        </w:tc>
        <w:tc>
          <w:tcPr>
            <w:tcW w:w="477"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(9,239)</w:t>
            </w:r>
          </w:p>
        </w:tc>
        <w:tc>
          <w:tcPr>
            <w:tcW w:w="399" w:type="pct"/>
            <w:tcBorders>
              <w:top w:val="nil"/>
              <w:left w:val="nil"/>
              <w:bottom w:val="nil"/>
              <w:right w:val="single" w:sz="4" w:space="0" w:color="5B9BD5"/>
            </w:tcBorders>
            <w:shd w:val="clear" w:color="000000" w:fill="DDEBF7"/>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91%</w:t>
            </w:r>
          </w:p>
        </w:tc>
      </w:tr>
      <w:tr w:rsidR="008900DD" w:rsidRPr="00FE6FE7" w:rsidTr="00EF242B">
        <w:trPr>
          <w:trHeight w:val="290"/>
        </w:trPr>
        <w:tc>
          <w:tcPr>
            <w:tcW w:w="778" w:type="pct"/>
            <w:tcBorders>
              <w:top w:val="nil"/>
              <w:left w:val="single" w:sz="4" w:space="0" w:color="5B9BD5"/>
              <w:bottom w:val="nil"/>
              <w:right w:val="nil"/>
            </w:tcBorders>
            <w:shd w:val="clear" w:color="000000" w:fill="FFFFFF"/>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Imaging Prosthetic</w:t>
            </w:r>
          </w:p>
        </w:tc>
        <w:tc>
          <w:tcPr>
            <w:tcW w:w="479"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1,759</w:t>
            </w:r>
          </w:p>
        </w:tc>
        <w:tc>
          <w:tcPr>
            <w:tcW w:w="478"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1,759</w:t>
            </w:r>
          </w:p>
        </w:tc>
        <w:tc>
          <w:tcPr>
            <w:tcW w:w="28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1,731</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10</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14</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1,755</w:t>
            </w:r>
          </w:p>
        </w:tc>
        <w:tc>
          <w:tcPr>
            <w:tcW w:w="39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p>
        </w:tc>
        <w:tc>
          <w:tcPr>
            <w:tcW w:w="47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(4)</w:t>
            </w:r>
          </w:p>
        </w:tc>
        <w:tc>
          <w:tcPr>
            <w:tcW w:w="399" w:type="pct"/>
            <w:tcBorders>
              <w:top w:val="nil"/>
              <w:left w:val="nil"/>
              <w:bottom w:val="nil"/>
              <w:right w:val="single" w:sz="4" w:space="0" w:color="5B9BD5"/>
            </w:tcBorders>
            <w:shd w:val="clear" w:color="000000" w:fill="FFFFFF"/>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r w:rsidR="003E3288" w:rsidRPr="00FE6FE7" w:rsidTr="00EF242B">
        <w:trPr>
          <w:trHeight w:val="290"/>
        </w:trPr>
        <w:tc>
          <w:tcPr>
            <w:tcW w:w="778" w:type="pct"/>
            <w:tcBorders>
              <w:top w:val="nil"/>
              <w:left w:val="single" w:sz="4" w:space="0" w:color="5B9BD5"/>
              <w:bottom w:val="nil"/>
              <w:right w:val="nil"/>
            </w:tcBorders>
            <w:shd w:val="clear" w:color="000000" w:fill="DDEBF7"/>
            <w:noWrap/>
            <w:vAlign w:val="center"/>
            <w:hideMark/>
          </w:tcPr>
          <w:p w:rsidR="00FE6FE7" w:rsidRPr="00CD1518" w:rsidRDefault="00FE6FE7">
            <w:pPr>
              <w:spacing w:line="240" w:lineRule="auto"/>
              <w:rPr>
                <w:color w:val="000000"/>
                <w:sz w:val="12"/>
                <w:szCs w:val="12"/>
                <w:lang w:eastAsia="en-AU"/>
              </w:rPr>
            </w:pPr>
            <w:proofErr w:type="spellStart"/>
            <w:r w:rsidRPr="00CD1518">
              <w:rPr>
                <w:color w:val="000000"/>
                <w:sz w:val="12"/>
                <w:szCs w:val="12"/>
                <w:lang w:eastAsia="en-AU"/>
              </w:rPr>
              <w:t>TotalPath</w:t>
            </w:r>
            <w:proofErr w:type="spellEnd"/>
          </w:p>
        </w:tc>
        <w:tc>
          <w:tcPr>
            <w:tcW w:w="479"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1,084,519</w:t>
            </w:r>
          </w:p>
        </w:tc>
        <w:tc>
          <w:tcPr>
            <w:tcW w:w="478"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1,084,519</w:t>
            </w:r>
          </w:p>
        </w:tc>
        <w:tc>
          <w:tcPr>
            <w:tcW w:w="283"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620,861</w:t>
            </w:r>
          </w:p>
        </w:tc>
        <w:tc>
          <w:tcPr>
            <w:tcW w:w="412"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291,391</w:t>
            </w:r>
          </w:p>
        </w:tc>
        <w:tc>
          <w:tcPr>
            <w:tcW w:w="412"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153,218</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1,065,470</w:t>
            </w:r>
          </w:p>
        </w:tc>
        <w:tc>
          <w:tcPr>
            <w:tcW w:w="397"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p>
        </w:tc>
        <w:tc>
          <w:tcPr>
            <w:tcW w:w="477"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(19,049)</w:t>
            </w:r>
          </w:p>
        </w:tc>
        <w:tc>
          <w:tcPr>
            <w:tcW w:w="399" w:type="pct"/>
            <w:tcBorders>
              <w:top w:val="nil"/>
              <w:left w:val="nil"/>
              <w:bottom w:val="nil"/>
              <w:right w:val="single" w:sz="4" w:space="0" w:color="5B9BD5"/>
            </w:tcBorders>
            <w:shd w:val="clear" w:color="000000" w:fill="DDEBF7"/>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98%</w:t>
            </w:r>
          </w:p>
        </w:tc>
      </w:tr>
      <w:tr w:rsidR="008900DD" w:rsidRPr="00FE6FE7" w:rsidTr="00EF242B">
        <w:trPr>
          <w:trHeight w:val="290"/>
        </w:trPr>
        <w:tc>
          <w:tcPr>
            <w:tcW w:w="778" w:type="pct"/>
            <w:tcBorders>
              <w:top w:val="nil"/>
              <w:left w:val="single" w:sz="4" w:space="0" w:color="5B9BD5"/>
              <w:bottom w:val="nil"/>
              <w:right w:val="nil"/>
            </w:tcBorders>
            <w:shd w:val="clear" w:color="000000" w:fill="FFFFFF"/>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ICU-High Dependency Beds</w:t>
            </w:r>
          </w:p>
        </w:tc>
        <w:tc>
          <w:tcPr>
            <w:tcW w:w="479"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165</w:t>
            </w:r>
          </w:p>
        </w:tc>
        <w:tc>
          <w:tcPr>
            <w:tcW w:w="478"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165</w:t>
            </w:r>
          </w:p>
        </w:tc>
        <w:tc>
          <w:tcPr>
            <w:tcW w:w="28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165</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165</w:t>
            </w:r>
          </w:p>
        </w:tc>
        <w:tc>
          <w:tcPr>
            <w:tcW w:w="39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p>
        </w:tc>
        <w:tc>
          <w:tcPr>
            <w:tcW w:w="47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9" w:type="pct"/>
            <w:tcBorders>
              <w:top w:val="nil"/>
              <w:left w:val="nil"/>
              <w:bottom w:val="nil"/>
              <w:right w:val="single" w:sz="4" w:space="0" w:color="5B9BD5"/>
            </w:tcBorders>
            <w:shd w:val="clear" w:color="000000" w:fill="FFFFFF"/>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r w:rsidR="003E3288" w:rsidRPr="00FE6FE7" w:rsidTr="00EF242B">
        <w:trPr>
          <w:trHeight w:val="290"/>
        </w:trPr>
        <w:tc>
          <w:tcPr>
            <w:tcW w:w="778" w:type="pct"/>
            <w:tcBorders>
              <w:top w:val="nil"/>
              <w:left w:val="single" w:sz="4" w:space="0" w:color="5B9BD5"/>
              <w:bottom w:val="nil"/>
              <w:right w:val="nil"/>
            </w:tcBorders>
            <w:shd w:val="clear" w:color="000000" w:fill="DDEBF7"/>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Dummy Service</w:t>
            </w:r>
          </w:p>
        </w:tc>
        <w:tc>
          <w:tcPr>
            <w:tcW w:w="479"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16</w:t>
            </w:r>
          </w:p>
        </w:tc>
        <w:tc>
          <w:tcPr>
            <w:tcW w:w="478"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16</w:t>
            </w:r>
          </w:p>
        </w:tc>
        <w:tc>
          <w:tcPr>
            <w:tcW w:w="283"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7"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p>
        </w:tc>
        <w:tc>
          <w:tcPr>
            <w:tcW w:w="477"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(16)</w:t>
            </w:r>
          </w:p>
        </w:tc>
        <w:tc>
          <w:tcPr>
            <w:tcW w:w="399" w:type="pct"/>
            <w:tcBorders>
              <w:top w:val="nil"/>
              <w:left w:val="nil"/>
              <w:bottom w:val="nil"/>
              <w:right w:val="single" w:sz="4" w:space="0" w:color="5B9BD5"/>
            </w:tcBorders>
            <w:shd w:val="clear" w:color="000000" w:fill="DDEBF7"/>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0%</w:t>
            </w:r>
          </w:p>
        </w:tc>
      </w:tr>
      <w:tr w:rsidR="008900DD" w:rsidRPr="00FE6FE7" w:rsidTr="00EF242B">
        <w:trPr>
          <w:trHeight w:val="290"/>
        </w:trPr>
        <w:tc>
          <w:tcPr>
            <w:tcW w:w="778" w:type="pct"/>
            <w:tcBorders>
              <w:top w:val="nil"/>
              <w:left w:val="single" w:sz="4" w:space="0" w:color="5B9BD5"/>
              <w:bottom w:val="nil"/>
              <w:right w:val="nil"/>
            </w:tcBorders>
            <w:shd w:val="clear" w:color="000000" w:fill="FFFFFF"/>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HARP - Service</w:t>
            </w:r>
          </w:p>
        </w:tc>
        <w:tc>
          <w:tcPr>
            <w:tcW w:w="479"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27,268</w:t>
            </w:r>
          </w:p>
        </w:tc>
        <w:tc>
          <w:tcPr>
            <w:tcW w:w="478"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27,268</w:t>
            </w:r>
          </w:p>
        </w:tc>
        <w:tc>
          <w:tcPr>
            <w:tcW w:w="28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p>
        </w:tc>
        <w:tc>
          <w:tcPr>
            <w:tcW w:w="47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(27,268)</w:t>
            </w:r>
          </w:p>
        </w:tc>
        <w:tc>
          <w:tcPr>
            <w:tcW w:w="399" w:type="pct"/>
            <w:tcBorders>
              <w:top w:val="nil"/>
              <w:left w:val="nil"/>
              <w:bottom w:val="nil"/>
              <w:right w:val="single" w:sz="4" w:space="0" w:color="5B9BD5"/>
            </w:tcBorders>
            <w:shd w:val="clear" w:color="000000" w:fill="FFFFFF"/>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0%</w:t>
            </w:r>
          </w:p>
        </w:tc>
      </w:tr>
      <w:tr w:rsidR="003E3288" w:rsidRPr="00FE6FE7" w:rsidTr="00EF242B">
        <w:trPr>
          <w:trHeight w:val="290"/>
        </w:trPr>
        <w:tc>
          <w:tcPr>
            <w:tcW w:w="778" w:type="pct"/>
            <w:tcBorders>
              <w:top w:val="nil"/>
              <w:left w:val="single" w:sz="4" w:space="0" w:color="5B9BD5"/>
              <w:bottom w:val="nil"/>
              <w:right w:val="nil"/>
            </w:tcBorders>
            <w:shd w:val="clear" w:color="000000" w:fill="DDEBF7"/>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HACC - Service</w:t>
            </w:r>
          </w:p>
        </w:tc>
        <w:tc>
          <w:tcPr>
            <w:tcW w:w="479"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25,276</w:t>
            </w:r>
          </w:p>
        </w:tc>
        <w:tc>
          <w:tcPr>
            <w:tcW w:w="478"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25,276</w:t>
            </w:r>
          </w:p>
        </w:tc>
        <w:tc>
          <w:tcPr>
            <w:tcW w:w="283"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7"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p>
        </w:tc>
        <w:tc>
          <w:tcPr>
            <w:tcW w:w="477"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(25,276)</w:t>
            </w:r>
          </w:p>
        </w:tc>
        <w:tc>
          <w:tcPr>
            <w:tcW w:w="399" w:type="pct"/>
            <w:tcBorders>
              <w:top w:val="nil"/>
              <w:left w:val="nil"/>
              <w:bottom w:val="nil"/>
              <w:right w:val="single" w:sz="4" w:space="0" w:color="5B9BD5"/>
            </w:tcBorders>
            <w:shd w:val="clear" w:color="000000" w:fill="DDEBF7"/>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0%</w:t>
            </w:r>
          </w:p>
        </w:tc>
      </w:tr>
      <w:tr w:rsidR="008900DD" w:rsidRPr="00FE6FE7" w:rsidTr="00EF242B">
        <w:trPr>
          <w:trHeight w:val="290"/>
        </w:trPr>
        <w:tc>
          <w:tcPr>
            <w:tcW w:w="778" w:type="pct"/>
            <w:tcBorders>
              <w:top w:val="nil"/>
              <w:left w:val="single" w:sz="4" w:space="0" w:color="5B9BD5"/>
              <w:bottom w:val="nil"/>
              <w:right w:val="nil"/>
            </w:tcBorders>
            <w:shd w:val="clear" w:color="000000" w:fill="FFFFFF"/>
            <w:noWrap/>
            <w:vAlign w:val="center"/>
            <w:hideMark/>
          </w:tcPr>
          <w:p w:rsidR="00FE6FE7" w:rsidRPr="00CD1518" w:rsidRDefault="00FE6FE7">
            <w:pPr>
              <w:spacing w:line="240" w:lineRule="auto"/>
              <w:rPr>
                <w:color w:val="000000"/>
                <w:sz w:val="12"/>
                <w:szCs w:val="12"/>
                <w:lang w:eastAsia="en-AU"/>
              </w:rPr>
            </w:pPr>
            <w:proofErr w:type="spellStart"/>
            <w:r w:rsidRPr="00CD1518">
              <w:rPr>
                <w:color w:val="000000"/>
                <w:sz w:val="12"/>
                <w:szCs w:val="12"/>
                <w:lang w:eastAsia="en-AU"/>
              </w:rPr>
              <w:t>MentalHealth</w:t>
            </w:r>
            <w:proofErr w:type="spellEnd"/>
            <w:r w:rsidRPr="00CD1518">
              <w:rPr>
                <w:color w:val="000000"/>
                <w:sz w:val="12"/>
                <w:szCs w:val="12"/>
                <w:lang w:eastAsia="en-AU"/>
              </w:rPr>
              <w:t xml:space="preserve"> - Service</w:t>
            </w:r>
          </w:p>
        </w:tc>
        <w:tc>
          <w:tcPr>
            <w:tcW w:w="479"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113,792</w:t>
            </w:r>
          </w:p>
        </w:tc>
        <w:tc>
          <w:tcPr>
            <w:tcW w:w="478"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113,792</w:t>
            </w:r>
          </w:p>
        </w:tc>
        <w:tc>
          <w:tcPr>
            <w:tcW w:w="28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11,248</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3,974</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15,222</w:t>
            </w:r>
          </w:p>
        </w:tc>
        <w:tc>
          <w:tcPr>
            <w:tcW w:w="39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p>
        </w:tc>
        <w:tc>
          <w:tcPr>
            <w:tcW w:w="47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(98,570)</w:t>
            </w:r>
          </w:p>
        </w:tc>
        <w:tc>
          <w:tcPr>
            <w:tcW w:w="399" w:type="pct"/>
            <w:tcBorders>
              <w:top w:val="nil"/>
              <w:left w:val="nil"/>
              <w:bottom w:val="nil"/>
              <w:right w:val="single" w:sz="4" w:space="0" w:color="5B9BD5"/>
            </w:tcBorders>
            <w:shd w:val="clear" w:color="000000" w:fill="FFFFFF"/>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13%</w:t>
            </w:r>
          </w:p>
        </w:tc>
      </w:tr>
      <w:tr w:rsidR="003E3288" w:rsidRPr="00FE6FE7" w:rsidTr="00EF242B">
        <w:trPr>
          <w:trHeight w:val="290"/>
        </w:trPr>
        <w:tc>
          <w:tcPr>
            <w:tcW w:w="778" w:type="pct"/>
            <w:tcBorders>
              <w:top w:val="nil"/>
              <w:left w:val="single" w:sz="4" w:space="0" w:color="5B9BD5"/>
              <w:bottom w:val="nil"/>
              <w:right w:val="nil"/>
            </w:tcBorders>
            <w:shd w:val="clear" w:color="000000" w:fill="DDEBF7"/>
            <w:noWrap/>
            <w:vAlign w:val="center"/>
            <w:hideMark/>
          </w:tcPr>
          <w:p w:rsidR="00FE6FE7" w:rsidRPr="00CD1518" w:rsidRDefault="00FE6FE7">
            <w:pPr>
              <w:spacing w:line="240" w:lineRule="auto"/>
              <w:rPr>
                <w:color w:val="000000"/>
                <w:sz w:val="12"/>
                <w:szCs w:val="12"/>
                <w:lang w:eastAsia="en-AU"/>
              </w:rPr>
            </w:pPr>
            <w:proofErr w:type="spellStart"/>
            <w:r w:rsidRPr="00CD1518">
              <w:rPr>
                <w:color w:val="000000"/>
                <w:sz w:val="12"/>
                <w:szCs w:val="12"/>
                <w:lang w:eastAsia="en-AU"/>
              </w:rPr>
              <w:lastRenderedPageBreak/>
              <w:t>MentalHealth</w:t>
            </w:r>
            <w:proofErr w:type="spellEnd"/>
            <w:r w:rsidRPr="00CD1518">
              <w:rPr>
                <w:color w:val="000000"/>
                <w:sz w:val="12"/>
                <w:szCs w:val="12"/>
                <w:lang w:eastAsia="en-AU"/>
              </w:rPr>
              <w:t xml:space="preserve"> - ED Duration Updated</w:t>
            </w:r>
          </w:p>
        </w:tc>
        <w:tc>
          <w:tcPr>
            <w:tcW w:w="479"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58</w:t>
            </w:r>
          </w:p>
        </w:tc>
        <w:tc>
          <w:tcPr>
            <w:tcW w:w="478"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58</w:t>
            </w:r>
          </w:p>
        </w:tc>
        <w:tc>
          <w:tcPr>
            <w:tcW w:w="283"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58</w:t>
            </w:r>
          </w:p>
        </w:tc>
        <w:tc>
          <w:tcPr>
            <w:tcW w:w="412"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58</w:t>
            </w:r>
          </w:p>
        </w:tc>
        <w:tc>
          <w:tcPr>
            <w:tcW w:w="397"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p>
        </w:tc>
        <w:tc>
          <w:tcPr>
            <w:tcW w:w="477"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9" w:type="pct"/>
            <w:tcBorders>
              <w:top w:val="nil"/>
              <w:left w:val="nil"/>
              <w:bottom w:val="nil"/>
              <w:right w:val="single" w:sz="4" w:space="0" w:color="5B9BD5"/>
            </w:tcBorders>
            <w:shd w:val="clear" w:color="000000" w:fill="DDEBF7"/>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r w:rsidR="008900DD" w:rsidRPr="00FE6FE7" w:rsidTr="00EF242B">
        <w:trPr>
          <w:trHeight w:val="290"/>
        </w:trPr>
        <w:tc>
          <w:tcPr>
            <w:tcW w:w="778" w:type="pct"/>
            <w:tcBorders>
              <w:top w:val="nil"/>
              <w:left w:val="single" w:sz="4" w:space="0" w:color="5B9BD5"/>
              <w:bottom w:val="nil"/>
              <w:right w:val="nil"/>
            </w:tcBorders>
            <w:shd w:val="clear" w:color="000000" w:fill="FFFFFF"/>
            <w:noWrap/>
            <w:vAlign w:val="center"/>
            <w:hideMark/>
          </w:tcPr>
          <w:p w:rsidR="00FE6FE7" w:rsidRPr="00CD1518" w:rsidRDefault="00FE6FE7">
            <w:pPr>
              <w:spacing w:line="240" w:lineRule="auto"/>
              <w:rPr>
                <w:color w:val="000000"/>
                <w:sz w:val="12"/>
                <w:szCs w:val="12"/>
                <w:lang w:eastAsia="en-AU"/>
              </w:rPr>
            </w:pPr>
            <w:proofErr w:type="spellStart"/>
            <w:r w:rsidRPr="00CD1518">
              <w:rPr>
                <w:color w:val="000000"/>
                <w:sz w:val="12"/>
                <w:szCs w:val="12"/>
                <w:lang w:eastAsia="en-AU"/>
              </w:rPr>
              <w:t>MechanicalRestraint</w:t>
            </w:r>
            <w:proofErr w:type="spellEnd"/>
            <w:r w:rsidRPr="00CD1518">
              <w:rPr>
                <w:color w:val="000000"/>
                <w:sz w:val="12"/>
                <w:szCs w:val="12"/>
                <w:lang w:eastAsia="en-AU"/>
              </w:rPr>
              <w:t xml:space="preserve"> </w:t>
            </w:r>
          </w:p>
        </w:tc>
        <w:tc>
          <w:tcPr>
            <w:tcW w:w="479"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48</w:t>
            </w:r>
          </w:p>
        </w:tc>
        <w:tc>
          <w:tcPr>
            <w:tcW w:w="478"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48</w:t>
            </w:r>
          </w:p>
        </w:tc>
        <w:tc>
          <w:tcPr>
            <w:tcW w:w="28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48</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48</w:t>
            </w:r>
          </w:p>
        </w:tc>
        <w:tc>
          <w:tcPr>
            <w:tcW w:w="39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p>
        </w:tc>
        <w:tc>
          <w:tcPr>
            <w:tcW w:w="47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9" w:type="pct"/>
            <w:tcBorders>
              <w:top w:val="nil"/>
              <w:left w:val="nil"/>
              <w:bottom w:val="nil"/>
              <w:right w:val="single" w:sz="4" w:space="0" w:color="5B9BD5"/>
            </w:tcBorders>
            <w:shd w:val="clear" w:color="000000" w:fill="FFFFFF"/>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r w:rsidR="003E3288" w:rsidRPr="00FE6FE7" w:rsidTr="00EF242B">
        <w:trPr>
          <w:trHeight w:val="290"/>
        </w:trPr>
        <w:tc>
          <w:tcPr>
            <w:tcW w:w="778" w:type="pct"/>
            <w:tcBorders>
              <w:top w:val="nil"/>
              <w:left w:val="single" w:sz="4" w:space="0" w:color="5B9BD5"/>
              <w:bottom w:val="nil"/>
              <w:right w:val="nil"/>
            </w:tcBorders>
            <w:shd w:val="clear" w:color="000000" w:fill="DDEBF7"/>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 xml:space="preserve">Seclusions </w:t>
            </w:r>
          </w:p>
        </w:tc>
        <w:tc>
          <w:tcPr>
            <w:tcW w:w="479"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555</w:t>
            </w:r>
          </w:p>
        </w:tc>
        <w:tc>
          <w:tcPr>
            <w:tcW w:w="478"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555</w:t>
            </w:r>
          </w:p>
        </w:tc>
        <w:tc>
          <w:tcPr>
            <w:tcW w:w="283"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555</w:t>
            </w:r>
          </w:p>
        </w:tc>
        <w:tc>
          <w:tcPr>
            <w:tcW w:w="412"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555</w:t>
            </w:r>
          </w:p>
        </w:tc>
        <w:tc>
          <w:tcPr>
            <w:tcW w:w="397" w:type="pct"/>
            <w:tcBorders>
              <w:top w:val="nil"/>
              <w:left w:val="nil"/>
              <w:bottom w:val="nil"/>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p>
        </w:tc>
        <w:tc>
          <w:tcPr>
            <w:tcW w:w="477" w:type="pct"/>
            <w:tcBorders>
              <w:top w:val="nil"/>
              <w:left w:val="single" w:sz="4" w:space="0" w:color="5B9BD5"/>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9" w:type="pct"/>
            <w:tcBorders>
              <w:top w:val="nil"/>
              <w:left w:val="nil"/>
              <w:bottom w:val="nil"/>
              <w:right w:val="single" w:sz="4" w:space="0" w:color="5B9BD5"/>
            </w:tcBorders>
            <w:shd w:val="clear" w:color="000000" w:fill="DDEBF7"/>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r w:rsidR="008900DD" w:rsidRPr="00FE6FE7" w:rsidTr="00EF242B">
        <w:trPr>
          <w:trHeight w:val="290"/>
        </w:trPr>
        <w:tc>
          <w:tcPr>
            <w:tcW w:w="778" w:type="pct"/>
            <w:tcBorders>
              <w:top w:val="nil"/>
              <w:left w:val="single" w:sz="4" w:space="0" w:color="5B9BD5"/>
              <w:bottom w:val="nil"/>
              <w:right w:val="nil"/>
            </w:tcBorders>
            <w:shd w:val="clear" w:color="000000" w:fill="FFFFFF"/>
            <w:noWrap/>
            <w:vAlign w:val="center"/>
            <w:hideMark/>
          </w:tcPr>
          <w:p w:rsidR="00FE6FE7" w:rsidRPr="00CD1518" w:rsidRDefault="00FE6FE7">
            <w:pPr>
              <w:spacing w:line="240" w:lineRule="auto"/>
              <w:rPr>
                <w:color w:val="000000"/>
                <w:sz w:val="12"/>
                <w:szCs w:val="12"/>
                <w:lang w:eastAsia="en-AU"/>
              </w:rPr>
            </w:pPr>
            <w:r w:rsidRPr="00CD1518">
              <w:rPr>
                <w:color w:val="000000"/>
                <w:sz w:val="12"/>
                <w:szCs w:val="12"/>
                <w:lang w:eastAsia="en-AU"/>
              </w:rPr>
              <w:t>Insulin Pumps</w:t>
            </w:r>
          </w:p>
        </w:tc>
        <w:tc>
          <w:tcPr>
            <w:tcW w:w="479" w:type="pct"/>
            <w:tcBorders>
              <w:top w:val="nil"/>
              <w:left w:val="single" w:sz="4" w:space="0" w:color="5B9BD5"/>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70</w:t>
            </w:r>
          </w:p>
        </w:tc>
        <w:tc>
          <w:tcPr>
            <w:tcW w:w="478"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70</w:t>
            </w:r>
          </w:p>
        </w:tc>
        <w:tc>
          <w:tcPr>
            <w:tcW w:w="28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70</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73" w:type="pct"/>
            <w:tcBorders>
              <w:top w:val="nil"/>
              <w:left w:val="nil"/>
              <w:bottom w:val="nil"/>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70</w:t>
            </w:r>
          </w:p>
        </w:tc>
        <w:tc>
          <w:tcPr>
            <w:tcW w:w="39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p>
        </w:tc>
        <w:tc>
          <w:tcPr>
            <w:tcW w:w="477" w:type="pct"/>
            <w:tcBorders>
              <w:top w:val="nil"/>
              <w:left w:val="nil"/>
              <w:bottom w:val="nil"/>
              <w:right w:val="single" w:sz="4" w:space="0" w:color="5B9BD5"/>
            </w:tcBorders>
            <w:shd w:val="clear" w:color="000000" w:fill="FFFFFF"/>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9" w:type="pct"/>
            <w:tcBorders>
              <w:top w:val="nil"/>
              <w:left w:val="nil"/>
              <w:bottom w:val="nil"/>
              <w:right w:val="single" w:sz="4" w:space="0" w:color="5B9BD5"/>
            </w:tcBorders>
            <w:shd w:val="clear" w:color="000000" w:fill="FFFFFF"/>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r w:rsidR="003E3288" w:rsidRPr="00FE6FE7" w:rsidTr="00EF242B">
        <w:trPr>
          <w:trHeight w:val="290"/>
        </w:trPr>
        <w:tc>
          <w:tcPr>
            <w:tcW w:w="778" w:type="pct"/>
            <w:tcBorders>
              <w:top w:val="nil"/>
              <w:left w:val="single" w:sz="4" w:space="0" w:color="5B9BD5"/>
              <w:bottom w:val="single" w:sz="4" w:space="0" w:color="5B9BD5"/>
              <w:right w:val="nil"/>
            </w:tcBorders>
            <w:shd w:val="clear" w:color="000000" w:fill="DDEBF7"/>
            <w:noWrap/>
            <w:vAlign w:val="center"/>
            <w:hideMark/>
          </w:tcPr>
          <w:p w:rsidR="00FE6FE7" w:rsidRPr="00CD1518" w:rsidRDefault="00FE6FE7">
            <w:pPr>
              <w:spacing w:line="240" w:lineRule="auto"/>
              <w:rPr>
                <w:color w:val="000000"/>
                <w:sz w:val="12"/>
                <w:szCs w:val="12"/>
                <w:lang w:eastAsia="en-AU"/>
              </w:rPr>
            </w:pPr>
            <w:proofErr w:type="spellStart"/>
            <w:r w:rsidRPr="00CD1518">
              <w:rPr>
                <w:color w:val="000000"/>
                <w:sz w:val="12"/>
                <w:szCs w:val="12"/>
                <w:lang w:eastAsia="en-AU"/>
              </w:rPr>
              <w:t>ElectroDiagnosis</w:t>
            </w:r>
            <w:proofErr w:type="spellEnd"/>
            <w:r w:rsidRPr="00CD1518">
              <w:rPr>
                <w:color w:val="000000"/>
                <w:sz w:val="12"/>
                <w:szCs w:val="12"/>
                <w:lang w:eastAsia="en-AU"/>
              </w:rPr>
              <w:t xml:space="preserve"> IP</w:t>
            </w:r>
          </w:p>
        </w:tc>
        <w:tc>
          <w:tcPr>
            <w:tcW w:w="479" w:type="pct"/>
            <w:tcBorders>
              <w:top w:val="nil"/>
              <w:left w:val="single" w:sz="4" w:space="0" w:color="5B9BD5"/>
              <w:bottom w:val="single" w:sz="4" w:space="0" w:color="5B9BD5"/>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441</w:t>
            </w:r>
          </w:p>
        </w:tc>
        <w:tc>
          <w:tcPr>
            <w:tcW w:w="478" w:type="pct"/>
            <w:tcBorders>
              <w:top w:val="nil"/>
              <w:left w:val="nil"/>
              <w:bottom w:val="single" w:sz="4" w:space="0" w:color="5B9BD5"/>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441</w:t>
            </w:r>
          </w:p>
        </w:tc>
        <w:tc>
          <w:tcPr>
            <w:tcW w:w="283" w:type="pct"/>
            <w:tcBorders>
              <w:top w:val="nil"/>
              <w:left w:val="single" w:sz="4" w:space="0" w:color="5B9BD5"/>
              <w:bottom w:val="single" w:sz="4" w:space="0" w:color="5B9BD5"/>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412" w:type="pct"/>
            <w:tcBorders>
              <w:top w:val="nil"/>
              <w:left w:val="nil"/>
              <w:bottom w:val="single" w:sz="4" w:space="0" w:color="5B9BD5"/>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338</w:t>
            </w:r>
          </w:p>
        </w:tc>
        <w:tc>
          <w:tcPr>
            <w:tcW w:w="412" w:type="pct"/>
            <w:tcBorders>
              <w:top w:val="nil"/>
              <w:left w:val="single" w:sz="4" w:space="0" w:color="5B9BD5"/>
              <w:bottom w:val="single" w:sz="4" w:space="0" w:color="5B9BD5"/>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18</w:t>
            </w:r>
          </w:p>
        </w:tc>
        <w:tc>
          <w:tcPr>
            <w:tcW w:w="412" w:type="pct"/>
            <w:tcBorders>
              <w:top w:val="nil"/>
              <w:left w:val="nil"/>
              <w:bottom w:val="single" w:sz="4" w:space="0" w:color="5B9BD5"/>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85</w:t>
            </w:r>
          </w:p>
        </w:tc>
        <w:tc>
          <w:tcPr>
            <w:tcW w:w="473" w:type="pct"/>
            <w:tcBorders>
              <w:top w:val="nil"/>
              <w:left w:val="nil"/>
              <w:bottom w:val="single" w:sz="4" w:space="0" w:color="5B9BD5"/>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441</w:t>
            </w:r>
          </w:p>
        </w:tc>
        <w:tc>
          <w:tcPr>
            <w:tcW w:w="397" w:type="pct"/>
            <w:tcBorders>
              <w:top w:val="nil"/>
              <w:left w:val="nil"/>
              <w:bottom w:val="single" w:sz="4" w:space="0" w:color="5B9BD5"/>
              <w:right w:val="nil"/>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p>
        </w:tc>
        <w:tc>
          <w:tcPr>
            <w:tcW w:w="477" w:type="pct"/>
            <w:tcBorders>
              <w:top w:val="nil"/>
              <w:left w:val="single" w:sz="4" w:space="0" w:color="5B9BD5"/>
              <w:bottom w:val="single" w:sz="4" w:space="0" w:color="5B9BD5"/>
              <w:right w:val="single" w:sz="4" w:space="0" w:color="5B9BD5"/>
            </w:tcBorders>
            <w:shd w:val="clear" w:color="000000" w:fill="DDEBF7"/>
            <w:noWrap/>
            <w:vAlign w:val="center"/>
            <w:hideMark/>
          </w:tcPr>
          <w:p w:rsidR="00FE6FE7" w:rsidRPr="00CD1518" w:rsidRDefault="00FE6FE7" w:rsidP="00CD1518">
            <w:pPr>
              <w:spacing w:line="240" w:lineRule="auto"/>
              <w:jc w:val="right"/>
              <w:rPr>
                <w:color w:val="000000"/>
                <w:sz w:val="12"/>
                <w:szCs w:val="12"/>
                <w:lang w:eastAsia="en-AU"/>
              </w:rPr>
            </w:pPr>
            <w:r w:rsidRPr="00CD1518">
              <w:rPr>
                <w:color w:val="000000"/>
                <w:sz w:val="12"/>
                <w:szCs w:val="12"/>
                <w:lang w:eastAsia="en-AU"/>
              </w:rPr>
              <w:t>-</w:t>
            </w:r>
          </w:p>
        </w:tc>
        <w:tc>
          <w:tcPr>
            <w:tcW w:w="399" w:type="pct"/>
            <w:tcBorders>
              <w:top w:val="nil"/>
              <w:left w:val="nil"/>
              <w:bottom w:val="single" w:sz="4" w:space="0" w:color="5B9BD5"/>
              <w:right w:val="single" w:sz="4" w:space="0" w:color="5B9BD5"/>
            </w:tcBorders>
            <w:shd w:val="clear" w:color="000000" w:fill="DDEBF7"/>
            <w:noWrap/>
            <w:vAlign w:val="center"/>
            <w:hideMark/>
          </w:tcPr>
          <w:p w:rsidR="00FE6FE7" w:rsidRPr="00CD1518" w:rsidRDefault="00FE6FE7">
            <w:pPr>
              <w:spacing w:line="240" w:lineRule="auto"/>
              <w:jc w:val="right"/>
              <w:rPr>
                <w:color w:val="000000"/>
                <w:sz w:val="12"/>
                <w:szCs w:val="12"/>
                <w:lang w:eastAsia="en-AU"/>
              </w:rPr>
            </w:pPr>
            <w:r w:rsidRPr="00CD1518">
              <w:rPr>
                <w:color w:val="000000"/>
                <w:sz w:val="12"/>
                <w:szCs w:val="12"/>
                <w:lang w:eastAsia="en-AU"/>
              </w:rPr>
              <w:t>100%</w:t>
            </w:r>
          </w:p>
        </w:tc>
      </w:tr>
    </w:tbl>
    <w:p w:rsidR="00FC0F41" w:rsidRPr="00975E6B" w:rsidRDefault="005D3CB2" w:rsidP="00FC0F41">
      <w:pPr>
        <w:rPr>
          <w:bCs/>
          <w:i/>
          <w:sz w:val="16"/>
          <w:szCs w:val="16"/>
        </w:rPr>
      </w:pPr>
      <w:r>
        <w:rPr>
          <w:bCs/>
          <w:i/>
          <w:sz w:val="16"/>
          <w:szCs w:val="16"/>
        </w:rPr>
        <w:t>S</w:t>
      </w:r>
      <w:r w:rsidR="00FC0F41" w:rsidRPr="00975E6B">
        <w:rPr>
          <w:bCs/>
          <w:i/>
          <w:sz w:val="16"/>
          <w:szCs w:val="16"/>
        </w:rPr>
        <w:t xml:space="preserve">ource: KPMG based on </w:t>
      </w:r>
      <w:r w:rsidR="001044F3" w:rsidRPr="00975E6B">
        <w:rPr>
          <w:bCs/>
          <w:i/>
          <w:sz w:val="16"/>
          <w:szCs w:val="16"/>
        </w:rPr>
        <w:t>St Vincent’s</w:t>
      </w:r>
      <w:r w:rsidR="00FC0F41" w:rsidRPr="00975E6B">
        <w:rPr>
          <w:bCs/>
          <w:i/>
          <w:sz w:val="16"/>
          <w:szCs w:val="16"/>
        </w:rPr>
        <w:t xml:space="preserve"> IFR templates</w:t>
      </w:r>
    </w:p>
    <w:p w:rsidR="00FC0F41" w:rsidRPr="00975E6B" w:rsidRDefault="00FC0F41" w:rsidP="00FC0F41">
      <w:pPr>
        <w:pStyle w:val="BodyText"/>
      </w:pPr>
      <w:r w:rsidRPr="00975E6B">
        <w:t>The following should be noted about the activity and feeder data for St Vincent’s Hospital:</w:t>
      </w:r>
    </w:p>
    <w:p w:rsidR="00FC0F41" w:rsidRPr="00975E6B" w:rsidRDefault="001044F3" w:rsidP="00F26328">
      <w:pPr>
        <w:pStyle w:val="BodyText"/>
        <w:numPr>
          <w:ilvl w:val="0"/>
          <w:numId w:val="53"/>
        </w:numPr>
      </w:pPr>
      <w:r w:rsidRPr="00975E6B">
        <w:t>St Vincent’s</w:t>
      </w:r>
      <w:r w:rsidR="00FC0F41" w:rsidRPr="00975E6B">
        <w:t xml:space="preserve"> undertakes an initial audit to ensure the volumes are similar to previous financial years. </w:t>
      </w:r>
    </w:p>
    <w:p w:rsidR="00FC0F41" w:rsidRPr="00975E6B" w:rsidRDefault="00B64F77" w:rsidP="00F26328">
      <w:pPr>
        <w:pStyle w:val="BodyText"/>
        <w:numPr>
          <w:ilvl w:val="0"/>
          <w:numId w:val="53"/>
        </w:numPr>
      </w:pPr>
      <w:r w:rsidRPr="00975E6B">
        <w:t>Victoria</w:t>
      </w:r>
      <w:r w:rsidR="00EE6A00" w:rsidRPr="00975E6B">
        <w:t xml:space="preserve"> Health</w:t>
      </w:r>
      <w:r w:rsidR="00FC0F41" w:rsidRPr="00975E6B">
        <w:t xml:space="preserve"> compares the data submitted by the hospital to the Victorian Emergency Minimum Dataset and Victorian Admitted Episodes Dataset collections.</w:t>
      </w:r>
    </w:p>
    <w:p w:rsidR="00FC0F41" w:rsidRPr="00975E6B" w:rsidRDefault="00FC0F41" w:rsidP="00F26328">
      <w:pPr>
        <w:pStyle w:val="BodyText"/>
        <w:numPr>
          <w:ilvl w:val="0"/>
          <w:numId w:val="35"/>
        </w:numPr>
      </w:pPr>
      <w:r w:rsidRPr="00975E6B">
        <w:t>There are 26 feeder systems, including various sub feeders e.g. Imaging and Imaging prosthetic, that are used as part of the costing process.</w:t>
      </w:r>
      <w:r w:rsidR="00887033" w:rsidRPr="00975E6B">
        <w:t xml:space="preserve"> The feeders </w:t>
      </w:r>
      <w:r w:rsidR="007155A1" w:rsidRPr="00975E6B">
        <w:t>appear to represent major hospital departments providing resource activity</w:t>
      </w:r>
      <w:r w:rsidR="00887033" w:rsidRPr="00975E6B">
        <w:t>.</w:t>
      </w:r>
    </w:p>
    <w:p w:rsidR="00FC0F41" w:rsidRPr="00975E6B" w:rsidRDefault="00FC0F41" w:rsidP="00F26328">
      <w:pPr>
        <w:pStyle w:val="BodyText"/>
        <w:numPr>
          <w:ilvl w:val="0"/>
          <w:numId w:val="35"/>
        </w:numPr>
      </w:pPr>
      <w:r w:rsidRPr="00975E6B">
        <w:t xml:space="preserve">The number of linked records </w:t>
      </w:r>
      <w:r w:rsidR="0074117C" w:rsidRPr="00975E6B">
        <w:t xml:space="preserve">was </w:t>
      </w:r>
      <w:r w:rsidRPr="00975E6B">
        <w:t>significant, with most feeders having a greater than 90</w:t>
      </w:r>
      <w:r w:rsidR="00DA7807" w:rsidRPr="00975E6B">
        <w:t> percent</w:t>
      </w:r>
      <w:r w:rsidRPr="00975E6B">
        <w:t xml:space="preserve"> linkage or matching. Five of the feeders were below this threshold, with Pharmacy having the largest absolute variance</w:t>
      </w:r>
      <w:r w:rsidR="005D12ED" w:rsidRPr="00975E6B">
        <w:t xml:space="preserve">. </w:t>
      </w:r>
      <w:r w:rsidR="00887033" w:rsidRPr="00975E6B">
        <w:t>Despite the pharmacy variance, the ratio suggests that there is robustness in the level of feeder activity reported back to episodes</w:t>
      </w:r>
      <w:r w:rsidR="00ED07B8" w:rsidRPr="00975E6B">
        <w:t>.</w:t>
      </w:r>
    </w:p>
    <w:p w:rsidR="00FC0F41" w:rsidRPr="00975E6B" w:rsidRDefault="00FC0F41" w:rsidP="00F26328">
      <w:pPr>
        <w:pStyle w:val="BodyText"/>
        <w:numPr>
          <w:ilvl w:val="0"/>
          <w:numId w:val="35"/>
        </w:numPr>
      </w:pPr>
      <w:r w:rsidRPr="00975E6B">
        <w:t>Linkage challenges in Pharmacy relate to dispensed drugs and oncology (manufactured) drugs. Delays can cause linkage issues with episode date.</w:t>
      </w:r>
    </w:p>
    <w:p w:rsidR="00FC0F41" w:rsidRPr="00975E6B" w:rsidRDefault="00FC0F41" w:rsidP="00F26328">
      <w:pPr>
        <w:pStyle w:val="BodyText"/>
        <w:numPr>
          <w:ilvl w:val="0"/>
          <w:numId w:val="35"/>
        </w:numPr>
        <w:tabs>
          <w:tab w:val="clear" w:pos="340"/>
          <w:tab w:val="num" w:pos="0"/>
        </w:tabs>
      </w:pPr>
      <w:r w:rsidRPr="00975E6B">
        <w:t xml:space="preserve">Allied Health activity data, i.e. the duration of the service, is recorded in the </w:t>
      </w:r>
      <w:r w:rsidR="001044F3" w:rsidRPr="00975E6B">
        <w:t>St Vincent’s</w:t>
      </w:r>
      <w:r w:rsidRPr="00975E6B">
        <w:t xml:space="preserve"> PAS.</w:t>
      </w:r>
    </w:p>
    <w:p w:rsidR="00FC0F41" w:rsidRPr="00975E6B" w:rsidRDefault="00FC0F41" w:rsidP="00F26328">
      <w:pPr>
        <w:pStyle w:val="BodyText"/>
        <w:numPr>
          <w:ilvl w:val="0"/>
          <w:numId w:val="35"/>
        </w:numPr>
        <w:tabs>
          <w:tab w:val="clear" w:pos="340"/>
          <w:tab w:val="num" w:pos="0"/>
        </w:tabs>
      </w:pPr>
      <w:r w:rsidRPr="00975E6B">
        <w:t xml:space="preserve">Activity data Interpreters and the associated costs are linked </w:t>
      </w:r>
      <w:r w:rsidR="0008064C" w:rsidRPr="00975E6B">
        <w:t>and costed directly to</w:t>
      </w:r>
      <w:r w:rsidRPr="00975E6B">
        <w:t xml:space="preserve"> patient level.</w:t>
      </w:r>
    </w:p>
    <w:p w:rsidR="00FC0F41" w:rsidRPr="00975E6B" w:rsidRDefault="00C00F23" w:rsidP="00FC0F41">
      <w:pPr>
        <w:pStyle w:val="BodyText"/>
      </w:pPr>
      <w:r>
        <w:fldChar w:fldCharType="begin"/>
      </w:r>
      <w:r>
        <w:instrText xml:space="preserve"> REF _Ref444517979 \h  \* MERGEFORMAT </w:instrText>
      </w:r>
      <w:r>
        <w:fldChar w:fldCharType="separate"/>
      </w:r>
      <w:r w:rsidR="00154CF7" w:rsidRPr="00975E6B">
        <w:t xml:space="preserve">Table </w:t>
      </w:r>
      <w:r w:rsidR="00154CF7" w:rsidRPr="00154CF7">
        <w:rPr>
          <w:bCs/>
          <w:noProof/>
        </w:rPr>
        <w:t>82</w:t>
      </w:r>
      <w:r>
        <w:fldChar w:fldCharType="end"/>
      </w:r>
      <w:r>
        <w:t xml:space="preserve"> </w:t>
      </w:r>
      <w:r w:rsidR="00FC0F41" w:rsidRPr="00975E6B">
        <w:t xml:space="preserve">highlights the transfer of activity data from </w:t>
      </w:r>
      <w:r w:rsidR="001044F3" w:rsidRPr="00975E6B">
        <w:t>St Vincent’s</w:t>
      </w:r>
      <w:r w:rsidR="00FC0F41" w:rsidRPr="00975E6B">
        <w:t xml:space="preserve"> to </w:t>
      </w:r>
      <w:r w:rsidR="00B64F77" w:rsidRPr="00975E6B">
        <w:t>Victoria</w:t>
      </w:r>
      <w:r w:rsidR="00EE6A00" w:rsidRPr="00975E6B">
        <w:t xml:space="preserve"> Health </w:t>
      </w:r>
      <w:r w:rsidR="00FC0F41" w:rsidRPr="00975E6B">
        <w:t>and then through to IHPA submission and finalisation.</w:t>
      </w:r>
    </w:p>
    <w:p w:rsidR="00261E9A" w:rsidRPr="00975E6B" w:rsidRDefault="00FC0F41" w:rsidP="00776377">
      <w:pPr>
        <w:pStyle w:val="Caption"/>
        <w:pageBreakBefore/>
        <w:tabs>
          <w:tab w:val="left" w:pos="851"/>
        </w:tabs>
        <w:rPr>
          <w:sz w:val="16"/>
          <w:szCs w:val="16"/>
        </w:rPr>
      </w:pPr>
      <w:bookmarkStart w:id="811" w:name="_Ref433481968"/>
      <w:bookmarkStart w:id="812" w:name="_Ref444517979"/>
      <w:r w:rsidRPr="00975E6B">
        <w:lastRenderedPageBreak/>
        <w:t xml:space="preserve">Table </w:t>
      </w:r>
      <w:r w:rsidR="003E3288">
        <w:rPr>
          <w:bCs w:val="0"/>
          <w:i w:val="0"/>
        </w:rPr>
        <w:fldChar w:fldCharType="begin"/>
      </w:r>
      <w:r w:rsidR="003E3288">
        <w:rPr>
          <w:bCs w:val="0"/>
          <w:i w:val="0"/>
        </w:rPr>
        <w:instrText xml:space="preserve"> SEQ Table \* ARABIC </w:instrText>
      </w:r>
      <w:r w:rsidR="003E3288">
        <w:rPr>
          <w:bCs w:val="0"/>
          <w:i w:val="0"/>
        </w:rPr>
        <w:fldChar w:fldCharType="separate"/>
      </w:r>
      <w:r w:rsidR="00154CF7">
        <w:rPr>
          <w:bCs w:val="0"/>
          <w:i w:val="0"/>
          <w:noProof/>
        </w:rPr>
        <w:t>82</w:t>
      </w:r>
      <w:r w:rsidR="003E3288">
        <w:rPr>
          <w:bCs w:val="0"/>
          <w:i w:val="0"/>
          <w:noProof/>
        </w:rPr>
        <w:fldChar w:fldCharType="end"/>
      </w:r>
      <w:bookmarkEnd w:id="811"/>
      <w:bookmarkEnd w:id="812"/>
      <w:r w:rsidR="00BA3F4B" w:rsidRPr="00975E6B">
        <w:t xml:space="preserve"> </w:t>
      </w:r>
      <w:r w:rsidRPr="00975E6B">
        <w:t>– Activity data submission – St Vincent’s Hospital</w:t>
      </w:r>
    </w:p>
    <w:tbl>
      <w:tblPr>
        <w:tblW w:w="5101" w:type="pct"/>
        <w:tblLayout w:type="fixed"/>
        <w:tblLook w:val="04A0" w:firstRow="1" w:lastRow="0" w:firstColumn="1" w:lastColumn="0" w:noHBand="0" w:noVBand="1"/>
        <w:tblCaption w:val="Table 82 - Activity submission - St Vincent's Hospital"/>
        <w:tblDescription w:val="This table highlights the transfer of activity data from St Vincent's Hospital to Victoria Health and then through to IHPA submission and finalisation. There are 8 columns. Column 1 is the NHCDC product type, Column 2 is the activity related to 2013-14 costs, column 3 is the adjustments to Column 2, column 4 is the activity submitted to the jurisdiction, column 5 is the adjustments to column 4, column 6 is the activity submitted to IHPA, column 7 is the adjustments to column 6 and column 8 is the total activity submitted for the Round 18 NHCDC."/>
      </w:tblPr>
      <w:tblGrid>
        <w:gridCol w:w="1247"/>
        <w:gridCol w:w="956"/>
        <w:gridCol w:w="956"/>
        <w:gridCol w:w="956"/>
        <w:gridCol w:w="957"/>
        <w:gridCol w:w="956"/>
        <w:gridCol w:w="956"/>
        <w:gridCol w:w="956"/>
        <w:gridCol w:w="957"/>
      </w:tblGrid>
      <w:tr w:rsidR="00261E9A" w:rsidRPr="00261E9A" w:rsidTr="00E14378">
        <w:trPr>
          <w:trHeight w:val="775"/>
        </w:trPr>
        <w:tc>
          <w:tcPr>
            <w:tcW w:w="701"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261E9A" w:rsidRPr="00CD1518" w:rsidRDefault="00261E9A" w:rsidP="00261E9A">
            <w:pPr>
              <w:spacing w:line="240" w:lineRule="auto"/>
              <w:rPr>
                <w:b/>
                <w:bCs/>
                <w:color w:val="FFFFFF"/>
                <w:sz w:val="14"/>
                <w:szCs w:val="14"/>
                <w:lang w:eastAsia="en-AU"/>
              </w:rPr>
            </w:pPr>
            <w:r w:rsidRPr="00CD1518">
              <w:rPr>
                <w:b/>
                <w:bCs/>
                <w:color w:val="FFFFFF"/>
                <w:sz w:val="14"/>
                <w:szCs w:val="14"/>
                <w:lang w:eastAsia="en-AU"/>
              </w:rPr>
              <w:t>Product</w:t>
            </w:r>
          </w:p>
        </w:tc>
        <w:tc>
          <w:tcPr>
            <w:tcW w:w="537" w:type="pct"/>
            <w:tcBorders>
              <w:top w:val="single" w:sz="4" w:space="0" w:color="5B9BD5"/>
              <w:left w:val="nil"/>
              <w:bottom w:val="single" w:sz="4" w:space="0" w:color="5B9BD5"/>
              <w:right w:val="single" w:sz="4" w:space="0" w:color="5B9BD5"/>
            </w:tcBorders>
            <w:shd w:val="clear" w:color="auto" w:fill="002060"/>
            <w:vAlign w:val="bottom"/>
            <w:hideMark/>
          </w:tcPr>
          <w:p w:rsidR="00261E9A" w:rsidRPr="00CD1518" w:rsidRDefault="00261E9A" w:rsidP="00261E9A">
            <w:pPr>
              <w:spacing w:line="240" w:lineRule="auto"/>
              <w:jc w:val="center"/>
              <w:rPr>
                <w:b/>
                <w:bCs/>
                <w:color w:val="FFFFFF"/>
                <w:sz w:val="14"/>
                <w:szCs w:val="14"/>
                <w:lang w:eastAsia="en-AU"/>
              </w:rPr>
            </w:pPr>
            <w:r w:rsidRPr="00CD1518">
              <w:rPr>
                <w:b/>
                <w:bCs/>
                <w:color w:val="FFFFFF"/>
                <w:sz w:val="14"/>
                <w:szCs w:val="14"/>
                <w:lang w:eastAsia="en-AU"/>
              </w:rPr>
              <w:t>Activity related to 2013-14 Costs</w:t>
            </w:r>
          </w:p>
        </w:tc>
        <w:tc>
          <w:tcPr>
            <w:tcW w:w="537" w:type="pct"/>
            <w:tcBorders>
              <w:top w:val="single" w:sz="4" w:space="0" w:color="5B9BD5"/>
              <w:left w:val="nil"/>
              <w:bottom w:val="single" w:sz="4" w:space="0" w:color="5B9BD5"/>
              <w:right w:val="single" w:sz="4" w:space="0" w:color="5B9BD5"/>
            </w:tcBorders>
            <w:shd w:val="clear" w:color="auto" w:fill="002060"/>
            <w:vAlign w:val="bottom"/>
            <w:hideMark/>
          </w:tcPr>
          <w:p w:rsidR="00261E9A" w:rsidRPr="00CD1518" w:rsidRDefault="00261E9A" w:rsidP="00261E9A">
            <w:pPr>
              <w:spacing w:line="240" w:lineRule="auto"/>
              <w:jc w:val="center"/>
              <w:rPr>
                <w:b/>
                <w:bCs/>
                <w:color w:val="FFFFFF"/>
                <w:sz w:val="12"/>
                <w:szCs w:val="12"/>
                <w:lang w:eastAsia="en-AU"/>
              </w:rPr>
            </w:pPr>
            <w:r>
              <w:rPr>
                <w:b/>
                <w:bCs/>
                <w:color w:val="FFFFFF"/>
                <w:sz w:val="12"/>
                <w:szCs w:val="12"/>
                <w:lang w:eastAsia="en-AU"/>
              </w:rPr>
              <w:t>Adjustment</w:t>
            </w:r>
          </w:p>
        </w:tc>
        <w:tc>
          <w:tcPr>
            <w:tcW w:w="537" w:type="pct"/>
            <w:tcBorders>
              <w:top w:val="single" w:sz="4" w:space="0" w:color="5B9BD5"/>
              <w:left w:val="nil"/>
              <w:bottom w:val="single" w:sz="4" w:space="0" w:color="5B9BD5"/>
              <w:right w:val="single" w:sz="4" w:space="0" w:color="5B9BD5"/>
            </w:tcBorders>
            <w:shd w:val="clear" w:color="auto" w:fill="002060"/>
            <w:vAlign w:val="bottom"/>
            <w:hideMark/>
          </w:tcPr>
          <w:p w:rsidR="00261E9A" w:rsidRPr="00CD1518" w:rsidRDefault="00261E9A" w:rsidP="00261E9A">
            <w:pPr>
              <w:spacing w:line="240" w:lineRule="auto"/>
              <w:jc w:val="center"/>
              <w:rPr>
                <w:b/>
                <w:bCs/>
                <w:color w:val="FFFFFF"/>
                <w:sz w:val="14"/>
                <w:szCs w:val="14"/>
                <w:lang w:eastAsia="en-AU"/>
              </w:rPr>
            </w:pPr>
            <w:r w:rsidRPr="00CD1518">
              <w:rPr>
                <w:b/>
                <w:bCs/>
                <w:color w:val="FFFFFF"/>
                <w:sz w:val="14"/>
                <w:szCs w:val="14"/>
                <w:lang w:eastAsia="en-AU"/>
              </w:rPr>
              <w:t xml:space="preserve">Activity submitted to </w:t>
            </w:r>
            <w:r w:rsidRPr="00CD1518">
              <w:rPr>
                <w:b/>
                <w:bCs/>
                <w:color w:val="FFFFFF"/>
                <w:sz w:val="13"/>
                <w:szCs w:val="13"/>
                <w:lang w:eastAsia="en-AU"/>
              </w:rPr>
              <w:t>jurisdiction</w:t>
            </w:r>
          </w:p>
        </w:tc>
        <w:tc>
          <w:tcPr>
            <w:tcW w:w="538" w:type="pct"/>
            <w:tcBorders>
              <w:top w:val="single" w:sz="4" w:space="0" w:color="5B9BD5"/>
              <w:left w:val="nil"/>
              <w:bottom w:val="single" w:sz="4" w:space="0" w:color="5B9BD5"/>
              <w:right w:val="single" w:sz="4" w:space="0" w:color="5B9BD5"/>
            </w:tcBorders>
            <w:shd w:val="clear" w:color="auto" w:fill="002060"/>
            <w:vAlign w:val="bottom"/>
            <w:hideMark/>
          </w:tcPr>
          <w:p w:rsidR="00261E9A" w:rsidRPr="00CD1518" w:rsidRDefault="00261E9A" w:rsidP="00261E9A">
            <w:pPr>
              <w:spacing w:line="240" w:lineRule="auto"/>
              <w:jc w:val="center"/>
              <w:rPr>
                <w:b/>
                <w:bCs/>
                <w:color w:val="FFFFFF"/>
                <w:sz w:val="14"/>
                <w:szCs w:val="14"/>
                <w:lang w:eastAsia="en-AU"/>
              </w:rPr>
            </w:pPr>
            <w:r w:rsidRPr="00CD1518">
              <w:rPr>
                <w:b/>
                <w:bCs/>
                <w:color w:val="FFFFFF"/>
                <w:sz w:val="14"/>
                <w:szCs w:val="14"/>
                <w:lang w:eastAsia="en-AU"/>
              </w:rPr>
              <w:t xml:space="preserve">Activity received by </w:t>
            </w:r>
            <w:r w:rsidRPr="00CD1518">
              <w:rPr>
                <w:b/>
                <w:bCs/>
                <w:color w:val="FFFFFF"/>
                <w:sz w:val="13"/>
                <w:szCs w:val="13"/>
                <w:lang w:eastAsia="en-AU"/>
              </w:rPr>
              <w:t>jurisdiction</w:t>
            </w:r>
          </w:p>
        </w:tc>
        <w:tc>
          <w:tcPr>
            <w:tcW w:w="537" w:type="pct"/>
            <w:tcBorders>
              <w:top w:val="single" w:sz="4" w:space="0" w:color="5B9BD5"/>
              <w:left w:val="nil"/>
              <w:bottom w:val="single" w:sz="4" w:space="0" w:color="5B9BD5"/>
              <w:right w:val="single" w:sz="4" w:space="0" w:color="5B9BD5"/>
            </w:tcBorders>
            <w:shd w:val="clear" w:color="auto" w:fill="002060"/>
            <w:vAlign w:val="bottom"/>
            <w:hideMark/>
          </w:tcPr>
          <w:p w:rsidR="00261E9A" w:rsidRPr="00CD1518" w:rsidRDefault="00261E9A" w:rsidP="00261E9A">
            <w:pPr>
              <w:spacing w:line="240" w:lineRule="auto"/>
              <w:jc w:val="center"/>
              <w:rPr>
                <w:b/>
                <w:bCs/>
                <w:color w:val="FFFFFF"/>
                <w:sz w:val="12"/>
                <w:szCs w:val="12"/>
                <w:lang w:eastAsia="en-AU"/>
              </w:rPr>
            </w:pPr>
            <w:r>
              <w:rPr>
                <w:b/>
                <w:bCs/>
                <w:color w:val="FFFFFF"/>
                <w:sz w:val="12"/>
                <w:szCs w:val="12"/>
                <w:lang w:eastAsia="en-AU"/>
              </w:rPr>
              <w:t>Adjustment</w:t>
            </w:r>
          </w:p>
        </w:tc>
        <w:tc>
          <w:tcPr>
            <w:tcW w:w="537" w:type="pct"/>
            <w:tcBorders>
              <w:top w:val="single" w:sz="4" w:space="0" w:color="5B9BD5"/>
              <w:left w:val="nil"/>
              <w:bottom w:val="single" w:sz="4" w:space="0" w:color="5B9BD5"/>
              <w:right w:val="single" w:sz="4" w:space="0" w:color="5B9BD5"/>
            </w:tcBorders>
            <w:shd w:val="clear" w:color="auto" w:fill="002060"/>
            <w:vAlign w:val="bottom"/>
            <w:hideMark/>
          </w:tcPr>
          <w:p w:rsidR="00261E9A" w:rsidRPr="00CD1518" w:rsidRDefault="00261E9A" w:rsidP="00261E9A">
            <w:pPr>
              <w:spacing w:line="240" w:lineRule="auto"/>
              <w:jc w:val="center"/>
              <w:rPr>
                <w:b/>
                <w:bCs/>
                <w:color w:val="FFFFFF"/>
                <w:sz w:val="14"/>
                <w:szCs w:val="14"/>
                <w:lang w:eastAsia="en-AU"/>
              </w:rPr>
            </w:pPr>
            <w:r w:rsidRPr="00CD1518">
              <w:rPr>
                <w:b/>
                <w:bCs/>
                <w:color w:val="FFFFFF"/>
                <w:sz w:val="14"/>
                <w:szCs w:val="14"/>
                <w:lang w:eastAsia="en-AU"/>
              </w:rPr>
              <w:t>Activity submitted to IHPA</w:t>
            </w:r>
          </w:p>
        </w:tc>
        <w:tc>
          <w:tcPr>
            <w:tcW w:w="537" w:type="pct"/>
            <w:tcBorders>
              <w:top w:val="single" w:sz="4" w:space="0" w:color="5B9BD5"/>
              <w:left w:val="nil"/>
              <w:bottom w:val="single" w:sz="4" w:space="0" w:color="5B9BD5"/>
              <w:right w:val="single" w:sz="4" w:space="0" w:color="5B9BD5"/>
            </w:tcBorders>
            <w:shd w:val="clear" w:color="auto" w:fill="002060"/>
            <w:vAlign w:val="bottom"/>
            <w:hideMark/>
          </w:tcPr>
          <w:p w:rsidR="00261E9A" w:rsidRPr="00CD1518" w:rsidRDefault="00261E9A" w:rsidP="00261E9A">
            <w:pPr>
              <w:spacing w:line="240" w:lineRule="auto"/>
              <w:jc w:val="center"/>
              <w:rPr>
                <w:b/>
                <w:bCs/>
                <w:color w:val="FFFFFF"/>
                <w:sz w:val="12"/>
                <w:szCs w:val="12"/>
                <w:lang w:eastAsia="en-AU"/>
              </w:rPr>
            </w:pPr>
            <w:r>
              <w:rPr>
                <w:b/>
                <w:bCs/>
                <w:color w:val="FFFFFF"/>
                <w:sz w:val="12"/>
                <w:szCs w:val="12"/>
                <w:lang w:eastAsia="en-AU"/>
              </w:rPr>
              <w:t>Adjustment</w:t>
            </w:r>
          </w:p>
        </w:tc>
        <w:tc>
          <w:tcPr>
            <w:tcW w:w="538" w:type="pct"/>
            <w:tcBorders>
              <w:top w:val="single" w:sz="4" w:space="0" w:color="5B9BD5"/>
              <w:left w:val="nil"/>
              <w:bottom w:val="single" w:sz="4" w:space="0" w:color="5B9BD5"/>
              <w:right w:val="single" w:sz="4" w:space="0" w:color="5B9BD5"/>
            </w:tcBorders>
            <w:shd w:val="clear" w:color="auto" w:fill="002060"/>
            <w:vAlign w:val="bottom"/>
            <w:hideMark/>
          </w:tcPr>
          <w:p w:rsidR="00261E9A" w:rsidRPr="00CD1518" w:rsidRDefault="00261E9A" w:rsidP="00261E9A">
            <w:pPr>
              <w:spacing w:line="240" w:lineRule="auto"/>
              <w:jc w:val="center"/>
              <w:rPr>
                <w:b/>
                <w:bCs/>
                <w:color w:val="FFFFFF"/>
                <w:sz w:val="14"/>
                <w:szCs w:val="14"/>
                <w:lang w:eastAsia="en-AU"/>
              </w:rPr>
            </w:pPr>
            <w:r w:rsidRPr="00CD1518">
              <w:rPr>
                <w:b/>
                <w:bCs/>
                <w:color w:val="FFFFFF"/>
                <w:sz w:val="14"/>
                <w:szCs w:val="14"/>
                <w:lang w:eastAsia="en-AU"/>
              </w:rPr>
              <w:t>Total Activity submitted for Round 18 NHCDC</w:t>
            </w:r>
          </w:p>
        </w:tc>
      </w:tr>
      <w:tr w:rsidR="00261E9A" w:rsidRPr="00261E9A" w:rsidTr="00CD1518">
        <w:trPr>
          <w:trHeight w:val="290"/>
        </w:trPr>
        <w:tc>
          <w:tcPr>
            <w:tcW w:w="701" w:type="pct"/>
            <w:tcBorders>
              <w:top w:val="nil"/>
              <w:left w:val="single" w:sz="4" w:space="0" w:color="5B9BD5"/>
              <w:bottom w:val="single" w:sz="4" w:space="0" w:color="5B9BD5"/>
              <w:right w:val="single" w:sz="4" w:space="0" w:color="5B9BD5"/>
            </w:tcBorders>
            <w:shd w:val="clear" w:color="000000" w:fill="FFFFFF"/>
            <w:noWrap/>
            <w:vAlign w:val="center"/>
            <w:hideMark/>
          </w:tcPr>
          <w:p w:rsidR="00261E9A" w:rsidRPr="00CD1518" w:rsidRDefault="00261E9A">
            <w:pPr>
              <w:spacing w:line="240" w:lineRule="auto"/>
              <w:rPr>
                <w:color w:val="000000"/>
                <w:sz w:val="14"/>
                <w:szCs w:val="14"/>
                <w:lang w:eastAsia="en-AU"/>
              </w:rPr>
            </w:pPr>
            <w:r w:rsidRPr="00CD1518">
              <w:rPr>
                <w:color w:val="000000"/>
                <w:sz w:val="14"/>
                <w:szCs w:val="14"/>
                <w:lang w:eastAsia="en-AU"/>
              </w:rPr>
              <w:t>Acute</w:t>
            </w:r>
          </w:p>
        </w:tc>
        <w:tc>
          <w:tcPr>
            <w:tcW w:w="537"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51,444</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(362)</w:t>
            </w:r>
          </w:p>
        </w:tc>
        <w:tc>
          <w:tcPr>
            <w:tcW w:w="537"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51,082</w:t>
            </w:r>
          </w:p>
        </w:tc>
        <w:tc>
          <w:tcPr>
            <w:tcW w:w="538"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57,485</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(6,436)</w:t>
            </w:r>
          </w:p>
        </w:tc>
        <w:tc>
          <w:tcPr>
            <w:tcW w:w="537"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51,049</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w:t>
            </w:r>
          </w:p>
        </w:tc>
        <w:tc>
          <w:tcPr>
            <w:tcW w:w="538"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51,049</w:t>
            </w:r>
          </w:p>
        </w:tc>
      </w:tr>
      <w:tr w:rsidR="00261E9A" w:rsidRPr="00261E9A" w:rsidTr="00CD1518">
        <w:trPr>
          <w:trHeight w:val="290"/>
        </w:trPr>
        <w:tc>
          <w:tcPr>
            <w:tcW w:w="701" w:type="pct"/>
            <w:tcBorders>
              <w:top w:val="nil"/>
              <w:left w:val="single" w:sz="4" w:space="0" w:color="5B9BD5"/>
              <w:bottom w:val="single" w:sz="4" w:space="0" w:color="5B9BD5"/>
              <w:right w:val="single" w:sz="4" w:space="0" w:color="5B9BD5"/>
            </w:tcBorders>
            <w:shd w:val="clear" w:color="000000" w:fill="DDEBF7"/>
            <w:noWrap/>
            <w:vAlign w:val="center"/>
            <w:hideMark/>
          </w:tcPr>
          <w:p w:rsidR="00261E9A" w:rsidRPr="00CD1518" w:rsidRDefault="00261E9A">
            <w:pPr>
              <w:spacing w:line="240" w:lineRule="auto"/>
              <w:rPr>
                <w:color w:val="000000"/>
                <w:sz w:val="14"/>
                <w:szCs w:val="14"/>
                <w:lang w:eastAsia="en-AU"/>
              </w:rPr>
            </w:pPr>
            <w:r w:rsidRPr="00CD1518">
              <w:rPr>
                <w:color w:val="000000"/>
                <w:sz w:val="14"/>
                <w:szCs w:val="14"/>
                <w:lang w:eastAsia="en-AU"/>
              </w:rPr>
              <w:t>Outpatient</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109,982</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(474)</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109,508</w:t>
            </w:r>
          </w:p>
        </w:tc>
        <w:tc>
          <w:tcPr>
            <w:tcW w:w="538"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210,936</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(100,722)</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110,214</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w:t>
            </w:r>
          </w:p>
        </w:tc>
        <w:tc>
          <w:tcPr>
            <w:tcW w:w="538"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110,214</w:t>
            </w:r>
          </w:p>
        </w:tc>
      </w:tr>
      <w:tr w:rsidR="00261E9A" w:rsidRPr="00261E9A" w:rsidTr="00CD1518">
        <w:trPr>
          <w:trHeight w:val="290"/>
        </w:trPr>
        <w:tc>
          <w:tcPr>
            <w:tcW w:w="701" w:type="pct"/>
            <w:tcBorders>
              <w:top w:val="nil"/>
              <w:left w:val="single" w:sz="4" w:space="0" w:color="5B9BD5"/>
              <w:bottom w:val="single" w:sz="4" w:space="0" w:color="5B9BD5"/>
              <w:right w:val="single" w:sz="4" w:space="0" w:color="5B9BD5"/>
            </w:tcBorders>
            <w:shd w:val="clear" w:color="000000" w:fill="FFFFFF"/>
            <w:noWrap/>
            <w:vAlign w:val="center"/>
            <w:hideMark/>
          </w:tcPr>
          <w:p w:rsidR="00261E9A" w:rsidRPr="00CD1518" w:rsidRDefault="00261E9A">
            <w:pPr>
              <w:spacing w:line="240" w:lineRule="auto"/>
              <w:rPr>
                <w:color w:val="000000"/>
                <w:sz w:val="14"/>
                <w:szCs w:val="14"/>
                <w:lang w:eastAsia="en-AU"/>
              </w:rPr>
            </w:pPr>
            <w:r w:rsidRPr="00CD1518">
              <w:rPr>
                <w:color w:val="000000"/>
                <w:sz w:val="14"/>
                <w:szCs w:val="14"/>
                <w:lang w:eastAsia="en-AU"/>
              </w:rPr>
              <w:t>Emergency</w:t>
            </w:r>
          </w:p>
        </w:tc>
        <w:tc>
          <w:tcPr>
            <w:tcW w:w="537"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41,736</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(26)</w:t>
            </w:r>
          </w:p>
        </w:tc>
        <w:tc>
          <w:tcPr>
            <w:tcW w:w="537"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41,710</w:t>
            </w:r>
          </w:p>
        </w:tc>
        <w:tc>
          <w:tcPr>
            <w:tcW w:w="538"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41,710</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(3)</w:t>
            </w:r>
          </w:p>
        </w:tc>
        <w:tc>
          <w:tcPr>
            <w:tcW w:w="537"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41,707</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w:t>
            </w:r>
          </w:p>
        </w:tc>
        <w:tc>
          <w:tcPr>
            <w:tcW w:w="538"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41,707</w:t>
            </w:r>
          </w:p>
        </w:tc>
      </w:tr>
      <w:tr w:rsidR="00261E9A" w:rsidRPr="00261E9A" w:rsidTr="00CD1518">
        <w:trPr>
          <w:trHeight w:val="290"/>
        </w:trPr>
        <w:tc>
          <w:tcPr>
            <w:tcW w:w="701" w:type="pct"/>
            <w:tcBorders>
              <w:top w:val="nil"/>
              <w:left w:val="single" w:sz="4" w:space="0" w:color="5B9BD5"/>
              <w:bottom w:val="single" w:sz="4" w:space="0" w:color="5B9BD5"/>
              <w:right w:val="single" w:sz="4" w:space="0" w:color="5B9BD5"/>
            </w:tcBorders>
            <w:shd w:val="clear" w:color="000000" w:fill="DDEBF7"/>
            <w:noWrap/>
            <w:vAlign w:val="center"/>
            <w:hideMark/>
          </w:tcPr>
          <w:p w:rsidR="00261E9A" w:rsidRPr="00CD1518" w:rsidRDefault="00261E9A">
            <w:pPr>
              <w:spacing w:line="240" w:lineRule="auto"/>
              <w:rPr>
                <w:color w:val="000000"/>
                <w:sz w:val="14"/>
                <w:szCs w:val="14"/>
                <w:lang w:eastAsia="en-AU"/>
              </w:rPr>
            </w:pPr>
            <w:proofErr w:type="spellStart"/>
            <w:r w:rsidRPr="00CD1518">
              <w:rPr>
                <w:color w:val="000000"/>
                <w:sz w:val="14"/>
                <w:szCs w:val="14"/>
                <w:lang w:eastAsia="en-AU"/>
              </w:rPr>
              <w:t>Sub Acute</w:t>
            </w:r>
            <w:proofErr w:type="spellEnd"/>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2,898</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(169)</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2,729</w:t>
            </w:r>
          </w:p>
        </w:tc>
        <w:tc>
          <w:tcPr>
            <w:tcW w:w="538"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2,569</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2,569</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w:t>
            </w:r>
          </w:p>
        </w:tc>
        <w:tc>
          <w:tcPr>
            <w:tcW w:w="538"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2,569</w:t>
            </w:r>
          </w:p>
        </w:tc>
      </w:tr>
      <w:tr w:rsidR="00261E9A" w:rsidRPr="00261E9A" w:rsidTr="00CD1518">
        <w:trPr>
          <w:trHeight w:val="290"/>
        </w:trPr>
        <w:tc>
          <w:tcPr>
            <w:tcW w:w="701" w:type="pct"/>
            <w:tcBorders>
              <w:top w:val="nil"/>
              <w:left w:val="single" w:sz="4" w:space="0" w:color="5B9BD5"/>
              <w:bottom w:val="single" w:sz="4" w:space="0" w:color="5B9BD5"/>
              <w:right w:val="single" w:sz="4" w:space="0" w:color="5B9BD5"/>
            </w:tcBorders>
            <w:shd w:val="clear" w:color="000000" w:fill="FFFFFF"/>
            <w:noWrap/>
            <w:vAlign w:val="center"/>
            <w:hideMark/>
          </w:tcPr>
          <w:p w:rsidR="00261E9A" w:rsidRPr="00CD1518" w:rsidRDefault="00261E9A">
            <w:pPr>
              <w:spacing w:line="240" w:lineRule="auto"/>
              <w:rPr>
                <w:color w:val="000000"/>
                <w:sz w:val="14"/>
                <w:szCs w:val="14"/>
                <w:lang w:eastAsia="en-AU"/>
              </w:rPr>
            </w:pPr>
            <w:r w:rsidRPr="00CD1518">
              <w:rPr>
                <w:color w:val="000000"/>
                <w:sz w:val="14"/>
                <w:szCs w:val="14"/>
                <w:lang w:eastAsia="en-AU"/>
              </w:rPr>
              <w:t>Mental Health</w:t>
            </w:r>
          </w:p>
        </w:tc>
        <w:tc>
          <w:tcPr>
            <w:tcW w:w="537"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81,071</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(105)</w:t>
            </w:r>
          </w:p>
        </w:tc>
        <w:tc>
          <w:tcPr>
            <w:tcW w:w="537"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80,966</w:t>
            </w:r>
          </w:p>
        </w:tc>
        <w:tc>
          <w:tcPr>
            <w:tcW w:w="538"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80,966</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(80,966)</w:t>
            </w:r>
          </w:p>
        </w:tc>
        <w:tc>
          <w:tcPr>
            <w:tcW w:w="537"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w:t>
            </w:r>
          </w:p>
        </w:tc>
        <w:tc>
          <w:tcPr>
            <w:tcW w:w="538"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w:t>
            </w:r>
          </w:p>
        </w:tc>
      </w:tr>
      <w:tr w:rsidR="00261E9A" w:rsidRPr="00261E9A" w:rsidTr="00CD1518">
        <w:trPr>
          <w:trHeight w:val="290"/>
        </w:trPr>
        <w:tc>
          <w:tcPr>
            <w:tcW w:w="701" w:type="pct"/>
            <w:tcBorders>
              <w:top w:val="nil"/>
              <w:left w:val="single" w:sz="4" w:space="0" w:color="5B9BD5"/>
              <w:bottom w:val="single" w:sz="4" w:space="0" w:color="5B9BD5"/>
              <w:right w:val="single" w:sz="4" w:space="0" w:color="5B9BD5"/>
            </w:tcBorders>
            <w:shd w:val="clear" w:color="000000" w:fill="DDEBF7"/>
            <w:noWrap/>
            <w:vAlign w:val="center"/>
            <w:hideMark/>
          </w:tcPr>
          <w:p w:rsidR="00261E9A" w:rsidRPr="00CD1518" w:rsidRDefault="00261E9A">
            <w:pPr>
              <w:spacing w:line="240" w:lineRule="auto"/>
              <w:rPr>
                <w:color w:val="000000"/>
                <w:sz w:val="14"/>
                <w:szCs w:val="14"/>
                <w:lang w:eastAsia="en-AU"/>
              </w:rPr>
            </w:pPr>
            <w:r w:rsidRPr="00CD1518">
              <w:rPr>
                <w:color w:val="000000"/>
                <w:sz w:val="14"/>
                <w:szCs w:val="14"/>
                <w:lang w:eastAsia="en-AU"/>
              </w:rPr>
              <w:t>Other</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137,245</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(34,527)</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102,718</w:t>
            </w:r>
          </w:p>
        </w:tc>
        <w:tc>
          <w:tcPr>
            <w:tcW w:w="538"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1,289</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(1,286)</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3</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w:t>
            </w:r>
          </w:p>
        </w:tc>
        <w:tc>
          <w:tcPr>
            <w:tcW w:w="538"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3</w:t>
            </w:r>
          </w:p>
        </w:tc>
      </w:tr>
      <w:tr w:rsidR="00261E9A" w:rsidRPr="00261E9A" w:rsidTr="00CD1518">
        <w:trPr>
          <w:trHeight w:val="290"/>
        </w:trPr>
        <w:tc>
          <w:tcPr>
            <w:tcW w:w="701" w:type="pct"/>
            <w:tcBorders>
              <w:top w:val="nil"/>
              <w:left w:val="single" w:sz="4" w:space="0" w:color="5B9BD5"/>
              <w:bottom w:val="single" w:sz="4" w:space="0" w:color="5B9BD5"/>
              <w:right w:val="single" w:sz="4" w:space="0" w:color="5B9BD5"/>
            </w:tcBorders>
            <w:shd w:val="clear" w:color="000000" w:fill="FFFFFF"/>
            <w:noWrap/>
            <w:vAlign w:val="center"/>
            <w:hideMark/>
          </w:tcPr>
          <w:p w:rsidR="00261E9A" w:rsidRPr="00CD1518" w:rsidRDefault="00261E9A">
            <w:pPr>
              <w:spacing w:line="240" w:lineRule="auto"/>
              <w:rPr>
                <w:color w:val="000000"/>
                <w:sz w:val="14"/>
                <w:szCs w:val="14"/>
                <w:lang w:eastAsia="en-AU"/>
              </w:rPr>
            </w:pPr>
            <w:r w:rsidRPr="00CD1518">
              <w:rPr>
                <w:color w:val="000000"/>
                <w:sz w:val="14"/>
                <w:szCs w:val="14"/>
                <w:lang w:eastAsia="en-AU"/>
              </w:rPr>
              <w:t>Research</w:t>
            </w:r>
          </w:p>
        </w:tc>
        <w:tc>
          <w:tcPr>
            <w:tcW w:w="537"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w:t>
            </w:r>
          </w:p>
        </w:tc>
        <w:tc>
          <w:tcPr>
            <w:tcW w:w="537"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w:t>
            </w:r>
          </w:p>
        </w:tc>
        <w:tc>
          <w:tcPr>
            <w:tcW w:w="538"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sz w:val="14"/>
                <w:szCs w:val="14"/>
                <w:lang w:eastAsia="en-AU"/>
              </w:rPr>
            </w:pP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w:t>
            </w:r>
          </w:p>
        </w:tc>
        <w:tc>
          <w:tcPr>
            <w:tcW w:w="537"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w:t>
            </w:r>
          </w:p>
        </w:tc>
        <w:tc>
          <w:tcPr>
            <w:tcW w:w="538" w:type="pct"/>
            <w:tcBorders>
              <w:top w:val="nil"/>
              <w:left w:val="nil"/>
              <w:bottom w:val="single" w:sz="4" w:space="0" w:color="5B9BD5"/>
              <w:right w:val="single" w:sz="4" w:space="0" w:color="5B9BD5"/>
            </w:tcBorders>
            <w:shd w:val="clear" w:color="000000" w:fill="FFFFFF"/>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w:t>
            </w:r>
          </w:p>
        </w:tc>
      </w:tr>
      <w:tr w:rsidR="00261E9A" w:rsidRPr="00261E9A" w:rsidTr="00CD1518">
        <w:trPr>
          <w:trHeight w:val="290"/>
        </w:trPr>
        <w:tc>
          <w:tcPr>
            <w:tcW w:w="701" w:type="pct"/>
            <w:tcBorders>
              <w:top w:val="nil"/>
              <w:left w:val="single" w:sz="4" w:space="0" w:color="5B9BD5"/>
              <w:bottom w:val="single" w:sz="4" w:space="0" w:color="5B9BD5"/>
              <w:right w:val="single" w:sz="4" w:space="0" w:color="5B9BD5"/>
            </w:tcBorders>
            <w:shd w:val="clear" w:color="000000" w:fill="DDEBF7"/>
            <w:noWrap/>
            <w:vAlign w:val="center"/>
            <w:hideMark/>
          </w:tcPr>
          <w:p w:rsidR="00261E9A" w:rsidRPr="00CD1518" w:rsidRDefault="00261E9A">
            <w:pPr>
              <w:spacing w:line="240" w:lineRule="auto"/>
              <w:rPr>
                <w:color w:val="000000"/>
                <w:sz w:val="14"/>
                <w:szCs w:val="14"/>
                <w:lang w:eastAsia="en-AU"/>
              </w:rPr>
            </w:pPr>
            <w:r w:rsidRPr="00CD1518">
              <w:rPr>
                <w:color w:val="000000"/>
                <w:sz w:val="14"/>
                <w:szCs w:val="14"/>
                <w:lang w:eastAsia="en-AU"/>
              </w:rPr>
              <w:t>Teaching and Training</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r w:rsidRPr="00CD1518">
              <w:rPr>
                <w:sz w:val="14"/>
                <w:szCs w:val="14"/>
                <w:lang w:eastAsia="en-AU"/>
              </w:rPr>
              <w:t>-</w:t>
            </w:r>
          </w:p>
        </w:tc>
        <w:tc>
          <w:tcPr>
            <w:tcW w:w="538"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sz w:val="14"/>
                <w:szCs w:val="14"/>
                <w:lang w:eastAsia="en-AU"/>
              </w:rPr>
            </w:pP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w:t>
            </w:r>
          </w:p>
        </w:tc>
        <w:tc>
          <w:tcPr>
            <w:tcW w:w="537"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w:t>
            </w:r>
          </w:p>
        </w:tc>
        <w:tc>
          <w:tcPr>
            <w:tcW w:w="538" w:type="pct"/>
            <w:tcBorders>
              <w:top w:val="nil"/>
              <w:left w:val="nil"/>
              <w:bottom w:val="single" w:sz="4" w:space="0" w:color="5B9BD5"/>
              <w:right w:val="single" w:sz="4" w:space="0" w:color="5B9BD5"/>
            </w:tcBorders>
            <w:shd w:val="clear" w:color="000000" w:fill="DDEBF7"/>
            <w:noWrap/>
            <w:vAlign w:val="center"/>
            <w:hideMark/>
          </w:tcPr>
          <w:p w:rsidR="00261E9A" w:rsidRPr="00CD1518" w:rsidRDefault="00261E9A" w:rsidP="00CD1518">
            <w:pPr>
              <w:spacing w:line="240" w:lineRule="auto"/>
              <w:jc w:val="right"/>
              <w:rPr>
                <w:color w:val="000000"/>
                <w:sz w:val="14"/>
                <w:szCs w:val="14"/>
                <w:lang w:eastAsia="en-AU"/>
              </w:rPr>
            </w:pPr>
            <w:r w:rsidRPr="00CD1518">
              <w:rPr>
                <w:color w:val="000000"/>
                <w:sz w:val="14"/>
                <w:szCs w:val="14"/>
                <w:lang w:eastAsia="en-AU"/>
              </w:rPr>
              <w:t>-</w:t>
            </w:r>
          </w:p>
        </w:tc>
      </w:tr>
      <w:tr w:rsidR="00261E9A" w:rsidRPr="00261E9A" w:rsidTr="00CD1518">
        <w:trPr>
          <w:trHeight w:val="290"/>
        </w:trPr>
        <w:tc>
          <w:tcPr>
            <w:tcW w:w="701" w:type="pct"/>
            <w:tcBorders>
              <w:top w:val="nil"/>
              <w:left w:val="single" w:sz="4" w:space="0" w:color="5B9BD5"/>
              <w:bottom w:val="single" w:sz="4" w:space="0" w:color="5B9BD5"/>
              <w:right w:val="single" w:sz="4" w:space="0" w:color="5B9BD5"/>
            </w:tcBorders>
            <w:shd w:val="clear" w:color="000000" w:fill="D0CECE"/>
            <w:noWrap/>
            <w:vAlign w:val="center"/>
            <w:hideMark/>
          </w:tcPr>
          <w:p w:rsidR="00261E9A" w:rsidRPr="00CD1518" w:rsidRDefault="00261E9A">
            <w:pPr>
              <w:spacing w:line="240" w:lineRule="auto"/>
              <w:rPr>
                <w:b/>
                <w:bCs/>
                <w:color w:val="000000"/>
                <w:sz w:val="14"/>
                <w:szCs w:val="14"/>
                <w:lang w:eastAsia="en-AU"/>
              </w:rPr>
            </w:pPr>
            <w:r w:rsidRPr="00CD1518">
              <w:rPr>
                <w:b/>
                <w:bCs/>
                <w:color w:val="000000"/>
                <w:sz w:val="14"/>
                <w:szCs w:val="14"/>
                <w:lang w:eastAsia="en-AU"/>
              </w:rPr>
              <w:t>Total</w:t>
            </w:r>
          </w:p>
        </w:tc>
        <w:tc>
          <w:tcPr>
            <w:tcW w:w="537" w:type="pct"/>
            <w:tcBorders>
              <w:top w:val="nil"/>
              <w:left w:val="nil"/>
              <w:bottom w:val="single" w:sz="4" w:space="0" w:color="5B9BD5"/>
              <w:right w:val="single" w:sz="4" w:space="0" w:color="5B9BD5"/>
            </w:tcBorders>
            <w:shd w:val="clear" w:color="000000" w:fill="D0CECE"/>
            <w:noWrap/>
            <w:vAlign w:val="center"/>
            <w:hideMark/>
          </w:tcPr>
          <w:p w:rsidR="00261E9A" w:rsidRPr="00CD1518" w:rsidRDefault="00261E9A" w:rsidP="00CD1518">
            <w:pPr>
              <w:spacing w:line="240" w:lineRule="auto"/>
              <w:jc w:val="right"/>
              <w:rPr>
                <w:b/>
                <w:bCs/>
                <w:color w:val="000000"/>
                <w:sz w:val="14"/>
                <w:szCs w:val="14"/>
                <w:lang w:eastAsia="en-AU"/>
              </w:rPr>
            </w:pPr>
            <w:r w:rsidRPr="00CD1518">
              <w:rPr>
                <w:b/>
                <w:bCs/>
                <w:color w:val="000000"/>
                <w:sz w:val="14"/>
                <w:szCs w:val="14"/>
                <w:lang w:eastAsia="en-AU"/>
              </w:rPr>
              <w:t>424,376</w:t>
            </w:r>
          </w:p>
        </w:tc>
        <w:tc>
          <w:tcPr>
            <w:tcW w:w="537" w:type="pct"/>
            <w:tcBorders>
              <w:top w:val="nil"/>
              <w:left w:val="nil"/>
              <w:bottom w:val="single" w:sz="4" w:space="0" w:color="5B9BD5"/>
              <w:right w:val="single" w:sz="4" w:space="0" w:color="5B9BD5"/>
            </w:tcBorders>
            <w:shd w:val="clear" w:color="000000" w:fill="D0CECE"/>
            <w:noWrap/>
            <w:vAlign w:val="center"/>
            <w:hideMark/>
          </w:tcPr>
          <w:p w:rsidR="00261E9A" w:rsidRPr="00CD1518" w:rsidRDefault="00261E9A" w:rsidP="00CD1518">
            <w:pPr>
              <w:spacing w:line="240" w:lineRule="auto"/>
              <w:jc w:val="right"/>
              <w:rPr>
                <w:b/>
                <w:bCs/>
                <w:color w:val="000000"/>
                <w:sz w:val="14"/>
                <w:szCs w:val="14"/>
                <w:lang w:eastAsia="en-AU"/>
              </w:rPr>
            </w:pPr>
            <w:r w:rsidRPr="00CD1518">
              <w:rPr>
                <w:b/>
                <w:bCs/>
                <w:color w:val="000000"/>
                <w:sz w:val="14"/>
                <w:szCs w:val="14"/>
                <w:lang w:eastAsia="en-AU"/>
              </w:rPr>
              <w:t>(35,663)</w:t>
            </w:r>
          </w:p>
        </w:tc>
        <w:tc>
          <w:tcPr>
            <w:tcW w:w="537" w:type="pct"/>
            <w:tcBorders>
              <w:top w:val="nil"/>
              <w:left w:val="nil"/>
              <w:bottom w:val="single" w:sz="4" w:space="0" w:color="5B9BD5"/>
              <w:right w:val="single" w:sz="4" w:space="0" w:color="5B9BD5"/>
            </w:tcBorders>
            <w:shd w:val="clear" w:color="000000" w:fill="D0CECE"/>
            <w:noWrap/>
            <w:vAlign w:val="center"/>
            <w:hideMark/>
          </w:tcPr>
          <w:p w:rsidR="00261E9A" w:rsidRPr="00CD1518" w:rsidRDefault="00261E9A" w:rsidP="00CD1518">
            <w:pPr>
              <w:spacing w:line="240" w:lineRule="auto"/>
              <w:jc w:val="right"/>
              <w:rPr>
                <w:b/>
                <w:bCs/>
                <w:color w:val="000000"/>
                <w:sz w:val="14"/>
                <w:szCs w:val="14"/>
                <w:lang w:eastAsia="en-AU"/>
              </w:rPr>
            </w:pPr>
            <w:r w:rsidRPr="00CD1518">
              <w:rPr>
                <w:b/>
                <w:bCs/>
                <w:color w:val="000000"/>
                <w:sz w:val="14"/>
                <w:szCs w:val="14"/>
                <w:lang w:eastAsia="en-AU"/>
              </w:rPr>
              <w:t>388,713</w:t>
            </w:r>
          </w:p>
        </w:tc>
        <w:tc>
          <w:tcPr>
            <w:tcW w:w="538" w:type="pct"/>
            <w:tcBorders>
              <w:top w:val="nil"/>
              <w:left w:val="nil"/>
              <w:bottom w:val="single" w:sz="4" w:space="0" w:color="5B9BD5"/>
              <w:right w:val="single" w:sz="4" w:space="0" w:color="5B9BD5"/>
            </w:tcBorders>
            <w:shd w:val="clear" w:color="000000" w:fill="D0CECE"/>
            <w:noWrap/>
            <w:vAlign w:val="center"/>
            <w:hideMark/>
          </w:tcPr>
          <w:p w:rsidR="00261E9A" w:rsidRPr="00CD1518" w:rsidRDefault="00261E9A" w:rsidP="00CD1518">
            <w:pPr>
              <w:spacing w:line="240" w:lineRule="auto"/>
              <w:jc w:val="right"/>
              <w:rPr>
                <w:b/>
                <w:bCs/>
                <w:color w:val="000000"/>
                <w:sz w:val="14"/>
                <w:szCs w:val="14"/>
                <w:lang w:eastAsia="en-AU"/>
              </w:rPr>
            </w:pPr>
            <w:r w:rsidRPr="00CD1518">
              <w:rPr>
                <w:b/>
                <w:bCs/>
                <w:color w:val="000000"/>
                <w:sz w:val="14"/>
                <w:szCs w:val="14"/>
                <w:lang w:eastAsia="en-AU"/>
              </w:rPr>
              <w:t>392,386</w:t>
            </w:r>
          </w:p>
        </w:tc>
        <w:tc>
          <w:tcPr>
            <w:tcW w:w="537" w:type="pct"/>
            <w:tcBorders>
              <w:top w:val="nil"/>
              <w:left w:val="nil"/>
              <w:bottom w:val="single" w:sz="4" w:space="0" w:color="5B9BD5"/>
              <w:right w:val="single" w:sz="4" w:space="0" w:color="5B9BD5"/>
            </w:tcBorders>
            <w:shd w:val="clear" w:color="000000" w:fill="D0CECE"/>
            <w:noWrap/>
            <w:vAlign w:val="center"/>
            <w:hideMark/>
          </w:tcPr>
          <w:p w:rsidR="00261E9A" w:rsidRPr="00CD1518" w:rsidRDefault="00261E9A" w:rsidP="00CD1518">
            <w:pPr>
              <w:spacing w:line="240" w:lineRule="auto"/>
              <w:jc w:val="right"/>
              <w:rPr>
                <w:b/>
                <w:bCs/>
                <w:color w:val="000000"/>
                <w:sz w:val="14"/>
                <w:szCs w:val="14"/>
                <w:lang w:eastAsia="en-AU"/>
              </w:rPr>
            </w:pPr>
            <w:r w:rsidRPr="00CD1518">
              <w:rPr>
                <w:b/>
                <w:bCs/>
                <w:color w:val="000000"/>
                <w:sz w:val="14"/>
                <w:szCs w:val="14"/>
                <w:lang w:eastAsia="en-AU"/>
              </w:rPr>
              <w:t>(186,844)</w:t>
            </w:r>
          </w:p>
        </w:tc>
        <w:tc>
          <w:tcPr>
            <w:tcW w:w="537" w:type="pct"/>
            <w:tcBorders>
              <w:top w:val="nil"/>
              <w:left w:val="nil"/>
              <w:bottom w:val="single" w:sz="4" w:space="0" w:color="5B9BD5"/>
              <w:right w:val="single" w:sz="4" w:space="0" w:color="5B9BD5"/>
            </w:tcBorders>
            <w:shd w:val="clear" w:color="000000" w:fill="D0CECE"/>
            <w:noWrap/>
            <w:vAlign w:val="center"/>
            <w:hideMark/>
          </w:tcPr>
          <w:p w:rsidR="00261E9A" w:rsidRPr="00CD1518" w:rsidRDefault="00261E9A" w:rsidP="00CD1518">
            <w:pPr>
              <w:spacing w:line="240" w:lineRule="auto"/>
              <w:jc w:val="right"/>
              <w:rPr>
                <w:b/>
                <w:bCs/>
                <w:color w:val="000000"/>
                <w:sz w:val="14"/>
                <w:szCs w:val="14"/>
                <w:lang w:eastAsia="en-AU"/>
              </w:rPr>
            </w:pPr>
            <w:r w:rsidRPr="00CD1518">
              <w:rPr>
                <w:b/>
                <w:bCs/>
                <w:color w:val="000000"/>
                <w:sz w:val="14"/>
                <w:szCs w:val="14"/>
                <w:lang w:eastAsia="en-AU"/>
              </w:rPr>
              <w:t>205,542</w:t>
            </w:r>
          </w:p>
        </w:tc>
        <w:tc>
          <w:tcPr>
            <w:tcW w:w="537" w:type="pct"/>
            <w:tcBorders>
              <w:top w:val="nil"/>
              <w:left w:val="nil"/>
              <w:bottom w:val="single" w:sz="4" w:space="0" w:color="5B9BD5"/>
              <w:right w:val="single" w:sz="4" w:space="0" w:color="5B9BD5"/>
            </w:tcBorders>
            <w:shd w:val="clear" w:color="000000" w:fill="D0CECE"/>
            <w:noWrap/>
            <w:vAlign w:val="center"/>
            <w:hideMark/>
          </w:tcPr>
          <w:p w:rsidR="00261E9A" w:rsidRPr="00CD1518" w:rsidRDefault="00261E9A" w:rsidP="00CD1518">
            <w:pPr>
              <w:spacing w:line="240" w:lineRule="auto"/>
              <w:jc w:val="right"/>
              <w:rPr>
                <w:b/>
                <w:bCs/>
                <w:color w:val="000000"/>
                <w:sz w:val="14"/>
                <w:szCs w:val="14"/>
                <w:lang w:eastAsia="en-AU"/>
              </w:rPr>
            </w:pPr>
            <w:r w:rsidRPr="00CD1518">
              <w:rPr>
                <w:b/>
                <w:bCs/>
                <w:color w:val="000000"/>
                <w:sz w:val="14"/>
                <w:szCs w:val="14"/>
                <w:lang w:eastAsia="en-AU"/>
              </w:rPr>
              <w:t>-</w:t>
            </w:r>
          </w:p>
        </w:tc>
        <w:tc>
          <w:tcPr>
            <w:tcW w:w="538" w:type="pct"/>
            <w:tcBorders>
              <w:top w:val="nil"/>
              <w:left w:val="nil"/>
              <w:bottom w:val="single" w:sz="4" w:space="0" w:color="5B9BD5"/>
              <w:right w:val="single" w:sz="4" w:space="0" w:color="5B9BD5"/>
            </w:tcBorders>
            <w:shd w:val="clear" w:color="000000" w:fill="D0CECE"/>
            <w:noWrap/>
            <w:vAlign w:val="center"/>
            <w:hideMark/>
          </w:tcPr>
          <w:p w:rsidR="00261E9A" w:rsidRPr="00CD1518" w:rsidRDefault="00261E9A" w:rsidP="00CD1518">
            <w:pPr>
              <w:spacing w:line="240" w:lineRule="auto"/>
              <w:jc w:val="right"/>
              <w:rPr>
                <w:b/>
                <w:bCs/>
                <w:color w:val="000000"/>
                <w:sz w:val="14"/>
                <w:szCs w:val="14"/>
                <w:lang w:eastAsia="en-AU"/>
              </w:rPr>
            </w:pPr>
            <w:r w:rsidRPr="00CD1518">
              <w:rPr>
                <w:b/>
                <w:bCs/>
                <w:color w:val="000000"/>
                <w:sz w:val="14"/>
                <w:szCs w:val="14"/>
                <w:lang w:eastAsia="en-AU"/>
              </w:rPr>
              <w:t>205,542</w:t>
            </w:r>
          </w:p>
        </w:tc>
      </w:tr>
    </w:tbl>
    <w:p w:rsidR="00FC0F41" w:rsidRPr="00975E6B" w:rsidRDefault="00FC0F41" w:rsidP="00F71180">
      <w:pPr>
        <w:rPr>
          <w:bCs/>
          <w:i/>
          <w:sz w:val="16"/>
          <w:szCs w:val="16"/>
        </w:rPr>
      </w:pPr>
      <w:r w:rsidRPr="00975E6B">
        <w:rPr>
          <w:bCs/>
          <w:i/>
          <w:sz w:val="16"/>
          <w:szCs w:val="16"/>
        </w:rPr>
        <w:t xml:space="preserve">Source: KPMG based on data supplied by </w:t>
      </w:r>
      <w:r w:rsidR="001044F3" w:rsidRPr="00975E6B">
        <w:rPr>
          <w:bCs/>
          <w:i/>
          <w:sz w:val="16"/>
          <w:szCs w:val="16"/>
        </w:rPr>
        <w:t>St Vincent’s</w:t>
      </w:r>
      <w:r w:rsidRPr="00975E6B">
        <w:rPr>
          <w:bCs/>
          <w:i/>
          <w:sz w:val="16"/>
          <w:szCs w:val="16"/>
        </w:rPr>
        <w:t xml:space="preserve">, </w:t>
      </w:r>
      <w:r w:rsidR="00B64F77" w:rsidRPr="00975E6B">
        <w:rPr>
          <w:bCs/>
          <w:i/>
          <w:sz w:val="16"/>
          <w:szCs w:val="16"/>
        </w:rPr>
        <w:t>Victoria</w:t>
      </w:r>
      <w:r w:rsidR="007A16C6">
        <w:rPr>
          <w:bCs/>
          <w:i/>
          <w:sz w:val="16"/>
          <w:szCs w:val="16"/>
        </w:rPr>
        <w:t xml:space="preserve"> Health </w:t>
      </w:r>
      <w:r w:rsidRPr="00975E6B">
        <w:rPr>
          <w:bCs/>
          <w:i/>
          <w:sz w:val="16"/>
          <w:szCs w:val="16"/>
        </w:rPr>
        <w:t xml:space="preserve">and IHPA </w:t>
      </w:r>
    </w:p>
    <w:p w:rsidR="00FC0F41" w:rsidRPr="00975E6B" w:rsidRDefault="00FC0F41" w:rsidP="00FC0F41">
      <w:pPr>
        <w:pStyle w:val="BodyText"/>
      </w:pPr>
      <w:r w:rsidRPr="00975E6B">
        <w:t xml:space="preserve">The following should be noted about the transfer of activity data for </w:t>
      </w:r>
      <w:r w:rsidR="001044F3" w:rsidRPr="00975E6B">
        <w:t>St Vincent’s</w:t>
      </w:r>
      <w:r w:rsidRPr="00975E6B">
        <w:t>:</w:t>
      </w:r>
    </w:p>
    <w:p w:rsidR="00FC0F41" w:rsidRPr="00975E6B" w:rsidRDefault="00FC0F41" w:rsidP="00F26328">
      <w:pPr>
        <w:pStyle w:val="BodyText"/>
        <w:numPr>
          <w:ilvl w:val="0"/>
          <w:numId w:val="39"/>
        </w:numPr>
      </w:pPr>
      <w:r w:rsidRPr="00975E6B">
        <w:t>Adjustments made by the hospital relate to Current WIP and WIP from 2012/13.</w:t>
      </w:r>
    </w:p>
    <w:p w:rsidR="00FC0F41" w:rsidRPr="00975E6B" w:rsidRDefault="00FC0F41" w:rsidP="00F26328">
      <w:pPr>
        <w:pStyle w:val="BodyText"/>
        <w:numPr>
          <w:ilvl w:val="0"/>
          <w:numId w:val="39"/>
        </w:numPr>
      </w:pPr>
      <w:r w:rsidRPr="00975E6B">
        <w:t>Based on the information contained within the templates, a variance was identified between the activity data submitted to the jurisdiction and the activity data received by the jurisdiction. This variance represents 0.1</w:t>
      </w:r>
      <w:r w:rsidR="00DA7807" w:rsidRPr="00975E6B">
        <w:t> percent</w:t>
      </w:r>
      <w:r w:rsidRPr="00975E6B">
        <w:t xml:space="preserve"> of the total data submitted to the jurisdiction.</w:t>
      </w:r>
    </w:p>
    <w:p w:rsidR="008E29F7" w:rsidRPr="00975E6B" w:rsidRDefault="00FC0F41" w:rsidP="00F26328">
      <w:pPr>
        <w:pStyle w:val="BodyText"/>
        <w:numPr>
          <w:ilvl w:val="0"/>
          <w:numId w:val="39"/>
        </w:numPr>
      </w:pPr>
      <w:r w:rsidRPr="00975E6B">
        <w:t xml:space="preserve">Adjustments made by </w:t>
      </w:r>
      <w:r w:rsidR="00B64F77" w:rsidRPr="00975E6B">
        <w:t>Victoria</w:t>
      </w:r>
      <w:r w:rsidR="00EE6A00" w:rsidRPr="00975E6B">
        <w:t xml:space="preserve"> Health</w:t>
      </w:r>
      <w:r w:rsidRPr="00975E6B">
        <w:t xml:space="preserve"> relate to </w:t>
      </w:r>
      <w:r w:rsidR="00D52AA9" w:rsidRPr="00975E6B">
        <w:t xml:space="preserve">the </w:t>
      </w:r>
      <w:r w:rsidR="00D52AA9">
        <w:t>activity associated with the</w:t>
      </w:r>
      <w:r w:rsidR="00D52AA9" w:rsidRPr="00975E6B" w:rsidDel="00D52AA9">
        <w:t xml:space="preserve"> </w:t>
      </w:r>
      <w:r w:rsidRPr="00975E6B">
        <w:t xml:space="preserve">exclusion of costs </w:t>
      </w:r>
      <w:r w:rsidR="009E6082" w:rsidRPr="00975E6B">
        <w:t xml:space="preserve">(at Item G of the financial reconciliation) such </w:t>
      </w:r>
      <w:r w:rsidR="00906893" w:rsidRPr="00975E6B">
        <w:t>as out of scope Tier 2 clinic patients and records that failed the Victoria Health validation tests.</w:t>
      </w:r>
      <w:r w:rsidR="009E6082" w:rsidRPr="00975E6B" w:rsidDel="009E6082">
        <w:t xml:space="preserve"> </w:t>
      </w:r>
    </w:p>
    <w:p w:rsidR="00FC0F41" w:rsidRPr="00975E6B" w:rsidRDefault="00FC0F41" w:rsidP="00F26328">
      <w:pPr>
        <w:pStyle w:val="BodyText"/>
        <w:numPr>
          <w:ilvl w:val="0"/>
          <w:numId w:val="39"/>
        </w:numPr>
      </w:pPr>
      <w:r w:rsidRPr="00975E6B">
        <w:t xml:space="preserve">Adjustments made by IHPA relating to admitted emergency reallocations </w:t>
      </w:r>
      <w:r w:rsidR="00906893" w:rsidRPr="00975E6B">
        <w:t xml:space="preserve">for reporting and analysis purposes </w:t>
      </w:r>
      <w:r w:rsidRPr="00975E6B">
        <w:t>(as discussed in Item J of the explanation of reconciliation items) has no impact on the reported activity.</w:t>
      </w:r>
    </w:p>
    <w:p w:rsidR="00FC0F41" w:rsidRPr="00975E6B" w:rsidRDefault="00FC0F41" w:rsidP="003B387A">
      <w:pPr>
        <w:pStyle w:val="Heading3"/>
        <w:numPr>
          <w:ilvl w:val="2"/>
          <w:numId w:val="77"/>
        </w:numPr>
      </w:pPr>
      <w:r w:rsidRPr="003B387A">
        <w:t>Treatment</w:t>
      </w:r>
      <w:r w:rsidRPr="00975E6B">
        <w:t xml:space="preserve"> of </w:t>
      </w:r>
      <w:r w:rsidR="00DA7807" w:rsidRPr="00975E6B">
        <w:t>WIP</w:t>
      </w:r>
    </w:p>
    <w:p w:rsidR="00FC0F41" w:rsidRPr="00975E6B" w:rsidRDefault="00914D23" w:rsidP="00FC0F41">
      <w:pPr>
        <w:pStyle w:val="BodyText"/>
      </w:pPr>
      <w:r w:rsidRPr="00975E6B">
        <w:fldChar w:fldCharType="begin"/>
      </w:r>
      <w:r w:rsidRPr="00975E6B">
        <w:instrText xml:space="preserve"> REF _Ref434265419 \h </w:instrText>
      </w:r>
      <w:r w:rsidR="00975E6B">
        <w:instrText xml:space="preserve"> \* MERGEFORMAT </w:instrText>
      </w:r>
      <w:r w:rsidRPr="00975E6B">
        <w:fldChar w:fldCharType="separate"/>
      </w:r>
      <w:r w:rsidR="00154CF7" w:rsidRPr="00975E6B">
        <w:t xml:space="preserve">Table </w:t>
      </w:r>
      <w:r w:rsidR="00154CF7">
        <w:t>83</w:t>
      </w:r>
      <w:r w:rsidRPr="00975E6B">
        <w:fldChar w:fldCharType="end"/>
      </w:r>
      <w:r w:rsidRPr="00975E6B">
        <w:t xml:space="preserve"> </w:t>
      </w:r>
      <w:r w:rsidR="00FC0F41" w:rsidRPr="00975E6B">
        <w:t xml:space="preserve">demonstrates models for WIP and what was included in the </w:t>
      </w:r>
      <w:r w:rsidR="001044F3" w:rsidRPr="00975E6B">
        <w:t>St Vincent’s</w:t>
      </w:r>
      <w:r w:rsidR="00FC0F41" w:rsidRPr="00975E6B">
        <w:t xml:space="preserve"> Round 18 NHCDC submission.</w:t>
      </w:r>
    </w:p>
    <w:p w:rsidR="00FC0F41" w:rsidRPr="00975E6B" w:rsidRDefault="00FC0F41" w:rsidP="00FC0F41">
      <w:pPr>
        <w:pStyle w:val="Caption"/>
      </w:pPr>
      <w:bookmarkStart w:id="813" w:name="_Ref434265419"/>
      <w:r w:rsidRPr="00975E6B">
        <w:t xml:space="preserve">Table </w:t>
      </w:r>
      <w:fldSimple w:instr=" SEQ Table \* ARABIC ">
        <w:r w:rsidR="00154CF7">
          <w:rPr>
            <w:noProof/>
          </w:rPr>
          <w:t>83</w:t>
        </w:r>
      </w:fldSimple>
      <w:bookmarkEnd w:id="813"/>
      <w:r w:rsidRPr="00975E6B">
        <w:t xml:space="preserve"> – </w:t>
      </w:r>
      <w:r w:rsidR="00DA7807" w:rsidRPr="00975E6B">
        <w:t>WIP</w:t>
      </w:r>
      <w:r w:rsidRPr="00975E6B">
        <w:t xml:space="preserve"> – St Vincent’s Hospital</w:t>
      </w:r>
    </w:p>
    <w:tbl>
      <w:tblPr>
        <w:tblStyle w:val="ListTable4-Accent11"/>
        <w:tblW w:w="5000" w:type="pct"/>
        <w:tblLayout w:type="fixed"/>
        <w:tblLook w:val="0620" w:firstRow="1" w:lastRow="0" w:firstColumn="0" w:lastColumn="0" w:noHBand="1" w:noVBand="1"/>
        <w:tblCaption w:val="Table 83 - Models for Work In Progress - St Vincent's Hospital"/>
        <w:tblDescription w:val="This table describes the models for Work In Progress and how that applied to St Vincent's Hospital.  The first column is the model number, the second column is the description and the third column is how that model was applied for the relevant hospital.&#10;"/>
      </w:tblPr>
      <w:tblGrid>
        <w:gridCol w:w="873"/>
        <w:gridCol w:w="4217"/>
        <w:gridCol w:w="3631"/>
      </w:tblGrid>
      <w:tr w:rsidR="00FC0F41" w:rsidRPr="00975E6B" w:rsidTr="00E14378">
        <w:trPr>
          <w:cnfStyle w:val="100000000000" w:firstRow="1" w:lastRow="0" w:firstColumn="0" w:lastColumn="0" w:oddVBand="0" w:evenVBand="0" w:oddHBand="0" w:evenHBand="0" w:firstRowFirstColumn="0" w:firstRowLastColumn="0" w:lastRowFirstColumn="0" w:lastRowLastColumn="0"/>
          <w:tblHeader/>
        </w:trPr>
        <w:tc>
          <w:tcPr>
            <w:tcW w:w="500" w:type="pct"/>
            <w:tcBorders>
              <w:right w:val="single" w:sz="4" w:space="0" w:color="548DD4" w:themeColor="text2" w:themeTint="99"/>
            </w:tcBorders>
            <w:shd w:val="clear" w:color="auto" w:fill="002060"/>
            <w:noWrap/>
          </w:tcPr>
          <w:p w:rsidR="00FC0F41" w:rsidRPr="00975E6B" w:rsidRDefault="00FC0F41" w:rsidP="00C70986">
            <w:r w:rsidRPr="00975E6B">
              <w:t>Model</w:t>
            </w:r>
          </w:p>
        </w:tc>
        <w:tc>
          <w:tcPr>
            <w:tcW w:w="2418" w:type="pct"/>
            <w:tcBorders>
              <w:left w:val="single" w:sz="4" w:space="0" w:color="548DD4" w:themeColor="text2" w:themeTint="99"/>
            </w:tcBorders>
            <w:shd w:val="clear" w:color="auto" w:fill="002060"/>
          </w:tcPr>
          <w:p w:rsidR="00FC0F41" w:rsidRPr="00975E6B" w:rsidRDefault="00FC0F41" w:rsidP="00C70986">
            <w:r w:rsidRPr="00975E6B">
              <w:t>Description</w:t>
            </w:r>
          </w:p>
        </w:tc>
        <w:tc>
          <w:tcPr>
            <w:tcW w:w="2082" w:type="pct"/>
            <w:tcBorders>
              <w:left w:val="single" w:sz="4" w:space="0" w:color="548DD4" w:themeColor="text2" w:themeTint="99"/>
            </w:tcBorders>
            <w:shd w:val="clear" w:color="auto" w:fill="002060"/>
          </w:tcPr>
          <w:p w:rsidR="00FC0F41" w:rsidRPr="00975E6B" w:rsidRDefault="00FC0F41" w:rsidP="00C70986">
            <w:r w:rsidRPr="00975E6B">
              <w:t>Submitted to Round 18 NHCDC</w:t>
            </w:r>
          </w:p>
        </w:tc>
      </w:tr>
      <w:tr w:rsidR="00FC0F41" w:rsidRPr="00975E6B" w:rsidTr="00C70986">
        <w:tc>
          <w:tcPr>
            <w:tcW w:w="499" w:type="pct"/>
            <w:tcBorders>
              <w:right w:val="single" w:sz="4" w:space="0" w:color="548DD4" w:themeColor="text2" w:themeTint="99"/>
            </w:tcBorders>
            <w:noWrap/>
          </w:tcPr>
          <w:p w:rsidR="00FC0F41" w:rsidRPr="00975E6B" w:rsidRDefault="00FC0F41" w:rsidP="001140D3">
            <w:pPr>
              <w:jc w:val="center"/>
            </w:pPr>
            <w:r w:rsidRPr="00975E6B">
              <w:t>1</w:t>
            </w:r>
          </w:p>
        </w:tc>
        <w:tc>
          <w:tcPr>
            <w:tcW w:w="2418" w:type="pct"/>
            <w:tcBorders>
              <w:left w:val="single" w:sz="4" w:space="0" w:color="548DD4" w:themeColor="text2" w:themeTint="99"/>
            </w:tcBorders>
          </w:tcPr>
          <w:p w:rsidR="00FC0F41" w:rsidRPr="00975E6B" w:rsidRDefault="00FC0F41" w:rsidP="00C70986">
            <w:r w:rsidRPr="00975E6B">
              <w:t>Admitted and Discharged Patients in 2013/14 only</w:t>
            </w:r>
          </w:p>
        </w:tc>
        <w:tc>
          <w:tcPr>
            <w:tcW w:w="2082" w:type="pct"/>
            <w:tcBorders>
              <w:left w:val="single" w:sz="4" w:space="0" w:color="548DD4" w:themeColor="text2" w:themeTint="99"/>
            </w:tcBorders>
          </w:tcPr>
          <w:p w:rsidR="00FC0F41" w:rsidRPr="00975E6B" w:rsidRDefault="00FC0F41" w:rsidP="00C70986">
            <w:pPr>
              <w:jc w:val="center"/>
            </w:pPr>
            <w:r w:rsidRPr="00975E6B">
              <w:t>Submitted to Round 18 of the NHCDC</w:t>
            </w:r>
          </w:p>
        </w:tc>
      </w:tr>
      <w:tr w:rsidR="00FC0F41" w:rsidRPr="00975E6B" w:rsidTr="00C70986">
        <w:tc>
          <w:tcPr>
            <w:tcW w:w="499" w:type="pct"/>
            <w:tcBorders>
              <w:right w:val="single" w:sz="4" w:space="0" w:color="548DD4" w:themeColor="text2" w:themeTint="99"/>
            </w:tcBorders>
            <w:noWrap/>
          </w:tcPr>
          <w:p w:rsidR="00FC0F41" w:rsidRPr="00975E6B" w:rsidRDefault="00FC0F41" w:rsidP="001140D3">
            <w:pPr>
              <w:jc w:val="center"/>
            </w:pPr>
            <w:r w:rsidRPr="00975E6B">
              <w:t>2</w:t>
            </w:r>
          </w:p>
        </w:tc>
        <w:tc>
          <w:tcPr>
            <w:tcW w:w="2418" w:type="pct"/>
            <w:tcBorders>
              <w:left w:val="single" w:sz="4" w:space="0" w:color="548DD4" w:themeColor="text2" w:themeTint="99"/>
            </w:tcBorders>
          </w:tcPr>
          <w:p w:rsidR="00FC0F41" w:rsidRPr="00975E6B" w:rsidRDefault="00FC0F41" w:rsidP="00C70986">
            <w:r w:rsidRPr="00975E6B">
              <w:t>Costs for patients discharged in 2013/14 but admitted prior to 2013/14</w:t>
            </w:r>
          </w:p>
        </w:tc>
        <w:tc>
          <w:tcPr>
            <w:tcW w:w="2082" w:type="pct"/>
            <w:tcBorders>
              <w:left w:val="single" w:sz="4" w:space="0" w:color="548DD4" w:themeColor="text2" w:themeTint="99"/>
            </w:tcBorders>
          </w:tcPr>
          <w:p w:rsidR="00FC0F41" w:rsidRPr="00975E6B" w:rsidRDefault="00FC0F41" w:rsidP="00C70986">
            <w:pPr>
              <w:jc w:val="center"/>
            </w:pPr>
            <w:r w:rsidRPr="00975E6B">
              <w:t>Submitted to Round 18 of the NHCDC</w:t>
            </w:r>
          </w:p>
        </w:tc>
      </w:tr>
      <w:tr w:rsidR="00FC0F41" w:rsidRPr="00975E6B" w:rsidTr="00C70986">
        <w:tc>
          <w:tcPr>
            <w:tcW w:w="499" w:type="pct"/>
            <w:tcBorders>
              <w:right w:val="single" w:sz="4" w:space="0" w:color="548DD4" w:themeColor="text2" w:themeTint="99"/>
            </w:tcBorders>
            <w:noWrap/>
          </w:tcPr>
          <w:p w:rsidR="00FC0F41" w:rsidRPr="00975E6B" w:rsidRDefault="00FC0F41" w:rsidP="001140D3">
            <w:pPr>
              <w:jc w:val="center"/>
            </w:pPr>
            <w:r w:rsidRPr="00975E6B">
              <w:t>3</w:t>
            </w:r>
          </w:p>
        </w:tc>
        <w:tc>
          <w:tcPr>
            <w:tcW w:w="2418" w:type="pct"/>
            <w:tcBorders>
              <w:left w:val="single" w:sz="4" w:space="0" w:color="548DD4" w:themeColor="text2" w:themeTint="99"/>
            </w:tcBorders>
          </w:tcPr>
          <w:p w:rsidR="00FC0F41" w:rsidRPr="00975E6B" w:rsidRDefault="00FC0F41" w:rsidP="00C70986">
            <w:r w:rsidRPr="00975E6B">
              <w:t>Costs for patients admitted prior to or in 2013/14 and remain admitted at 30/06/2014</w:t>
            </w:r>
          </w:p>
        </w:tc>
        <w:tc>
          <w:tcPr>
            <w:tcW w:w="2082" w:type="pct"/>
            <w:tcBorders>
              <w:left w:val="single" w:sz="4" w:space="0" w:color="548DD4" w:themeColor="text2" w:themeTint="99"/>
            </w:tcBorders>
          </w:tcPr>
          <w:p w:rsidR="00FC0F41" w:rsidRPr="00975E6B" w:rsidRDefault="00FC0F41" w:rsidP="00C70986">
            <w:pPr>
              <w:jc w:val="center"/>
            </w:pPr>
            <w:r w:rsidRPr="00975E6B">
              <w:t xml:space="preserve">Not submitted to Round 18 of the NHCDC </w:t>
            </w:r>
          </w:p>
        </w:tc>
      </w:tr>
      <w:tr w:rsidR="00625C35" w:rsidRPr="00975E6B" w:rsidTr="00C70986">
        <w:tc>
          <w:tcPr>
            <w:tcW w:w="499" w:type="pct"/>
            <w:tcBorders>
              <w:right w:val="single" w:sz="4" w:space="0" w:color="548DD4" w:themeColor="text2" w:themeTint="99"/>
            </w:tcBorders>
            <w:noWrap/>
          </w:tcPr>
          <w:p w:rsidR="00625C35" w:rsidRPr="00975E6B" w:rsidRDefault="00625C35" w:rsidP="001140D3">
            <w:pPr>
              <w:jc w:val="center"/>
            </w:pPr>
            <w:r w:rsidRPr="00975E6B">
              <w:t>4</w:t>
            </w:r>
          </w:p>
        </w:tc>
        <w:tc>
          <w:tcPr>
            <w:tcW w:w="2418" w:type="pct"/>
            <w:tcBorders>
              <w:left w:val="single" w:sz="4" w:space="0" w:color="548DD4" w:themeColor="text2" w:themeTint="99"/>
            </w:tcBorders>
          </w:tcPr>
          <w:p w:rsidR="00625C35" w:rsidRPr="00975E6B" w:rsidRDefault="00625C35" w:rsidP="00625C35">
            <w:r w:rsidRPr="00975E6B">
              <w:t>Costs for patients admitted prior to 2013/14 and still admitted at 30/06/2014</w:t>
            </w:r>
          </w:p>
        </w:tc>
        <w:tc>
          <w:tcPr>
            <w:tcW w:w="2082" w:type="pct"/>
            <w:tcBorders>
              <w:left w:val="single" w:sz="4" w:space="0" w:color="548DD4" w:themeColor="text2" w:themeTint="99"/>
            </w:tcBorders>
          </w:tcPr>
          <w:p w:rsidR="00625C35" w:rsidRPr="00975E6B" w:rsidRDefault="00625C35" w:rsidP="00625C35">
            <w:pPr>
              <w:jc w:val="center"/>
            </w:pPr>
            <w:r w:rsidRPr="00975E6B">
              <w:t>Not submitted to Round 18 of the NHCDC</w:t>
            </w:r>
          </w:p>
        </w:tc>
      </w:tr>
    </w:tbl>
    <w:p w:rsidR="00FC0F41" w:rsidRPr="00975E6B" w:rsidRDefault="00FC0F41" w:rsidP="00FC0F41">
      <w:pPr>
        <w:pStyle w:val="FootnoteText"/>
        <w:rPr>
          <w:bCs/>
          <w:i/>
          <w:sz w:val="16"/>
          <w:szCs w:val="16"/>
        </w:rPr>
      </w:pPr>
      <w:r w:rsidRPr="00975E6B">
        <w:rPr>
          <w:bCs/>
          <w:i/>
          <w:sz w:val="16"/>
          <w:szCs w:val="16"/>
        </w:rPr>
        <w:t xml:space="preserve">Source: KPMG, based on </w:t>
      </w:r>
      <w:r w:rsidR="001044F3" w:rsidRPr="00975E6B">
        <w:rPr>
          <w:bCs/>
          <w:i/>
          <w:sz w:val="16"/>
          <w:szCs w:val="16"/>
        </w:rPr>
        <w:t>St Vincent’s</w:t>
      </w:r>
      <w:r w:rsidRPr="00975E6B">
        <w:rPr>
          <w:bCs/>
          <w:i/>
          <w:sz w:val="16"/>
          <w:szCs w:val="16"/>
        </w:rPr>
        <w:t xml:space="preserve"> templates and review discussions</w:t>
      </w:r>
    </w:p>
    <w:p w:rsidR="00FC0F41" w:rsidRPr="00975E6B" w:rsidRDefault="00FC0F41" w:rsidP="00FC0F41">
      <w:pPr>
        <w:pStyle w:val="BodyText"/>
      </w:pPr>
      <w:r w:rsidRPr="00975E6B">
        <w:lastRenderedPageBreak/>
        <w:t xml:space="preserve">In summary, </w:t>
      </w:r>
      <w:r w:rsidR="001044F3" w:rsidRPr="00975E6B">
        <w:t>St Vincent’s</w:t>
      </w:r>
      <w:r w:rsidRPr="00975E6B">
        <w:t xml:space="preserve"> submitted </w:t>
      </w:r>
      <w:r w:rsidR="00B7080E" w:rsidRPr="00975E6B">
        <w:t xml:space="preserve">WIP </w:t>
      </w:r>
      <w:r w:rsidRPr="00975E6B">
        <w:t xml:space="preserve">costs for admitted and discharged patients in 2013/14 and the 2012/13 </w:t>
      </w:r>
      <w:r w:rsidR="00B7080E" w:rsidRPr="00975E6B">
        <w:t xml:space="preserve">WIP </w:t>
      </w:r>
      <w:r w:rsidRPr="00975E6B">
        <w:t>costs incurred for patients admitted prior to, but discharged, in 2013/14.</w:t>
      </w:r>
    </w:p>
    <w:p w:rsidR="00FC0F41" w:rsidRPr="00975E6B" w:rsidRDefault="00FC0F41" w:rsidP="003B387A">
      <w:pPr>
        <w:pStyle w:val="Heading4"/>
        <w:numPr>
          <w:ilvl w:val="0"/>
          <w:numId w:val="0"/>
        </w:numPr>
        <w:ind w:left="720" w:hanging="720"/>
      </w:pPr>
      <w:r w:rsidRPr="00975E6B">
        <w:t>Escalation factor</w:t>
      </w:r>
    </w:p>
    <w:p w:rsidR="00FC0F41" w:rsidRPr="00975E6B" w:rsidRDefault="00FC0F41" w:rsidP="00FC0F41">
      <w:pPr>
        <w:pStyle w:val="BodyText"/>
      </w:pPr>
      <w:r w:rsidRPr="00975E6B">
        <w:t xml:space="preserve">There was no escalation factor applied, either by </w:t>
      </w:r>
      <w:r w:rsidR="001044F3" w:rsidRPr="00975E6B">
        <w:t>St Vincent’s</w:t>
      </w:r>
      <w:r w:rsidRPr="00975E6B">
        <w:t xml:space="preserve"> or </w:t>
      </w:r>
      <w:r w:rsidR="00B64F77" w:rsidRPr="00975E6B">
        <w:t>Victoria</w:t>
      </w:r>
      <w:r w:rsidR="00EE6A00" w:rsidRPr="00975E6B">
        <w:t xml:space="preserve"> Health</w:t>
      </w:r>
      <w:r w:rsidRPr="00975E6B">
        <w:t xml:space="preserve">, to the </w:t>
      </w:r>
      <w:r w:rsidR="00906893" w:rsidRPr="00975E6B">
        <w:t>St </w:t>
      </w:r>
      <w:r w:rsidR="001044F3" w:rsidRPr="00975E6B">
        <w:t>Vincent’s</w:t>
      </w:r>
      <w:r w:rsidRPr="00975E6B">
        <w:t xml:space="preserve"> WIP data submitted to IHPA by </w:t>
      </w:r>
      <w:r w:rsidR="00B64F77" w:rsidRPr="00975E6B">
        <w:t>Victoria</w:t>
      </w:r>
      <w:r w:rsidR="00EE6A00" w:rsidRPr="00975E6B">
        <w:t xml:space="preserve"> Health</w:t>
      </w:r>
      <w:r w:rsidRPr="00975E6B">
        <w:t>.</w:t>
      </w:r>
    </w:p>
    <w:p w:rsidR="00FC0F41" w:rsidRPr="00975E6B" w:rsidRDefault="00FC0F41" w:rsidP="003B387A">
      <w:pPr>
        <w:pStyle w:val="Heading3"/>
        <w:numPr>
          <w:ilvl w:val="2"/>
          <w:numId w:val="77"/>
        </w:numPr>
      </w:pPr>
      <w:r w:rsidRPr="003B387A">
        <w:t>Treatment</w:t>
      </w:r>
      <w:r w:rsidRPr="00975E6B">
        <w:t xml:space="preserve"> of other specific cost items</w:t>
      </w:r>
    </w:p>
    <w:p w:rsidR="00FC0F41" w:rsidRPr="00975E6B" w:rsidRDefault="00EB4E48" w:rsidP="00FC0F41">
      <w:r w:rsidRPr="00975E6B">
        <w:t>The following items were discussed during the reviews to understand their treatment in the costing process. The cost data is used to inform the NEP and specific funding model adjustments for particular patient cohorts</w:t>
      </w:r>
      <w:r w:rsidR="00FC0F41" w:rsidRPr="00975E6B">
        <w:t>. Treatment of each of the items is summarised in</w:t>
      </w:r>
      <w:r w:rsidR="00914D23" w:rsidRPr="00975E6B">
        <w:t xml:space="preserve"> </w:t>
      </w:r>
      <w:r w:rsidR="00914D23" w:rsidRPr="00975E6B">
        <w:fldChar w:fldCharType="begin"/>
      </w:r>
      <w:r w:rsidR="00914D23" w:rsidRPr="00975E6B">
        <w:instrText xml:space="preserve"> REF _Ref434265439 \h </w:instrText>
      </w:r>
      <w:r w:rsidR="00975E6B">
        <w:instrText xml:space="preserve"> \* MERGEFORMAT </w:instrText>
      </w:r>
      <w:r w:rsidR="00914D23" w:rsidRPr="00975E6B">
        <w:fldChar w:fldCharType="separate"/>
      </w:r>
      <w:r w:rsidR="00154CF7" w:rsidRPr="00975E6B">
        <w:t xml:space="preserve">Table </w:t>
      </w:r>
      <w:r w:rsidR="00154CF7">
        <w:rPr>
          <w:noProof/>
        </w:rPr>
        <w:t>84</w:t>
      </w:r>
      <w:r w:rsidR="00914D23" w:rsidRPr="00975E6B">
        <w:fldChar w:fldCharType="end"/>
      </w:r>
      <w:r w:rsidR="00FC0F41" w:rsidRPr="00975E6B">
        <w:t>.</w:t>
      </w:r>
    </w:p>
    <w:p w:rsidR="00FC0F41" w:rsidRPr="00975E6B" w:rsidRDefault="00FC0F41" w:rsidP="00FC0F41">
      <w:pPr>
        <w:pStyle w:val="Caption"/>
      </w:pPr>
      <w:bookmarkStart w:id="814" w:name="_Ref434265439"/>
      <w:r w:rsidRPr="00975E6B">
        <w:t xml:space="preserve">Table </w:t>
      </w:r>
      <w:fldSimple w:instr=" SEQ Table \* ARABIC ">
        <w:r w:rsidR="00154CF7">
          <w:rPr>
            <w:noProof/>
          </w:rPr>
          <w:t>84</w:t>
        </w:r>
      </w:fldSimple>
      <w:bookmarkEnd w:id="814"/>
      <w:r w:rsidRPr="00975E6B">
        <w:t xml:space="preserve"> – Treatment of other specific cost items – St Vincent’s Hospital</w:t>
      </w:r>
    </w:p>
    <w:tbl>
      <w:tblPr>
        <w:tblStyle w:val="ListTable4-Accent11"/>
        <w:tblW w:w="5000" w:type="pct"/>
        <w:tblLayout w:type="fixed"/>
        <w:tblLook w:val="0620" w:firstRow="1" w:lastRow="0" w:firstColumn="0" w:lastColumn="0" w:noHBand="1" w:noVBand="1"/>
        <w:tblCaption w:val="Table 84 - Treatment of specific items - St Vincent's Hospital"/>
        <w:tblDescription w:val="This table describes how St Vincent's Hospital treated specific items in their Round 18 NHCDC Submission.  The first column is the item and the second column is the description of the treatment.&#10;"/>
      </w:tblPr>
      <w:tblGrid>
        <w:gridCol w:w="3051"/>
        <w:gridCol w:w="5670"/>
      </w:tblGrid>
      <w:tr w:rsidR="00FC0F41" w:rsidRPr="00975E6B" w:rsidTr="00E14378">
        <w:trPr>
          <w:cnfStyle w:val="100000000000" w:firstRow="1" w:lastRow="0" w:firstColumn="0" w:lastColumn="0" w:oddVBand="0" w:evenVBand="0" w:oddHBand="0" w:evenHBand="0" w:firstRowFirstColumn="0" w:firstRowLastColumn="0" w:lastRowFirstColumn="0" w:lastRowLastColumn="0"/>
          <w:tblHeader/>
        </w:trPr>
        <w:tc>
          <w:tcPr>
            <w:tcW w:w="1749" w:type="pct"/>
            <w:tcBorders>
              <w:right w:val="single" w:sz="4" w:space="0" w:color="548DD4" w:themeColor="text2" w:themeTint="99"/>
            </w:tcBorders>
            <w:shd w:val="clear" w:color="auto" w:fill="002060"/>
            <w:noWrap/>
          </w:tcPr>
          <w:p w:rsidR="00FC0F41" w:rsidRPr="00975E6B" w:rsidRDefault="00FC0F41" w:rsidP="00C70986">
            <w:r w:rsidRPr="00975E6B">
              <w:t>Item</w:t>
            </w:r>
          </w:p>
        </w:tc>
        <w:tc>
          <w:tcPr>
            <w:tcW w:w="3251" w:type="pct"/>
            <w:tcBorders>
              <w:left w:val="single" w:sz="4" w:space="0" w:color="548DD4" w:themeColor="text2" w:themeTint="99"/>
            </w:tcBorders>
            <w:shd w:val="clear" w:color="auto" w:fill="002060"/>
          </w:tcPr>
          <w:p w:rsidR="00FC0F41" w:rsidRPr="00975E6B" w:rsidRDefault="00FC0F41" w:rsidP="00C70986">
            <w:r w:rsidRPr="00975E6B">
              <w:t>Treatment</w:t>
            </w:r>
          </w:p>
        </w:tc>
      </w:tr>
      <w:tr w:rsidR="00FC0F41" w:rsidRPr="00975E6B" w:rsidTr="000362AF">
        <w:tc>
          <w:tcPr>
            <w:tcW w:w="1749" w:type="pct"/>
            <w:tcBorders>
              <w:right w:val="single" w:sz="4" w:space="0" w:color="548DD4" w:themeColor="text2" w:themeTint="99"/>
            </w:tcBorders>
            <w:noWrap/>
          </w:tcPr>
          <w:p w:rsidR="00FC0F41" w:rsidRPr="00975E6B" w:rsidRDefault="00FC0F41" w:rsidP="00C70986">
            <w:pPr>
              <w:pStyle w:val="BodyText"/>
              <w:jc w:val="left"/>
            </w:pPr>
            <w:r w:rsidRPr="00975E6B">
              <w:t>Research</w:t>
            </w:r>
          </w:p>
        </w:tc>
        <w:tc>
          <w:tcPr>
            <w:tcW w:w="3251" w:type="pct"/>
            <w:tcBorders>
              <w:left w:val="single" w:sz="4" w:space="0" w:color="548DD4" w:themeColor="text2" w:themeTint="99"/>
            </w:tcBorders>
          </w:tcPr>
          <w:p w:rsidR="00FC0F41" w:rsidRPr="00975E6B" w:rsidRDefault="00FC0F41" w:rsidP="00C70986">
            <w:pPr>
              <w:pStyle w:val="BodyText"/>
              <w:jc w:val="left"/>
            </w:pPr>
            <w:r w:rsidRPr="00975E6B">
              <w:t>Not reported by product – Research operating cost centres (where they exist) are spread across costed patients.</w:t>
            </w:r>
          </w:p>
        </w:tc>
      </w:tr>
      <w:tr w:rsidR="00FC0F41" w:rsidRPr="00975E6B" w:rsidTr="000362AF">
        <w:tc>
          <w:tcPr>
            <w:tcW w:w="1749" w:type="pct"/>
            <w:tcBorders>
              <w:right w:val="single" w:sz="4" w:space="0" w:color="548DD4" w:themeColor="text2" w:themeTint="99"/>
            </w:tcBorders>
            <w:noWrap/>
          </w:tcPr>
          <w:p w:rsidR="00FC0F41" w:rsidRPr="00975E6B" w:rsidRDefault="00FC0F41" w:rsidP="00C70986">
            <w:pPr>
              <w:pStyle w:val="BodyText"/>
              <w:jc w:val="left"/>
            </w:pPr>
            <w:r w:rsidRPr="00975E6B">
              <w:t>Teaching and Training</w:t>
            </w:r>
          </w:p>
        </w:tc>
        <w:tc>
          <w:tcPr>
            <w:tcW w:w="3251" w:type="pct"/>
            <w:tcBorders>
              <w:left w:val="single" w:sz="4" w:space="0" w:color="548DD4" w:themeColor="text2" w:themeTint="99"/>
            </w:tcBorders>
          </w:tcPr>
          <w:p w:rsidR="00FC0F41" w:rsidRPr="00975E6B" w:rsidRDefault="00FC0F41" w:rsidP="00C70986">
            <w:pPr>
              <w:pStyle w:val="BodyText"/>
              <w:jc w:val="left"/>
            </w:pPr>
            <w:r w:rsidRPr="00975E6B">
              <w:t xml:space="preserve">Not reported by product – </w:t>
            </w:r>
            <w:r w:rsidR="00EE6A00" w:rsidRPr="00975E6B">
              <w:t>t</w:t>
            </w:r>
            <w:r w:rsidRPr="00975E6B">
              <w:t xml:space="preserve">eaching and </w:t>
            </w:r>
            <w:r w:rsidR="00EE6A00" w:rsidRPr="00975E6B">
              <w:t>t</w:t>
            </w:r>
            <w:r w:rsidRPr="00975E6B">
              <w:t>raining cost centres (where they exist) are</w:t>
            </w:r>
            <w:r w:rsidR="009249E3" w:rsidRPr="00975E6B">
              <w:t xml:space="preserve"> </w:t>
            </w:r>
            <w:r w:rsidRPr="00975E6B">
              <w:t>spread across costed patients.</w:t>
            </w:r>
          </w:p>
        </w:tc>
      </w:tr>
      <w:tr w:rsidR="00FC0F41" w:rsidRPr="00975E6B" w:rsidTr="000362AF">
        <w:tc>
          <w:tcPr>
            <w:tcW w:w="1749" w:type="pct"/>
            <w:tcBorders>
              <w:right w:val="single" w:sz="4" w:space="0" w:color="548DD4" w:themeColor="text2" w:themeTint="99"/>
            </w:tcBorders>
            <w:noWrap/>
          </w:tcPr>
          <w:p w:rsidR="00FC0F41" w:rsidRPr="00975E6B" w:rsidRDefault="00FC0F41" w:rsidP="00C70986">
            <w:pPr>
              <w:pStyle w:val="BodyText"/>
              <w:jc w:val="left"/>
            </w:pPr>
            <w:r w:rsidRPr="00975E6B">
              <w:t>Shared/Other commercial entities</w:t>
            </w:r>
          </w:p>
        </w:tc>
        <w:tc>
          <w:tcPr>
            <w:tcW w:w="3251" w:type="pct"/>
            <w:tcBorders>
              <w:left w:val="single" w:sz="4" w:space="0" w:color="548DD4" w:themeColor="text2" w:themeTint="99"/>
            </w:tcBorders>
          </w:tcPr>
          <w:p w:rsidR="00FC0F41" w:rsidRPr="00975E6B" w:rsidRDefault="00FC0F41" w:rsidP="00C70986">
            <w:pPr>
              <w:pStyle w:val="BodyText"/>
              <w:jc w:val="left"/>
            </w:pPr>
            <w:r w:rsidRPr="00975E6B">
              <w:t>All expenditure is reflected in the costed data. Based on discussions in the interview process, the costs associated with these shared/other commercial entities are not material.</w:t>
            </w:r>
          </w:p>
        </w:tc>
      </w:tr>
      <w:tr w:rsidR="00FC0F41" w:rsidRPr="00975E6B" w:rsidTr="000362AF">
        <w:tc>
          <w:tcPr>
            <w:tcW w:w="1749" w:type="pct"/>
            <w:tcBorders>
              <w:right w:val="single" w:sz="4" w:space="0" w:color="548DD4" w:themeColor="text2" w:themeTint="99"/>
            </w:tcBorders>
            <w:noWrap/>
          </w:tcPr>
          <w:p w:rsidR="00FC0F41" w:rsidRPr="00975E6B" w:rsidRDefault="00FC0F41" w:rsidP="00643900">
            <w:pPr>
              <w:pStyle w:val="BodyText"/>
              <w:jc w:val="left"/>
            </w:pPr>
            <w:r w:rsidRPr="00975E6B">
              <w:t xml:space="preserve">Intensive Care Unit </w:t>
            </w:r>
          </w:p>
        </w:tc>
        <w:tc>
          <w:tcPr>
            <w:tcW w:w="3251" w:type="pct"/>
            <w:tcBorders>
              <w:left w:val="single" w:sz="4" w:space="0" w:color="548DD4" w:themeColor="text2" w:themeTint="99"/>
            </w:tcBorders>
          </w:tcPr>
          <w:p w:rsidR="00FC0F41" w:rsidRPr="00975E6B" w:rsidRDefault="00FC0F41" w:rsidP="00EE6A00">
            <w:pPr>
              <w:pStyle w:val="BodyText"/>
              <w:jc w:val="left"/>
              <w:rPr>
                <w:b/>
              </w:rPr>
            </w:pPr>
            <w:r w:rsidRPr="00975E6B">
              <w:t xml:space="preserve">The ICU at </w:t>
            </w:r>
            <w:r w:rsidR="001044F3" w:rsidRPr="00975E6B">
              <w:t>St Vincent’s</w:t>
            </w:r>
            <w:r w:rsidRPr="00975E6B">
              <w:t xml:space="preserve"> is a shared service with St</w:t>
            </w:r>
            <w:r w:rsidR="00EE6A00" w:rsidRPr="00975E6B">
              <w:t> </w:t>
            </w:r>
            <w:r w:rsidRPr="00975E6B">
              <w:t xml:space="preserve">Vincent’s Private Hospital, located adjacent. Costs and activity are allocated to the </w:t>
            </w:r>
            <w:r w:rsidR="003B3E8B" w:rsidRPr="00975E6B">
              <w:t>p</w:t>
            </w:r>
            <w:r w:rsidRPr="00975E6B">
              <w:t xml:space="preserve">ublic </w:t>
            </w:r>
            <w:r w:rsidR="003B3E8B" w:rsidRPr="00975E6B">
              <w:t>h</w:t>
            </w:r>
            <w:r w:rsidRPr="00975E6B">
              <w:t>ospital. The costs are treated as a ‘Contracted Service’.</w:t>
            </w:r>
          </w:p>
        </w:tc>
      </w:tr>
      <w:tr w:rsidR="00FC0F41" w:rsidRPr="00975E6B" w:rsidTr="000362AF">
        <w:tc>
          <w:tcPr>
            <w:tcW w:w="1749" w:type="pct"/>
            <w:tcBorders>
              <w:right w:val="single" w:sz="4" w:space="0" w:color="548DD4" w:themeColor="text2" w:themeTint="99"/>
            </w:tcBorders>
            <w:noWrap/>
          </w:tcPr>
          <w:p w:rsidR="00FC0F41" w:rsidRPr="00975E6B" w:rsidRDefault="00EE5E5B" w:rsidP="00C70986">
            <w:pPr>
              <w:pStyle w:val="BodyText"/>
              <w:jc w:val="left"/>
            </w:pPr>
            <w:r w:rsidRPr="00975E6B">
              <w:t>Aboriginal and Torres Strait Islander</w:t>
            </w:r>
            <w:r w:rsidR="00FC0F41" w:rsidRPr="00975E6B">
              <w:t xml:space="preserve"> patients</w:t>
            </w:r>
          </w:p>
        </w:tc>
        <w:tc>
          <w:tcPr>
            <w:tcW w:w="3251" w:type="pct"/>
            <w:tcBorders>
              <w:left w:val="single" w:sz="4" w:space="0" w:color="548DD4" w:themeColor="text2" w:themeTint="99"/>
            </w:tcBorders>
          </w:tcPr>
          <w:p w:rsidR="00FC0F41" w:rsidRPr="00975E6B" w:rsidRDefault="00FC0F41" w:rsidP="00C70986">
            <w:pPr>
              <w:pStyle w:val="BodyText"/>
              <w:jc w:val="left"/>
              <w:rPr>
                <w:b/>
              </w:rPr>
            </w:pPr>
            <w:r w:rsidRPr="00975E6B">
              <w:t>No change to the costing methodology. No ATSI weights or adjustments made.</w:t>
            </w:r>
          </w:p>
        </w:tc>
      </w:tr>
      <w:tr w:rsidR="00FC0F41" w:rsidRPr="00975E6B" w:rsidTr="000362AF">
        <w:trPr>
          <w:trHeight w:val="516"/>
        </w:trPr>
        <w:tc>
          <w:tcPr>
            <w:tcW w:w="1749" w:type="pct"/>
            <w:tcBorders>
              <w:right w:val="single" w:sz="4" w:space="0" w:color="548DD4" w:themeColor="text2" w:themeTint="99"/>
            </w:tcBorders>
            <w:noWrap/>
          </w:tcPr>
          <w:p w:rsidR="00FC0F41" w:rsidRPr="00975E6B" w:rsidRDefault="00FC0F41" w:rsidP="00C70986">
            <w:pPr>
              <w:pStyle w:val="BodyText"/>
              <w:jc w:val="left"/>
            </w:pPr>
            <w:r w:rsidRPr="00975E6B">
              <w:t xml:space="preserve">Private Patients </w:t>
            </w:r>
          </w:p>
        </w:tc>
        <w:tc>
          <w:tcPr>
            <w:tcW w:w="3251" w:type="pct"/>
            <w:tcBorders>
              <w:left w:val="single" w:sz="4" w:space="0" w:color="548DD4" w:themeColor="text2" w:themeTint="99"/>
            </w:tcBorders>
          </w:tcPr>
          <w:p w:rsidR="00FC0F41" w:rsidRPr="00975E6B" w:rsidRDefault="00FC0F41" w:rsidP="00C70986">
            <w:pPr>
              <w:pStyle w:val="BodyText"/>
              <w:jc w:val="left"/>
              <w:rPr>
                <w:b/>
              </w:rPr>
            </w:pPr>
            <w:r w:rsidRPr="00975E6B">
              <w:t>No change to the costing methodology. No private patient weights or adjustments made.</w:t>
            </w:r>
          </w:p>
        </w:tc>
      </w:tr>
      <w:tr w:rsidR="00FC0F41" w:rsidRPr="00975E6B" w:rsidTr="000362AF">
        <w:tc>
          <w:tcPr>
            <w:tcW w:w="1749" w:type="pct"/>
            <w:tcBorders>
              <w:right w:val="single" w:sz="4" w:space="0" w:color="548DD4" w:themeColor="text2" w:themeTint="99"/>
            </w:tcBorders>
            <w:noWrap/>
          </w:tcPr>
          <w:p w:rsidR="00FC0F41" w:rsidRPr="00975E6B" w:rsidRDefault="00643900" w:rsidP="00C70986">
            <w:pPr>
              <w:pStyle w:val="BodyText"/>
              <w:jc w:val="left"/>
            </w:pPr>
            <w:r w:rsidRPr="00975E6B">
              <w:t xml:space="preserve">PBS </w:t>
            </w:r>
            <w:r w:rsidR="00FC0F41" w:rsidRPr="00975E6B">
              <w:t>drugs</w:t>
            </w:r>
          </w:p>
        </w:tc>
        <w:tc>
          <w:tcPr>
            <w:tcW w:w="3251" w:type="pct"/>
            <w:tcBorders>
              <w:left w:val="single" w:sz="4" w:space="0" w:color="548DD4" w:themeColor="text2" w:themeTint="99"/>
            </w:tcBorders>
          </w:tcPr>
          <w:p w:rsidR="00FC0F41" w:rsidRPr="00975E6B" w:rsidRDefault="00FC0F41" w:rsidP="00C70986">
            <w:pPr>
              <w:pStyle w:val="BodyText"/>
              <w:jc w:val="left"/>
              <w:rPr>
                <w:b/>
              </w:rPr>
            </w:pPr>
            <w:r w:rsidRPr="00975E6B">
              <w:t>Included in Round 18 submission, no revenue offsets processed.</w:t>
            </w:r>
          </w:p>
        </w:tc>
      </w:tr>
    </w:tbl>
    <w:p w:rsidR="00FC0F41" w:rsidRPr="00975E6B" w:rsidRDefault="00FC0F41" w:rsidP="00FC0F41">
      <w:pPr>
        <w:pStyle w:val="FootnoteText"/>
        <w:rPr>
          <w:bCs/>
          <w:i/>
          <w:sz w:val="16"/>
          <w:szCs w:val="16"/>
        </w:rPr>
      </w:pPr>
      <w:r w:rsidRPr="00975E6B">
        <w:rPr>
          <w:bCs/>
          <w:i/>
          <w:sz w:val="16"/>
          <w:szCs w:val="16"/>
        </w:rPr>
        <w:t>Source: KPMG</w:t>
      </w:r>
    </w:p>
    <w:p w:rsidR="00FC0F41" w:rsidRPr="00975E6B" w:rsidRDefault="00FC0F41" w:rsidP="003B387A">
      <w:pPr>
        <w:pStyle w:val="Heading3"/>
        <w:numPr>
          <w:ilvl w:val="2"/>
          <w:numId w:val="77"/>
        </w:numPr>
      </w:pPr>
      <w:r w:rsidRPr="00975E6B">
        <w:t>Sample patient data</w:t>
      </w:r>
    </w:p>
    <w:p w:rsidR="00FC0F41" w:rsidRPr="00975E6B" w:rsidRDefault="00FC0F41" w:rsidP="00FC0F41">
      <w:pPr>
        <w:pStyle w:val="BodyText"/>
      </w:pPr>
      <w:r w:rsidRPr="00975E6B">
        <w:t xml:space="preserve">IHPA selected a sample of five patients from </w:t>
      </w:r>
      <w:r w:rsidR="001044F3" w:rsidRPr="00975E6B">
        <w:t>St Vincent’s</w:t>
      </w:r>
      <w:r w:rsidRPr="00975E6B">
        <w:t xml:space="preserve"> for the purposes of testing the data flow from</w:t>
      </w:r>
      <w:r w:rsidR="003B3E8B" w:rsidRPr="00975E6B">
        <w:t xml:space="preserve"> the</w:t>
      </w:r>
      <w:r w:rsidRPr="00975E6B">
        <w:t xml:space="preserve"> jurisdiction to IHPA at the patient level. </w:t>
      </w:r>
      <w:r w:rsidR="00B64F77" w:rsidRPr="00975E6B">
        <w:t>Victoria</w:t>
      </w:r>
      <w:r w:rsidR="003B3E8B" w:rsidRPr="00975E6B">
        <w:t xml:space="preserve"> Health</w:t>
      </w:r>
      <w:r w:rsidRPr="00975E6B">
        <w:t xml:space="preserve"> provided the patient level costs for all five patients and these reconciled to IHPA records. The results are summarised in </w:t>
      </w:r>
      <w:r w:rsidR="00914D23" w:rsidRPr="00975E6B">
        <w:fldChar w:fldCharType="begin"/>
      </w:r>
      <w:r w:rsidR="00914D23" w:rsidRPr="00975E6B">
        <w:instrText xml:space="preserve"> REF _Ref434265458 \h </w:instrText>
      </w:r>
      <w:r w:rsidR="00975E6B">
        <w:instrText xml:space="preserve"> \* MERGEFORMAT </w:instrText>
      </w:r>
      <w:r w:rsidR="00914D23" w:rsidRPr="00975E6B">
        <w:fldChar w:fldCharType="separate"/>
      </w:r>
      <w:r w:rsidR="00154CF7" w:rsidRPr="00975E6B">
        <w:t xml:space="preserve">Table </w:t>
      </w:r>
      <w:r w:rsidR="00154CF7" w:rsidRPr="00154CF7">
        <w:rPr>
          <w:noProof/>
        </w:rPr>
        <w:t>85</w:t>
      </w:r>
      <w:r w:rsidR="00914D23" w:rsidRPr="00975E6B">
        <w:fldChar w:fldCharType="end"/>
      </w:r>
      <w:r w:rsidRPr="00975E6B">
        <w:t>.</w:t>
      </w:r>
    </w:p>
    <w:p w:rsidR="00EF242B" w:rsidRPr="00975E6B" w:rsidRDefault="00FC0F41" w:rsidP="00CD1518">
      <w:pPr>
        <w:pStyle w:val="Caption"/>
      </w:pPr>
      <w:bookmarkStart w:id="815" w:name="_Ref434265458"/>
      <w:r w:rsidRPr="00975E6B">
        <w:lastRenderedPageBreak/>
        <w:t xml:space="preserve">Table </w:t>
      </w:r>
      <w:r w:rsidR="003E3288">
        <w:rPr>
          <w:bCs w:val="0"/>
          <w:i w:val="0"/>
        </w:rPr>
        <w:fldChar w:fldCharType="begin"/>
      </w:r>
      <w:r w:rsidR="003E3288">
        <w:rPr>
          <w:bCs w:val="0"/>
          <w:i w:val="0"/>
        </w:rPr>
        <w:instrText xml:space="preserve"> SEQ Table \* ARABIC </w:instrText>
      </w:r>
      <w:r w:rsidR="003E3288">
        <w:rPr>
          <w:bCs w:val="0"/>
          <w:i w:val="0"/>
        </w:rPr>
        <w:fldChar w:fldCharType="separate"/>
      </w:r>
      <w:r w:rsidR="00154CF7">
        <w:rPr>
          <w:bCs w:val="0"/>
          <w:i w:val="0"/>
          <w:noProof/>
        </w:rPr>
        <w:t>85</w:t>
      </w:r>
      <w:r w:rsidR="003E3288">
        <w:rPr>
          <w:bCs w:val="0"/>
          <w:i w:val="0"/>
          <w:noProof/>
        </w:rPr>
        <w:fldChar w:fldCharType="end"/>
      </w:r>
      <w:bookmarkEnd w:id="815"/>
      <w:r w:rsidRPr="00975E6B">
        <w:t xml:space="preserve"> – Sample patients – St Vincent’s Hospital</w:t>
      </w:r>
    </w:p>
    <w:tbl>
      <w:tblPr>
        <w:tblW w:w="5000" w:type="pct"/>
        <w:tblLook w:val="04A0" w:firstRow="1" w:lastRow="0" w:firstColumn="1" w:lastColumn="0" w:noHBand="0" w:noVBand="1"/>
        <w:tblCaption w:val="Table 85 - Sample patients - St Vincent's Hospital"/>
        <w:tblDescription w:val="This table presents the results of the 5 sample patients tested for the data flow from jurisdictions to IHPA at the patient level for St Vincent's Hospital. There are 5 columns.  Column 1 is the sample number, Column 2 is the product type, column 3 is the amount in  jurisdiction records, Column 4 is the amount received by IHPA and Column 5 is the variance between jurisdiction and IHPA.&#10;"/>
      </w:tblPr>
      <w:tblGrid>
        <w:gridCol w:w="509"/>
        <w:gridCol w:w="2274"/>
        <w:gridCol w:w="2274"/>
        <w:gridCol w:w="2274"/>
        <w:gridCol w:w="1390"/>
      </w:tblGrid>
      <w:tr w:rsidR="00EF242B" w:rsidRPr="00EF242B" w:rsidTr="00E14378">
        <w:trPr>
          <w:trHeight w:val="260"/>
        </w:trPr>
        <w:tc>
          <w:tcPr>
            <w:tcW w:w="291"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EF242B" w:rsidRPr="00EF242B" w:rsidRDefault="00EF242B" w:rsidP="00EF242B">
            <w:pPr>
              <w:spacing w:line="240" w:lineRule="auto"/>
              <w:jc w:val="center"/>
              <w:rPr>
                <w:b/>
                <w:bCs/>
                <w:color w:val="FFFFFF"/>
                <w:lang w:eastAsia="en-AU"/>
              </w:rPr>
            </w:pPr>
            <w:r w:rsidRPr="00EF242B">
              <w:rPr>
                <w:b/>
                <w:bCs/>
                <w:color w:val="FFFFFF"/>
                <w:lang w:eastAsia="en-AU"/>
              </w:rPr>
              <w: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EF242B" w:rsidRPr="00EF242B" w:rsidRDefault="00EF242B" w:rsidP="00EF242B">
            <w:pPr>
              <w:spacing w:line="240" w:lineRule="auto"/>
              <w:rPr>
                <w:b/>
                <w:bCs/>
                <w:color w:val="FFFFFF"/>
                <w:lang w:eastAsia="en-AU"/>
              </w:rPr>
            </w:pPr>
            <w:r w:rsidRPr="00EF242B">
              <w:rPr>
                <w:b/>
                <w:bCs/>
                <w:color w:val="FFFFFF"/>
                <w:lang w:eastAsia="en-AU"/>
              </w:rPr>
              <w:t>Product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EF242B" w:rsidRPr="00EF242B" w:rsidRDefault="00EF242B" w:rsidP="00EF242B">
            <w:pPr>
              <w:spacing w:line="240" w:lineRule="auto"/>
              <w:jc w:val="center"/>
              <w:rPr>
                <w:b/>
                <w:bCs/>
                <w:color w:val="FFFFFF"/>
                <w:lang w:eastAsia="en-AU"/>
              </w:rPr>
            </w:pPr>
            <w:r w:rsidRPr="00EF242B">
              <w:rPr>
                <w:b/>
                <w:bCs/>
                <w:color w:val="FFFFFF"/>
                <w:lang w:eastAsia="en-AU"/>
              </w:rPr>
              <w:t>Jurisdiction records</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EF242B" w:rsidRPr="00EF242B" w:rsidRDefault="00EF242B" w:rsidP="00EF242B">
            <w:pPr>
              <w:spacing w:line="240" w:lineRule="auto"/>
              <w:jc w:val="center"/>
              <w:rPr>
                <w:b/>
                <w:bCs/>
                <w:color w:val="FFFFFF"/>
                <w:lang w:eastAsia="en-AU"/>
              </w:rPr>
            </w:pPr>
            <w:r w:rsidRPr="00EF242B">
              <w:rPr>
                <w:b/>
                <w:bCs/>
                <w:color w:val="FFFFFF"/>
                <w:lang w:eastAsia="en-AU"/>
              </w:rPr>
              <w:t>Received by IHPA</w:t>
            </w:r>
          </w:p>
        </w:tc>
        <w:tc>
          <w:tcPr>
            <w:tcW w:w="797" w:type="pct"/>
            <w:tcBorders>
              <w:top w:val="nil"/>
              <w:left w:val="nil"/>
              <w:bottom w:val="nil"/>
              <w:right w:val="single" w:sz="4" w:space="0" w:color="5B9BD5"/>
            </w:tcBorders>
            <w:shd w:val="clear" w:color="auto" w:fill="002060"/>
            <w:vAlign w:val="bottom"/>
            <w:hideMark/>
          </w:tcPr>
          <w:p w:rsidR="00EF242B" w:rsidRPr="00EF242B" w:rsidRDefault="00EF242B" w:rsidP="00EF242B">
            <w:pPr>
              <w:spacing w:line="240" w:lineRule="auto"/>
              <w:jc w:val="center"/>
              <w:rPr>
                <w:b/>
                <w:bCs/>
                <w:color w:val="FFFFFF"/>
                <w:lang w:eastAsia="en-AU"/>
              </w:rPr>
            </w:pPr>
            <w:r w:rsidRPr="00EF242B">
              <w:rPr>
                <w:b/>
                <w:bCs/>
                <w:color w:val="FFFFFF"/>
                <w:lang w:eastAsia="en-AU"/>
              </w:rPr>
              <w:t>Variance</w:t>
            </w:r>
          </w:p>
        </w:tc>
      </w:tr>
      <w:tr w:rsidR="00EF242B" w:rsidRPr="00EF242B" w:rsidTr="00CD1518">
        <w:trPr>
          <w:trHeight w:val="260"/>
        </w:trPr>
        <w:tc>
          <w:tcPr>
            <w:tcW w:w="290" w:type="pct"/>
            <w:tcBorders>
              <w:top w:val="nil"/>
              <w:left w:val="single" w:sz="4" w:space="0" w:color="5B9BD5"/>
              <w:bottom w:val="single" w:sz="4" w:space="0" w:color="5B9BD5"/>
              <w:right w:val="single" w:sz="4" w:space="0" w:color="5B9BD5"/>
            </w:tcBorders>
            <w:shd w:val="clear" w:color="000000" w:fill="FFFFFF"/>
            <w:noWrap/>
            <w:vAlign w:val="bottom"/>
            <w:hideMark/>
          </w:tcPr>
          <w:p w:rsidR="00EF242B" w:rsidRPr="00EF242B" w:rsidRDefault="00EF242B" w:rsidP="00EF242B">
            <w:pPr>
              <w:spacing w:line="240" w:lineRule="auto"/>
              <w:jc w:val="center"/>
              <w:rPr>
                <w:color w:val="000000"/>
                <w:lang w:eastAsia="en-AU"/>
              </w:rPr>
            </w:pPr>
            <w:r w:rsidRPr="00EF242B">
              <w:rPr>
                <w:color w:val="000000"/>
                <w:lang w:eastAsia="en-AU"/>
              </w:rPr>
              <w:t>1</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EF242B" w:rsidRPr="00EF242B" w:rsidRDefault="00EF242B" w:rsidP="00EF242B">
            <w:pPr>
              <w:spacing w:line="240" w:lineRule="auto"/>
              <w:rPr>
                <w:color w:val="000000"/>
                <w:lang w:eastAsia="en-AU"/>
              </w:rPr>
            </w:pPr>
            <w:r w:rsidRPr="00EF242B">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FFFFFF"/>
            <w:noWrap/>
            <w:vAlign w:val="bottom"/>
            <w:hideMark/>
          </w:tcPr>
          <w:p w:rsidR="00EF242B" w:rsidRPr="00EF242B" w:rsidRDefault="00EF242B" w:rsidP="00CD1518">
            <w:pPr>
              <w:spacing w:line="240" w:lineRule="auto"/>
              <w:jc w:val="right"/>
              <w:rPr>
                <w:color w:val="000000"/>
                <w:lang w:eastAsia="en-AU"/>
              </w:rPr>
            </w:pPr>
            <w:r w:rsidRPr="00EF242B">
              <w:rPr>
                <w:color w:val="000000"/>
                <w:lang w:eastAsia="en-AU"/>
              </w:rPr>
              <w:t xml:space="preserve"> $33,727 </w:t>
            </w:r>
          </w:p>
        </w:tc>
        <w:tc>
          <w:tcPr>
            <w:tcW w:w="1304" w:type="pct"/>
            <w:tcBorders>
              <w:top w:val="nil"/>
              <w:left w:val="nil"/>
              <w:bottom w:val="single" w:sz="4" w:space="0" w:color="5B9BD5"/>
              <w:right w:val="single" w:sz="4" w:space="0" w:color="5B9BD5"/>
            </w:tcBorders>
            <w:shd w:val="clear" w:color="000000" w:fill="FFFFFF"/>
            <w:noWrap/>
            <w:vAlign w:val="bottom"/>
            <w:hideMark/>
          </w:tcPr>
          <w:p w:rsidR="00EF242B" w:rsidRPr="00EF242B" w:rsidRDefault="009C3210" w:rsidP="00CD1518">
            <w:pPr>
              <w:spacing w:line="240" w:lineRule="auto"/>
              <w:jc w:val="right"/>
              <w:rPr>
                <w:color w:val="000000"/>
                <w:lang w:eastAsia="en-AU"/>
              </w:rPr>
            </w:pPr>
            <w:r>
              <w:rPr>
                <w:color w:val="000000"/>
                <w:lang w:eastAsia="en-AU"/>
              </w:rPr>
              <w:t xml:space="preserve"> $</w:t>
            </w:r>
            <w:r w:rsidR="00EF242B" w:rsidRPr="00EF242B">
              <w:rPr>
                <w:color w:val="000000"/>
                <w:lang w:eastAsia="en-AU"/>
              </w:rPr>
              <w:t xml:space="preserve">33,727 </w:t>
            </w:r>
          </w:p>
        </w:tc>
        <w:tc>
          <w:tcPr>
            <w:tcW w:w="797" w:type="pct"/>
            <w:tcBorders>
              <w:top w:val="single" w:sz="4" w:space="0" w:color="5B9BD5"/>
              <w:left w:val="nil"/>
              <w:bottom w:val="single" w:sz="4" w:space="0" w:color="5B9BD5"/>
              <w:right w:val="single" w:sz="4" w:space="0" w:color="5B9BD5"/>
            </w:tcBorders>
            <w:shd w:val="clear" w:color="000000" w:fill="FFFFFF"/>
            <w:noWrap/>
            <w:vAlign w:val="bottom"/>
            <w:hideMark/>
          </w:tcPr>
          <w:p w:rsidR="00EF242B" w:rsidRPr="00EF242B" w:rsidRDefault="00EF242B" w:rsidP="00CD1518">
            <w:pPr>
              <w:spacing w:line="240" w:lineRule="auto"/>
              <w:jc w:val="right"/>
              <w:rPr>
                <w:color w:val="000000"/>
                <w:lang w:eastAsia="en-AU"/>
              </w:rPr>
            </w:pPr>
            <w:r w:rsidRPr="00EF242B">
              <w:rPr>
                <w:color w:val="000000"/>
                <w:lang w:eastAsia="en-AU"/>
              </w:rPr>
              <w:t xml:space="preserve"> $-   </w:t>
            </w:r>
          </w:p>
        </w:tc>
      </w:tr>
      <w:tr w:rsidR="009C3210" w:rsidRPr="00EF242B" w:rsidTr="00CD1518">
        <w:trPr>
          <w:trHeight w:val="260"/>
        </w:trPr>
        <w:tc>
          <w:tcPr>
            <w:tcW w:w="290"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EF242B" w:rsidRDefault="009C3210" w:rsidP="009C3210">
            <w:pPr>
              <w:spacing w:line="240" w:lineRule="auto"/>
              <w:jc w:val="center"/>
              <w:rPr>
                <w:color w:val="000000"/>
                <w:lang w:eastAsia="en-AU"/>
              </w:rPr>
            </w:pPr>
            <w:r w:rsidRPr="00EF242B">
              <w:rPr>
                <w:color w:val="000000"/>
                <w:lang w:eastAsia="en-AU"/>
              </w:rPr>
              <w:t>2</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EF242B" w:rsidRDefault="009C3210" w:rsidP="009C3210">
            <w:pPr>
              <w:spacing w:line="240" w:lineRule="auto"/>
              <w:rPr>
                <w:color w:val="000000"/>
                <w:lang w:eastAsia="en-AU"/>
              </w:rPr>
            </w:pPr>
            <w:r w:rsidRPr="00EF242B">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EF242B" w:rsidRDefault="009C3210" w:rsidP="00CD1518">
            <w:pPr>
              <w:spacing w:line="240" w:lineRule="auto"/>
              <w:jc w:val="right"/>
              <w:rPr>
                <w:color w:val="000000"/>
                <w:lang w:eastAsia="en-AU"/>
              </w:rPr>
            </w:pPr>
            <w:r w:rsidRPr="00EF242B">
              <w:rPr>
                <w:color w:val="000000"/>
                <w:lang w:eastAsia="en-AU"/>
              </w:rPr>
              <w:t xml:space="preserve"> $730,593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EF242B" w:rsidRDefault="009C3210" w:rsidP="00CD1518">
            <w:pPr>
              <w:spacing w:line="240" w:lineRule="auto"/>
              <w:jc w:val="right"/>
              <w:rPr>
                <w:color w:val="000000"/>
                <w:lang w:eastAsia="en-AU"/>
              </w:rPr>
            </w:pPr>
            <w:r w:rsidRPr="00EF242B">
              <w:rPr>
                <w:color w:val="000000"/>
                <w:lang w:eastAsia="en-AU"/>
              </w:rPr>
              <w:t xml:space="preserve"> $730,593 </w:t>
            </w:r>
          </w:p>
        </w:tc>
        <w:tc>
          <w:tcPr>
            <w:tcW w:w="797" w:type="pct"/>
            <w:tcBorders>
              <w:top w:val="nil"/>
              <w:left w:val="nil"/>
              <w:bottom w:val="single" w:sz="4" w:space="0" w:color="5B9BD5"/>
              <w:right w:val="single" w:sz="4" w:space="0" w:color="5B9BD5"/>
            </w:tcBorders>
            <w:shd w:val="clear" w:color="000000" w:fill="DDEBF7"/>
            <w:noWrap/>
            <w:vAlign w:val="bottom"/>
            <w:hideMark/>
          </w:tcPr>
          <w:p w:rsidR="009C3210" w:rsidRPr="00EF242B" w:rsidRDefault="009C3210" w:rsidP="00CD1518">
            <w:pPr>
              <w:spacing w:line="240" w:lineRule="auto"/>
              <w:jc w:val="right"/>
              <w:rPr>
                <w:color w:val="000000"/>
                <w:lang w:eastAsia="en-AU"/>
              </w:rPr>
            </w:pPr>
            <w:r w:rsidRPr="00EF242B">
              <w:rPr>
                <w:color w:val="000000"/>
                <w:lang w:eastAsia="en-AU"/>
              </w:rPr>
              <w:t xml:space="preserve"> $-   </w:t>
            </w:r>
          </w:p>
        </w:tc>
      </w:tr>
      <w:tr w:rsidR="009C3210" w:rsidRPr="00EF242B"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EF242B" w:rsidRDefault="009C3210" w:rsidP="009C3210">
            <w:pPr>
              <w:spacing w:line="240" w:lineRule="auto"/>
              <w:jc w:val="center"/>
              <w:rPr>
                <w:color w:val="000000"/>
                <w:lang w:eastAsia="en-AU"/>
              </w:rPr>
            </w:pPr>
            <w:r w:rsidRPr="00EF242B">
              <w:rPr>
                <w:color w:val="000000"/>
                <w:lang w:eastAsia="en-AU"/>
              </w:rPr>
              <w:t>3</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EF242B" w:rsidRDefault="009C3210" w:rsidP="009C3210">
            <w:pPr>
              <w:spacing w:line="240" w:lineRule="auto"/>
              <w:rPr>
                <w:color w:val="000000"/>
                <w:lang w:eastAsia="en-AU"/>
              </w:rPr>
            </w:pPr>
            <w:r w:rsidRPr="00EF242B">
              <w:rPr>
                <w:color w:val="000000"/>
                <w:lang w:eastAsia="en-AU"/>
              </w:rPr>
              <w:t xml:space="preserve"> Admitted ED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EF242B" w:rsidRDefault="009C3210" w:rsidP="00CD1518">
            <w:pPr>
              <w:spacing w:line="240" w:lineRule="auto"/>
              <w:jc w:val="right"/>
              <w:rPr>
                <w:color w:val="000000"/>
                <w:lang w:eastAsia="en-AU"/>
              </w:rPr>
            </w:pPr>
            <w:r w:rsidRPr="00EF242B">
              <w:rPr>
                <w:color w:val="000000"/>
                <w:lang w:eastAsia="en-AU"/>
              </w:rPr>
              <w:t xml:space="preserve"> $1,232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EF242B" w:rsidRDefault="009C3210" w:rsidP="00CD1518">
            <w:pPr>
              <w:spacing w:line="240" w:lineRule="auto"/>
              <w:jc w:val="right"/>
              <w:rPr>
                <w:color w:val="000000"/>
                <w:lang w:eastAsia="en-AU"/>
              </w:rPr>
            </w:pPr>
            <w:r w:rsidRPr="00EF242B">
              <w:rPr>
                <w:color w:val="000000"/>
                <w:lang w:eastAsia="en-AU"/>
              </w:rPr>
              <w:t xml:space="preserve"> $1,232 </w:t>
            </w:r>
          </w:p>
        </w:tc>
        <w:tc>
          <w:tcPr>
            <w:tcW w:w="797" w:type="pct"/>
            <w:tcBorders>
              <w:top w:val="nil"/>
              <w:left w:val="nil"/>
              <w:bottom w:val="single" w:sz="4" w:space="0" w:color="5B9BD5"/>
              <w:right w:val="single" w:sz="4" w:space="0" w:color="5B9BD5"/>
            </w:tcBorders>
            <w:shd w:val="clear" w:color="000000" w:fill="FFFFFF"/>
            <w:noWrap/>
            <w:vAlign w:val="bottom"/>
            <w:hideMark/>
          </w:tcPr>
          <w:p w:rsidR="009C3210" w:rsidRPr="00EF242B" w:rsidRDefault="009C3210" w:rsidP="00CD1518">
            <w:pPr>
              <w:spacing w:line="240" w:lineRule="auto"/>
              <w:jc w:val="right"/>
              <w:rPr>
                <w:color w:val="000000"/>
                <w:lang w:eastAsia="en-AU"/>
              </w:rPr>
            </w:pPr>
            <w:r w:rsidRPr="00EF242B">
              <w:rPr>
                <w:color w:val="000000"/>
                <w:lang w:eastAsia="en-AU"/>
              </w:rPr>
              <w:t xml:space="preserve"> $-   </w:t>
            </w:r>
          </w:p>
        </w:tc>
      </w:tr>
      <w:tr w:rsidR="009C3210" w:rsidRPr="00EF242B" w:rsidTr="00CD1518">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EF242B" w:rsidRDefault="009C3210" w:rsidP="009C3210">
            <w:pPr>
              <w:spacing w:line="240" w:lineRule="auto"/>
              <w:jc w:val="center"/>
              <w:rPr>
                <w:color w:val="000000"/>
                <w:lang w:eastAsia="en-AU"/>
              </w:rPr>
            </w:pPr>
            <w:r w:rsidRPr="00EF242B">
              <w:rPr>
                <w:color w:val="000000"/>
                <w:lang w:eastAsia="en-AU"/>
              </w:rPr>
              <w:t>4</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EF242B" w:rsidRDefault="009C3210" w:rsidP="009C3210">
            <w:pPr>
              <w:spacing w:line="240" w:lineRule="auto"/>
              <w:rPr>
                <w:color w:val="000000"/>
                <w:lang w:eastAsia="en-AU"/>
              </w:rPr>
            </w:pPr>
            <w:r w:rsidRPr="00EF242B">
              <w:rPr>
                <w:color w:val="000000"/>
                <w:lang w:eastAsia="en-AU"/>
              </w:rPr>
              <w:t xml:space="preserve"> Non-Admitted ED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EF242B" w:rsidRDefault="009C3210" w:rsidP="00CD1518">
            <w:pPr>
              <w:spacing w:line="240" w:lineRule="auto"/>
              <w:jc w:val="right"/>
              <w:rPr>
                <w:color w:val="000000"/>
                <w:lang w:eastAsia="en-AU"/>
              </w:rPr>
            </w:pPr>
            <w:r>
              <w:rPr>
                <w:color w:val="000000"/>
                <w:lang w:eastAsia="en-AU"/>
              </w:rPr>
              <w:t xml:space="preserve"> $</w:t>
            </w:r>
            <w:r w:rsidRPr="00EF242B">
              <w:rPr>
                <w:color w:val="000000"/>
                <w:lang w:eastAsia="en-AU"/>
              </w:rPr>
              <w:t xml:space="preserve">768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EF242B" w:rsidRDefault="009C3210" w:rsidP="00CD1518">
            <w:pPr>
              <w:spacing w:line="240" w:lineRule="auto"/>
              <w:jc w:val="right"/>
              <w:rPr>
                <w:color w:val="000000"/>
                <w:lang w:eastAsia="en-AU"/>
              </w:rPr>
            </w:pPr>
            <w:r w:rsidRPr="00EF242B">
              <w:rPr>
                <w:color w:val="000000"/>
                <w:lang w:eastAsia="en-AU"/>
              </w:rPr>
              <w:t xml:space="preserve"> $768 </w:t>
            </w:r>
          </w:p>
        </w:tc>
        <w:tc>
          <w:tcPr>
            <w:tcW w:w="797" w:type="pct"/>
            <w:tcBorders>
              <w:top w:val="nil"/>
              <w:left w:val="nil"/>
              <w:bottom w:val="single" w:sz="4" w:space="0" w:color="5B9BD5"/>
              <w:right w:val="single" w:sz="4" w:space="0" w:color="5B9BD5"/>
            </w:tcBorders>
            <w:shd w:val="clear" w:color="000000" w:fill="DDEBF7"/>
            <w:noWrap/>
            <w:vAlign w:val="bottom"/>
            <w:hideMark/>
          </w:tcPr>
          <w:p w:rsidR="009C3210" w:rsidRPr="00EF242B" w:rsidRDefault="009C3210" w:rsidP="00CD1518">
            <w:pPr>
              <w:spacing w:line="240" w:lineRule="auto"/>
              <w:jc w:val="right"/>
              <w:rPr>
                <w:color w:val="000000"/>
                <w:lang w:eastAsia="en-AU"/>
              </w:rPr>
            </w:pPr>
            <w:r w:rsidRPr="00EF242B">
              <w:rPr>
                <w:color w:val="000000"/>
                <w:lang w:eastAsia="en-AU"/>
              </w:rPr>
              <w:t xml:space="preserve"> $-   </w:t>
            </w:r>
          </w:p>
        </w:tc>
      </w:tr>
      <w:tr w:rsidR="009C3210" w:rsidRPr="00EF242B"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EF242B" w:rsidRDefault="009C3210" w:rsidP="009C3210">
            <w:pPr>
              <w:spacing w:line="240" w:lineRule="auto"/>
              <w:jc w:val="center"/>
              <w:rPr>
                <w:color w:val="000000"/>
                <w:lang w:eastAsia="en-AU"/>
              </w:rPr>
            </w:pPr>
            <w:r w:rsidRPr="00EF242B">
              <w:rPr>
                <w:color w:val="000000"/>
                <w:lang w:eastAsia="en-AU"/>
              </w:rPr>
              <w:t>5</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EF242B" w:rsidRDefault="009C3210" w:rsidP="009C3210">
            <w:pPr>
              <w:spacing w:line="240" w:lineRule="auto"/>
              <w:rPr>
                <w:color w:val="000000"/>
                <w:lang w:eastAsia="en-AU"/>
              </w:rPr>
            </w:pPr>
            <w:r w:rsidRPr="00EF242B">
              <w:rPr>
                <w:color w:val="000000"/>
                <w:lang w:eastAsia="en-AU"/>
              </w:rPr>
              <w:t xml:space="preserve"> Non-admitted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EF242B" w:rsidRDefault="009C3210" w:rsidP="00CD1518">
            <w:pPr>
              <w:spacing w:line="240" w:lineRule="auto"/>
              <w:jc w:val="right"/>
              <w:rPr>
                <w:color w:val="000000"/>
                <w:lang w:eastAsia="en-AU"/>
              </w:rPr>
            </w:pPr>
            <w:r>
              <w:rPr>
                <w:color w:val="000000"/>
                <w:lang w:eastAsia="en-AU"/>
              </w:rPr>
              <w:t xml:space="preserve"> $</w:t>
            </w:r>
            <w:r w:rsidRPr="00EF242B">
              <w:rPr>
                <w:color w:val="000000"/>
                <w:lang w:eastAsia="en-AU"/>
              </w:rPr>
              <w:t xml:space="preserve">227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EF242B" w:rsidRDefault="009C3210" w:rsidP="00CD1518">
            <w:pPr>
              <w:spacing w:line="240" w:lineRule="auto"/>
              <w:jc w:val="right"/>
              <w:rPr>
                <w:color w:val="000000"/>
                <w:lang w:eastAsia="en-AU"/>
              </w:rPr>
            </w:pPr>
            <w:r w:rsidRPr="00EF242B">
              <w:rPr>
                <w:color w:val="000000"/>
                <w:lang w:eastAsia="en-AU"/>
              </w:rPr>
              <w:t xml:space="preserve"> $227 </w:t>
            </w:r>
          </w:p>
        </w:tc>
        <w:tc>
          <w:tcPr>
            <w:tcW w:w="797" w:type="pct"/>
            <w:tcBorders>
              <w:top w:val="nil"/>
              <w:left w:val="nil"/>
              <w:bottom w:val="single" w:sz="4" w:space="0" w:color="5B9BD5"/>
              <w:right w:val="single" w:sz="4" w:space="0" w:color="5B9BD5"/>
            </w:tcBorders>
            <w:shd w:val="clear" w:color="000000" w:fill="FFFFFF"/>
            <w:noWrap/>
            <w:vAlign w:val="bottom"/>
            <w:hideMark/>
          </w:tcPr>
          <w:p w:rsidR="009C3210" w:rsidRPr="00EF242B" w:rsidRDefault="009C3210" w:rsidP="00CD1518">
            <w:pPr>
              <w:spacing w:line="240" w:lineRule="auto"/>
              <w:jc w:val="right"/>
              <w:rPr>
                <w:color w:val="000000"/>
                <w:lang w:eastAsia="en-AU"/>
              </w:rPr>
            </w:pPr>
            <w:r w:rsidRPr="00EF242B">
              <w:rPr>
                <w:color w:val="000000"/>
                <w:lang w:eastAsia="en-AU"/>
              </w:rPr>
              <w:t xml:space="preserve"> $-   </w:t>
            </w:r>
          </w:p>
        </w:tc>
      </w:tr>
    </w:tbl>
    <w:p w:rsidR="00FC0F41" w:rsidRPr="00975E6B" w:rsidRDefault="00FC0F41" w:rsidP="00FC0F41">
      <w:pPr>
        <w:pStyle w:val="FootnoteText"/>
        <w:rPr>
          <w:bCs/>
          <w:i/>
          <w:sz w:val="16"/>
          <w:szCs w:val="16"/>
        </w:rPr>
      </w:pPr>
      <w:r w:rsidRPr="00975E6B">
        <w:rPr>
          <w:bCs/>
          <w:i/>
          <w:sz w:val="16"/>
          <w:szCs w:val="16"/>
        </w:rPr>
        <w:t xml:space="preserve">Source: KPMG, based on </w:t>
      </w:r>
      <w:r w:rsidR="001044F3" w:rsidRPr="00975E6B">
        <w:rPr>
          <w:bCs/>
          <w:i/>
          <w:sz w:val="16"/>
          <w:szCs w:val="16"/>
        </w:rPr>
        <w:t>St Vincent’s</w:t>
      </w:r>
      <w:r w:rsidRPr="00975E6B">
        <w:rPr>
          <w:bCs/>
          <w:i/>
          <w:sz w:val="16"/>
          <w:szCs w:val="16"/>
        </w:rPr>
        <w:t xml:space="preserve"> and IHPA data</w:t>
      </w:r>
    </w:p>
    <w:p w:rsidR="00FC0F41" w:rsidRPr="00975E6B" w:rsidRDefault="00FC0F41" w:rsidP="003B387A">
      <w:pPr>
        <w:pStyle w:val="Heading2"/>
        <w:numPr>
          <w:ilvl w:val="1"/>
          <w:numId w:val="77"/>
        </w:numPr>
      </w:pPr>
      <w:r w:rsidRPr="00975E6B">
        <w:rPr>
          <w:i/>
        </w:rPr>
        <w:br w:type="page"/>
      </w:r>
      <w:bookmarkStart w:id="816" w:name="_Toc444523682"/>
      <w:r w:rsidRPr="00975E6B">
        <w:lastRenderedPageBreak/>
        <w:t xml:space="preserve">Royal </w:t>
      </w:r>
      <w:r w:rsidRPr="003B387A">
        <w:t>Victorian</w:t>
      </w:r>
      <w:r w:rsidRPr="00975E6B">
        <w:t xml:space="preserve"> Eye and Ear Hospital</w:t>
      </w:r>
      <w:bookmarkEnd w:id="816"/>
    </w:p>
    <w:p w:rsidR="00FC0F41" w:rsidRPr="00975E6B" w:rsidRDefault="00FC0F41" w:rsidP="003B387A">
      <w:pPr>
        <w:pStyle w:val="Heading3"/>
        <w:numPr>
          <w:ilvl w:val="2"/>
          <w:numId w:val="77"/>
        </w:numPr>
      </w:pPr>
      <w:r w:rsidRPr="003B387A">
        <w:t>Overview</w:t>
      </w:r>
    </w:p>
    <w:p w:rsidR="00FC0F41" w:rsidRPr="00975E6B" w:rsidRDefault="00FC0F41" w:rsidP="00FC0F41">
      <w:pPr>
        <w:spacing w:after="240"/>
        <w:jc w:val="both"/>
        <w:rPr>
          <w:szCs w:val="22"/>
        </w:rPr>
      </w:pPr>
      <w:r w:rsidRPr="00975E6B">
        <w:rPr>
          <w:szCs w:val="22"/>
        </w:rPr>
        <w:t xml:space="preserve">The Royal Victorian Eye and Ear Hospital (RVEEH) </w:t>
      </w:r>
      <w:r w:rsidR="000C19A6" w:rsidRPr="00975E6B">
        <w:rPr>
          <w:szCs w:val="22"/>
        </w:rPr>
        <w:t>are</w:t>
      </w:r>
      <w:r w:rsidRPr="00975E6B">
        <w:rPr>
          <w:szCs w:val="22"/>
        </w:rPr>
        <w:t xml:space="preserve"> based in </w:t>
      </w:r>
      <w:r w:rsidR="003B3E8B" w:rsidRPr="00975E6B">
        <w:rPr>
          <w:szCs w:val="22"/>
        </w:rPr>
        <w:t>e</w:t>
      </w:r>
      <w:r w:rsidRPr="00975E6B">
        <w:rPr>
          <w:szCs w:val="22"/>
        </w:rPr>
        <w:t xml:space="preserve">ast Melbourne, with a number of </w:t>
      </w:r>
      <w:r w:rsidR="00AA119B" w:rsidRPr="00975E6B">
        <w:rPr>
          <w:szCs w:val="22"/>
        </w:rPr>
        <w:t xml:space="preserve">non-admitted </w:t>
      </w:r>
      <w:r w:rsidRPr="00975E6B">
        <w:rPr>
          <w:szCs w:val="22"/>
        </w:rPr>
        <w:t>clinics around Victoria. It is the largest eye and ear hospital in Australia and performs most of Victoria’s specialist eye surgery and all of the State’s public cochlear implants, helping nearly 250,000 patients every year.</w:t>
      </w:r>
      <w:r w:rsidRPr="00975E6B">
        <w:rPr>
          <w:rStyle w:val="FootnoteReference"/>
          <w:szCs w:val="22"/>
        </w:rPr>
        <w:footnoteReference w:id="12"/>
      </w:r>
      <w:r w:rsidRPr="00975E6B">
        <w:rPr>
          <w:szCs w:val="22"/>
        </w:rPr>
        <w:t xml:space="preserve"> </w:t>
      </w:r>
    </w:p>
    <w:p w:rsidR="00FC0F41" w:rsidRPr="00975E6B" w:rsidRDefault="00FC0F41" w:rsidP="00FC0F41">
      <w:pPr>
        <w:spacing w:after="240"/>
        <w:jc w:val="both"/>
        <w:rPr>
          <w:szCs w:val="22"/>
        </w:rPr>
      </w:pPr>
      <w:r w:rsidRPr="00975E6B">
        <w:rPr>
          <w:szCs w:val="22"/>
        </w:rPr>
        <w:t xml:space="preserve">RVEEH </w:t>
      </w:r>
      <w:r w:rsidR="008E29F7" w:rsidRPr="00975E6B">
        <w:rPr>
          <w:szCs w:val="22"/>
        </w:rPr>
        <w:t>is</w:t>
      </w:r>
      <w:r w:rsidRPr="00975E6B">
        <w:rPr>
          <w:szCs w:val="22"/>
        </w:rPr>
        <w:t xml:space="preserve"> a world</w:t>
      </w:r>
      <w:r w:rsidR="00FF1BB7" w:rsidRPr="00975E6B">
        <w:rPr>
          <w:szCs w:val="22"/>
        </w:rPr>
        <w:t xml:space="preserve"> </w:t>
      </w:r>
      <w:r w:rsidRPr="00975E6B">
        <w:rPr>
          <w:szCs w:val="22"/>
        </w:rPr>
        <w:t xml:space="preserve">leader in research and education, collaborating with research partners. It currently has 217 active research projects being undertaken in conjunction with partners such as the Centre for Eye Research Australia (CERA), the University of Melbourne, the Bionics Institute, Bionic Vision Australia and </w:t>
      </w:r>
      <w:proofErr w:type="spellStart"/>
      <w:r w:rsidRPr="00975E6B">
        <w:rPr>
          <w:szCs w:val="22"/>
        </w:rPr>
        <w:t>HEARing</w:t>
      </w:r>
      <w:proofErr w:type="spellEnd"/>
      <w:r w:rsidRPr="00975E6B">
        <w:rPr>
          <w:szCs w:val="22"/>
        </w:rPr>
        <w:t xml:space="preserve"> CRC. RVEEH also provide students with competitive training programs and opportunities to learn in hands-on clinical settings.</w:t>
      </w:r>
      <w:r w:rsidRPr="00975E6B">
        <w:rPr>
          <w:rStyle w:val="FootnoteReference"/>
          <w:szCs w:val="22"/>
        </w:rPr>
        <w:footnoteReference w:id="13"/>
      </w:r>
    </w:p>
    <w:p w:rsidR="00FC0F41" w:rsidRPr="00975E6B" w:rsidRDefault="00FC0F41" w:rsidP="003B387A">
      <w:pPr>
        <w:pStyle w:val="Heading3"/>
        <w:numPr>
          <w:ilvl w:val="2"/>
          <w:numId w:val="77"/>
        </w:numPr>
      </w:pPr>
      <w:r w:rsidRPr="003B387A">
        <w:t>Financial</w:t>
      </w:r>
      <w:r w:rsidRPr="00975E6B">
        <w:t xml:space="preserve"> data</w:t>
      </w:r>
    </w:p>
    <w:p w:rsidR="00FC0F41" w:rsidRPr="00975E6B" w:rsidRDefault="00FC0F41" w:rsidP="00FC0F41">
      <w:pPr>
        <w:pStyle w:val="BodyText"/>
      </w:pPr>
      <w:r w:rsidRPr="00975E6B">
        <w:t xml:space="preserve">For the Round 18 IFR, the consultants engaged to manage the clinical costing process for RVEEH completed the IFR templates. The consultants who completed the templates did not participate in the consultations during the review. </w:t>
      </w:r>
    </w:p>
    <w:p w:rsidR="00FC0F41" w:rsidRPr="00975E6B" w:rsidRDefault="00914D23" w:rsidP="00FC0F41">
      <w:pPr>
        <w:pStyle w:val="BodyText"/>
      </w:pPr>
      <w:r w:rsidRPr="00975E6B">
        <w:fldChar w:fldCharType="begin"/>
      </w:r>
      <w:r w:rsidRPr="00975E6B">
        <w:instrText xml:space="preserve"> REF _Ref434265474 \h </w:instrText>
      </w:r>
      <w:r w:rsidR="00975E6B">
        <w:instrText xml:space="preserve"> \* MERGEFORMAT </w:instrText>
      </w:r>
      <w:r w:rsidRPr="00975E6B">
        <w:fldChar w:fldCharType="separate"/>
      </w:r>
      <w:r w:rsidR="00154CF7" w:rsidRPr="00975E6B">
        <w:t xml:space="preserve">Table </w:t>
      </w:r>
      <w:r w:rsidR="00154CF7">
        <w:rPr>
          <w:noProof/>
        </w:rPr>
        <w:t>86</w:t>
      </w:r>
      <w:r w:rsidRPr="00975E6B">
        <w:fldChar w:fldCharType="end"/>
      </w:r>
      <w:r w:rsidRPr="00975E6B">
        <w:t xml:space="preserve"> </w:t>
      </w:r>
      <w:r w:rsidR="00FC0F41" w:rsidRPr="00975E6B">
        <w:t>presents an overview of the template results for expenditures used for costing (at the hospital level), the jurisdictional process for cost data received and the IHPA process for cost data received.</w:t>
      </w:r>
    </w:p>
    <w:p w:rsidR="00FC0F41" w:rsidRPr="00975E6B" w:rsidRDefault="00FC0F41" w:rsidP="00FC0F41">
      <w:pPr>
        <w:pStyle w:val="Caption"/>
        <w:sectPr w:rsidR="00FC0F41" w:rsidRPr="00975E6B" w:rsidSect="00835E8A">
          <w:endnotePr>
            <w:numFmt w:val="decimal"/>
          </w:endnotePr>
          <w:pgSz w:w="11907" w:h="16840" w:code="9"/>
          <w:pgMar w:top="1962" w:right="1474" w:bottom="1588" w:left="1474" w:header="958" w:footer="737" w:gutter="454"/>
          <w:cols w:space="720"/>
          <w:docGrid w:linePitch="272"/>
        </w:sectPr>
      </w:pPr>
    </w:p>
    <w:p w:rsidR="00FC0F41" w:rsidRPr="00975E6B" w:rsidRDefault="00FC0F41" w:rsidP="00FC0F41">
      <w:pPr>
        <w:pStyle w:val="Caption"/>
      </w:pPr>
      <w:bookmarkStart w:id="817" w:name="_Ref434265474"/>
      <w:r w:rsidRPr="00975E6B">
        <w:lastRenderedPageBreak/>
        <w:t xml:space="preserve">Table </w:t>
      </w:r>
      <w:fldSimple w:instr=" SEQ Table \* ARABIC ">
        <w:r w:rsidR="00154CF7">
          <w:rPr>
            <w:noProof/>
          </w:rPr>
          <w:t>86</w:t>
        </w:r>
      </w:fldSimple>
      <w:bookmarkEnd w:id="817"/>
      <w:r w:rsidRPr="00975E6B">
        <w:t xml:space="preserve"> – </w:t>
      </w:r>
      <w:proofErr w:type="gramStart"/>
      <w:r w:rsidRPr="00975E6B">
        <w:t>Round 18 NHCDC Reconciliation – Royal Victorian Eye and Ear Hospital</w:t>
      </w:r>
      <w:proofErr w:type="gramEnd"/>
    </w:p>
    <w:p w:rsidR="00FC0F41" w:rsidRPr="00975E6B" w:rsidRDefault="007939A0" w:rsidP="00FC0F41">
      <w:r>
        <w:rPr>
          <w:noProof/>
          <w:lang w:eastAsia="en-AU"/>
        </w:rPr>
        <w:drawing>
          <wp:inline distT="0" distB="0" distL="0" distR="0" wp14:anchorId="00871AEA" wp14:editId="5A203E46">
            <wp:extent cx="8467725" cy="4086225"/>
            <wp:effectExtent l="0" t="0" r="9525" b="9525"/>
            <wp:docPr id="39" name="Picture 39" descr="This table presents the financial reconciliation of hospital expenditure for Round 18 for the Royal Victorian Eye and Ear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10;" title="Table 86 - Round 18 NHCDC Reconciliation - Royal Victorian Eye and Ear Hospi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This table presents the financial reconciliation of hospital expenditure for Round 18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10;"/>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8467725" cy="4086225"/>
                    </a:xfrm>
                    <a:prstGeom prst="rect">
                      <a:avLst/>
                    </a:prstGeom>
                    <a:noFill/>
                    <a:ln>
                      <a:noFill/>
                    </a:ln>
                  </pic:spPr>
                </pic:pic>
              </a:graphicData>
            </a:graphic>
          </wp:inline>
        </w:drawing>
      </w:r>
    </w:p>
    <w:p w:rsidR="00FC0F41" w:rsidRPr="00975E6B" w:rsidRDefault="00FC0F41" w:rsidP="00FC0F41">
      <w:pPr>
        <w:rPr>
          <w:bCs/>
          <w:i/>
          <w:sz w:val="16"/>
          <w:szCs w:val="16"/>
        </w:rPr>
      </w:pPr>
      <w:r w:rsidRPr="00975E6B">
        <w:rPr>
          <w:bCs/>
          <w:i/>
          <w:sz w:val="16"/>
          <w:szCs w:val="16"/>
        </w:rPr>
        <w:t>Source: KPMG based on RVEEH IFR templates</w:t>
      </w:r>
    </w:p>
    <w:p w:rsidR="00FC0F41" w:rsidRPr="00975E6B" w:rsidRDefault="00FC0F41" w:rsidP="00FC0F41">
      <w:pPr>
        <w:rPr>
          <w:bCs/>
          <w:i/>
          <w:sz w:val="16"/>
          <w:szCs w:val="16"/>
        </w:rPr>
      </w:pPr>
      <w:r w:rsidRPr="00975E6B">
        <w:rPr>
          <w:bCs/>
          <w:i/>
          <w:sz w:val="16"/>
          <w:szCs w:val="16"/>
        </w:rPr>
        <w:t>* This figure includes admitted emergency costs.</w:t>
      </w:r>
    </w:p>
    <w:p w:rsidR="00FC0F41" w:rsidRPr="00975E6B" w:rsidRDefault="00FC0F41" w:rsidP="00FC0F41">
      <w:pPr>
        <w:rPr>
          <w:bCs/>
          <w:i/>
          <w:sz w:val="16"/>
          <w:szCs w:val="16"/>
        </w:rPr>
      </w:pPr>
    </w:p>
    <w:p w:rsidR="00FC0F41" w:rsidRPr="00975E6B" w:rsidRDefault="00FC0F41" w:rsidP="00FC0F41">
      <w:pPr>
        <w:pStyle w:val="Heading4"/>
        <w:sectPr w:rsidR="00FC0F41" w:rsidRPr="00975E6B" w:rsidSect="00835E8A">
          <w:endnotePr>
            <w:numFmt w:val="decimal"/>
          </w:endnotePr>
          <w:pgSz w:w="16840" w:h="11907" w:orient="landscape" w:code="9"/>
          <w:pgMar w:top="1474" w:right="1962" w:bottom="1474" w:left="1588" w:header="958" w:footer="737" w:gutter="454"/>
          <w:cols w:space="720"/>
          <w:docGrid w:linePitch="272"/>
        </w:sectPr>
      </w:pPr>
    </w:p>
    <w:p w:rsidR="00FC0F41" w:rsidRPr="00975E6B" w:rsidRDefault="00FC0F41" w:rsidP="003B387A">
      <w:pPr>
        <w:pStyle w:val="Heading4"/>
        <w:numPr>
          <w:ilvl w:val="0"/>
          <w:numId w:val="0"/>
        </w:numPr>
      </w:pPr>
      <w:r w:rsidRPr="00975E6B">
        <w:lastRenderedPageBreak/>
        <w:t>Explanation of reconciliation items</w:t>
      </w:r>
    </w:p>
    <w:p w:rsidR="00FC0F41" w:rsidRPr="00975E6B" w:rsidRDefault="00914D23" w:rsidP="00FC0F41">
      <w:pPr>
        <w:pStyle w:val="BodyText"/>
      </w:pPr>
      <w:r w:rsidRPr="00975E6B">
        <w:fldChar w:fldCharType="begin"/>
      </w:r>
      <w:r w:rsidRPr="00975E6B">
        <w:instrText xml:space="preserve"> REF _Ref434265490 \h </w:instrText>
      </w:r>
      <w:r w:rsidR="00975E6B">
        <w:instrText xml:space="preserve"> \* MERGEFORMAT </w:instrText>
      </w:r>
      <w:r w:rsidRPr="00975E6B">
        <w:fldChar w:fldCharType="separate"/>
      </w:r>
      <w:r w:rsidR="00154CF7" w:rsidRPr="00975E6B">
        <w:t xml:space="preserve">Table </w:t>
      </w:r>
      <w:r w:rsidR="00154CF7">
        <w:rPr>
          <w:noProof/>
        </w:rPr>
        <w:t>87</w:t>
      </w:r>
      <w:r w:rsidRPr="00975E6B">
        <w:fldChar w:fldCharType="end"/>
      </w:r>
      <w:r w:rsidRPr="00975E6B">
        <w:t xml:space="preserve"> </w:t>
      </w:r>
      <w:r w:rsidR="00FC0F41" w:rsidRPr="00975E6B">
        <w:t xml:space="preserve">discusses each of the reconciliation items, including adjustments, inclusions and exclusions to the </w:t>
      </w:r>
      <w:r w:rsidR="00FF1BB7" w:rsidRPr="00975E6B">
        <w:t>GL</w:t>
      </w:r>
      <w:r w:rsidR="00FC0F41" w:rsidRPr="00975E6B">
        <w:t>.</w:t>
      </w:r>
    </w:p>
    <w:p w:rsidR="00FC0F41" w:rsidRPr="00975E6B" w:rsidRDefault="00FC0F41" w:rsidP="00FC0F41">
      <w:pPr>
        <w:pStyle w:val="Caption"/>
      </w:pPr>
      <w:bookmarkStart w:id="818" w:name="_Ref434265490"/>
      <w:r w:rsidRPr="00975E6B">
        <w:t xml:space="preserve">Table </w:t>
      </w:r>
      <w:fldSimple w:instr=" SEQ Table \* ARABIC ">
        <w:r w:rsidR="00154CF7">
          <w:rPr>
            <w:noProof/>
          </w:rPr>
          <w:t>87</w:t>
        </w:r>
      </w:fldSimple>
      <w:bookmarkEnd w:id="818"/>
      <w:r w:rsidRPr="00975E6B">
        <w:t xml:space="preserve"> – </w:t>
      </w:r>
      <w:r w:rsidR="00704A46" w:rsidRPr="00975E6B">
        <w:t>Financial Reconciliation, explanation of items</w:t>
      </w:r>
      <w:r w:rsidRPr="00975E6B">
        <w:t xml:space="preserve"> – Royal Victorian Eye and Ear Hospital</w:t>
      </w:r>
    </w:p>
    <w:tbl>
      <w:tblPr>
        <w:tblStyle w:val="ListTable4-Accent11"/>
        <w:tblW w:w="5000" w:type="pct"/>
        <w:tblLayout w:type="fixed"/>
        <w:tblLook w:val="0620" w:firstRow="1" w:lastRow="0" w:firstColumn="0" w:lastColumn="0" w:noHBand="1" w:noVBand="1"/>
        <w:tblCaption w:val="Table 87 - Financial reconciliation, explanation of items - Royal Victorian Eye and Ear Hospital"/>
        <w:tblDescription w:val="This table describes the information presented in Table 86.  The first column is the item number (A to K), the second column is the title of the item number and the third column is a description of the financial information included at that item."/>
      </w:tblPr>
      <w:tblGrid>
        <w:gridCol w:w="722"/>
        <w:gridCol w:w="2622"/>
        <w:gridCol w:w="5377"/>
      </w:tblGrid>
      <w:tr w:rsidR="00FC0F41"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14" w:type="pct"/>
            <w:tcBorders>
              <w:right w:val="single" w:sz="4" w:space="0" w:color="548DD4" w:themeColor="text2" w:themeTint="99"/>
            </w:tcBorders>
            <w:shd w:val="clear" w:color="auto" w:fill="002060"/>
            <w:noWrap/>
          </w:tcPr>
          <w:p w:rsidR="00FC0F41" w:rsidRPr="00975E6B" w:rsidRDefault="00FC0F41" w:rsidP="00C70986">
            <w:r w:rsidRPr="00975E6B">
              <w:t>Item</w:t>
            </w:r>
          </w:p>
        </w:tc>
        <w:tc>
          <w:tcPr>
            <w:tcW w:w="1503" w:type="pct"/>
            <w:tcBorders>
              <w:left w:val="single" w:sz="4" w:space="0" w:color="548DD4" w:themeColor="text2" w:themeTint="99"/>
            </w:tcBorders>
            <w:shd w:val="clear" w:color="auto" w:fill="002060"/>
          </w:tcPr>
          <w:p w:rsidR="00FC0F41" w:rsidRPr="00975E6B" w:rsidRDefault="00FC0F41" w:rsidP="00C70986">
            <w:r w:rsidRPr="00975E6B">
              <w:t>Heading</w:t>
            </w:r>
          </w:p>
        </w:tc>
        <w:tc>
          <w:tcPr>
            <w:tcW w:w="3083" w:type="pct"/>
            <w:tcBorders>
              <w:left w:val="single" w:sz="4" w:space="0" w:color="548DD4" w:themeColor="text2" w:themeTint="99"/>
            </w:tcBorders>
            <w:shd w:val="clear" w:color="auto" w:fill="002060"/>
          </w:tcPr>
          <w:p w:rsidR="00FC0F41" w:rsidRPr="00975E6B" w:rsidRDefault="00FC0F41" w:rsidP="00C70986">
            <w:r w:rsidRPr="00975E6B">
              <w:t>Discussion</w:t>
            </w:r>
          </w:p>
        </w:tc>
      </w:tr>
      <w:tr w:rsidR="00FC0F41" w:rsidRPr="00975E6B" w:rsidTr="00F10945">
        <w:tc>
          <w:tcPr>
            <w:tcW w:w="414" w:type="pct"/>
            <w:tcBorders>
              <w:right w:val="single" w:sz="4" w:space="0" w:color="548DD4" w:themeColor="text2" w:themeTint="99"/>
            </w:tcBorders>
            <w:noWrap/>
          </w:tcPr>
          <w:p w:rsidR="00FC0F41" w:rsidRPr="00975E6B" w:rsidRDefault="00FC0F41" w:rsidP="00C70986">
            <w:pPr>
              <w:pStyle w:val="BodyText"/>
            </w:pPr>
            <w:r w:rsidRPr="00975E6B">
              <w:t>A</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General Ledger</w:t>
            </w:r>
          </w:p>
        </w:tc>
        <w:tc>
          <w:tcPr>
            <w:tcW w:w="3083" w:type="pct"/>
            <w:tcBorders>
              <w:left w:val="single" w:sz="4" w:space="0" w:color="548DD4" w:themeColor="text2" w:themeTint="99"/>
            </w:tcBorders>
          </w:tcPr>
          <w:p w:rsidR="00FC0F41" w:rsidRPr="00975E6B" w:rsidRDefault="00FC0F41">
            <w:pPr>
              <w:pStyle w:val="BodyText"/>
            </w:pPr>
            <w:r w:rsidRPr="00975E6B">
              <w:t xml:space="preserve">The GL amount of $93.9 million represents the total for </w:t>
            </w:r>
            <w:r w:rsidR="0008064C" w:rsidRPr="00975E6B">
              <w:t>RVEEH</w:t>
            </w:r>
            <w:r w:rsidRPr="00975E6B">
              <w:t>.</w:t>
            </w:r>
          </w:p>
        </w:tc>
      </w:tr>
      <w:tr w:rsidR="00FC0F41" w:rsidRPr="00975E6B" w:rsidTr="00F10945">
        <w:tc>
          <w:tcPr>
            <w:tcW w:w="414" w:type="pct"/>
            <w:tcBorders>
              <w:right w:val="single" w:sz="4" w:space="0" w:color="548DD4" w:themeColor="text2" w:themeTint="99"/>
            </w:tcBorders>
            <w:noWrap/>
          </w:tcPr>
          <w:p w:rsidR="00FC0F41" w:rsidRPr="00975E6B" w:rsidRDefault="00FC0F41" w:rsidP="00C70986">
            <w:pPr>
              <w:pStyle w:val="BodyText"/>
            </w:pPr>
            <w:r w:rsidRPr="00975E6B">
              <w:t>B</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Adjustments to the GL</w:t>
            </w:r>
          </w:p>
        </w:tc>
        <w:tc>
          <w:tcPr>
            <w:tcW w:w="3083" w:type="pct"/>
            <w:tcBorders>
              <w:left w:val="single" w:sz="4" w:space="0" w:color="548DD4" w:themeColor="text2" w:themeTint="99"/>
            </w:tcBorders>
          </w:tcPr>
          <w:p w:rsidR="00FC0F41" w:rsidRPr="00975E6B" w:rsidRDefault="00FC0F41" w:rsidP="00C70986">
            <w:pPr>
              <w:pStyle w:val="BodyText"/>
            </w:pPr>
            <w:r w:rsidRPr="00975E6B">
              <w:t>A number of adjustments are made to the GL. Expenditure items excluded totalled $8.2 million and relate to the following:</w:t>
            </w:r>
          </w:p>
          <w:p w:rsidR="00FC0F41" w:rsidRPr="00975E6B" w:rsidRDefault="00FC0F41" w:rsidP="00F26328">
            <w:pPr>
              <w:pStyle w:val="BodyText"/>
              <w:numPr>
                <w:ilvl w:val="0"/>
                <w:numId w:val="37"/>
              </w:numPr>
            </w:pPr>
            <w:r w:rsidRPr="00975E6B">
              <w:t>Depreciation &amp; Amortisation - $7.6 million</w:t>
            </w:r>
          </w:p>
          <w:p w:rsidR="00FC0F41" w:rsidRPr="00975E6B" w:rsidRDefault="00FC0F41" w:rsidP="00F26328">
            <w:pPr>
              <w:pStyle w:val="BodyText"/>
              <w:numPr>
                <w:ilvl w:val="0"/>
                <w:numId w:val="37"/>
              </w:numPr>
            </w:pPr>
            <w:r w:rsidRPr="00975E6B">
              <w:t>Other (including salary recoveries) - $</w:t>
            </w:r>
            <w:r w:rsidR="00E82391" w:rsidRPr="00975E6B">
              <w:t>561,139</w:t>
            </w:r>
          </w:p>
          <w:p w:rsidR="00FC0F41" w:rsidRPr="00975E6B" w:rsidRDefault="00FC0F41" w:rsidP="00C70986">
            <w:pPr>
              <w:pStyle w:val="BodyText"/>
            </w:pPr>
            <w:r w:rsidRPr="00975E6B">
              <w:t>Expenditure items included totalled $</w:t>
            </w:r>
            <w:r w:rsidR="00E82391" w:rsidRPr="00975E6B">
              <w:t>95,820</w:t>
            </w:r>
            <w:r w:rsidRPr="00975E6B">
              <w:t xml:space="preserve"> and related to costs associated with the National Blood Allocation and Health Purchasing Victoria.</w:t>
            </w:r>
          </w:p>
          <w:p w:rsidR="00FC0F41" w:rsidRPr="00975E6B" w:rsidRDefault="00FC0F41" w:rsidP="00304A0C">
            <w:pPr>
              <w:pStyle w:val="BodyText"/>
            </w:pPr>
            <w:r w:rsidRPr="00975E6B">
              <w:t>These adjustments established an expenditure base for costing of $85.8 million for RVEEH. This was approximately 91</w:t>
            </w:r>
            <w:r w:rsidR="00DA7807" w:rsidRPr="00975E6B">
              <w:t> percent</w:t>
            </w:r>
            <w:r w:rsidRPr="00975E6B">
              <w:t xml:space="preserve"> of total expenditure reported in the </w:t>
            </w:r>
            <w:r w:rsidR="00304A0C" w:rsidRPr="00975E6B">
              <w:t xml:space="preserve">GL for </w:t>
            </w:r>
            <w:r w:rsidRPr="00975E6B">
              <w:t>RVEEH.</w:t>
            </w:r>
          </w:p>
        </w:tc>
      </w:tr>
      <w:tr w:rsidR="00FC0F41" w:rsidRPr="00975E6B" w:rsidTr="00F10945">
        <w:tc>
          <w:tcPr>
            <w:tcW w:w="414" w:type="pct"/>
            <w:tcBorders>
              <w:right w:val="single" w:sz="4" w:space="0" w:color="548DD4" w:themeColor="text2" w:themeTint="99"/>
            </w:tcBorders>
            <w:noWrap/>
          </w:tcPr>
          <w:p w:rsidR="00FC0F41" w:rsidRPr="00975E6B" w:rsidRDefault="00FC0F41" w:rsidP="00C70986">
            <w:pPr>
              <w:pStyle w:val="BodyText"/>
            </w:pPr>
            <w:r w:rsidRPr="00975E6B">
              <w:t>C</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Allocation of Costs</w:t>
            </w:r>
          </w:p>
        </w:tc>
        <w:tc>
          <w:tcPr>
            <w:tcW w:w="3083" w:type="pct"/>
            <w:tcBorders>
              <w:left w:val="single" w:sz="4" w:space="0" w:color="548DD4" w:themeColor="text2" w:themeTint="99"/>
            </w:tcBorders>
          </w:tcPr>
          <w:p w:rsidR="00FC0F41" w:rsidRPr="00975E6B" w:rsidRDefault="00FC0F41" w:rsidP="00C70986">
            <w:pPr>
              <w:pStyle w:val="BodyText"/>
            </w:pPr>
            <w:r w:rsidRPr="00975E6B">
              <w:t>After all adjustments are made, costs are allocated to patients.</w:t>
            </w:r>
          </w:p>
          <w:p w:rsidR="00FC0F41" w:rsidRPr="00975E6B" w:rsidRDefault="00FC0F41" w:rsidP="00F26328">
            <w:pPr>
              <w:pStyle w:val="BodyText"/>
              <w:numPr>
                <w:ilvl w:val="0"/>
                <w:numId w:val="38"/>
              </w:numPr>
            </w:pPr>
            <w:r w:rsidRPr="00975E6B">
              <w:t>The template demonstrated that the total of all direct cost centres of $60.3 million was allocated post allocation.</w:t>
            </w:r>
          </w:p>
          <w:p w:rsidR="00FC0F41" w:rsidRPr="00975E6B" w:rsidRDefault="00FC0F41" w:rsidP="00F26328">
            <w:pPr>
              <w:pStyle w:val="BodyText"/>
              <w:numPr>
                <w:ilvl w:val="0"/>
                <w:numId w:val="38"/>
              </w:numPr>
            </w:pPr>
            <w:r w:rsidRPr="00975E6B">
              <w:t>The template demonstrated that overheads of $25.5 million were allocated down to direct cost centres, post allocation.</w:t>
            </w:r>
          </w:p>
        </w:tc>
      </w:tr>
      <w:tr w:rsidR="00FC0F41" w:rsidRPr="00975E6B" w:rsidTr="00F10945">
        <w:tc>
          <w:tcPr>
            <w:tcW w:w="414" w:type="pct"/>
            <w:tcBorders>
              <w:right w:val="single" w:sz="4" w:space="0" w:color="548DD4" w:themeColor="text2" w:themeTint="99"/>
            </w:tcBorders>
            <w:noWrap/>
          </w:tcPr>
          <w:p w:rsidR="00FC0F41" w:rsidRPr="00975E6B" w:rsidRDefault="00FC0F41" w:rsidP="00C70986">
            <w:pPr>
              <w:pStyle w:val="BodyText"/>
            </w:pPr>
            <w:r w:rsidRPr="00975E6B">
              <w:t>D</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Post Allocation Adjustments</w:t>
            </w:r>
          </w:p>
        </w:tc>
        <w:tc>
          <w:tcPr>
            <w:tcW w:w="3083" w:type="pct"/>
            <w:tcBorders>
              <w:left w:val="single" w:sz="4" w:space="0" w:color="548DD4" w:themeColor="text2" w:themeTint="99"/>
            </w:tcBorders>
          </w:tcPr>
          <w:p w:rsidR="00FC0F41" w:rsidRPr="00975E6B" w:rsidRDefault="00FC0F41" w:rsidP="00C70986">
            <w:pPr>
              <w:pStyle w:val="BodyText"/>
            </w:pPr>
            <w:r w:rsidRPr="00975E6B">
              <w:t xml:space="preserve">A range of costs were adjusted after the allocation of costs in Item C. The amounts excluded include: </w:t>
            </w:r>
          </w:p>
          <w:p w:rsidR="00FC0F41" w:rsidRPr="00975E6B" w:rsidRDefault="00FC0F41" w:rsidP="00F26328">
            <w:pPr>
              <w:pStyle w:val="BodyText"/>
              <w:numPr>
                <w:ilvl w:val="0"/>
                <w:numId w:val="38"/>
              </w:numPr>
            </w:pPr>
            <w:r w:rsidRPr="00975E6B">
              <w:t xml:space="preserve">WIP not discharged in </w:t>
            </w:r>
            <w:r w:rsidR="00304A0C" w:rsidRPr="00975E6B">
              <w:t>20</w:t>
            </w:r>
            <w:r w:rsidRPr="00975E6B">
              <w:t>13/14 – ($</w:t>
            </w:r>
            <w:r w:rsidR="00304A0C" w:rsidRPr="00975E6B">
              <w:t>137,877</w:t>
            </w:r>
            <w:r w:rsidRPr="00975E6B">
              <w:t>)</w:t>
            </w:r>
          </w:p>
          <w:p w:rsidR="00FC0F41" w:rsidRPr="00975E6B" w:rsidRDefault="00FC0F41" w:rsidP="00F26328">
            <w:pPr>
              <w:pStyle w:val="BodyText"/>
              <w:numPr>
                <w:ilvl w:val="0"/>
                <w:numId w:val="38"/>
              </w:numPr>
            </w:pPr>
            <w:r w:rsidRPr="00975E6B">
              <w:t>Special Purpose Funds – ($2.8 million)</w:t>
            </w:r>
          </w:p>
          <w:p w:rsidR="00FC0F41" w:rsidRPr="00975E6B" w:rsidRDefault="00FC0F41" w:rsidP="00C70986">
            <w:pPr>
              <w:pStyle w:val="BodyText"/>
            </w:pPr>
            <w:r w:rsidRPr="00975E6B">
              <w:t xml:space="preserve">WIP discharged in </w:t>
            </w:r>
            <w:r w:rsidR="00FF1BB7" w:rsidRPr="00975E6B">
              <w:t>20</w:t>
            </w:r>
            <w:r w:rsidRPr="00975E6B">
              <w:t>13/14 totalling $</w:t>
            </w:r>
            <w:r w:rsidR="00304A0C" w:rsidRPr="00975E6B">
              <w:t>113,986</w:t>
            </w:r>
            <w:r w:rsidRPr="00975E6B">
              <w:t xml:space="preserve"> was included post allocation.</w:t>
            </w:r>
          </w:p>
          <w:p w:rsidR="00FC0F41" w:rsidRPr="00975E6B" w:rsidRDefault="00FC0F41">
            <w:pPr>
              <w:pStyle w:val="BodyText"/>
            </w:pPr>
            <w:r w:rsidRPr="00975E6B">
              <w:t xml:space="preserve">The total expenditure allocated to patients was $82.9 million. As this amount includes prior year costs (i.e. WIP 2012/13), no percentage of the GL </w:t>
            </w:r>
            <w:r w:rsidR="0074117C" w:rsidRPr="00975E6B">
              <w:t xml:space="preserve">was </w:t>
            </w:r>
            <w:r w:rsidRPr="00975E6B">
              <w:t>calculated</w:t>
            </w:r>
            <w:r w:rsidR="00D043DD" w:rsidRPr="00975E6B">
              <w:t>.</w:t>
            </w:r>
            <w:r w:rsidRPr="00975E6B">
              <w:t xml:space="preserve"> </w:t>
            </w:r>
          </w:p>
        </w:tc>
      </w:tr>
      <w:tr w:rsidR="00FC0F41" w:rsidRPr="00975E6B" w:rsidTr="00F10945">
        <w:tc>
          <w:tcPr>
            <w:tcW w:w="414" w:type="pct"/>
            <w:tcBorders>
              <w:right w:val="single" w:sz="4" w:space="0" w:color="548DD4" w:themeColor="text2" w:themeTint="99"/>
            </w:tcBorders>
            <w:noWrap/>
          </w:tcPr>
          <w:p w:rsidR="00FC0F41" w:rsidRPr="00975E6B" w:rsidRDefault="00FC0F41" w:rsidP="00C70986">
            <w:pPr>
              <w:pStyle w:val="BodyText"/>
            </w:pPr>
            <w:r w:rsidRPr="00975E6B">
              <w:t>E</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 xml:space="preserve">Costed Products </w:t>
            </w:r>
            <w:r w:rsidRPr="00975E6B">
              <w:lastRenderedPageBreak/>
              <w:t>Submitted to jurisdiction</w:t>
            </w:r>
          </w:p>
        </w:tc>
        <w:tc>
          <w:tcPr>
            <w:tcW w:w="3083" w:type="pct"/>
            <w:tcBorders>
              <w:left w:val="single" w:sz="4" w:space="0" w:color="548DD4" w:themeColor="text2" w:themeTint="99"/>
            </w:tcBorders>
          </w:tcPr>
          <w:p w:rsidR="00FC0F41" w:rsidRPr="00975E6B" w:rsidRDefault="00FC0F41">
            <w:pPr>
              <w:pStyle w:val="BodyText"/>
            </w:pPr>
            <w:r w:rsidRPr="00975E6B">
              <w:lastRenderedPageBreak/>
              <w:t xml:space="preserve">Costs derived by the hospital and reported at product </w:t>
            </w:r>
            <w:r w:rsidRPr="00975E6B">
              <w:lastRenderedPageBreak/>
              <w:t xml:space="preserve">level are equal to $82.9 million. RVEEH submitted </w:t>
            </w:r>
            <w:r w:rsidR="008E6DA4" w:rsidRPr="00975E6B">
              <w:t>acute</w:t>
            </w:r>
            <w:r w:rsidRPr="00975E6B">
              <w:t xml:space="preserve">, </w:t>
            </w:r>
            <w:r w:rsidR="008E6DA4" w:rsidRPr="00975E6B">
              <w:t>non</w:t>
            </w:r>
            <w:r w:rsidR="00366F39" w:rsidRPr="00975E6B">
              <w:t>-admitted</w:t>
            </w:r>
            <w:r w:rsidR="00BA3F4B" w:rsidRPr="00975E6B">
              <w:t xml:space="preserve"> </w:t>
            </w:r>
            <w:r w:rsidRPr="00975E6B">
              <w:t xml:space="preserve">and </w:t>
            </w:r>
            <w:r w:rsidR="008E6DA4" w:rsidRPr="00975E6B">
              <w:t xml:space="preserve">emergency </w:t>
            </w:r>
            <w:r w:rsidRPr="00975E6B">
              <w:t>costed products.</w:t>
            </w:r>
          </w:p>
        </w:tc>
      </w:tr>
      <w:tr w:rsidR="00FC0F41" w:rsidRPr="00975E6B" w:rsidTr="00F10945">
        <w:trPr>
          <w:trHeight w:val="285"/>
        </w:trPr>
        <w:tc>
          <w:tcPr>
            <w:tcW w:w="414" w:type="pct"/>
            <w:tcBorders>
              <w:right w:val="single" w:sz="4" w:space="0" w:color="548DD4" w:themeColor="text2" w:themeTint="99"/>
            </w:tcBorders>
            <w:noWrap/>
          </w:tcPr>
          <w:p w:rsidR="00FC0F41" w:rsidRPr="00975E6B" w:rsidRDefault="00FC0F41" w:rsidP="00C70986">
            <w:pPr>
              <w:pStyle w:val="BodyText"/>
            </w:pPr>
            <w:r w:rsidRPr="00975E6B">
              <w:lastRenderedPageBreak/>
              <w:t>F</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Costed Products received by jurisdiction</w:t>
            </w:r>
          </w:p>
        </w:tc>
        <w:tc>
          <w:tcPr>
            <w:tcW w:w="3083" w:type="pct"/>
            <w:tcBorders>
              <w:left w:val="single" w:sz="4" w:space="0" w:color="548DD4" w:themeColor="text2" w:themeTint="99"/>
            </w:tcBorders>
          </w:tcPr>
          <w:p w:rsidR="00FC0F41" w:rsidRPr="00975E6B" w:rsidRDefault="00FC0F41" w:rsidP="00C70986">
            <w:pPr>
              <w:pStyle w:val="BodyText"/>
            </w:pPr>
            <w:r w:rsidRPr="00975E6B">
              <w:t>No variance was noted between Items E and F.</w:t>
            </w:r>
          </w:p>
        </w:tc>
      </w:tr>
      <w:tr w:rsidR="00FC0F41" w:rsidRPr="00975E6B" w:rsidTr="00F10945">
        <w:tc>
          <w:tcPr>
            <w:tcW w:w="414" w:type="pct"/>
            <w:tcBorders>
              <w:right w:val="single" w:sz="4" w:space="0" w:color="548DD4" w:themeColor="text2" w:themeTint="99"/>
            </w:tcBorders>
            <w:noWrap/>
          </w:tcPr>
          <w:p w:rsidR="00FC0F41" w:rsidRPr="00975E6B" w:rsidRDefault="00FC0F41" w:rsidP="00C70986">
            <w:pPr>
              <w:pStyle w:val="BodyText"/>
            </w:pPr>
            <w:r w:rsidRPr="00975E6B">
              <w:t>G</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Final Adjustments</w:t>
            </w:r>
          </w:p>
        </w:tc>
        <w:tc>
          <w:tcPr>
            <w:tcW w:w="3083" w:type="pct"/>
            <w:tcBorders>
              <w:left w:val="single" w:sz="4" w:space="0" w:color="548DD4" w:themeColor="text2" w:themeTint="99"/>
            </w:tcBorders>
          </w:tcPr>
          <w:p w:rsidR="00FC0F41" w:rsidRPr="00975E6B" w:rsidRDefault="00B64F77" w:rsidP="00C70986">
            <w:pPr>
              <w:pStyle w:val="BodyText"/>
            </w:pPr>
            <w:r w:rsidRPr="00975E6B">
              <w:t>Victoria</w:t>
            </w:r>
            <w:r w:rsidR="00304A0C" w:rsidRPr="00975E6B">
              <w:t xml:space="preserve"> Health</w:t>
            </w:r>
            <w:r w:rsidR="00FC0F41" w:rsidRPr="00975E6B">
              <w:t xml:space="preserve"> adjusted RVEEH cost data for records that failed the validation tests and could not be linked to the VCDC dataset</w:t>
            </w:r>
            <w:r w:rsidR="00C50DA9" w:rsidRPr="00975E6B">
              <w:t xml:space="preserve">. </w:t>
            </w:r>
            <w:r w:rsidR="00FC0F41" w:rsidRPr="00975E6B">
              <w:t>This amount totalled $1 million.</w:t>
            </w:r>
          </w:p>
          <w:p w:rsidR="00FC0F41" w:rsidRPr="00975E6B" w:rsidRDefault="00FC0F41" w:rsidP="00304A0C">
            <w:pPr>
              <w:pStyle w:val="BodyText"/>
              <w:rPr>
                <w:i/>
                <w:color w:val="FF0000"/>
              </w:rPr>
            </w:pPr>
            <w:r w:rsidRPr="00975E6B">
              <w:t xml:space="preserve">The total NHCDC costs submitted to IHPA by </w:t>
            </w:r>
            <w:r w:rsidR="00B64F77" w:rsidRPr="00975E6B">
              <w:t>Victoria</w:t>
            </w:r>
            <w:r w:rsidR="00304A0C" w:rsidRPr="00975E6B">
              <w:t xml:space="preserve"> Health </w:t>
            </w:r>
            <w:r w:rsidRPr="00975E6B">
              <w:t xml:space="preserve">was $81.9 million. </w:t>
            </w:r>
          </w:p>
        </w:tc>
      </w:tr>
      <w:tr w:rsidR="00FC0F41" w:rsidRPr="00975E6B" w:rsidTr="00F10945">
        <w:tc>
          <w:tcPr>
            <w:tcW w:w="414" w:type="pct"/>
            <w:tcBorders>
              <w:right w:val="single" w:sz="4" w:space="0" w:color="548DD4" w:themeColor="text2" w:themeTint="99"/>
            </w:tcBorders>
            <w:noWrap/>
          </w:tcPr>
          <w:p w:rsidR="00FC0F41" w:rsidRPr="00975E6B" w:rsidRDefault="00FC0F41" w:rsidP="00C70986">
            <w:pPr>
              <w:pStyle w:val="BodyText"/>
            </w:pPr>
            <w:r w:rsidRPr="00975E6B">
              <w:t>H</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Costed products submitted to IHPA</w:t>
            </w:r>
          </w:p>
        </w:tc>
        <w:tc>
          <w:tcPr>
            <w:tcW w:w="3083" w:type="pct"/>
            <w:tcBorders>
              <w:left w:val="single" w:sz="4" w:space="0" w:color="548DD4" w:themeColor="text2" w:themeTint="99"/>
            </w:tcBorders>
          </w:tcPr>
          <w:p w:rsidR="00FC0F41" w:rsidRPr="00975E6B" w:rsidRDefault="00FC0F41">
            <w:pPr>
              <w:pStyle w:val="BodyText"/>
            </w:pPr>
            <w:r w:rsidRPr="00975E6B">
              <w:t xml:space="preserve">Costs derived by the jurisdiction and reported at product level were $81.9 million. </w:t>
            </w:r>
            <w:r w:rsidR="00B64F77" w:rsidRPr="00975E6B">
              <w:t>Victoria</w:t>
            </w:r>
            <w:r w:rsidR="00304A0C" w:rsidRPr="00975E6B">
              <w:t xml:space="preserve"> Health</w:t>
            </w:r>
            <w:r w:rsidRPr="00975E6B">
              <w:t xml:space="preserve"> submitted </w:t>
            </w:r>
            <w:r w:rsidR="00304A0C" w:rsidRPr="00975E6B">
              <w:t>acute</w:t>
            </w:r>
            <w:r w:rsidRPr="00975E6B">
              <w:t xml:space="preserve">, </w:t>
            </w:r>
            <w:r w:rsidR="009079A4" w:rsidRPr="00975E6B">
              <w:t>non-admitted</w:t>
            </w:r>
            <w:r w:rsidRPr="00975E6B">
              <w:t xml:space="preserve"> and </w:t>
            </w:r>
            <w:r w:rsidR="00304A0C" w:rsidRPr="00975E6B">
              <w:t>e</w:t>
            </w:r>
            <w:r w:rsidRPr="00975E6B">
              <w:t xml:space="preserve">mergency costed products. </w:t>
            </w:r>
          </w:p>
        </w:tc>
      </w:tr>
      <w:tr w:rsidR="00FC0F41" w:rsidRPr="00975E6B" w:rsidTr="00F10945">
        <w:tc>
          <w:tcPr>
            <w:tcW w:w="414" w:type="pct"/>
            <w:tcBorders>
              <w:right w:val="single" w:sz="4" w:space="0" w:color="548DD4" w:themeColor="text2" w:themeTint="99"/>
            </w:tcBorders>
            <w:noWrap/>
          </w:tcPr>
          <w:p w:rsidR="00FC0F41" w:rsidRPr="00975E6B" w:rsidRDefault="00FC0F41" w:rsidP="00C70986">
            <w:pPr>
              <w:pStyle w:val="BodyText"/>
            </w:pPr>
            <w:r w:rsidRPr="00975E6B">
              <w:t>I</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Total costed products received by IHPA</w:t>
            </w:r>
          </w:p>
        </w:tc>
        <w:tc>
          <w:tcPr>
            <w:tcW w:w="3083" w:type="pct"/>
            <w:tcBorders>
              <w:left w:val="single" w:sz="4" w:space="0" w:color="548DD4" w:themeColor="text2" w:themeTint="99"/>
            </w:tcBorders>
          </w:tcPr>
          <w:p w:rsidR="00FC0F41" w:rsidRPr="00975E6B" w:rsidRDefault="00FC0F41" w:rsidP="00C70986">
            <w:pPr>
              <w:pStyle w:val="BodyText"/>
            </w:pPr>
            <w:r w:rsidRPr="00975E6B">
              <w:t>Costs received by IHPA totalled $81.9 million. We note no variance between Item H and Item I.</w:t>
            </w:r>
          </w:p>
        </w:tc>
      </w:tr>
      <w:tr w:rsidR="00FC0F41" w:rsidRPr="00975E6B" w:rsidTr="00F10945">
        <w:tc>
          <w:tcPr>
            <w:tcW w:w="414" w:type="pct"/>
            <w:tcBorders>
              <w:right w:val="single" w:sz="4" w:space="0" w:color="548DD4" w:themeColor="text2" w:themeTint="99"/>
            </w:tcBorders>
            <w:noWrap/>
          </w:tcPr>
          <w:p w:rsidR="00FC0F41" w:rsidRPr="00975E6B" w:rsidRDefault="00FC0F41" w:rsidP="00C70986">
            <w:pPr>
              <w:pStyle w:val="BodyText"/>
            </w:pPr>
            <w:r w:rsidRPr="00975E6B">
              <w:t>J</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IHPA Adjustments</w:t>
            </w:r>
          </w:p>
        </w:tc>
        <w:tc>
          <w:tcPr>
            <w:tcW w:w="3083" w:type="pct"/>
            <w:tcBorders>
              <w:left w:val="single" w:sz="4" w:space="0" w:color="548DD4" w:themeColor="text2" w:themeTint="99"/>
            </w:tcBorders>
          </w:tcPr>
          <w:p w:rsidR="00FC0F41" w:rsidRPr="00975E6B" w:rsidRDefault="00FC0F41" w:rsidP="00C70986">
            <w:pPr>
              <w:pStyle w:val="BodyText"/>
              <w:rPr>
                <w:i/>
              </w:rPr>
            </w:pPr>
            <w:r w:rsidRPr="00975E6B">
              <w:rPr>
                <w:i/>
              </w:rPr>
              <w:t>Admitted Emergency</w:t>
            </w:r>
          </w:p>
          <w:p w:rsidR="00FC0F41" w:rsidRPr="00975E6B" w:rsidRDefault="00FC0F41">
            <w:pPr>
              <w:pStyle w:val="BodyText"/>
            </w:pPr>
            <w:r w:rsidRPr="00975E6B">
              <w:t xml:space="preserve">Upon receipt of cost data, IHPA allocates the admitted emergency costs back to admitted patients for the purposes of reporting and analysis. Within IHPA’s reconciliation, this amount </w:t>
            </w:r>
            <w:r w:rsidR="0074117C" w:rsidRPr="00975E6B">
              <w:t xml:space="preserve">was </w:t>
            </w:r>
            <w:r w:rsidRPr="00975E6B">
              <w:t>a duplication of admitted emergency costs and not an additional cost. For RVEEH this amounted to $</w:t>
            </w:r>
            <w:r w:rsidR="00304A0C" w:rsidRPr="00975E6B">
              <w:t>542,247</w:t>
            </w:r>
            <w:r w:rsidRPr="00975E6B">
              <w:t xml:space="preserve">. </w:t>
            </w:r>
          </w:p>
        </w:tc>
      </w:tr>
      <w:tr w:rsidR="00FC0F41" w:rsidRPr="00975E6B" w:rsidTr="00F10945">
        <w:tc>
          <w:tcPr>
            <w:tcW w:w="414" w:type="pct"/>
            <w:tcBorders>
              <w:right w:val="single" w:sz="4" w:space="0" w:color="548DD4" w:themeColor="text2" w:themeTint="99"/>
            </w:tcBorders>
            <w:noWrap/>
          </w:tcPr>
          <w:p w:rsidR="00FC0F41" w:rsidRPr="00975E6B" w:rsidRDefault="00FC0F41" w:rsidP="00C70986">
            <w:pPr>
              <w:pStyle w:val="BodyText"/>
            </w:pPr>
            <w:r w:rsidRPr="00975E6B">
              <w:t>K</w:t>
            </w:r>
          </w:p>
        </w:tc>
        <w:tc>
          <w:tcPr>
            <w:tcW w:w="1503" w:type="pct"/>
            <w:tcBorders>
              <w:left w:val="single" w:sz="4" w:space="0" w:color="548DD4" w:themeColor="text2" w:themeTint="99"/>
            </w:tcBorders>
          </w:tcPr>
          <w:p w:rsidR="00FC0F41" w:rsidRPr="00975E6B" w:rsidRDefault="00FC0F41" w:rsidP="00C70986">
            <w:pPr>
              <w:pStyle w:val="BodyText"/>
              <w:jc w:val="left"/>
            </w:pPr>
            <w:r w:rsidRPr="00975E6B">
              <w:t>Final NHCDC costed products</w:t>
            </w:r>
          </w:p>
        </w:tc>
        <w:tc>
          <w:tcPr>
            <w:tcW w:w="3083" w:type="pct"/>
            <w:tcBorders>
              <w:left w:val="single" w:sz="4" w:space="0" w:color="548DD4" w:themeColor="text2" w:themeTint="99"/>
            </w:tcBorders>
          </w:tcPr>
          <w:p w:rsidR="00FC0F41" w:rsidRPr="00975E6B" w:rsidRDefault="00FC0F41" w:rsidP="00304A0C">
            <w:pPr>
              <w:pStyle w:val="BodyText"/>
            </w:pPr>
            <w:r w:rsidRPr="00975E6B">
              <w:t>The final NHCDC costed data for RVEEH that was loaded into the National Round 18 cost data set was $82.4</w:t>
            </w:r>
            <w:r w:rsidR="00304A0C" w:rsidRPr="00975E6B">
              <w:t> </w:t>
            </w:r>
            <w:r w:rsidRPr="00975E6B">
              <w:t>million, which includes the admitted emergency cost of $</w:t>
            </w:r>
            <w:r w:rsidR="00304A0C" w:rsidRPr="00975E6B">
              <w:t>542,247</w:t>
            </w:r>
            <w:r w:rsidRPr="00975E6B">
              <w:t>.</w:t>
            </w:r>
          </w:p>
        </w:tc>
      </w:tr>
    </w:tbl>
    <w:p w:rsidR="00FC0F41" w:rsidRPr="00975E6B" w:rsidRDefault="00F10945" w:rsidP="00FC0F41">
      <w:pPr>
        <w:pStyle w:val="FootnoteText"/>
        <w:rPr>
          <w:bCs/>
          <w:i/>
          <w:sz w:val="16"/>
          <w:szCs w:val="16"/>
        </w:rPr>
      </w:pPr>
      <w:r w:rsidRPr="00975E6B">
        <w:rPr>
          <w:bCs/>
          <w:i/>
          <w:sz w:val="16"/>
          <w:szCs w:val="16"/>
        </w:rPr>
        <w:t>Source: KPMG, based on RVEEH templates and review discussions</w:t>
      </w:r>
      <w:r w:rsidRPr="00975E6B" w:rsidDel="00F10945">
        <w:rPr>
          <w:bCs/>
          <w:i/>
          <w:sz w:val="16"/>
          <w:szCs w:val="16"/>
        </w:rPr>
        <w:t xml:space="preserve"> </w:t>
      </w:r>
      <w:r w:rsidR="00FC0F41" w:rsidRPr="00975E6B">
        <w:rPr>
          <w:bCs/>
          <w:i/>
          <w:sz w:val="16"/>
          <w:szCs w:val="16"/>
        </w:rPr>
        <w:t xml:space="preserve"> </w:t>
      </w:r>
    </w:p>
    <w:p w:rsidR="00FC0F41" w:rsidRPr="00975E6B" w:rsidRDefault="00FC0F41" w:rsidP="003B387A">
      <w:pPr>
        <w:pStyle w:val="Heading3"/>
        <w:numPr>
          <w:ilvl w:val="2"/>
          <w:numId w:val="77"/>
        </w:numPr>
      </w:pPr>
      <w:r w:rsidRPr="003B387A">
        <w:t>Activity</w:t>
      </w:r>
      <w:r w:rsidRPr="00975E6B">
        <w:t xml:space="preserve"> data</w:t>
      </w:r>
    </w:p>
    <w:p w:rsidR="00FC0F41" w:rsidRPr="00975E6B" w:rsidRDefault="00776377" w:rsidP="00FC0F41">
      <w:pPr>
        <w:pStyle w:val="BodyText"/>
      </w:pPr>
      <w:r>
        <w:fldChar w:fldCharType="begin"/>
      </w:r>
      <w:r>
        <w:instrText xml:space="preserve"> REF _Ref441090118 \h  \* MERGEFORMAT </w:instrText>
      </w:r>
      <w:r>
        <w:fldChar w:fldCharType="separate"/>
      </w:r>
      <w:r w:rsidR="00154CF7" w:rsidRPr="00975E6B">
        <w:t xml:space="preserve">Table </w:t>
      </w:r>
      <w:r w:rsidR="00154CF7">
        <w:rPr>
          <w:bCs/>
          <w:noProof/>
        </w:rPr>
        <w:t>88</w:t>
      </w:r>
      <w:r>
        <w:fldChar w:fldCharType="end"/>
      </w:r>
      <w:r>
        <w:t xml:space="preserve"> </w:t>
      </w:r>
      <w:r w:rsidR="00FC0F41" w:rsidRPr="00975E6B">
        <w:t>presents activity and feeder data for RVEEH.</w:t>
      </w:r>
    </w:p>
    <w:p w:rsidR="00E4451A" w:rsidRPr="00975E6B" w:rsidRDefault="00FC0F41" w:rsidP="00776377">
      <w:pPr>
        <w:pStyle w:val="Caption"/>
        <w:pageBreakBefore/>
      </w:pPr>
      <w:bookmarkStart w:id="819" w:name="_Ref434265521"/>
      <w:bookmarkStart w:id="820" w:name="_Ref441090118"/>
      <w:r w:rsidRPr="00975E6B">
        <w:lastRenderedPageBreak/>
        <w:t xml:space="preserve">Table </w:t>
      </w:r>
      <w:r w:rsidR="003E3288" w:rsidRPr="00776377">
        <w:rPr>
          <w:bCs w:val="0"/>
        </w:rPr>
        <w:fldChar w:fldCharType="begin"/>
      </w:r>
      <w:r w:rsidR="003E3288" w:rsidRPr="00776377">
        <w:rPr>
          <w:bCs w:val="0"/>
        </w:rPr>
        <w:instrText xml:space="preserve"> SEQ Table \* ARABIC </w:instrText>
      </w:r>
      <w:r w:rsidR="003E3288" w:rsidRPr="00776377">
        <w:rPr>
          <w:bCs w:val="0"/>
        </w:rPr>
        <w:fldChar w:fldCharType="separate"/>
      </w:r>
      <w:r w:rsidR="00154CF7">
        <w:rPr>
          <w:bCs w:val="0"/>
          <w:noProof/>
        </w:rPr>
        <w:t>88</w:t>
      </w:r>
      <w:r w:rsidR="003E3288" w:rsidRPr="00776377">
        <w:rPr>
          <w:bCs w:val="0"/>
          <w:noProof/>
        </w:rPr>
        <w:fldChar w:fldCharType="end"/>
      </w:r>
      <w:bookmarkEnd w:id="819"/>
      <w:bookmarkEnd w:id="820"/>
      <w:r w:rsidR="00BA3F4B" w:rsidRPr="00975E6B">
        <w:t xml:space="preserve"> </w:t>
      </w:r>
      <w:r w:rsidRPr="00975E6B">
        <w:t>– Activity data – Royal Victorian Eye and Ear Hospital</w:t>
      </w:r>
    </w:p>
    <w:tbl>
      <w:tblPr>
        <w:tblW w:w="5000" w:type="pct"/>
        <w:tblLayout w:type="fixed"/>
        <w:tblLook w:val="04A0" w:firstRow="1" w:lastRow="0" w:firstColumn="1" w:lastColumn="0" w:noHBand="0" w:noVBand="1"/>
        <w:tblCaption w:val="Table 88 - Activity data - Royal Victorian Eye and Ear Hospital"/>
        <w:tblDescription w:val="This table presents activity and feeder data for Royal Victorian Eye and Ear Hospital.  There are 11 columns.  Column 1 is the Data source, Column 2 is the number of records from source, Column 3 is the number of records in costing system, Column 4 is the variance between Column 2 and 3, Column 5 is the number of records linked to acute, column 6 is the number of records linked to emergency, Column 7 is the number of records linked to non-admitted, column 8 is the total linked records, column 9 is the number linked to other, column 10 is the number of unlinked records and column 11 is the % of linked to source.&#10;"/>
      </w:tblPr>
      <w:tblGrid>
        <w:gridCol w:w="1070"/>
        <w:gridCol w:w="765"/>
        <w:gridCol w:w="765"/>
        <w:gridCol w:w="766"/>
        <w:gridCol w:w="766"/>
        <w:gridCol w:w="766"/>
        <w:gridCol w:w="766"/>
        <w:gridCol w:w="766"/>
        <w:gridCol w:w="766"/>
        <w:gridCol w:w="766"/>
        <w:gridCol w:w="759"/>
      </w:tblGrid>
      <w:tr w:rsidR="003E3288" w:rsidRPr="00E4451A" w:rsidTr="00E14378">
        <w:trPr>
          <w:trHeight w:val="837"/>
        </w:trPr>
        <w:tc>
          <w:tcPr>
            <w:tcW w:w="614" w:type="pct"/>
            <w:tcBorders>
              <w:top w:val="single" w:sz="4" w:space="0" w:color="5B9BD5"/>
              <w:left w:val="single" w:sz="4" w:space="0" w:color="5B9BD5"/>
              <w:bottom w:val="nil"/>
              <w:right w:val="nil"/>
            </w:tcBorders>
            <w:shd w:val="clear" w:color="auto" w:fill="002060"/>
            <w:vAlign w:val="bottom"/>
            <w:hideMark/>
          </w:tcPr>
          <w:p w:rsidR="00E4451A" w:rsidRPr="00CD1518" w:rsidRDefault="00E4451A" w:rsidP="00E4451A">
            <w:pPr>
              <w:spacing w:line="240" w:lineRule="auto"/>
              <w:rPr>
                <w:b/>
                <w:bCs/>
                <w:color w:val="FFFFFF"/>
                <w:sz w:val="12"/>
                <w:szCs w:val="12"/>
                <w:lang w:eastAsia="en-AU"/>
              </w:rPr>
            </w:pPr>
            <w:r w:rsidRPr="00CD1518">
              <w:rPr>
                <w:b/>
                <w:bCs/>
                <w:color w:val="FFFFFF"/>
                <w:sz w:val="12"/>
                <w:szCs w:val="12"/>
                <w:lang w:eastAsia="en-AU"/>
              </w:rPr>
              <w:t>Data</w:t>
            </w:r>
          </w:p>
        </w:tc>
        <w:tc>
          <w:tcPr>
            <w:tcW w:w="439" w:type="pct"/>
            <w:tcBorders>
              <w:top w:val="single" w:sz="4" w:space="0" w:color="5B9BD5"/>
              <w:left w:val="single" w:sz="4" w:space="0" w:color="5B9BD5"/>
              <w:bottom w:val="nil"/>
              <w:right w:val="single" w:sz="4" w:space="0" w:color="5B9BD5"/>
            </w:tcBorders>
            <w:shd w:val="clear" w:color="auto" w:fill="002060"/>
            <w:vAlign w:val="bottom"/>
            <w:hideMark/>
          </w:tcPr>
          <w:p w:rsidR="00E4451A" w:rsidRPr="00CD1518" w:rsidRDefault="00E4451A" w:rsidP="00E4451A">
            <w:pPr>
              <w:spacing w:line="240" w:lineRule="auto"/>
              <w:jc w:val="center"/>
              <w:rPr>
                <w:b/>
                <w:bCs/>
                <w:color w:val="FFFFFF"/>
                <w:sz w:val="12"/>
                <w:szCs w:val="12"/>
                <w:lang w:eastAsia="en-AU"/>
              </w:rPr>
            </w:pPr>
            <w:r w:rsidRPr="00CD1518">
              <w:rPr>
                <w:b/>
                <w:bCs/>
                <w:color w:val="FFFFFF"/>
                <w:sz w:val="12"/>
                <w:szCs w:val="12"/>
                <w:lang w:eastAsia="en-AU"/>
              </w:rPr>
              <w:t># Records from Source</w:t>
            </w:r>
          </w:p>
        </w:tc>
        <w:tc>
          <w:tcPr>
            <w:tcW w:w="439" w:type="pct"/>
            <w:tcBorders>
              <w:top w:val="single" w:sz="4" w:space="0" w:color="5B9BD5"/>
              <w:left w:val="nil"/>
              <w:bottom w:val="nil"/>
              <w:right w:val="nil"/>
            </w:tcBorders>
            <w:shd w:val="clear" w:color="auto" w:fill="002060"/>
            <w:vAlign w:val="bottom"/>
            <w:hideMark/>
          </w:tcPr>
          <w:p w:rsidR="00E4451A" w:rsidRPr="00CD1518" w:rsidRDefault="00E4451A" w:rsidP="00E4451A">
            <w:pPr>
              <w:spacing w:line="240" w:lineRule="auto"/>
              <w:jc w:val="center"/>
              <w:rPr>
                <w:b/>
                <w:bCs/>
                <w:color w:val="FFFFFF"/>
                <w:sz w:val="12"/>
                <w:szCs w:val="12"/>
                <w:lang w:eastAsia="en-AU"/>
              </w:rPr>
            </w:pPr>
            <w:r w:rsidRPr="00CD1518">
              <w:rPr>
                <w:b/>
                <w:bCs/>
                <w:color w:val="FFFFFF"/>
                <w:sz w:val="12"/>
                <w:szCs w:val="12"/>
                <w:lang w:eastAsia="en-AU"/>
              </w:rPr>
              <w:t># Records in costing system</w:t>
            </w:r>
          </w:p>
        </w:tc>
        <w:tc>
          <w:tcPr>
            <w:tcW w:w="439" w:type="pct"/>
            <w:tcBorders>
              <w:top w:val="single" w:sz="4" w:space="0" w:color="5B9BD5"/>
              <w:left w:val="single" w:sz="4" w:space="0" w:color="5B9BD5"/>
              <w:bottom w:val="nil"/>
              <w:right w:val="single" w:sz="4" w:space="0" w:color="5B9BD5"/>
            </w:tcBorders>
            <w:shd w:val="clear" w:color="auto" w:fill="002060"/>
            <w:vAlign w:val="bottom"/>
            <w:hideMark/>
          </w:tcPr>
          <w:p w:rsidR="00E4451A" w:rsidRPr="00CD1518" w:rsidRDefault="00E4451A" w:rsidP="00E4451A">
            <w:pPr>
              <w:spacing w:line="240" w:lineRule="auto"/>
              <w:jc w:val="center"/>
              <w:rPr>
                <w:b/>
                <w:bCs/>
                <w:color w:val="FFFFFF"/>
                <w:sz w:val="12"/>
                <w:szCs w:val="12"/>
                <w:lang w:eastAsia="en-AU"/>
              </w:rPr>
            </w:pPr>
            <w:r w:rsidRPr="00CD1518">
              <w:rPr>
                <w:b/>
                <w:bCs/>
                <w:color w:val="FFFFFF"/>
                <w:sz w:val="12"/>
                <w:szCs w:val="12"/>
                <w:lang w:eastAsia="en-AU"/>
              </w:rPr>
              <w:t>Variance</w:t>
            </w:r>
          </w:p>
        </w:tc>
        <w:tc>
          <w:tcPr>
            <w:tcW w:w="439" w:type="pct"/>
            <w:tcBorders>
              <w:top w:val="single" w:sz="4" w:space="0" w:color="5B9BD5"/>
              <w:left w:val="nil"/>
              <w:bottom w:val="nil"/>
              <w:right w:val="nil"/>
            </w:tcBorders>
            <w:shd w:val="clear" w:color="auto" w:fill="002060"/>
            <w:vAlign w:val="bottom"/>
            <w:hideMark/>
          </w:tcPr>
          <w:p w:rsidR="00E4451A" w:rsidRPr="00CD1518" w:rsidRDefault="00E4451A" w:rsidP="00E4451A">
            <w:pPr>
              <w:spacing w:line="240" w:lineRule="auto"/>
              <w:jc w:val="center"/>
              <w:rPr>
                <w:b/>
                <w:bCs/>
                <w:color w:val="FFFFFF"/>
                <w:sz w:val="12"/>
                <w:szCs w:val="12"/>
                <w:lang w:eastAsia="en-AU"/>
              </w:rPr>
            </w:pPr>
            <w:r w:rsidRPr="00CD1518">
              <w:rPr>
                <w:b/>
                <w:bCs/>
                <w:color w:val="FFFFFF"/>
                <w:sz w:val="12"/>
                <w:szCs w:val="12"/>
                <w:lang w:eastAsia="en-AU"/>
              </w:rPr>
              <w:t># Records linked to Acute</w:t>
            </w:r>
          </w:p>
        </w:tc>
        <w:tc>
          <w:tcPr>
            <w:tcW w:w="439" w:type="pct"/>
            <w:tcBorders>
              <w:top w:val="single" w:sz="4" w:space="0" w:color="5B9BD5"/>
              <w:left w:val="single" w:sz="4" w:space="0" w:color="5B9BD5"/>
              <w:bottom w:val="nil"/>
              <w:right w:val="single" w:sz="4" w:space="0" w:color="5B9BD5"/>
            </w:tcBorders>
            <w:shd w:val="clear" w:color="auto" w:fill="002060"/>
            <w:vAlign w:val="bottom"/>
            <w:hideMark/>
          </w:tcPr>
          <w:p w:rsidR="00E4451A" w:rsidRPr="00CD1518" w:rsidRDefault="00E4451A">
            <w:pPr>
              <w:spacing w:line="240" w:lineRule="auto"/>
              <w:jc w:val="center"/>
              <w:rPr>
                <w:b/>
                <w:bCs/>
                <w:color w:val="FFFFFF"/>
                <w:sz w:val="12"/>
                <w:szCs w:val="12"/>
                <w:lang w:eastAsia="en-AU"/>
              </w:rPr>
            </w:pPr>
            <w:r w:rsidRPr="00CD1518">
              <w:rPr>
                <w:b/>
                <w:bCs/>
                <w:color w:val="FFFFFF"/>
                <w:sz w:val="12"/>
                <w:szCs w:val="12"/>
                <w:lang w:eastAsia="en-AU"/>
              </w:rPr>
              <w:t xml:space="preserve"># Records linked to </w:t>
            </w:r>
            <w:proofErr w:type="spellStart"/>
            <w:r w:rsidRPr="00CD1518">
              <w:rPr>
                <w:b/>
                <w:bCs/>
                <w:color w:val="FFFFFF"/>
                <w:sz w:val="12"/>
                <w:szCs w:val="12"/>
                <w:lang w:eastAsia="en-AU"/>
              </w:rPr>
              <w:t>Emerg</w:t>
            </w:r>
            <w:proofErr w:type="spellEnd"/>
            <w:r>
              <w:rPr>
                <w:b/>
                <w:bCs/>
                <w:color w:val="FFFFFF"/>
                <w:sz w:val="12"/>
                <w:szCs w:val="12"/>
                <w:lang w:eastAsia="en-AU"/>
              </w:rPr>
              <w:t>.</w:t>
            </w:r>
          </w:p>
        </w:tc>
        <w:tc>
          <w:tcPr>
            <w:tcW w:w="439" w:type="pct"/>
            <w:tcBorders>
              <w:top w:val="single" w:sz="4" w:space="0" w:color="5B9BD5"/>
              <w:left w:val="nil"/>
              <w:bottom w:val="nil"/>
              <w:right w:val="single" w:sz="4" w:space="0" w:color="5B9BD5"/>
            </w:tcBorders>
            <w:shd w:val="clear" w:color="auto" w:fill="002060"/>
            <w:vAlign w:val="bottom"/>
            <w:hideMark/>
          </w:tcPr>
          <w:p w:rsidR="00E4451A" w:rsidRPr="00CD1518" w:rsidRDefault="00E4451A" w:rsidP="00E4451A">
            <w:pPr>
              <w:spacing w:line="240" w:lineRule="auto"/>
              <w:jc w:val="center"/>
              <w:rPr>
                <w:b/>
                <w:bCs/>
                <w:color w:val="FFFFFF"/>
                <w:sz w:val="12"/>
                <w:szCs w:val="12"/>
                <w:lang w:eastAsia="en-AU"/>
              </w:rPr>
            </w:pPr>
            <w:r w:rsidRPr="00CD1518">
              <w:rPr>
                <w:b/>
                <w:bCs/>
                <w:color w:val="FFFFFF"/>
                <w:sz w:val="12"/>
                <w:szCs w:val="12"/>
                <w:lang w:eastAsia="en-AU"/>
              </w:rPr>
              <w:t># Records linked to Non-admitted</w:t>
            </w:r>
          </w:p>
        </w:tc>
        <w:tc>
          <w:tcPr>
            <w:tcW w:w="439" w:type="pct"/>
            <w:tcBorders>
              <w:top w:val="single" w:sz="4" w:space="0" w:color="5B9BD5"/>
              <w:left w:val="nil"/>
              <w:bottom w:val="nil"/>
              <w:right w:val="single" w:sz="4" w:space="0" w:color="5B9BD5"/>
            </w:tcBorders>
            <w:shd w:val="clear" w:color="auto" w:fill="002060"/>
            <w:vAlign w:val="bottom"/>
            <w:hideMark/>
          </w:tcPr>
          <w:p w:rsidR="00E4451A" w:rsidRPr="00CD1518" w:rsidRDefault="00E4451A" w:rsidP="00E4451A">
            <w:pPr>
              <w:spacing w:line="240" w:lineRule="auto"/>
              <w:jc w:val="center"/>
              <w:rPr>
                <w:b/>
                <w:bCs/>
                <w:color w:val="FFFFFF"/>
                <w:sz w:val="12"/>
                <w:szCs w:val="12"/>
                <w:lang w:eastAsia="en-AU"/>
              </w:rPr>
            </w:pPr>
            <w:r w:rsidRPr="00CD1518">
              <w:rPr>
                <w:b/>
                <w:bCs/>
                <w:color w:val="FFFFFF"/>
                <w:sz w:val="12"/>
                <w:szCs w:val="12"/>
                <w:lang w:eastAsia="en-AU"/>
              </w:rPr>
              <w:t>Total Linking Process</w:t>
            </w:r>
          </w:p>
        </w:tc>
        <w:tc>
          <w:tcPr>
            <w:tcW w:w="439" w:type="pct"/>
            <w:tcBorders>
              <w:top w:val="single" w:sz="4" w:space="0" w:color="5B9BD5"/>
              <w:left w:val="nil"/>
              <w:bottom w:val="nil"/>
              <w:right w:val="nil"/>
            </w:tcBorders>
            <w:shd w:val="clear" w:color="auto" w:fill="002060"/>
            <w:vAlign w:val="bottom"/>
            <w:hideMark/>
          </w:tcPr>
          <w:p w:rsidR="00E4451A" w:rsidRPr="00CD1518" w:rsidRDefault="00E4451A" w:rsidP="00E4451A">
            <w:pPr>
              <w:spacing w:line="240" w:lineRule="auto"/>
              <w:jc w:val="center"/>
              <w:rPr>
                <w:b/>
                <w:bCs/>
                <w:color w:val="FFFFFF"/>
                <w:sz w:val="12"/>
                <w:szCs w:val="12"/>
                <w:lang w:eastAsia="en-AU"/>
              </w:rPr>
            </w:pPr>
            <w:r w:rsidRPr="00CD1518">
              <w:rPr>
                <w:b/>
                <w:bCs/>
                <w:color w:val="FFFFFF"/>
                <w:sz w:val="12"/>
                <w:szCs w:val="12"/>
                <w:lang w:eastAsia="en-AU"/>
              </w:rPr>
              <w:t># Records linked to Other</w:t>
            </w:r>
          </w:p>
        </w:tc>
        <w:tc>
          <w:tcPr>
            <w:tcW w:w="439" w:type="pct"/>
            <w:tcBorders>
              <w:top w:val="single" w:sz="4" w:space="0" w:color="5B9BD5"/>
              <w:left w:val="single" w:sz="4" w:space="0" w:color="5B9BD5"/>
              <w:bottom w:val="nil"/>
              <w:right w:val="single" w:sz="4" w:space="0" w:color="5B9BD5"/>
            </w:tcBorders>
            <w:shd w:val="clear" w:color="auto" w:fill="002060"/>
            <w:vAlign w:val="bottom"/>
            <w:hideMark/>
          </w:tcPr>
          <w:p w:rsidR="00E4451A" w:rsidRPr="00CD1518" w:rsidRDefault="00E4451A" w:rsidP="00E4451A">
            <w:pPr>
              <w:spacing w:line="240" w:lineRule="auto"/>
              <w:jc w:val="center"/>
              <w:rPr>
                <w:b/>
                <w:bCs/>
                <w:color w:val="FFFFFF"/>
                <w:sz w:val="12"/>
                <w:szCs w:val="12"/>
                <w:lang w:eastAsia="en-AU"/>
              </w:rPr>
            </w:pPr>
            <w:r w:rsidRPr="00CD1518">
              <w:rPr>
                <w:b/>
                <w:bCs/>
                <w:color w:val="FFFFFF"/>
                <w:sz w:val="12"/>
                <w:szCs w:val="12"/>
                <w:lang w:eastAsia="en-AU"/>
              </w:rPr>
              <w:t># Unlinked records</w:t>
            </w:r>
          </w:p>
        </w:tc>
        <w:tc>
          <w:tcPr>
            <w:tcW w:w="439" w:type="pct"/>
            <w:tcBorders>
              <w:top w:val="single" w:sz="4" w:space="0" w:color="5B9BD5"/>
              <w:left w:val="nil"/>
              <w:bottom w:val="nil"/>
              <w:right w:val="single" w:sz="4" w:space="0" w:color="5B9BD5"/>
            </w:tcBorders>
            <w:shd w:val="clear" w:color="auto" w:fill="002060"/>
            <w:vAlign w:val="bottom"/>
            <w:hideMark/>
          </w:tcPr>
          <w:p w:rsidR="00E4451A" w:rsidRPr="00CD1518" w:rsidRDefault="00E4451A" w:rsidP="00E4451A">
            <w:pPr>
              <w:spacing w:line="240" w:lineRule="auto"/>
              <w:jc w:val="center"/>
              <w:rPr>
                <w:b/>
                <w:bCs/>
                <w:color w:val="FFFFFF"/>
                <w:sz w:val="12"/>
                <w:szCs w:val="12"/>
                <w:lang w:eastAsia="en-AU"/>
              </w:rPr>
            </w:pPr>
            <w:r w:rsidRPr="00CD1518">
              <w:rPr>
                <w:b/>
                <w:bCs/>
                <w:color w:val="FFFFFF"/>
                <w:sz w:val="12"/>
                <w:szCs w:val="12"/>
                <w:lang w:eastAsia="en-AU"/>
              </w:rPr>
              <w:t>% Linked</w:t>
            </w:r>
          </w:p>
        </w:tc>
      </w:tr>
      <w:tr w:rsidR="003E3288" w:rsidRPr="00E4451A" w:rsidTr="00E4451A">
        <w:trPr>
          <w:trHeight w:val="290"/>
        </w:trPr>
        <w:tc>
          <w:tcPr>
            <w:tcW w:w="614" w:type="pct"/>
            <w:tcBorders>
              <w:top w:val="nil"/>
              <w:left w:val="single" w:sz="4" w:space="0" w:color="5B9BD5"/>
              <w:bottom w:val="nil"/>
              <w:right w:val="nil"/>
            </w:tcBorders>
            <w:shd w:val="clear" w:color="000000" w:fill="D0CECE"/>
            <w:noWrap/>
            <w:vAlign w:val="center"/>
            <w:hideMark/>
          </w:tcPr>
          <w:p w:rsidR="00E4451A" w:rsidRPr="00CD1518" w:rsidRDefault="00E4451A">
            <w:pPr>
              <w:spacing w:line="240" w:lineRule="auto"/>
              <w:rPr>
                <w:b/>
                <w:bCs/>
                <w:color w:val="000000"/>
                <w:sz w:val="12"/>
                <w:szCs w:val="12"/>
                <w:lang w:eastAsia="en-AU"/>
              </w:rPr>
            </w:pPr>
            <w:r w:rsidRPr="00CD1518">
              <w:rPr>
                <w:b/>
                <w:bCs/>
                <w:color w:val="000000"/>
                <w:sz w:val="12"/>
                <w:szCs w:val="12"/>
                <w:lang w:eastAsia="en-AU"/>
              </w:rPr>
              <w:t>Activity Data</w:t>
            </w:r>
          </w:p>
        </w:tc>
        <w:tc>
          <w:tcPr>
            <w:tcW w:w="439" w:type="pct"/>
            <w:tcBorders>
              <w:top w:val="nil"/>
              <w:left w:val="single" w:sz="4" w:space="0" w:color="5B9BD5"/>
              <w:bottom w:val="nil"/>
              <w:right w:val="single" w:sz="4" w:space="0" w:color="5B9BD5"/>
            </w:tcBorders>
            <w:shd w:val="clear" w:color="000000" w:fill="D0CECE"/>
            <w:noWrap/>
            <w:vAlign w:val="center"/>
            <w:hideMark/>
          </w:tcPr>
          <w:p w:rsidR="00E4451A" w:rsidRPr="00CD1518" w:rsidRDefault="00E4451A">
            <w:pPr>
              <w:spacing w:line="240" w:lineRule="auto"/>
              <w:rPr>
                <w:b/>
                <w:bCs/>
                <w:color w:val="000000"/>
                <w:sz w:val="12"/>
                <w:szCs w:val="12"/>
                <w:lang w:eastAsia="en-AU"/>
              </w:rPr>
            </w:pPr>
          </w:p>
        </w:tc>
        <w:tc>
          <w:tcPr>
            <w:tcW w:w="439" w:type="pct"/>
            <w:tcBorders>
              <w:top w:val="nil"/>
              <w:left w:val="nil"/>
              <w:bottom w:val="nil"/>
              <w:right w:val="nil"/>
            </w:tcBorders>
            <w:shd w:val="clear" w:color="000000" w:fill="D0CECE"/>
            <w:noWrap/>
            <w:vAlign w:val="center"/>
            <w:hideMark/>
          </w:tcPr>
          <w:p w:rsidR="00E4451A" w:rsidRPr="00CD1518" w:rsidRDefault="00E4451A">
            <w:pPr>
              <w:spacing w:line="240" w:lineRule="auto"/>
              <w:rPr>
                <w:b/>
                <w:bCs/>
                <w:color w:val="000000"/>
                <w:sz w:val="12"/>
                <w:szCs w:val="12"/>
                <w:lang w:eastAsia="en-AU"/>
              </w:rPr>
            </w:pPr>
          </w:p>
        </w:tc>
        <w:tc>
          <w:tcPr>
            <w:tcW w:w="439" w:type="pct"/>
            <w:tcBorders>
              <w:top w:val="nil"/>
              <w:left w:val="single" w:sz="4" w:space="0" w:color="5B9BD5"/>
              <w:bottom w:val="nil"/>
              <w:right w:val="single" w:sz="4" w:space="0" w:color="5B9BD5"/>
            </w:tcBorders>
            <w:shd w:val="clear" w:color="000000" w:fill="D0CECE"/>
            <w:noWrap/>
            <w:vAlign w:val="center"/>
            <w:hideMark/>
          </w:tcPr>
          <w:p w:rsidR="00E4451A" w:rsidRPr="00CD1518" w:rsidRDefault="00E4451A">
            <w:pPr>
              <w:spacing w:line="240" w:lineRule="auto"/>
              <w:rPr>
                <w:b/>
                <w:bCs/>
                <w:color w:val="000000"/>
                <w:sz w:val="12"/>
                <w:szCs w:val="12"/>
                <w:lang w:eastAsia="en-AU"/>
              </w:rPr>
            </w:pPr>
          </w:p>
        </w:tc>
        <w:tc>
          <w:tcPr>
            <w:tcW w:w="439" w:type="pct"/>
            <w:tcBorders>
              <w:top w:val="nil"/>
              <w:left w:val="nil"/>
              <w:bottom w:val="nil"/>
              <w:right w:val="nil"/>
            </w:tcBorders>
            <w:shd w:val="clear" w:color="000000" w:fill="D0CECE"/>
            <w:noWrap/>
            <w:vAlign w:val="center"/>
            <w:hideMark/>
          </w:tcPr>
          <w:p w:rsidR="00E4451A" w:rsidRPr="00CD1518" w:rsidRDefault="00E4451A">
            <w:pPr>
              <w:spacing w:line="240" w:lineRule="auto"/>
              <w:rPr>
                <w:b/>
                <w:bCs/>
                <w:color w:val="000000"/>
                <w:sz w:val="12"/>
                <w:szCs w:val="12"/>
                <w:lang w:eastAsia="en-AU"/>
              </w:rPr>
            </w:pPr>
          </w:p>
        </w:tc>
        <w:tc>
          <w:tcPr>
            <w:tcW w:w="439" w:type="pct"/>
            <w:tcBorders>
              <w:top w:val="nil"/>
              <w:left w:val="single" w:sz="4" w:space="0" w:color="5B9BD5"/>
              <w:bottom w:val="nil"/>
              <w:right w:val="single" w:sz="4" w:space="0" w:color="5B9BD5"/>
            </w:tcBorders>
            <w:shd w:val="clear" w:color="000000" w:fill="D0CECE"/>
            <w:noWrap/>
            <w:vAlign w:val="center"/>
            <w:hideMark/>
          </w:tcPr>
          <w:p w:rsidR="00E4451A" w:rsidRPr="00CD1518" w:rsidRDefault="00E4451A">
            <w:pPr>
              <w:spacing w:line="240" w:lineRule="auto"/>
              <w:rPr>
                <w:b/>
                <w:bCs/>
                <w:color w:val="000000"/>
                <w:sz w:val="12"/>
                <w:szCs w:val="12"/>
                <w:lang w:eastAsia="en-AU"/>
              </w:rPr>
            </w:pPr>
          </w:p>
        </w:tc>
        <w:tc>
          <w:tcPr>
            <w:tcW w:w="439" w:type="pct"/>
            <w:tcBorders>
              <w:top w:val="nil"/>
              <w:left w:val="nil"/>
              <w:bottom w:val="nil"/>
              <w:right w:val="single" w:sz="4" w:space="0" w:color="5B9BD5"/>
            </w:tcBorders>
            <w:shd w:val="clear" w:color="000000" w:fill="D0CECE"/>
            <w:noWrap/>
            <w:vAlign w:val="center"/>
            <w:hideMark/>
          </w:tcPr>
          <w:p w:rsidR="00E4451A" w:rsidRPr="00CD1518" w:rsidRDefault="00E4451A">
            <w:pPr>
              <w:spacing w:line="240" w:lineRule="auto"/>
              <w:rPr>
                <w:b/>
                <w:bCs/>
                <w:color w:val="000000"/>
                <w:sz w:val="12"/>
                <w:szCs w:val="12"/>
                <w:lang w:eastAsia="en-AU"/>
              </w:rPr>
            </w:pPr>
          </w:p>
        </w:tc>
        <w:tc>
          <w:tcPr>
            <w:tcW w:w="439" w:type="pct"/>
            <w:tcBorders>
              <w:top w:val="nil"/>
              <w:left w:val="nil"/>
              <w:bottom w:val="nil"/>
              <w:right w:val="single" w:sz="4" w:space="0" w:color="5B9BD5"/>
            </w:tcBorders>
            <w:shd w:val="clear" w:color="000000" w:fill="D0CECE"/>
            <w:noWrap/>
            <w:vAlign w:val="center"/>
            <w:hideMark/>
          </w:tcPr>
          <w:p w:rsidR="00E4451A" w:rsidRPr="00CD1518" w:rsidRDefault="00E4451A">
            <w:pPr>
              <w:spacing w:line="240" w:lineRule="auto"/>
              <w:rPr>
                <w:b/>
                <w:bCs/>
                <w:color w:val="000000"/>
                <w:sz w:val="12"/>
                <w:szCs w:val="12"/>
                <w:lang w:eastAsia="en-AU"/>
              </w:rPr>
            </w:pPr>
          </w:p>
        </w:tc>
        <w:tc>
          <w:tcPr>
            <w:tcW w:w="439" w:type="pct"/>
            <w:tcBorders>
              <w:top w:val="nil"/>
              <w:left w:val="nil"/>
              <w:bottom w:val="nil"/>
              <w:right w:val="nil"/>
            </w:tcBorders>
            <w:shd w:val="clear" w:color="000000" w:fill="D0CECE"/>
            <w:noWrap/>
            <w:vAlign w:val="center"/>
            <w:hideMark/>
          </w:tcPr>
          <w:p w:rsidR="00E4451A" w:rsidRPr="00CD1518" w:rsidRDefault="00E4451A">
            <w:pPr>
              <w:spacing w:line="240" w:lineRule="auto"/>
              <w:rPr>
                <w:b/>
                <w:bCs/>
                <w:color w:val="000000"/>
                <w:sz w:val="12"/>
                <w:szCs w:val="12"/>
                <w:lang w:eastAsia="en-AU"/>
              </w:rPr>
            </w:pPr>
          </w:p>
        </w:tc>
        <w:tc>
          <w:tcPr>
            <w:tcW w:w="439" w:type="pct"/>
            <w:tcBorders>
              <w:top w:val="nil"/>
              <w:left w:val="single" w:sz="4" w:space="0" w:color="5B9BD5"/>
              <w:bottom w:val="nil"/>
              <w:right w:val="single" w:sz="4" w:space="0" w:color="5B9BD5"/>
            </w:tcBorders>
            <w:shd w:val="clear" w:color="000000" w:fill="D0CECE"/>
            <w:noWrap/>
            <w:vAlign w:val="center"/>
            <w:hideMark/>
          </w:tcPr>
          <w:p w:rsidR="00E4451A" w:rsidRPr="00CD1518" w:rsidRDefault="00E4451A">
            <w:pPr>
              <w:spacing w:line="240" w:lineRule="auto"/>
              <w:rPr>
                <w:b/>
                <w:bCs/>
                <w:color w:val="000000"/>
                <w:sz w:val="12"/>
                <w:szCs w:val="12"/>
                <w:lang w:eastAsia="en-AU"/>
              </w:rPr>
            </w:pPr>
          </w:p>
        </w:tc>
        <w:tc>
          <w:tcPr>
            <w:tcW w:w="439" w:type="pct"/>
            <w:tcBorders>
              <w:top w:val="nil"/>
              <w:left w:val="nil"/>
              <w:bottom w:val="nil"/>
              <w:right w:val="single" w:sz="4" w:space="0" w:color="5B9BD5"/>
            </w:tcBorders>
            <w:shd w:val="clear" w:color="000000" w:fill="D0CECE"/>
            <w:noWrap/>
            <w:vAlign w:val="center"/>
            <w:hideMark/>
          </w:tcPr>
          <w:p w:rsidR="00E4451A" w:rsidRPr="00CD1518" w:rsidRDefault="00E4451A">
            <w:pPr>
              <w:spacing w:line="240" w:lineRule="auto"/>
              <w:rPr>
                <w:b/>
                <w:bCs/>
                <w:color w:val="000000"/>
                <w:sz w:val="12"/>
                <w:szCs w:val="12"/>
                <w:lang w:eastAsia="en-AU"/>
              </w:rPr>
            </w:pPr>
          </w:p>
        </w:tc>
      </w:tr>
      <w:tr w:rsidR="003A1695" w:rsidRPr="00E4451A" w:rsidTr="00E4451A">
        <w:trPr>
          <w:trHeight w:val="290"/>
        </w:trPr>
        <w:tc>
          <w:tcPr>
            <w:tcW w:w="614" w:type="pct"/>
            <w:tcBorders>
              <w:top w:val="nil"/>
              <w:left w:val="single" w:sz="4" w:space="0" w:color="5B9BD5"/>
              <w:bottom w:val="nil"/>
              <w:right w:val="nil"/>
            </w:tcBorders>
            <w:shd w:val="clear" w:color="000000" w:fill="FFFFFF"/>
            <w:noWrap/>
            <w:vAlign w:val="center"/>
            <w:hideMark/>
          </w:tcPr>
          <w:p w:rsidR="00E4451A" w:rsidRPr="00CD1518" w:rsidRDefault="00E4451A">
            <w:pPr>
              <w:spacing w:line="240" w:lineRule="auto"/>
              <w:rPr>
                <w:color w:val="000000"/>
                <w:sz w:val="12"/>
                <w:szCs w:val="12"/>
                <w:lang w:eastAsia="en-AU"/>
              </w:rPr>
            </w:pPr>
            <w:r w:rsidRPr="00CD1518">
              <w:rPr>
                <w:color w:val="000000"/>
                <w:sz w:val="12"/>
                <w:szCs w:val="12"/>
                <w:lang w:eastAsia="en-AU"/>
              </w:rPr>
              <w:t>Admitted</w:t>
            </w:r>
          </w:p>
        </w:tc>
        <w:tc>
          <w:tcPr>
            <w:tcW w:w="439" w:type="pct"/>
            <w:tcBorders>
              <w:top w:val="nil"/>
              <w:left w:val="single" w:sz="4" w:space="0" w:color="5B9BD5"/>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14,085</w:t>
            </w:r>
          </w:p>
        </w:tc>
        <w:tc>
          <w:tcPr>
            <w:tcW w:w="439" w:type="pct"/>
            <w:tcBorders>
              <w:top w:val="nil"/>
              <w:left w:val="nil"/>
              <w:bottom w:val="nil"/>
              <w:right w:val="nil"/>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14,085</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14,085</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14,085</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pPr>
              <w:spacing w:line="240" w:lineRule="auto"/>
              <w:jc w:val="right"/>
              <w:rPr>
                <w:color w:val="000000"/>
                <w:sz w:val="12"/>
                <w:szCs w:val="12"/>
                <w:lang w:eastAsia="en-AU"/>
              </w:rPr>
            </w:pPr>
            <w:r w:rsidRPr="00CD1518">
              <w:rPr>
                <w:color w:val="000000"/>
                <w:sz w:val="12"/>
                <w:szCs w:val="12"/>
                <w:lang w:eastAsia="en-AU"/>
              </w:rPr>
              <w:t>100%</w:t>
            </w:r>
          </w:p>
        </w:tc>
      </w:tr>
      <w:tr w:rsidR="003E3288" w:rsidRPr="00E4451A" w:rsidTr="00E4451A">
        <w:trPr>
          <w:trHeight w:val="290"/>
        </w:trPr>
        <w:tc>
          <w:tcPr>
            <w:tcW w:w="614" w:type="pct"/>
            <w:tcBorders>
              <w:top w:val="nil"/>
              <w:left w:val="single" w:sz="4" w:space="0" w:color="5B9BD5"/>
              <w:bottom w:val="nil"/>
              <w:right w:val="nil"/>
            </w:tcBorders>
            <w:shd w:val="clear" w:color="000000" w:fill="DDEBF7"/>
            <w:noWrap/>
            <w:vAlign w:val="center"/>
            <w:hideMark/>
          </w:tcPr>
          <w:p w:rsidR="00E4451A" w:rsidRPr="00CD1518" w:rsidRDefault="00E4451A">
            <w:pPr>
              <w:spacing w:line="240" w:lineRule="auto"/>
              <w:rPr>
                <w:color w:val="000000"/>
                <w:sz w:val="12"/>
                <w:szCs w:val="12"/>
                <w:lang w:eastAsia="en-AU"/>
              </w:rPr>
            </w:pPr>
            <w:r w:rsidRPr="00CD1518">
              <w:rPr>
                <w:color w:val="000000"/>
                <w:sz w:val="12"/>
                <w:szCs w:val="12"/>
                <w:lang w:eastAsia="en-AU"/>
              </w:rPr>
              <w:t>Emergency</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40,678</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40,678</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1,368</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39,310</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40,678</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pPr>
              <w:spacing w:line="240" w:lineRule="auto"/>
              <w:jc w:val="right"/>
              <w:rPr>
                <w:color w:val="000000"/>
                <w:sz w:val="12"/>
                <w:szCs w:val="12"/>
                <w:lang w:eastAsia="en-AU"/>
              </w:rPr>
            </w:pPr>
            <w:r w:rsidRPr="00CD1518">
              <w:rPr>
                <w:color w:val="000000"/>
                <w:sz w:val="12"/>
                <w:szCs w:val="12"/>
                <w:lang w:eastAsia="en-AU"/>
              </w:rPr>
              <w:t>100%</w:t>
            </w:r>
          </w:p>
        </w:tc>
      </w:tr>
      <w:tr w:rsidR="00E4451A" w:rsidRPr="00E4451A" w:rsidTr="00CD1518">
        <w:trPr>
          <w:trHeight w:val="290"/>
        </w:trPr>
        <w:tc>
          <w:tcPr>
            <w:tcW w:w="614" w:type="pct"/>
            <w:tcBorders>
              <w:top w:val="nil"/>
              <w:left w:val="single" w:sz="4" w:space="0" w:color="5B9BD5"/>
              <w:bottom w:val="single" w:sz="4" w:space="0" w:color="5B9BD5"/>
              <w:right w:val="nil"/>
            </w:tcBorders>
            <w:shd w:val="clear" w:color="000000" w:fill="FFFFFF"/>
            <w:noWrap/>
            <w:vAlign w:val="center"/>
            <w:hideMark/>
          </w:tcPr>
          <w:p w:rsidR="00E4451A" w:rsidRPr="00CD1518" w:rsidRDefault="00E4451A">
            <w:pPr>
              <w:spacing w:line="240" w:lineRule="auto"/>
              <w:rPr>
                <w:color w:val="000000"/>
                <w:sz w:val="12"/>
                <w:szCs w:val="12"/>
                <w:lang w:eastAsia="en-AU"/>
              </w:rPr>
            </w:pPr>
            <w:r w:rsidRPr="00CD1518">
              <w:rPr>
                <w:color w:val="000000"/>
                <w:sz w:val="12"/>
                <w:szCs w:val="12"/>
                <w:lang w:eastAsia="en-AU"/>
              </w:rPr>
              <w:t>Non-admitted</w:t>
            </w:r>
          </w:p>
        </w:tc>
        <w:tc>
          <w:tcPr>
            <w:tcW w:w="439" w:type="pct"/>
            <w:tcBorders>
              <w:top w:val="nil"/>
              <w:left w:val="single" w:sz="4" w:space="0" w:color="5B9BD5"/>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128,133</w:t>
            </w:r>
          </w:p>
        </w:tc>
        <w:tc>
          <w:tcPr>
            <w:tcW w:w="439"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128,133</w:t>
            </w:r>
          </w:p>
        </w:tc>
        <w:tc>
          <w:tcPr>
            <w:tcW w:w="439"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128,133</w:t>
            </w:r>
          </w:p>
        </w:tc>
        <w:tc>
          <w:tcPr>
            <w:tcW w:w="439"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128,133</w:t>
            </w:r>
          </w:p>
        </w:tc>
        <w:tc>
          <w:tcPr>
            <w:tcW w:w="439"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pPr>
              <w:spacing w:line="240" w:lineRule="auto"/>
              <w:jc w:val="right"/>
              <w:rPr>
                <w:color w:val="000000"/>
                <w:sz w:val="12"/>
                <w:szCs w:val="12"/>
                <w:lang w:eastAsia="en-AU"/>
              </w:rPr>
            </w:pPr>
            <w:r w:rsidRPr="00CD1518">
              <w:rPr>
                <w:color w:val="000000"/>
                <w:sz w:val="12"/>
                <w:szCs w:val="12"/>
                <w:lang w:eastAsia="en-AU"/>
              </w:rPr>
              <w:t>100%</w:t>
            </w:r>
          </w:p>
        </w:tc>
      </w:tr>
      <w:tr w:rsidR="00E4451A" w:rsidRPr="00E4451A" w:rsidTr="00CD1518">
        <w:trPr>
          <w:trHeight w:val="290"/>
        </w:trPr>
        <w:tc>
          <w:tcPr>
            <w:tcW w:w="614" w:type="pct"/>
            <w:tcBorders>
              <w:top w:val="nil"/>
              <w:left w:val="single" w:sz="4" w:space="0" w:color="5B9BD5"/>
              <w:bottom w:val="nil"/>
              <w:right w:val="nil"/>
            </w:tcBorders>
            <w:shd w:val="clear" w:color="000000" w:fill="DDEBF7"/>
            <w:noWrap/>
            <w:vAlign w:val="center"/>
            <w:hideMark/>
          </w:tcPr>
          <w:p w:rsidR="00E4451A" w:rsidRPr="00CD1518" w:rsidRDefault="00E4451A">
            <w:pPr>
              <w:spacing w:line="240" w:lineRule="auto"/>
              <w:rPr>
                <w:b/>
                <w:bCs/>
                <w:color w:val="000000"/>
                <w:sz w:val="12"/>
                <w:szCs w:val="12"/>
                <w:lang w:eastAsia="en-AU"/>
              </w:rPr>
            </w:pPr>
            <w:r w:rsidRPr="00CD1518">
              <w:rPr>
                <w:b/>
                <w:bCs/>
                <w:color w:val="000000"/>
                <w:sz w:val="12"/>
                <w:szCs w:val="12"/>
                <w:lang w:eastAsia="en-AU"/>
              </w:rPr>
              <w:t>TOTAL</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b/>
                <w:bCs/>
                <w:color w:val="000000"/>
                <w:sz w:val="12"/>
                <w:szCs w:val="12"/>
                <w:lang w:eastAsia="en-AU"/>
              </w:rPr>
            </w:pPr>
            <w:r w:rsidRPr="00CD1518">
              <w:rPr>
                <w:b/>
                <w:bCs/>
                <w:color w:val="000000"/>
                <w:sz w:val="12"/>
                <w:szCs w:val="12"/>
                <w:lang w:eastAsia="en-AU"/>
              </w:rPr>
              <w:t>182,896</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b/>
                <w:bCs/>
                <w:color w:val="000000"/>
                <w:sz w:val="12"/>
                <w:szCs w:val="12"/>
                <w:lang w:eastAsia="en-AU"/>
              </w:rPr>
            </w:pPr>
            <w:r w:rsidRPr="00CD1518">
              <w:rPr>
                <w:b/>
                <w:bCs/>
                <w:color w:val="000000"/>
                <w:sz w:val="12"/>
                <w:szCs w:val="12"/>
                <w:lang w:eastAsia="en-AU"/>
              </w:rPr>
              <w:t>182,896</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b/>
                <w:bCs/>
                <w:color w:val="000000"/>
                <w:sz w:val="12"/>
                <w:szCs w:val="12"/>
                <w:lang w:eastAsia="en-AU"/>
              </w:rPr>
            </w:pPr>
            <w:r w:rsidRPr="00CD1518">
              <w:rPr>
                <w:b/>
                <w:bCs/>
                <w:color w:val="000000"/>
                <w:sz w:val="12"/>
                <w:szCs w:val="12"/>
                <w:lang w:eastAsia="en-AU"/>
              </w:rPr>
              <w:t>15,453</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b/>
                <w:bCs/>
                <w:color w:val="000000"/>
                <w:sz w:val="12"/>
                <w:szCs w:val="12"/>
                <w:lang w:eastAsia="en-AU"/>
              </w:rPr>
            </w:pPr>
            <w:r w:rsidRPr="00CD1518">
              <w:rPr>
                <w:b/>
                <w:bCs/>
                <w:color w:val="000000"/>
                <w:sz w:val="12"/>
                <w:szCs w:val="12"/>
                <w:lang w:eastAsia="en-AU"/>
              </w:rPr>
              <w:t>39,310</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b/>
                <w:bCs/>
                <w:color w:val="000000"/>
                <w:sz w:val="12"/>
                <w:szCs w:val="12"/>
                <w:lang w:eastAsia="en-AU"/>
              </w:rPr>
            </w:pPr>
            <w:r w:rsidRPr="00CD1518">
              <w:rPr>
                <w:b/>
                <w:bCs/>
                <w:color w:val="000000"/>
                <w:sz w:val="12"/>
                <w:szCs w:val="12"/>
                <w:lang w:eastAsia="en-AU"/>
              </w:rPr>
              <w:t>128,133</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b/>
                <w:bCs/>
                <w:color w:val="000000"/>
                <w:sz w:val="12"/>
                <w:szCs w:val="12"/>
                <w:lang w:eastAsia="en-AU"/>
              </w:rPr>
            </w:pPr>
            <w:r w:rsidRPr="00CD1518">
              <w:rPr>
                <w:b/>
                <w:bCs/>
                <w:color w:val="000000"/>
                <w:sz w:val="12"/>
                <w:szCs w:val="12"/>
                <w:lang w:eastAsia="en-AU"/>
              </w:rPr>
              <w:t>182,896</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b/>
                <w:bCs/>
                <w:color w:val="000000"/>
                <w:sz w:val="12"/>
                <w:szCs w:val="12"/>
                <w:lang w:eastAsia="en-AU"/>
              </w:rPr>
            </w:pPr>
          </w:p>
        </w:tc>
      </w:tr>
      <w:tr w:rsidR="003E3288" w:rsidRPr="00E4451A" w:rsidTr="00E4451A">
        <w:trPr>
          <w:trHeight w:val="290"/>
        </w:trPr>
        <w:tc>
          <w:tcPr>
            <w:tcW w:w="614" w:type="pct"/>
            <w:tcBorders>
              <w:top w:val="nil"/>
              <w:left w:val="single" w:sz="4" w:space="0" w:color="5B9BD5"/>
              <w:bottom w:val="nil"/>
              <w:right w:val="nil"/>
            </w:tcBorders>
            <w:shd w:val="clear" w:color="000000" w:fill="D0CECE"/>
            <w:noWrap/>
            <w:vAlign w:val="center"/>
            <w:hideMark/>
          </w:tcPr>
          <w:p w:rsidR="00E4451A" w:rsidRPr="00CD1518" w:rsidRDefault="00E4451A">
            <w:pPr>
              <w:spacing w:line="240" w:lineRule="auto"/>
              <w:rPr>
                <w:b/>
                <w:bCs/>
                <w:color w:val="000000"/>
                <w:sz w:val="12"/>
                <w:szCs w:val="12"/>
                <w:lang w:eastAsia="en-AU"/>
              </w:rPr>
            </w:pPr>
            <w:r w:rsidRPr="00CD1518">
              <w:rPr>
                <w:b/>
                <w:bCs/>
                <w:color w:val="000000"/>
                <w:sz w:val="12"/>
                <w:szCs w:val="12"/>
                <w:lang w:eastAsia="en-AU"/>
              </w:rPr>
              <w:t>Feeder Data</w:t>
            </w:r>
          </w:p>
        </w:tc>
        <w:tc>
          <w:tcPr>
            <w:tcW w:w="439" w:type="pct"/>
            <w:tcBorders>
              <w:top w:val="nil"/>
              <w:left w:val="single" w:sz="4" w:space="0" w:color="5B9BD5"/>
              <w:bottom w:val="nil"/>
              <w:right w:val="single" w:sz="4" w:space="0" w:color="5B9BD5"/>
            </w:tcBorders>
            <w:shd w:val="clear" w:color="000000" w:fill="D0CECE"/>
            <w:noWrap/>
            <w:vAlign w:val="center"/>
            <w:hideMark/>
          </w:tcPr>
          <w:p w:rsidR="00E4451A" w:rsidRPr="00CD1518" w:rsidRDefault="00E4451A" w:rsidP="00CD1518">
            <w:pPr>
              <w:spacing w:line="240" w:lineRule="auto"/>
              <w:jc w:val="right"/>
              <w:rPr>
                <w:b/>
                <w:bCs/>
                <w:color w:val="000000"/>
                <w:sz w:val="12"/>
                <w:szCs w:val="12"/>
                <w:lang w:eastAsia="en-AU"/>
              </w:rPr>
            </w:pPr>
          </w:p>
        </w:tc>
        <w:tc>
          <w:tcPr>
            <w:tcW w:w="439" w:type="pct"/>
            <w:tcBorders>
              <w:top w:val="nil"/>
              <w:left w:val="nil"/>
              <w:bottom w:val="nil"/>
              <w:right w:val="nil"/>
            </w:tcBorders>
            <w:shd w:val="clear" w:color="000000" w:fill="D0CECE"/>
            <w:noWrap/>
            <w:vAlign w:val="center"/>
            <w:hideMark/>
          </w:tcPr>
          <w:p w:rsidR="00E4451A" w:rsidRPr="00CD1518" w:rsidRDefault="00E4451A" w:rsidP="00CD1518">
            <w:pPr>
              <w:spacing w:line="240" w:lineRule="auto"/>
              <w:jc w:val="right"/>
              <w:rPr>
                <w:b/>
                <w:bCs/>
                <w:color w:val="000000"/>
                <w:sz w:val="12"/>
                <w:szCs w:val="12"/>
                <w:lang w:eastAsia="en-AU"/>
              </w:rPr>
            </w:pPr>
          </w:p>
        </w:tc>
        <w:tc>
          <w:tcPr>
            <w:tcW w:w="439" w:type="pct"/>
            <w:tcBorders>
              <w:top w:val="nil"/>
              <w:left w:val="single" w:sz="4" w:space="0" w:color="5B9BD5"/>
              <w:bottom w:val="nil"/>
              <w:right w:val="single" w:sz="4" w:space="0" w:color="5B9BD5"/>
            </w:tcBorders>
            <w:shd w:val="clear" w:color="000000" w:fill="D0CECE"/>
            <w:noWrap/>
            <w:vAlign w:val="center"/>
            <w:hideMark/>
          </w:tcPr>
          <w:p w:rsidR="00E4451A" w:rsidRPr="00CD1518" w:rsidRDefault="00E4451A" w:rsidP="00CD1518">
            <w:pPr>
              <w:spacing w:line="240" w:lineRule="auto"/>
              <w:jc w:val="right"/>
              <w:rPr>
                <w:b/>
                <w:bCs/>
                <w:color w:val="000000"/>
                <w:sz w:val="12"/>
                <w:szCs w:val="12"/>
                <w:lang w:eastAsia="en-AU"/>
              </w:rPr>
            </w:pPr>
          </w:p>
        </w:tc>
        <w:tc>
          <w:tcPr>
            <w:tcW w:w="439" w:type="pct"/>
            <w:tcBorders>
              <w:top w:val="nil"/>
              <w:left w:val="nil"/>
              <w:bottom w:val="nil"/>
              <w:right w:val="nil"/>
            </w:tcBorders>
            <w:shd w:val="clear" w:color="000000" w:fill="D0CECE"/>
            <w:noWrap/>
            <w:vAlign w:val="center"/>
            <w:hideMark/>
          </w:tcPr>
          <w:p w:rsidR="00E4451A" w:rsidRPr="00CD1518" w:rsidRDefault="00E4451A" w:rsidP="00CD1518">
            <w:pPr>
              <w:spacing w:line="240" w:lineRule="auto"/>
              <w:jc w:val="right"/>
              <w:rPr>
                <w:b/>
                <w:bCs/>
                <w:color w:val="000000"/>
                <w:sz w:val="12"/>
                <w:szCs w:val="12"/>
                <w:lang w:eastAsia="en-AU"/>
              </w:rPr>
            </w:pPr>
          </w:p>
        </w:tc>
        <w:tc>
          <w:tcPr>
            <w:tcW w:w="439" w:type="pct"/>
            <w:tcBorders>
              <w:top w:val="nil"/>
              <w:left w:val="single" w:sz="4" w:space="0" w:color="5B9BD5"/>
              <w:bottom w:val="nil"/>
              <w:right w:val="single" w:sz="4" w:space="0" w:color="5B9BD5"/>
            </w:tcBorders>
            <w:shd w:val="clear" w:color="000000" w:fill="D0CECE"/>
            <w:noWrap/>
            <w:vAlign w:val="center"/>
            <w:hideMark/>
          </w:tcPr>
          <w:p w:rsidR="00E4451A" w:rsidRPr="00CD1518" w:rsidRDefault="00E4451A" w:rsidP="00CD1518">
            <w:pPr>
              <w:spacing w:line="240" w:lineRule="auto"/>
              <w:jc w:val="right"/>
              <w:rPr>
                <w:b/>
                <w:bCs/>
                <w:color w:val="000000"/>
                <w:sz w:val="12"/>
                <w:szCs w:val="12"/>
                <w:lang w:eastAsia="en-AU"/>
              </w:rPr>
            </w:pPr>
          </w:p>
        </w:tc>
        <w:tc>
          <w:tcPr>
            <w:tcW w:w="439" w:type="pct"/>
            <w:tcBorders>
              <w:top w:val="nil"/>
              <w:left w:val="nil"/>
              <w:bottom w:val="nil"/>
              <w:right w:val="single" w:sz="4" w:space="0" w:color="5B9BD5"/>
            </w:tcBorders>
            <w:shd w:val="clear" w:color="000000" w:fill="D0CECE"/>
            <w:noWrap/>
            <w:vAlign w:val="center"/>
            <w:hideMark/>
          </w:tcPr>
          <w:p w:rsidR="00E4451A" w:rsidRPr="00CD1518" w:rsidRDefault="00E4451A" w:rsidP="00CD1518">
            <w:pPr>
              <w:spacing w:line="240" w:lineRule="auto"/>
              <w:jc w:val="right"/>
              <w:rPr>
                <w:b/>
                <w:bCs/>
                <w:color w:val="000000"/>
                <w:sz w:val="12"/>
                <w:szCs w:val="12"/>
                <w:lang w:eastAsia="en-AU"/>
              </w:rPr>
            </w:pPr>
          </w:p>
        </w:tc>
        <w:tc>
          <w:tcPr>
            <w:tcW w:w="439" w:type="pct"/>
            <w:tcBorders>
              <w:top w:val="nil"/>
              <w:left w:val="nil"/>
              <w:bottom w:val="nil"/>
              <w:right w:val="single" w:sz="4" w:space="0" w:color="5B9BD5"/>
            </w:tcBorders>
            <w:shd w:val="clear" w:color="000000" w:fill="D0CECE"/>
            <w:noWrap/>
            <w:vAlign w:val="center"/>
            <w:hideMark/>
          </w:tcPr>
          <w:p w:rsidR="00E4451A" w:rsidRPr="00CD1518" w:rsidRDefault="00E4451A" w:rsidP="00CD1518">
            <w:pPr>
              <w:spacing w:line="240" w:lineRule="auto"/>
              <w:jc w:val="right"/>
              <w:rPr>
                <w:b/>
                <w:bCs/>
                <w:color w:val="000000"/>
                <w:sz w:val="12"/>
                <w:szCs w:val="12"/>
                <w:lang w:eastAsia="en-AU"/>
              </w:rPr>
            </w:pPr>
          </w:p>
        </w:tc>
        <w:tc>
          <w:tcPr>
            <w:tcW w:w="439" w:type="pct"/>
            <w:tcBorders>
              <w:top w:val="nil"/>
              <w:left w:val="nil"/>
              <w:bottom w:val="nil"/>
              <w:right w:val="nil"/>
            </w:tcBorders>
            <w:shd w:val="clear" w:color="000000" w:fill="D0CECE"/>
            <w:noWrap/>
            <w:vAlign w:val="center"/>
            <w:hideMark/>
          </w:tcPr>
          <w:p w:rsidR="00E4451A" w:rsidRPr="00CD1518" w:rsidRDefault="00E4451A" w:rsidP="00CD1518">
            <w:pPr>
              <w:spacing w:line="240" w:lineRule="auto"/>
              <w:jc w:val="right"/>
              <w:rPr>
                <w:b/>
                <w:bCs/>
                <w:color w:val="000000"/>
                <w:sz w:val="12"/>
                <w:szCs w:val="12"/>
                <w:lang w:eastAsia="en-AU"/>
              </w:rPr>
            </w:pPr>
          </w:p>
        </w:tc>
        <w:tc>
          <w:tcPr>
            <w:tcW w:w="439" w:type="pct"/>
            <w:tcBorders>
              <w:top w:val="nil"/>
              <w:left w:val="single" w:sz="4" w:space="0" w:color="5B9BD5"/>
              <w:bottom w:val="nil"/>
              <w:right w:val="single" w:sz="4" w:space="0" w:color="5B9BD5"/>
            </w:tcBorders>
            <w:shd w:val="clear" w:color="000000" w:fill="D0CECE"/>
            <w:noWrap/>
            <w:vAlign w:val="center"/>
            <w:hideMark/>
          </w:tcPr>
          <w:p w:rsidR="00E4451A" w:rsidRPr="00CD1518" w:rsidRDefault="00E4451A" w:rsidP="00CD1518">
            <w:pPr>
              <w:spacing w:line="240" w:lineRule="auto"/>
              <w:jc w:val="right"/>
              <w:rPr>
                <w:b/>
                <w:bCs/>
                <w:color w:val="000000"/>
                <w:sz w:val="12"/>
                <w:szCs w:val="12"/>
                <w:lang w:eastAsia="en-AU"/>
              </w:rPr>
            </w:pPr>
          </w:p>
        </w:tc>
        <w:tc>
          <w:tcPr>
            <w:tcW w:w="439" w:type="pct"/>
            <w:tcBorders>
              <w:top w:val="nil"/>
              <w:left w:val="nil"/>
              <w:bottom w:val="nil"/>
              <w:right w:val="single" w:sz="4" w:space="0" w:color="5B9BD5"/>
            </w:tcBorders>
            <w:shd w:val="clear" w:color="000000" w:fill="D0CECE"/>
            <w:noWrap/>
            <w:vAlign w:val="center"/>
            <w:hideMark/>
          </w:tcPr>
          <w:p w:rsidR="00E4451A" w:rsidRPr="00CD1518" w:rsidRDefault="00E4451A" w:rsidP="00CD1518">
            <w:pPr>
              <w:spacing w:line="240" w:lineRule="auto"/>
              <w:jc w:val="right"/>
              <w:rPr>
                <w:b/>
                <w:bCs/>
                <w:color w:val="000000"/>
                <w:sz w:val="12"/>
                <w:szCs w:val="12"/>
                <w:lang w:eastAsia="en-AU"/>
              </w:rPr>
            </w:pPr>
          </w:p>
        </w:tc>
      </w:tr>
      <w:tr w:rsidR="00E4451A" w:rsidRPr="00E4451A" w:rsidTr="00CD1518">
        <w:trPr>
          <w:trHeight w:val="290"/>
        </w:trPr>
        <w:tc>
          <w:tcPr>
            <w:tcW w:w="614" w:type="pct"/>
            <w:tcBorders>
              <w:top w:val="nil"/>
              <w:left w:val="single" w:sz="4" w:space="0" w:color="5B9BD5"/>
              <w:bottom w:val="nil"/>
              <w:right w:val="nil"/>
            </w:tcBorders>
            <w:shd w:val="clear" w:color="000000" w:fill="FFFFFF"/>
            <w:noWrap/>
            <w:vAlign w:val="center"/>
            <w:hideMark/>
          </w:tcPr>
          <w:p w:rsidR="00E4451A" w:rsidRPr="00CD1518" w:rsidRDefault="00E4451A">
            <w:pPr>
              <w:spacing w:line="240" w:lineRule="auto"/>
              <w:rPr>
                <w:color w:val="000000"/>
                <w:sz w:val="12"/>
                <w:szCs w:val="12"/>
                <w:lang w:eastAsia="en-AU"/>
              </w:rPr>
            </w:pPr>
            <w:r w:rsidRPr="00CD1518">
              <w:rPr>
                <w:color w:val="000000"/>
                <w:sz w:val="12"/>
                <w:szCs w:val="12"/>
                <w:lang w:eastAsia="en-AU"/>
              </w:rPr>
              <w:t>Anaesthetics</w:t>
            </w:r>
          </w:p>
        </w:tc>
        <w:tc>
          <w:tcPr>
            <w:tcW w:w="439" w:type="pct"/>
            <w:tcBorders>
              <w:top w:val="nil"/>
              <w:left w:val="single" w:sz="4" w:space="0" w:color="5B9BD5"/>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15,740</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15,720</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(20)</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15,720</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15,720</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20</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pPr>
              <w:spacing w:line="240" w:lineRule="auto"/>
              <w:jc w:val="right"/>
              <w:rPr>
                <w:color w:val="000000"/>
                <w:sz w:val="12"/>
                <w:szCs w:val="12"/>
                <w:lang w:eastAsia="en-AU"/>
              </w:rPr>
            </w:pPr>
            <w:r w:rsidRPr="00CD1518">
              <w:rPr>
                <w:color w:val="000000"/>
                <w:sz w:val="12"/>
                <w:szCs w:val="12"/>
                <w:lang w:eastAsia="en-AU"/>
              </w:rPr>
              <w:t>99.87%</w:t>
            </w:r>
          </w:p>
        </w:tc>
      </w:tr>
      <w:tr w:rsidR="003E3288" w:rsidRPr="00E4451A" w:rsidTr="00E4451A">
        <w:trPr>
          <w:trHeight w:val="290"/>
        </w:trPr>
        <w:tc>
          <w:tcPr>
            <w:tcW w:w="614" w:type="pct"/>
            <w:tcBorders>
              <w:top w:val="nil"/>
              <w:left w:val="single" w:sz="4" w:space="0" w:color="5B9BD5"/>
              <w:bottom w:val="nil"/>
              <w:right w:val="nil"/>
            </w:tcBorders>
            <w:shd w:val="clear" w:color="000000" w:fill="DDEBF7"/>
            <w:noWrap/>
            <w:vAlign w:val="center"/>
            <w:hideMark/>
          </w:tcPr>
          <w:p w:rsidR="00E4451A" w:rsidRPr="00CD1518" w:rsidRDefault="00E4451A">
            <w:pPr>
              <w:spacing w:line="240" w:lineRule="auto"/>
              <w:rPr>
                <w:color w:val="000000"/>
                <w:sz w:val="12"/>
                <w:szCs w:val="12"/>
                <w:lang w:eastAsia="en-AU"/>
              </w:rPr>
            </w:pPr>
            <w:r w:rsidRPr="00CD1518">
              <w:rPr>
                <w:color w:val="000000"/>
                <w:sz w:val="12"/>
                <w:szCs w:val="12"/>
                <w:lang w:eastAsia="en-AU"/>
              </w:rPr>
              <w:t>Theatre</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13,254</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13,254</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13,254</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13,254</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pPr>
              <w:spacing w:line="240" w:lineRule="auto"/>
              <w:jc w:val="right"/>
              <w:rPr>
                <w:color w:val="000000"/>
                <w:sz w:val="12"/>
                <w:szCs w:val="12"/>
                <w:lang w:eastAsia="en-AU"/>
              </w:rPr>
            </w:pPr>
            <w:r w:rsidRPr="00CD1518">
              <w:rPr>
                <w:color w:val="000000"/>
                <w:sz w:val="12"/>
                <w:szCs w:val="12"/>
                <w:lang w:eastAsia="en-AU"/>
              </w:rPr>
              <w:t>100%</w:t>
            </w:r>
          </w:p>
        </w:tc>
      </w:tr>
      <w:tr w:rsidR="003E3288" w:rsidRPr="00E4451A" w:rsidTr="00E4451A">
        <w:trPr>
          <w:trHeight w:val="290"/>
        </w:trPr>
        <w:tc>
          <w:tcPr>
            <w:tcW w:w="614" w:type="pct"/>
            <w:tcBorders>
              <w:top w:val="nil"/>
              <w:left w:val="single" w:sz="4" w:space="0" w:color="5B9BD5"/>
              <w:bottom w:val="nil"/>
              <w:right w:val="nil"/>
            </w:tcBorders>
            <w:shd w:val="clear" w:color="000000" w:fill="FFFFFF"/>
            <w:noWrap/>
            <w:vAlign w:val="center"/>
            <w:hideMark/>
          </w:tcPr>
          <w:p w:rsidR="00E4451A" w:rsidRPr="00CD1518" w:rsidRDefault="00E4451A">
            <w:pPr>
              <w:spacing w:line="240" w:lineRule="auto"/>
              <w:rPr>
                <w:color w:val="000000"/>
                <w:sz w:val="12"/>
                <w:szCs w:val="12"/>
                <w:lang w:eastAsia="en-AU"/>
              </w:rPr>
            </w:pPr>
            <w:r w:rsidRPr="00CD1518">
              <w:rPr>
                <w:color w:val="000000"/>
                <w:sz w:val="12"/>
                <w:szCs w:val="12"/>
                <w:lang w:eastAsia="en-AU"/>
              </w:rPr>
              <w:t>ED Nursing</w:t>
            </w:r>
          </w:p>
        </w:tc>
        <w:tc>
          <w:tcPr>
            <w:tcW w:w="439" w:type="pct"/>
            <w:tcBorders>
              <w:top w:val="nil"/>
              <w:left w:val="single" w:sz="4" w:space="0" w:color="5B9BD5"/>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40,678</w:t>
            </w:r>
          </w:p>
        </w:tc>
        <w:tc>
          <w:tcPr>
            <w:tcW w:w="439" w:type="pct"/>
            <w:tcBorders>
              <w:top w:val="nil"/>
              <w:left w:val="nil"/>
              <w:bottom w:val="nil"/>
              <w:right w:val="nil"/>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40,678</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nil"/>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single" w:sz="4" w:space="0" w:color="5B9BD5"/>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40,678</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40,678</w:t>
            </w:r>
          </w:p>
        </w:tc>
        <w:tc>
          <w:tcPr>
            <w:tcW w:w="439" w:type="pct"/>
            <w:tcBorders>
              <w:top w:val="nil"/>
              <w:left w:val="nil"/>
              <w:bottom w:val="nil"/>
              <w:right w:val="nil"/>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single" w:sz="4" w:space="0" w:color="5B9BD5"/>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pPr>
              <w:spacing w:line="240" w:lineRule="auto"/>
              <w:jc w:val="right"/>
              <w:rPr>
                <w:color w:val="000000"/>
                <w:sz w:val="12"/>
                <w:szCs w:val="12"/>
                <w:lang w:eastAsia="en-AU"/>
              </w:rPr>
            </w:pPr>
            <w:r w:rsidRPr="00CD1518">
              <w:rPr>
                <w:color w:val="000000"/>
                <w:sz w:val="12"/>
                <w:szCs w:val="12"/>
                <w:lang w:eastAsia="en-AU"/>
              </w:rPr>
              <w:t>100%</w:t>
            </w:r>
          </w:p>
        </w:tc>
      </w:tr>
      <w:tr w:rsidR="003E3288" w:rsidRPr="00E4451A" w:rsidTr="00E4451A">
        <w:trPr>
          <w:trHeight w:val="290"/>
        </w:trPr>
        <w:tc>
          <w:tcPr>
            <w:tcW w:w="614" w:type="pct"/>
            <w:tcBorders>
              <w:top w:val="nil"/>
              <w:left w:val="single" w:sz="4" w:space="0" w:color="5B9BD5"/>
              <w:bottom w:val="nil"/>
              <w:right w:val="nil"/>
            </w:tcBorders>
            <w:shd w:val="clear" w:color="000000" w:fill="DDEBF7"/>
            <w:noWrap/>
            <w:vAlign w:val="center"/>
            <w:hideMark/>
          </w:tcPr>
          <w:p w:rsidR="00E4451A" w:rsidRPr="00CD1518" w:rsidRDefault="00E4451A">
            <w:pPr>
              <w:spacing w:line="240" w:lineRule="auto"/>
              <w:rPr>
                <w:color w:val="000000"/>
                <w:sz w:val="12"/>
                <w:szCs w:val="12"/>
                <w:lang w:eastAsia="en-AU"/>
              </w:rPr>
            </w:pPr>
            <w:r w:rsidRPr="00CD1518">
              <w:rPr>
                <w:color w:val="000000"/>
                <w:sz w:val="12"/>
                <w:szCs w:val="12"/>
                <w:lang w:eastAsia="en-AU"/>
              </w:rPr>
              <w:t>Prosthetics</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10,312</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8,246</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(2,066)</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8,246</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8,246</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2,066</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pPr>
              <w:spacing w:line="240" w:lineRule="auto"/>
              <w:jc w:val="right"/>
              <w:rPr>
                <w:color w:val="000000"/>
                <w:sz w:val="12"/>
                <w:szCs w:val="12"/>
                <w:lang w:eastAsia="en-AU"/>
              </w:rPr>
            </w:pPr>
            <w:r w:rsidRPr="00CD1518">
              <w:rPr>
                <w:color w:val="000000"/>
                <w:sz w:val="12"/>
                <w:szCs w:val="12"/>
                <w:lang w:eastAsia="en-AU"/>
              </w:rPr>
              <w:t>79.97%</w:t>
            </w:r>
          </w:p>
        </w:tc>
      </w:tr>
      <w:tr w:rsidR="003E3288" w:rsidRPr="00E4451A" w:rsidTr="00E4451A">
        <w:trPr>
          <w:trHeight w:val="290"/>
        </w:trPr>
        <w:tc>
          <w:tcPr>
            <w:tcW w:w="614" w:type="pct"/>
            <w:tcBorders>
              <w:top w:val="nil"/>
              <w:left w:val="single" w:sz="4" w:space="0" w:color="5B9BD5"/>
              <w:bottom w:val="nil"/>
              <w:right w:val="nil"/>
            </w:tcBorders>
            <w:shd w:val="clear" w:color="000000" w:fill="FFFFFF"/>
            <w:noWrap/>
            <w:vAlign w:val="center"/>
            <w:hideMark/>
          </w:tcPr>
          <w:p w:rsidR="00E4451A" w:rsidRPr="00CD1518" w:rsidRDefault="00E4451A">
            <w:pPr>
              <w:spacing w:line="240" w:lineRule="auto"/>
              <w:rPr>
                <w:color w:val="000000"/>
                <w:sz w:val="12"/>
                <w:szCs w:val="12"/>
                <w:lang w:eastAsia="en-AU"/>
              </w:rPr>
            </w:pPr>
            <w:r w:rsidRPr="00CD1518">
              <w:rPr>
                <w:color w:val="000000"/>
                <w:sz w:val="12"/>
                <w:szCs w:val="12"/>
                <w:lang w:eastAsia="en-AU"/>
              </w:rPr>
              <w:t>Wards</w:t>
            </w:r>
          </w:p>
        </w:tc>
        <w:tc>
          <w:tcPr>
            <w:tcW w:w="439" w:type="pct"/>
            <w:tcBorders>
              <w:top w:val="nil"/>
              <w:left w:val="single" w:sz="4" w:space="0" w:color="5B9BD5"/>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17,704</w:t>
            </w:r>
          </w:p>
        </w:tc>
        <w:tc>
          <w:tcPr>
            <w:tcW w:w="439" w:type="pct"/>
            <w:tcBorders>
              <w:top w:val="nil"/>
              <w:left w:val="nil"/>
              <w:bottom w:val="nil"/>
              <w:right w:val="nil"/>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11,647</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(6,057)</w:t>
            </w:r>
          </w:p>
        </w:tc>
        <w:tc>
          <w:tcPr>
            <w:tcW w:w="439" w:type="pct"/>
            <w:tcBorders>
              <w:top w:val="nil"/>
              <w:left w:val="nil"/>
              <w:bottom w:val="nil"/>
              <w:right w:val="nil"/>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11,647</w:t>
            </w:r>
          </w:p>
        </w:tc>
        <w:tc>
          <w:tcPr>
            <w:tcW w:w="439" w:type="pct"/>
            <w:tcBorders>
              <w:top w:val="nil"/>
              <w:left w:val="single" w:sz="4" w:space="0" w:color="5B9BD5"/>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11,647</w:t>
            </w:r>
          </w:p>
        </w:tc>
        <w:tc>
          <w:tcPr>
            <w:tcW w:w="439" w:type="pct"/>
            <w:tcBorders>
              <w:top w:val="nil"/>
              <w:left w:val="nil"/>
              <w:bottom w:val="nil"/>
              <w:right w:val="nil"/>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single" w:sz="4" w:space="0" w:color="5B9BD5"/>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6,057</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pPr>
              <w:spacing w:line="240" w:lineRule="auto"/>
              <w:jc w:val="right"/>
              <w:rPr>
                <w:color w:val="000000"/>
                <w:sz w:val="12"/>
                <w:szCs w:val="12"/>
                <w:lang w:eastAsia="en-AU"/>
              </w:rPr>
            </w:pPr>
            <w:r w:rsidRPr="00CD1518">
              <w:rPr>
                <w:color w:val="000000"/>
                <w:sz w:val="12"/>
                <w:szCs w:val="12"/>
                <w:lang w:eastAsia="en-AU"/>
              </w:rPr>
              <w:t>65.79%</w:t>
            </w:r>
          </w:p>
        </w:tc>
      </w:tr>
      <w:tr w:rsidR="003E3288" w:rsidRPr="00E4451A" w:rsidTr="00E4451A">
        <w:trPr>
          <w:trHeight w:val="290"/>
        </w:trPr>
        <w:tc>
          <w:tcPr>
            <w:tcW w:w="614" w:type="pct"/>
            <w:tcBorders>
              <w:top w:val="nil"/>
              <w:left w:val="single" w:sz="4" w:space="0" w:color="5B9BD5"/>
              <w:bottom w:val="nil"/>
              <w:right w:val="nil"/>
            </w:tcBorders>
            <w:shd w:val="clear" w:color="000000" w:fill="DDEBF7"/>
            <w:noWrap/>
            <w:vAlign w:val="center"/>
            <w:hideMark/>
          </w:tcPr>
          <w:p w:rsidR="00E4451A" w:rsidRPr="00CD1518" w:rsidRDefault="00E4451A">
            <w:pPr>
              <w:spacing w:line="240" w:lineRule="auto"/>
              <w:rPr>
                <w:color w:val="000000"/>
                <w:sz w:val="12"/>
                <w:szCs w:val="12"/>
                <w:lang w:eastAsia="en-AU"/>
              </w:rPr>
            </w:pPr>
            <w:r w:rsidRPr="00CD1518">
              <w:rPr>
                <w:color w:val="000000"/>
                <w:sz w:val="12"/>
                <w:szCs w:val="12"/>
                <w:lang w:eastAsia="en-AU"/>
              </w:rPr>
              <w:t>Pathology</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27,284</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22,265</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(5,019)</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4,840</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11,887</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5,538</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22,265</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5,019</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pPr>
              <w:spacing w:line="240" w:lineRule="auto"/>
              <w:jc w:val="right"/>
              <w:rPr>
                <w:color w:val="000000"/>
                <w:sz w:val="12"/>
                <w:szCs w:val="12"/>
                <w:lang w:eastAsia="en-AU"/>
              </w:rPr>
            </w:pPr>
            <w:r w:rsidRPr="00CD1518">
              <w:rPr>
                <w:color w:val="000000"/>
                <w:sz w:val="12"/>
                <w:szCs w:val="12"/>
                <w:lang w:eastAsia="en-AU"/>
              </w:rPr>
              <w:t>81.60%</w:t>
            </w:r>
          </w:p>
        </w:tc>
      </w:tr>
      <w:tr w:rsidR="003E3288" w:rsidRPr="00E4451A" w:rsidTr="00E4451A">
        <w:trPr>
          <w:trHeight w:val="290"/>
        </w:trPr>
        <w:tc>
          <w:tcPr>
            <w:tcW w:w="614" w:type="pct"/>
            <w:tcBorders>
              <w:top w:val="nil"/>
              <w:left w:val="single" w:sz="4" w:space="0" w:color="5B9BD5"/>
              <w:bottom w:val="nil"/>
              <w:right w:val="nil"/>
            </w:tcBorders>
            <w:shd w:val="clear" w:color="000000" w:fill="FFFFFF"/>
            <w:noWrap/>
            <w:vAlign w:val="center"/>
            <w:hideMark/>
          </w:tcPr>
          <w:p w:rsidR="00E4451A" w:rsidRPr="00CD1518" w:rsidRDefault="00E4451A">
            <w:pPr>
              <w:spacing w:line="240" w:lineRule="auto"/>
              <w:rPr>
                <w:color w:val="000000"/>
                <w:sz w:val="12"/>
                <w:szCs w:val="12"/>
                <w:lang w:eastAsia="en-AU"/>
              </w:rPr>
            </w:pPr>
            <w:r w:rsidRPr="00CD1518">
              <w:rPr>
                <w:color w:val="000000"/>
                <w:sz w:val="12"/>
                <w:szCs w:val="12"/>
                <w:lang w:eastAsia="en-AU"/>
              </w:rPr>
              <w:t>Pharmacy</w:t>
            </w:r>
          </w:p>
        </w:tc>
        <w:tc>
          <w:tcPr>
            <w:tcW w:w="439" w:type="pct"/>
            <w:tcBorders>
              <w:top w:val="nil"/>
              <w:left w:val="single" w:sz="4" w:space="0" w:color="5B9BD5"/>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259,220</w:t>
            </w:r>
          </w:p>
        </w:tc>
        <w:tc>
          <w:tcPr>
            <w:tcW w:w="439" w:type="pct"/>
            <w:tcBorders>
              <w:top w:val="nil"/>
              <w:left w:val="nil"/>
              <w:bottom w:val="nil"/>
              <w:right w:val="nil"/>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236,688</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(22,532)</w:t>
            </w:r>
          </w:p>
        </w:tc>
        <w:tc>
          <w:tcPr>
            <w:tcW w:w="439" w:type="pct"/>
            <w:tcBorders>
              <w:top w:val="nil"/>
              <w:left w:val="nil"/>
              <w:bottom w:val="nil"/>
              <w:right w:val="nil"/>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87,886</w:t>
            </w:r>
          </w:p>
        </w:tc>
        <w:tc>
          <w:tcPr>
            <w:tcW w:w="439" w:type="pct"/>
            <w:tcBorders>
              <w:top w:val="nil"/>
              <w:left w:val="single" w:sz="4" w:space="0" w:color="5B9BD5"/>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52,619</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96,183</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236,688</w:t>
            </w:r>
          </w:p>
        </w:tc>
        <w:tc>
          <w:tcPr>
            <w:tcW w:w="439" w:type="pct"/>
            <w:tcBorders>
              <w:top w:val="nil"/>
              <w:left w:val="nil"/>
              <w:bottom w:val="nil"/>
              <w:right w:val="nil"/>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single" w:sz="4" w:space="0" w:color="5B9BD5"/>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22,532</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pPr>
              <w:spacing w:line="240" w:lineRule="auto"/>
              <w:jc w:val="right"/>
              <w:rPr>
                <w:color w:val="000000"/>
                <w:sz w:val="12"/>
                <w:szCs w:val="12"/>
                <w:lang w:eastAsia="en-AU"/>
              </w:rPr>
            </w:pPr>
            <w:r w:rsidRPr="00CD1518">
              <w:rPr>
                <w:color w:val="000000"/>
                <w:sz w:val="12"/>
                <w:szCs w:val="12"/>
                <w:lang w:eastAsia="en-AU"/>
              </w:rPr>
              <w:t>91.31%</w:t>
            </w:r>
          </w:p>
        </w:tc>
      </w:tr>
      <w:tr w:rsidR="003E3288" w:rsidRPr="00E4451A" w:rsidTr="00E4451A">
        <w:trPr>
          <w:trHeight w:val="290"/>
        </w:trPr>
        <w:tc>
          <w:tcPr>
            <w:tcW w:w="614" w:type="pct"/>
            <w:tcBorders>
              <w:top w:val="nil"/>
              <w:left w:val="single" w:sz="4" w:space="0" w:color="5B9BD5"/>
              <w:bottom w:val="nil"/>
              <w:right w:val="nil"/>
            </w:tcBorders>
            <w:shd w:val="clear" w:color="000000" w:fill="DDEBF7"/>
            <w:noWrap/>
            <w:vAlign w:val="center"/>
            <w:hideMark/>
          </w:tcPr>
          <w:p w:rsidR="00E4451A" w:rsidRPr="00CD1518" w:rsidRDefault="00E4451A">
            <w:pPr>
              <w:spacing w:line="240" w:lineRule="auto"/>
              <w:rPr>
                <w:color w:val="000000"/>
                <w:sz w:val="12"/>
                <w:szCs w:val="12"/>
                <w:lang w:eastAsia="en-AU"/>
              </w:rPr>
            </w:pPr>
            <w:r w:rsidRPr="00CD1518">
              <w:rPr>
                <w:color w:val="000000"/>
                <w:sz w:val="12"/>
                <w:szCs w:val="12"/>
                <w:lang w:eastAsia="en-AU"/>
              </w:rPr>
              <w:t>Pharmacy S100</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45,384</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43,714</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(1,670)</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17,570</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9,026</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17,118</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43,714</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1,670</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pPr>
              <w:spacing w:line="240" w:lineRule="auto"/>
              <w:jc w:val="right"/>
              <w:rPr>
                <w:color w:val="000000"/>
                <w:sz w:val="12"/>
                <w:szCs w:val="12"/>
                <w:lang w:eastAsia="en-AU"/>
              </w:rPr>
            </w:pPr>
            <w:r w:rsidRPr="00CD1518">
              <w:rPr>
                <w:color w:val="000000"/>
                <w:sz w:val="12"/>
                <w:szCs w:val="12"/>
                <w:lang w:eastAsia="en-AU"/>
              </w:rPr>
              <w:t>96.32%</w:t>
            </w:r>
          </w:p>
        </w:tc>
      </w:tr>
      <w:tr w:rsidR="00E4451A" w:rsidRPr="00E4451A" w:rsidTr="00CD1518">
        <w:trPr>
          <w:trHeight w:val="290"/>
        </w:trPr>
        <w:tc>
          <w:tcPr>
            <w:tcW w:w="614" w:type="pct"/>
            <w:tcBorders>
              <w:top w:val="nil"/>
              <w:left w:val="single" w:sz="4" w:space="0" w:color="5B9BD5"/>
              <w:bottom w:val="nil"/>
              <w:right w:val="nil"/>
            </w:tcBorders>
            <w:shd w:val="clear" w:color="000000" w:fill="FFFFFF"/>
            <w:noWrap/>
            <w:vAlign w:val="center"/>
            <w:hideMark/>
          </w:tcPr>
          <w:p w:rsidR="00E4451A" w:rsidRPr="00CD1518" w:rsidRDefault="00E4451A">
            <w:pPr>
              <w:spacing w:line="240" w:lineRule="auto"/>
              <w:rPr>
                <w:color w:val="000000"/>
                <w:sz w:val="12"/>
                <w:szCs w:val="12"/>
                <w:lang w:eastAsia="en-AU"/>
              </w:rPr>
            </w:pPr>
            <w:r w:rsidRPr="00CD1518">
              <w:rPr>
                <w:color w:val="000000"/>
                <w:sz w:val="12"/>
                <w:szCs w:val="12"/>
                <w:lang w:eastAsia="en-AU"/>
              </w:rPr>
              <w:t>Imaging</w:t>
            </w:r>
          </w:p>
        </w:tc>
        <w:tc>
          <w:tcPr>
            <w:tcW w:w="439" w:type="pct"/>
            <w:tcBorders>
              <w:top w:val="nil"/>
              <w:left w:val="single" w:sz="4" w:space="0" w:color="5B9BD5"/>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3,920</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3,920</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3,920</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3,920</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pPr>
              <w:spacing w:line="240" w:lineRule="auto"/>
              <w:jc w:val="right"/>
              <w:rPr>
                <w:color w:val="000000"/>
                <w:sz w:val="12"/>
                <w:szCs w:val="12"/>
                <w:lang w:eastAsia="en-AU"/>
              </w:rPr>
            </w:pPr>
            <w:r w:rsidRPr="00CD1518">
              <w:rPr>
                <w:color w:val="000000"/>
                <w:sz w:val="12"/>
                <w:szCs w:val="12"/>
                <w:lang w:eastAsia="en-AU"/>
              </w:rPr>
              <w:t>100%</w:t>
            </w:r>
          </w:p>
        </w:tc>
      </w:tr>
      <w:tr w:rsidR="003E3288" w:rsidRPr="00E4451A" w:rsidTr="00E4451A">
        <w:trPr>
          <w:trHeight w:val="290"/>
        </w:trPr>
        <w:tc>
          <w:tcPr>
            <w:tcW w:w="614" w:type="pct"/>
            <w:tcBorders>
              <w:top w:val="nil"/>
              <w:left w:val="single" w:sz="4" w:space="0" w:color="5B9BD5"/>
              <w:bottom w:val="nil"/>
              <w:right w:val="nil"/>
            </w:tcBorders>
            <w:shd w:val="clear" w:color="000000" w:fill="DDEBF7"/>
            <w:noWrap/>
            <w:vAlign w:val="center"/>
            <w:hideMark/>
          </w:tcPr>
          <w:p w:rsidR="00E4451A" w:rsidRPr="00CD1518" w:rsidRDefault="00E4451A">
            <w:pPr>
              <w:spacing w:line="240" w:lineRule="auto"/>
              <w:rPr>
                <w:color w:val="000000"/>
                <w:sz w:val="12"/>
                <w:szCs w:val="12"/>
                <w:lang w:eastAsia="en-AU"/>
              </w:rPr>
            </w:pPr>
            <w:r w:rsidRPr="00CD1518">
              <w:rPr>
                <w:color w:val="000000"/>
                <w:sz w:val="12"/>
                <w:szCs w:val="12"/>
                <w:lang w:eastAsia="en-AU"/>
              </w:rPr>
              <w:t>Interpreters</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17,309</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15,795</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(1,514)</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1,754</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315</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13,726</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15,795</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1,514</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pPr>
              <w:spacing w:line="240" w:lineRule="auto"/>
              <w:jc w:val="right"/>
              <w:rPr>
                <w:color w:val="000000"/>
                <w:sz w:val="12"/>
                <w:szCs w:val="12"/>
                <w:lang w:eastAsia="en-AU"/>
              </w:rPr>
            </w:pPr>
            <w:r w:rsidRPr="00CD1518">
              <w:rPr>
                <w:color w:val="000000"/>
                <w:sz w:val="12"/>
                <w:szCs w:val="12"/>
                <w:lang w:eastAsia="en-AU"/>
              </w:rPr>
              <w:t>91.25%</w:t>
            </w:r>
          </w:p>
        </w:tc>
      </w:tr>
      <w:tr w:rsidR="00E4451A" w:rsidRPr="00E4451A" w:rsidTr="00CD1518">
        <w:trPr>
          <w:trHeight w:val="290"/>
        </w:trPr>
        <w:tc>
          <w:tcPr>
            <w:tcW w:w="614" w:type="pct"/>
            <w:tcBorders>
              <w:top w:val="nil"/>
              <w:left w:val="single" w:sz="4" w:space="0" w:color="5B9BD5"/>
              <w:bottom w:val="nil"/>
              <w:right w:val="nil"/>
            </w:tcBorders>
            <w:shd w:val="clear" w:color="000000" w:fill="FFFFFF"/>
            <w:noWrap/>
            <w:vAlign w:val="center"/>
            <w:hideMark/>
          </w:tcPr>
          <w:p w:rsidR="00E4451A" w:rsidRPr="00CD1518" w:rsidRDefault="00E4451A">
            <w:pPr>
              <w:spacing w:line="240" w:lineRule="auto"/>
              <w:rPr>
                <w:color w:val="000000"/>
                <w:sz w:val="12"/>
                <w:szCs w:val="12"/>
                <w:lang w:eastAsia="en-AU"/>
              </w:rPr>
            </w:pPr>
            <w:r w:rsidRPr="00CD1518">
              <w:rPr>
                <w:color w:val="000000"/>
                <w:sz w:val="12"/>
                <w:szCs w:val="12"/>
                <w:lang w:eastAsia="en-AU"/>
              </w:rPr>
              <w:t>Patient Transport</w:t>
            </w:r>
          </w:p>
        </w:tc>
        <w:tc>
          <w:tcPr>
            <w:tcW w:w="439" w:type="pct"/>
            <w:tcBorders>
              <w:top w:val="nil"/>
              <w:left w:val="single" w:sz="4" w:space="0" w:color="5B9BD5"/>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2,083</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1,622</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(461)</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258</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107</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1,257</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1,622</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461</w:t>
            </w:r>
          </w:p>
        </w:tc>
        <w:tc>
          <w:tcPr>
            <w:tcW w:w="439" w:type="pct"/>
            <w:tcBorders>
              <w:top w:val="nil"/>
              <w:left w:val="nil"/>
              <w:bottom w:val="nil"/>
              <w:right w:val="single" w:sz="4" w:space="0" w:color="5B9BD5"/>
            </w:tcBorders>
            <w:shd w:val="clear" w:color="000000" w:fill="FFFFFF"/>
            <w:noWrap/>
            <w:vAlign w:val="center"/>
            <w:hideMark/>
          </w:tcPr>
          <w:p w:rsidR="00E4451A" w:rsidRPr="00CD1518" w:rsidRDefault="00E4451A">
            <w:pPr>
              <w:spacing w:line="240" w:lineRule="auto"/>
              <w:jc w:val="right"/>
              <w:rPr>
                <w:color w:val="000000"/>
                <w:sz w:val="12"/>
                <w:szCs w:val="12"/>
                <w:lang w:eastAsia="en-AU"/>
              </w:rPr>
            </w:pPr>
            <w:r w:rsidRPr="00CD1518">
              <w:rPr>
                <w:color w:val="000000"/>
                <w:sz w:val="12"/>
                <w:szCs w:val="12"/>
                <w:lang w:eastAsia="en-AU"/>
              </w:rPr>
              <w:t>77.87%</w:t>
            </w:r>
          </w:p>
        </w:tc>
      </w:tr>
      <w:tr w:rsidR="003E3288" w:rsidRPr="00E4451A" w:rsidTr="00E4451A">
        <w:trPr>
          <w:trHeight w:val="290"/>
        </w:trPr>
        <w:tc>
          <w:tcPr>
            <w:tcW w:w="614" w:type="pct"/>
            <w:tcBorders>
              <w:top w:val="nil"/>
              <w:left w:val="single" w:sz="4" w:space="0" w:color="5B9BD5"/>
              <w:bottom w:val="nil"/>
              <w:right w:val="nil"/>
            </w:tcBorders>
            <w:shd w:val="clear" w:color="000000" w:fill="DDEBF7"/>
            <w:noWrap/>
            <w:vAlign w:val="center"/>
            <w:hideMark/>
          </w:tcPr>
          <w:p w:rsidR="00E4451A" w:rsidRPr="00CD1518" w:rsidRDefault="00E4451A">
            <w:pPr>
              <w:spacing w:line="240" w:lineRule="auto"/>
              <w:rPr>
                <w:color w:val="000000"/>
                <w:sz w:val="12"/>
                <w:szCs w:val="12"/>
                <w:lang w:eastAsia="en-AU"/>
              </w:rPr>
            </w:pPr>
            <w:r w:rsidRPr="00CD1518">
              <w:rPr>
                <w:color w:val="000000"/>
                <w:sz w:val="12"/>
                <w:szCs w:val="12"/>
                <w:lang w:eastAsia="en-AU"/>
              </w:rPr>
              <w:t>Outpatient Clinics</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128,134</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128,134</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128,134</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128,134</w:t>
            </w:r>
          </w:p>
        </w:tc>
        <w:tc>
          <w:tcPr>
            <w:tcW w:w="439" w:type="pct"/>
            <w:tcBorders>
              <w:top w:val="nil"/>
              <w:left w:val="nil"/>
              <w:bottom w:val="nil"/>
              <w:right w:val="nil"/>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single" w:sz="4" w:space="0" w:color="5B9BD5"/>
              <w:bottom w:val="nil"/>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nil"/>
              <w:right w:val="single" w:sz="4" w:space="0" w:color="5B9BD5"/>
            </w:tcBorders>
            <w:shd w:val="clear" w:color="000000" w:fill="DDEBF7"/>
            <w:noWrap/>
            <w:vAlign w:val="center"/>
            <w:hideMark/>
          </w:tcPr>
          <w:p w:rsidR="00E4451A" w:rsidRPr="00CD1518" w:rsidRDefault="00E4451A">
            <w:pPr>
              <w:spacing w:line="240" w:lineRule="auto"/>
              <w:jc w:val="right"/>
              <w:rPr>
                <w:color w:val="000000"/>
                <w:sz w:val="12"/>
                <w:szCs w:val="12"/>
                <w:lang w:eastAsia="en-AU"/>
              </w:rPr>
            </w:pPr>
            <w:r w:rsidRPr="00CD1518">
              <w:rPr>
                <w:color w:val="000000"/>
                <w:sz w:val="12"/>
                <w:szCs w:val="12"/>
                <w:lang w:eastAsia="en-AU"/>
              </w:rPr>
              <w:t>100%</w:t>
            </w:r>
          </w:p>
        </w:tc>
      </w:tr>
      <w:tr w:rsidR="00E4451A" w:rsidRPr="00E4451A" w:rsidTr="00CD1518">
        <w:trPr>
          <w:trHeight w:val="290"/>
        </w:trPr>
        <w:tc>
          <w:tcPr>
            <w:tcW w:w="614" w:type="pct"/>
            <w:tcBorders>
              <w:top w:val="nil"/>
              <w:left w:val="single" w:sz="4" w:space="0" w:color="5B9BD5"/>
              <w:bottom w:val="single" w:sz="4" w:space="0" w:color="5B9BD5"/>
              <w:right w:val="nil"/>
            </w:tcBorders>
            <w:shd w:val="clear" w:color="000000" w:fill="FFFFFF"/>
            <w:noWrap/>
            <w:vAlign w:val="center"/>
            <w:hideMark/>
          </w:tcPr>
          <w:p w:rsidR="00E4451A" w:rsidRPr="00CD1518" w:rsidRDefault="00E4451A">
            <w:pPr>
              <w:spacing w:line="240" w:lineRule="auto"/>
              <w:rPr>
                <w:color w:val="000000"/>
                <w:sz w:val="12"/>
                <w:szCs w:val="12"/>
                <w:lang w:eastAsia="en-AU"/>
              </w:rPr>
            </w:pPr>
            <w:r w:rsidRPr="00CD1518">
              <w:rPr>
                <w:color w:val="000000"/>
                <w:sz w:val="12"/>
                <w:szCs w:val="12"/>
                <w:lang w:eastAsia="en-AU"/>
              </w:rPr>
              <w:t>Social Work</w:t>
            </w:r>
          </w:p>
        </w:tc>
        <w:tc>
          <w:tcPr>
            <w:tcW w:w="439" w:type="pct"/>
            <w:tcBorders>
              <w:top w:val="nil"/>
              <w:left w:val="single" w:sz="4" w:space="0" w:color="5B9BD5"/>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2,808</w:t>
            </w:r>
          </w:p>
        </w:tc>
        <w:tc>
          <w:tcPr>
            <w:tcW w:w="439"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2,808</w:t>
            </w:r>
          </w:p>
        </w:tc>
        <w:tc>
          <w:tcPr>
            <w:tcW w:w="439"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601</w:t>
            </w:r>
          </w:p>
        </w:tc>
        <w:tc>
          <w:tcPr>
            <w:tcW w:w="439"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153</w:t>
            </w:r>
          </w:p>
        </w:tc>
        <w:tc>
          <w:tcPr>
            <w:tcW w:w="439"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2,054</w:t>
            </w:r>
          </w:p>
        </w:tc>
        <w:tc>
          <w:tcPr>
            <w:tcW w:w="439"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2,808</w:t>
            </w:r>
          </w:p>
        </w:tc>
        <w:tc>
          <w:tcPr>
            <w:tcW w:w="439"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2"/>
                <w:szCs w:val="12"/>
                <w:lang w:eastAsia="en-AU"/>
              </w:rPr>
            </w:pPr>
            <w:r w:rsidRPr="00CD1518">
              <w:rPr>
                <w:color w:val="000000"/>
                <w:sz w:val="12"/>
                <w:szCs w:val="12"/>
                <w:lang w:eastAsia="en-AU"/>
              </w:rPr>
              <w:t>-</w:t>
            </w:r>
          </w:p>
        </w:tc>
        <w:tc>
          <w:tcPr>
            <w:tcW w:w="439"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pPr>
              <w:spacing w:line="240" w:lineRule="auto"/>
              <w:jc w:val="right"/>
              <w:rPr>
                <w:color w:val="000000"/>
                <w:sz w:val="12"/>
                <w:szCs w:val="12"/>
                <w:lang w:eastAsia="en-AU"/>
              </w:rPr>
            </w:pPr>
            <w:r w:rsidRPr="00CD1518">
              <w:rPr>
                <w:color w:val="000000"/>
                <w:sz w:val="12"/>
                <w:szCs w:val="12"/>
                <w:lang w:eastAsia="en-AU"/>
              </w:rPr>
              <w:t>100%</w:t>
            </w:r>
          </w:p>
        </w:tc>
      </w:tr>
    </w:tbl>
    <w:p w:rsidR="00FC0F41" w:rsidRPr="00975E6B" w:rsidRDefault="00FC0F41" w:rsidP="00FC0F41">
      <w:pPr>
        <w:rPr>
          <w:bCs/>
          <w:i/>
          <w:sz w:val="16"/>
          <w:szCs w:val="16"/>
        </w:rPr>
      </w:pPr>
      <w:r w:rsidRPr="00975E6B">
        <w:rPr>
          <w:bCs/>
          <w:i/>
          <w:sz w:val="16"/>
          <w:szCs w:val="16"/>
        </w:rPr>
        <w:t>Source: KPMG based on RVEEH IFR templates</w:t>
      </w:r>
    </w:p>
    <w:p w:rsidR="00FC0F41" w:rsidRPr="00975E6B" w:rsidRDefault="00FC0F41" w:rsidP="00FC0F41">
      <w:pPr>
        <w:pStyle w:val="BodyText"/>
      </w:pPr>
      <w:r w:rsidRPr="00975E6B">
        <w:t>The following should be noted about the activity and feeder data for RVEEH:</w:t>
      </w:r>
    </w:p>
    <w:p w:rsidR="00FC0F41" w:rsidRPr="00975E6B" w:rsidRDefault="00FC0F41" w:rsidP="00F26328">
      <w:pPr>
        <w:pStyle w:val="BodyText"/>
        <w:numPr>
          <w:ilvl w:val="0"/>
          <w:numId w:val="35"/>
        </w:numPr>
      </w:pPr>
      <w:r w:rsidRPr="00975E6B">
        <w:t>There are 13 feeder systems used as part of the costing process</w:t>
      </w:r>
      <w:r w:rsidR="00887033" w:rsidRPr="00975E6B">
        <w:t xml:space="preserve"> </w:t>
      </w:r>
      <w:r w:rsidR="007155A1" w:rsidRPr="00975E6B">
        <w:t>and they appear to represent major hospital departments providing resource activity</w:t>
      </w:r>
      <w:r w:rsidR="00887033" w:rsidRPr="00975E6B">
        <w:t>.</w:t>
      </w:r>
    </w:p>
    <w:p w:rsidR="00FC0F41" w:rsidRPr="00975E6B" w:rsidRDefault="00FC0F41" w:rsidP="00F26328">
      <w:pPr>
        <w:pStyle w:val="BodyText"/>
        <w:numPr>
          <w:ilvl w:val="0"/>
          <w:numId w:val="35"/>
        </w:numPr>
      </w:pPr>
      <w:r w:rsidRPr="00975E6B">
        <w:t>The number of records linked from source to product was significant for most feeders, with all but four feeders having a greater than 90</w:t>
      </w:r>
      <w:r w:rsidR="00DA7807" w:rsidRPr="00975E6B">
        <w:t> percent</w:t>
      </w:r>
      <w:r w:rsidRPr="00975E6B">
        <w:t xml:space="preserve"> linkage or matching.</w:t>
      </w:r>
      <w:r w:rsidR="00887033" w:rsidRPr="00975E6B">
        <w:t xml:space="preserve"> This suggests that there is robustness in the level of feeder activity reported back to episodes.</w:t>
      </w:r>
    </w:p>
    <w:p w:rsidR="00FC0F41" w:rsidRPr="00975E6B" w:rsidRDefault="00FC0F41" w:rsidP="00F26328">
      <w:pPr>
        <w:pStyle w:val="BodyText"/>
        <w:numPr>
          <w:ilvl w:val="0"/>
          <w:numId w:val="35"/>
        </w:numPr>
      </w:pPr>
      <w:r w:rsidRPr="00975E6B">
        <w:t>Variances in pharmacy occurred due to issues with matching scripts that are for a 12 month period from the original encounter. These costs were averaged across patients.</w:t>
      </w:r>
    </w:p>
    <w:p w:rsidR="00FC0F41" w:rsidRPr="00975E6B" w:rsidRDefault="00FC0F41" w:rsidP="00F26328">
      <w:pPr>
        <w:pStyle w:val="BodyText"/>
        <w:numPr>
          <w:ilvl w:val="0"/>
          <w:numId w:val="35"/>
        </w:numPr>
      </w:pPr>
      <w:r w:rsidRPr="00975E6B">
        <w:t>Variances in interpreters exist due to sessions being provided in a community setting and where sessions conducted via phone cannot be matched because of privacy rules.</w:t>
      </w:r>
    </w:p>
    <w:p w:rsidR="00FC0F41" w:rsidRPr="00975E6B" w:rsidRDefault="00776377" w:rsidP="00FC0F41">
      <w:pPr>
        <w:pStyle w:val="BodyText"/>
      </w:pPr>
      <w:r w:rsidRPr="00776377">
        <w:fldChar w:fldCharType="begin"/>
      </w:r>
      <w:r w:rsidRPr="00776377">
        <w:instrText xml:space="preserve"> REF _Ref441090133 \h  \* MERGEFORMAT </w:instrText>
      </w:r>
      <w:r w:rsidRPr="00776377">
        <w:fldChar w:fldCharType="separate"/>
      </w:r>
      <w:r w:rsidR="00154CF7" w:rsidRPr="00975E6B">
        <w:t xml:space="preserve">Table </w:t>
      </w:r>
      <w:r w:rsidR="00154CF7">
        <w:rPr>
          <w:bCs/>
          <w:noProof/>
        </w:rPr>
        <w:t>89</w:t>
      </w:r>
      <w:r w:rsidRPr="00776377">
        <w:fldChar w:fldCharType="end"/>
      </w:r>
      <w:r w:rsidRPr="00776377">
        <w:t xml:space="preserve"> </w:t>
      </w:r>
      <w:r w:rsidR="00FC0F41" w:rsidRPr="00975E6B">
        <w:t xml:space="preserve">highlights the transfer of activity data from RVEEH to </w:t>
      </w:r>
      <w:r w:rsidR="00B64F77" w:rsidRPr="00975E6B">
        <w:t>Victoria</w:t>
      </w:r>
      <w:r w:rsidR="00304A0C" w:rsidRPr="00975E6B">
        <w:t xml:space="preserve"> Health</w:t>
      </w:r>
      <w:r w:rsidR="00FC0F41" w:rsidRPr="00975E6B">
        <w:t xml:space="preserve"> and then through to IHPA submission and finalisation.</w:t>
      </w:r>
    </w:p>
    <w:p w:rsidR="00E4451A" w:rsidRPr="00975E6B" w:rsidRDefault="00FC0F41" w:rsidP="00776377">
      <w:pPr>
        <w:pStyle w:val="Caption"/>
        <w:pageBreakBefore/>
      </w:pPr>
      <w:bookmarkStart w:id="821" w:name="_Ref433526256"/>
      <w:bookmarkStart w:id="822" w:name="_Ref441090133"/>
      <w:r w:rsidRPr="00975E6B">
        <w:lastRenderedPageBreak/>
        <w:t xml:space="preserve">Table </w:t>
      </w:r>
      <w:r w:rsidR="003E3288" w:rsidRPr="00776377">
        <w:rPr>
          <w:bCs w:val="0"/>
        </w:rPr>
        <w:fldChar w:fldCharType="begin"/>
      </w:r>
      <w:r w:rsidR="003E3288" w:rsidRPr="00776377">
        <w:rPr>
          <w:bCs w:val="0"/>
        </w:rPr>
        <w:instrText xml:space="preserve"> SEQ Table \* ARABIC </w:instrText>
      </w:r>
      <w:r w:rsidR="003E3288" w:rsidRPr="00776377">
        <w:rPr>
          <w:bCs w:val="0"/>
        </w:rPr>
        <w:fldChar w:fldCharType="separate"/>
      </w:r>
      <w:r w:rsidR="00154CF7">
        <w:rPr>
          <w:bCs w:val="0"/>
          <w:noProof/>
        </w:rPr>
        <w:t>89</w:t>
      </w:r>
      <w:r w:rsidR="003E3288" w:rsidRPr="00776377">
        <w:rPr>
          <w:bCs w:val="0"/>
          <w:noProof/>
        </w:rPr>
        <w:fldChar w:fldCharType="end"/>
      </w:r>
      <w:bookmarkEnd w:id="821"/>
      <w:bookmarkEnd w:id="822"/>
      <w:r w:rsidR="00BA3F4B" w:rsidRPr="00975E6B">
        <w:t xml:space="preserve"> </w:t>
      </w:r>
      <w:r w:rsidRPr="00975E6B">
        <w:t>– Activity data submission – Royal Victorian Eye and Ear Hospital</w:t>
      </w:r>
    </w:p>
    <w:tbl>
      <w:tblPr>
        <w:tblW w:w="5000" w:type="pct"/>
        <w:tblLayout w:type="fixed"/>
        <w:tblLook w:val="04A0" w:firstRow="1" w:lastRow="0" w:firstColumn="1" w:lastColumn="0" w:noHBand="0" w:noVBand="1"/>
        <w:tblCaption w:val="Table 89 - Activity submission - Royal Victorian Eye and Ear Hospital"/>
        <w:tblDescription w:val="This table highlights the transfer of activity data from Royal Victorian Eye and Ear Hospital to Victoria Health and then through to IHPA submission and finalisation. There are 8 columns. Column 1 is the NHCDC product type, Column 2 is the activity related to 2013-14 costs, column 3 is the adjustments to Column 2, column 4 is the activity submitted to the jurisdiction, column 5 is the adjustments to column 4, column 6 is the activity submitted to IHPA, column 7 is the adjustments to column 6 and column 8 is the total activity submitted for the Round 18 NHCDC.&#10;"/>
      </w:tblPr>
      <w:tblGrid>
        <w:gridCol w:w="1668"/>
        <w:gridCol w:w="1007"/>
        <w:gridCol w:w="1009"/>
        <w:gridCol w:w="1007"/>
        <w:gridCol w:w="1008"/>
        <w:gridCol w:w="1006"/>
        <w:gridCol w:w="1008"/>
        <w:gridCol w:w="1008"/>
      </w:tblGrid>
      <w:tr w:rsidR="00E4451A" w:rsidRPr="00E4451A" w:rsidTr="00E14378">
        <w:trPr>
          <w:trHeight w:val="1050"/>
        </w:trPr>
        <w:tc>
          <w:tcPr>
            <w:tcW w:w="956"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E4451A" w:rsidRPr="00CD1518" w:rsidRDefault="00E4451A" w:rsidP="00E4451A">
            <w:pPr>
              <w:spacing w:line="240" w:lineRule="auto"/>
              <w:rPr>
                <w:b/>
                <w:bCs/>
                <w:color w:val="FFFFFF"/>
                <w:sz w:val="14"/>
                <w:szCs w:val="14"/>
                <w:lang w:eastAsia="en-AU"/>
              </w:rPr>
            </w:pPr>
            <w:r w:rsidRPr="00CD1518">
              <w:rPr>
                <w:b/>
                <w:bCs/>
                <w:color w:val="FFFFFF"/>
                <w:sz w:val="14"/>
                <w:szCs w:val="14"/>
                <w:lang w:eastAsia="en-AU"/>
              </w:rPr>
              <w:t>Product</w:t>
            </w:r>
          </w:p>
        </w:tc>
        <w:tc>
          <w:tcPr>
            <w:tcW w:w="577" w:type="pct"/>
            <w:tcBorders>
              <w:top w:val="single" w:sz="4" w:space="0" w:color="5B9BD5"/>
              <w:left w:val="nil"/>
              <w:bottom w:val="single" w:sz="4" w:space="0" w:color="5B9BD5"/>
              <w:right w:val="single" w:sz="4" w:space="0" w:color="5B9BD5"/>
            </w:tcBorders>
            <w:shd w:val="clear" w:color="auto" w:fill="002060"/>
            <w:vAlign w:val="bottom"/>
            <w:hideMark/>
          </w:tcPr>
          <w:p w:rsidR="00E4451A" w:rsidRPr="00CD1518" w:rsidRDefault="00E4451A" w:rsidP="00E4451A">
            <w:pPr>
              <w:spacing w:line="240" w:lineRule="auto"/>
              <w:jc w:val="center"/>
              <w:rPr>
                <w:b/>
                <w:bCs/>
                <w:color w:val="FFFFFF"/>
                <w:sz w:val="14"/>
                <w:szCs w:val="14"/>
                <w:lang w:eastAsia="en-AU"/>
              </w:rPr>
            </w:pPr>
            <w:r w:rsidRPr="00CD1518">
              <w:rPr>
                <w:b/>
                <w:bCs/>
                <w:color w:val="FFFFFF"/>
                <w:sz w:val="14"/>
                <w:szCs w:val="14"/>
                <w:lang w:eastAsia="en-AU"/>
              </w:rPr>
              <w:t>Activity related to 2013-14 Costs</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E4451A" w:rsidRPr="00CD1518" w:rsidRDefault="00E4451A">
            <w:pPr>
              <w:spacing w:line="240" w:lineRule="auto"/>
              <w:jc w:val="center"/>
              <w:rPr>
                <w:b/>
                <w:bCs/>
                <w:color w:val="FFFFFF"/>
                <w:sz w:val="12"/>
                <w:szCs w:val="12"/>
                <w:lang w:eastAsia="en-AU"/>
              </w:rPr>
            </w:pPr>
            <w:r w:rsidRPr="00CD1518">
              <w:rPr>
                <w:b/>
                <w:bCs/>
                <w:color w:val="FFFFFF"/>
                <w:sz w:val="12"/>
                <w:szCs w:val="12"/>
                <w:lang w:eastAsia="en-AU"/>
              </w:rPr>
              <w:t>Adjustment</w:t>
            </w:r>
          </w:p>
        </w:tc>
        <w:tc>
          <w:tcPr>
            <w:tcW w:w="577" w:type="pct"/>
            <w:tcBorders>
              <w:top w:val="single" w:sz="4" w:space="0" w:color="5B9BD5"/>
              <w:left w:val="nil"/>
              <w:bottom w:val="single" w:sz="4" w:space="0" w:color="5B9BD5"/>
              <w:right w:val="single" w:sz="4" w:space="0" w:color="5B9BD5"/>
            </w:tcBorders>
            <w:shd w:val="clear" w:color="auto" w:fill="002060"/>
            <w:vAlign w:val="bottom"/>
            <w:hideMark/>
          </w:tcPr>
          <w:p w:rsidR="00E4451A" w:rsidRPr="00CD1518" w:rsidRDefault="00E4451A" w:rsidP="00E4451A">
            <w:pPr>
              <w:spacing w:line="240" w:lineRule="auto"/>
              <w:jc w:val="center"/>
              <w:rPr>
                <w:b/>
                <w:bCs/>
                <w:color w:val="FFFFFF"/>
                <w:sz w:val="14"/>
                <w:szCs w:val="14"/>
                <w:lang w:eastAsia="en-AU"/>
              </w:rPr>
            </w:pPr>
            <w:r w:rsidRPr="00CD1518">
              <w:rPr>
                <w:b/>
                <w:bCs/>
                <w:color w:val="FFFFFF"/>
                <w:sz w:val="14"/>
                <w:szCs w:val="14"/>
                <w:lang w:eastAsia="en-AU"/>
              </w:rPr>
              <w:t>Activity submitted to jurisdiction</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E4451A" w:rsidRPr="00CD1518" w:rsidRDefault="00E4451A">
            <w:pPr>
              <w:spacing w:line="240" w:lineRule="auto"/>
              <w:jc w:val="center"/>
              <w:rPr>
                <w:b/>
                <w:bCs/>
                <w:color w:val="FFFFFF"/>
                <w:sz w:val="12"/>
                <w:szCs w:val="12"/>
                <w:lang w:eastAsia="en-AU"/>
              </w:rPr>
            </w:pPr>
            <w:r w:rsidRPr="00CD1518">
              <w:rPr>
                <w:b/>
                <w:bCs/>
                <w:color w:val="FFFFFF"/>
                <w:sz w:val="12"/>
                <w:szCs w:val="12"/>
                <w:lang w:eastAsia="en-AU"/>
              </w:rPr>
              <w:t>Adjustment</w:t>
            </w:r>
          </w:p>
        </w:tc>
        <w:tc>
          <w:tcPr>
            <w:tcW w:w="577" w:type="pct"/>
            <w:tcBorders>
              <w:top w:val="single" w:sz="4" w:space="0" w:color="5B9BD5"/>
              <w:left w:val="nil"/>
              <w:bottom w:val="single" w:sz="4" w:space="0" w:color="5B9BD5"/>
              <w:right w:val="single" w:sz="4" w:space="0" w:color="5B9BD5"/>
            </w:tcBorders>
            <w:shd w:val="clear" w:color="auto" w:fill="002060"/>
            <w:vAlign w:val="bottom"/>
            <w:hideMark/>
          </w:tcPr>
          <w:p w:rsidR="00E4451A" w:rsidRPr="00CD1518" w:rsidRDefault="00E4451A" w:rsidP="00E4451A">
            <w:pPr>
              <w:spacing w:line="240" w:lineRule="auto"/>
              <w:jc w:val="center"/>
              <w:rPr>
                <w:b/>
                <w:bCs/>
                <w:color w:val="FFFFFF"/>
                <w:sz w:val="14"/>
                <w:szCs w:val="14"/>
                <w:lang w:eastAsia="en-AU"/>
              </w:rPr>
            </w:pPr>
            <w:r w:rsidRPr="00CD1518">
              <w:rPr>
                <w:b/>
                <w:bCs/>
                <w:color w:val="FFFFFF"/>
                <w:sz w:val="14"/>
                <w:szCs w:val="14"/>
                <w:lang w:eastAsia="en-AU"/>
              </w:rPr>
              <w:t>Activity submitted to IHPA</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E4451A" w:rsidRPr="00CD1518" w:rsidRDefault="00E4451A">
            <w:pPr>
              <w:spacing w:line="240" w:lineRule="auto"/>
              <w:jc w:val="center"/>
              <w:rPr>
                <w:b/>
                <w:bCs/>
                <w:color w:val="FFFFFF"/>
                <w:sz w:val="12"/>
                <w:szCs w:val="12"/>
                <w:lang w:eastAsia="en-AU"/>
              </w:rPr>
            </w:pPr>
            <w:r w:rsidRPr="00CD1518">
              <w:rPr>
                <w:b/>
                <w:bCs/>
                <w:color w:val="FFFFFF"/>
                <w:sz w:val="12"/>
                <w:szCs w:val="12"/>
                <w:lang w:eastAsia="en-AU"/>
              </w:rPr>
              <w:t>Adjustment</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E4451A" w:rsidRPr="00CD1518" w:rsidRDefault="00E4451A" w:rsidP="00E4451A">
            <w:pPr>
              <w:spacing w:line="240" w:lineRule="auto"/>
              <w:jc w:val="center"/>
              <w:rPr>
                <w:b/>
                <w:bCs/>
                <w:color w:val="FFFFFF"/>
                <w:sz w:val="14"/>
                <w:szCs w:val="14"/>
                <w:lang w:eastAsia="en-AU"/>
              </w:rPr>
            </w:pPr>
            <w:r w:rsidRPr="00CD1518">
              <w:rPr>
                <w:b/>
                <w:bCs/>
                <w:color w:val="FFFFFF"/>
                <w:sz w:val="14"/>
                <w:szCs w:val="14"/>
                <w:lang w:eastAsia="en-AU"/>
              </w:rPr>
              <w:t>Total Activity submitted for Round 18 NHCDC</w:t>
            </w:r>
          </w:p>
        </w:tc>
      </w:tr>
      <w:tr w:rsidR="00E4451A" w:rsidRPr="00E4451A" w:rsidTr="00CD1518">
        <w:trPr>
          <w:trHeight w:val="29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E4451A" w:rsidRPr="00CD1518" w:rsidRDefault="00E4451A">
            <w:pPr>
              <w:spacing w:line="240" w:lineRule="auto"/>
              <w:rPr>
                <w:color w:val="000000"/>
                <w:sz w:val="14"/>
                <w:szCs w:val="14"/>
                <w:lang w:eastAsia="en-AU"/>
              </w:rPr>
            </w:pPr>
            <w:r w:rsidRPr="00CD1518">
              <w:rPr>
                <w:color w:val="000000"/>
                <w:sz w:val="14"/>
                <w:szCs w:val="14"/>
                <w:lang w:eastAsia="en-AU"/>
              </w:rPr>
              <w:t>Acute</w:t>
            </w:r>
          </w:p>
        </w:tc>
        <w:tc>
          <w:tcPr>
            <w:tcW w:w="577"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14,085</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14,086</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(22)</w:t>
            </w:r>
          </w:p>
        </w:tc>
        <w:tc>
          <w:tcPr>
            <w:tcW w:w="577"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14,064</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14,064</w:t>
            </w:r>
          </w:p>
        </w:tc>
      </w:tr>
      <w:tr w:rsidR="00E4451A" w:rsidRPr="00E4451A" w:rsidTr="00CD1518">
        <w:trPr>
          <w:trHeight w:val="29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E4451A" w:rsidRPr="00CD1518" w:rsidRDefault="00E4451A">
            <w:pPr>
              <w:spacing w:line="240" w:lineRule="auto"/>
              <w:rPr>
                <w:color w:val="000000"/>
                <w:sz w:val="14"/>
                <w:szCs w:val="14"/>
                <w:lang w:eastAsia="en-AU"/>
              </w:rPr>
            </w:pPr>
            <w:r w:rsidRPr="00CD1518">
              <w:rPr>
                <w:color w:val="000000"/>
                <w:sz w:val="14"/>
                <w:szCs w:val="14"/>
                <w:lang w:eastAsia="en-AU"/>
              </w:rPr>
              <w:t>Non-admitted</w:t>
            </w:r>
          </w:p>
        </w:tc>
        <w:tc>
          <w:tcPr>
            <w:tcW w:w="577"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112,233</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112,233</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(6,418)</w:t>
            </w:r>
          </w:p>
        </w:tc>
        <w:tc>
          <w:tcPr>
            <w:tcW w:w="577"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105,815</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105,815</w:t>
            </w:r>
          </w:p>
        </w:tc>
      </w:tr>
      <w:tr w:rsidR="00E4451A" w:rsidRPr="00E4451A" w:rsidTr="00CD1518">
        <w:trPr>
          <w:trHeight w:val="29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E4451A" w:rsidRPr="00CD1518" w:rsidRDefault="00E4451A">
            <w:pPr>
              <w:spacing w:line="240" w:lineRule="auto"/>
              <w:rPr>
                <w:color w:val="000000"/>
                <w:sz w:val="14"/>
                <w:szCs w:val="14"/>
                <w:lang w:eastAsia="en-AU"/>
              </w:rPr>
            </w:pPr>
            <w:r w:rsidRPr="00CD1518">
              <w:rPr>
                <w:color w:val="000000"/>
                <w:sz w:val="14"/>
                <w:szCs w:val="14"/>
                <w:lang w:eastAsia="en-AU"/>
              </w:rPr>
              <w:t>Emergency</w:t>
            </w:r>
          </w:p>
        </w:tc>
        <w:tc>
          <w:tcPr>
            <w:tcW w:w="577"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40,678</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40,678</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(1)</w:t>
            </w:r>
          </w:p>
        </w:tc>
        <w:tc>
          <w:tcPr>
            <w:tcW w:w="577"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40,677</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40,677</w:t>
            </w:r>
          </w:p>
        </w:tc>
      </w:tr>
      <w:tr w:rsidR="00E4451A" w:rsidRPr="00E4451A" w:rsidTr="00CD1518">
        <w:trPr>
          <w:trHeight w:val="29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E4451A" w:rsidRPr="00CD1518" w:rsidRDefault="00E4451A">
            <w:pPr>
              <w:spacing w:line="240" w:lineRule="auto"/>
              <w:rPr>
                <w:color w:val="000000"/>
                <w:sz w:val="14"/>
                <w:szCs w:val="14"/>
                <w:lang w:eastAsia="en-AU"/>
              </w:rPr>
            </w:pPr>
            <w:proofErr w:type="spellStart"/>
            <w:r w:rsidRPr="00CD1518">
              <w:rPr>
                <w:color w:val="000000"/>
                <w:sz w:val="14"/>
                <w:szCs w:val="14"/>
                <w:lang w:eastAsia="en-AU"/>
              </w:rPr>
              <w:t>Sub Acute</w:t>
            </w:r>
            <w:proofErr w:type="spellEnd"/>
          </w:p>
        </w:tc>
        <w:tc>
          <w:tcPr>
            <w:tcW w:w="577"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r>
      <w:tr w:rsidR="00E4451A" w:rsidRPr="00E4451A" w:rsidTr="00CD1518">
        <w:trPr>
          <w:trHeight w:val="29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E4451A" w:rsidRPr="00CD1518" w:rsidRDefault="00E4451A">
            <w:pPr>
              <w:spacing w:line="240" w:lineRule="auto"/>
              <w:rPr>
                <w:color w:val="000000"/>
                <w:sz w:val="14"/>
                <w:szCs w:val="14"/>
                <w:lang w:eastAsia="en-AU"/>
              </w:rPr>
            </w:pPr>
            <w:r w:rsidRPr="00CD1518">
              <w:rPr>
                <w:color w:val="000000"/>
                <w:sz w:val="14"/>
                <w:szCs w:val="14"/>
                <w:lang w:eastAsia="en-AU"/>
              </w:rPr>
              <w:t>Mental Health</w:t>
            </w:r>
          </w:p>
        </w:tc>
        <w:tc>
          <w:tcPr>
            <w:tcW w:w="577"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r>
      <w:tr w:rsidR="00E4451A" w:rsidRPr="00E4451A" w:rsidTr="00CD1518">
        <w:trPr>
          <w:trHeight w:val="29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E4451A" w:rsidRPr="00CD1518" w:rsidRDefault="00E4451A">
            <w:pPr>
              <w:spacing w:line="240" w:lineRule="auto"/>
              <w:rPr>
                <w:color w:val="000000"/>
                <w:sz w:val="14"/>
                <w:szCs w:val="14"/>
                <w:lang w:eastAsia="en-AU"/>
              </w:rPr>
            </w:pPr>
            <w:r w:rsidRPr="00CD1518">
              <w:rPr>
                <w:color w:val="000000"/>
                <w:sz w:val="14"/>
                <w:szCs w:val="14"/>
                <w:lang w:eastAsia="en-AU"/>
              </w:rPr>
              <w:t>Other</w:t>
            </w:r>
          </w:p>
        </w:tc>
        <w:tc>
          <w:tcPr>
            <w:tcW w:w="577"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r>
      <w:tr w:rsidR="00E4451A" w:rsidRPr="00E4451A" w:rsidTr="00CD1518">
        <w:trPr>
          <w:trHeight w:val="29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E4451A" w:rsidRPr="00CD1518" w:rsidRDefault="00E4451A">
            <w:pPr>
              <w:spacing w:line="240" w:lineRule="auto"/>
              <w:rPr>
                <w:color w:val="000000"/>
                <w:sz w:val="14"/>
                <w:szCs w:val="14"/>
                <w:lang w:eastAsia="en-AU"/>
              </w:rPr>
            </w:pPr>
            <w:r w:rsidRPr="00CD1518">
              <w:rPr>
                <w:color w:val="000000"/>
                <w:sz w:val="14"/>
                <w:szCs w:val="14"/>
                <w:lang w:eastAsia="en-AU"/>
              </w:rPr>
              <w:t>Research</w:t>
            </w:r>
          </w:p>
        </w:tc>
        <w:tc>
          <w:tcPr>
            <w:tcW w:w="577"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r>
      <w:tr w:rsidR="00E4451A" w:rsidRPr="00E4451A" w:rsidTr="00CD1518">
        <w:trPr>
          <w:trHeight w:val="29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E4451A" w:rsidRPr="00CD1518" w:rsidRDefault="00E4451A">
            <w:pPr>
              <w:spacing w:line="240" w:lineRule="auto"/>
              <w:rPr>
                <w:color w:val="000000"/>
                <w:sz w:val="14"/>
                <w:szCs w:val="14"/>
                <w:lang w:eastAsia="en-AU"/>
              </w:rPr>
            </w:pPr>
            <w:r w:rsidRPr="00CD1518">
              <w:rPr>
                <w:color w:val="000000"/>
                <w:sz w:val="14"/>
                <w:szCs w:val="14"/>
                <w:lang w:eastAsia="en-AU"/>
              </w:rPr>
              <w:t>Teaching and Training</w:t>
            </w:r>
          </w:p>
        </w:tc>
        <w:tc>
          <w:tcPr>
            <w:tcW w:w="577"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sz w:val="14"/>
                <w:szCs w:val="14"/>
                <w:lang w:eastAsia="en-AU"/>
              </w:rPr>
            </w:pPr>
            <w:r w:rsidRPr="00CD1518">
              <w:rPr>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E4451A" w:rsidRPr="00CD1518" w:rsidRDefault="00E4451A" w:rsidP="00CD1518">
            <w:pPr>
              <w:spacing w:line="240" w:lineRule="auto"/>
              <w:jc w:val="right"/>
              <w:rPr>
                <w:color w:val="000000"/>
                <w:sz w:val="14"/>
                <w:szCs w:val="14"/>
                <w:lang w:eastAsia="en-AU"/>
              </w:rPr>
            </w:pPr>
            <w:r w:rsidRPr="00CD1518">
              <w:rPr>
                <w:color w:val="000000"/>
                <w:sz w:val="14"/>
                <w:szCs w:val="14"/>
                <w:lang w:eastAsia="en-AU"/>
              </w:rPr>
              <w:t>-</w:t>
            </w:r>
          </w:p>
        </w:tc>
      </w:tr>
      <w:tr w:rsidR="00E4451A" w:rsidRPr="00E4451A" w:rsidTr="00CD1518">
        <w:trPr>
          <w:trHeight w:val="290"/>
        </w:trPr>
        <w:tc>
          <w:tcPr>
            <w:tcW w:w="956" w:type="pct"/>
            <w:tcBorders>
              <w:top w:val="nil"/>
              <w:left w:val="single" w:sz="4" w:space="0" w:color="5B9BD5"/>
              <w:bottom w:val="single" w:sz="4" w:space="0" w:color="5B9BD5"/>
              <w:right w:val="single" w:sz="4" w:space="0" w:color="5B9BD5"/>
            </w:tcBorders>
            <w:shd w:val="clear" w:color="000000" w:fill="D0CECE"/>
            <w:noWrap/>
            <w:vAlign w:val="center"/>
            <w:hideMark/>
          </w:tcPr>
          <w:p w:rsidR="00E4451A" w:rsidRPr="00CD1518" w:rsidRDefault="00E4451A">
            <w:pPr>
              <w:spacing w:line="240" w:lineRule="auto"/>
              <w:rPr>
                <w:b/>
                <w:bCs/>
                <w:color w:val="000000"/>
                <w:sz w:val="14"/>
                <w:szCs w:val="14"/>
                <w:lang w:eastAsia="en-AU"/>
              </w:rPr>
            </w:pPr>
            <w:r w:rsidRPr="00CD1518">
              <w:rPr>
                <w:b/>
                <w:bCs/>
                <w:color w:val="000000"/>
                <w:sz w:val="14"/>
                <w:szCs w:val="14"/>
                <w:lang w:eastAsia="en-AU"/>
              </w:rPr>
              <w:t>Total</w:t>
            </w:r>
          </w:p>
        </w:tc>
        <w:tc>
          <w:tcPr>
            <w:tcW w:w="577" w:type="pct"/>
            <w:tcBorders>
              <w:top w:val="nil"/>
              <w:left w:val="nil"/>
              <w:bottom w:val="single" w:sz="4" w:space="0" w:color="5B9BD5"/>
              <w:right w:val="single" w:sz="4" w:space="0" w:color="5B9BD5"/>
            </w:tcBorders>
            <w:shd w:val="clear" w:color="000000" w:fill="D0CECE"/>
            <w:noWrap/>
            <w:vAlign w:val="center"/>
            <w:hideMark/>
          </w:tcPr>
          <w:p w:rsidR="00E4451A" w:rsidRPr="00CD1518" w:rsidRDefault="00E4451A" w:rsidP="00CD1518">
            <w:pPr>
              <w:spacing w:line="240" w:lineRule="auto"/>
              <w:jc w:val="right"/>
              <w:rPr>
                <w:b/>
                <w:bCs/>
                <w:color w:val="000000"/>
                <w:sz w:val="14"/>
                <w:szCs w:val="14"/>
                <w:lang w:eastAsia="en-AU"/>
              </w:rPr>
            </w:pPr>
            <w:r w:rsidRPr="00CD1518">
              <w:rPr>
                <w:b/>
                <w:bCs/>
                <w:color w:val="000000"/>
                <w:sz w:val="14"/>
                <w:szCs w:val="14"/>
                <w:lang w:eastAsia="en-AU"/>
              </w:rPr>
              <w:t>166,996</w:t>
            </w:r>
          </w:p>
        </w:tc>
        <w:tc>
          <w:tcPr>
            <w:tcW w:w="578" w:type="pct"/>
            <w:tcBorders>
              <w:top w:val="nil"/>
              <w:left w:val="nil"/>
              <w:bottom w:val="single" w:sz="4" w:space="0" w:color="5B9BD5"/>
              <w:right w:val="single" w:sz="4" w:space="0" w:color="5B9BD5"/>
            </w:tcBorders>
            <w:shd w:val="clear" w:color="000000" w:fill="D0CECE"/>
            <w:noWrap/>
            <w:vAlign w:val="center"/>
            <w:hideMark/>
          </w:tcPr>
          <w:p w:rsidR="00E4451A" w:rsidRPr="00CD1518" w:rsidRDefault="00E4451A" w:rsidP="00CD1518">
            <w:pPr>
              <w:spacing w:line="240" w:lineRule="auto"/>
              <w:jc w:val="right"/>
              <w:rPr>
                <w:b/>
                <w:bCs/>
                <w:color w:val="000000"/>
                <w:sz w:val="14"/>
                <w:szCs w:val="14"/>
                <w:lang w:eastAsia="en-AU"/>
              </w:rPr>
            </w:pPr>
            <w:r w:rsidRPr="00CD1518">
              <w:rPr>
                <w:b/>
                <w:bCs/>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0CECE"/>
            <w:noWrap/>
            <w:vAlign w:val="center"/>
            <w:hideMark/>
          </w:tcPr>
          <w:p w:rsidR="00E4451A" w:rsidRPr="00CD1518" w:rsidRDefault="00E4451A" w:rsidP="00CD1518">
            <w:pPr>
              <w:spacing w:line="240" w:lineRule="auto"/>
              <w:jc w:val="right"/>
              <w:rPr>
                <w:b/>
                <w:bCs/>
                <w:color w:val="000000"/>
                <w:sz w:val="14"/>
                <w:szCs w:val="14"/>
                <w:lang w:eastAsia="en-AU"/>
              </w:rPr>
            </w:pPr>
            <w:r w:rsidRPr="00CD1518">
              <w:rPr>
                <w:b/>
                <w:bCs/>
                <w:color w:val="000000"/>
                <w:sz w:val="14"/>
                <w:szCs w:val="14"/>
                <w:lang w:eastAsia="en-AU"/>
              </w:rPr>
              <w:t>166,997</w:t>
            </w:r>
          </w:p>
        </w:tc>
        <w:tc>
          <w:tcPr>
            <w:tcW w:w="578" w:type="pct"/>
            <w:tcBorders>
              <w:top w:val="nil"/>
              <w:left w:val="nil"/>
              <w:bottom w:val="single" w:sz="4" w:space="0" w:color="5B9BD5"/>
              <w:right w:val="single" w:sz="4" w:space="0" w:color="5B9BD5"/>
            </w:tcBorders>
            <w:shd w:val="clear" w:color="000000" w:fill="D0CECE"/>
            <w:noWrap/>
            <w:vAlign w:val="center"/>
            <w:hideMark/>
          </w:tcPr>
          <w:p w:rsidR="00E4451A" w:rsidRPr="00CD1518" w:rsidRDefault="00E4451A" w:rsidP="00CD1518">
            <w:pPr>
              <w:spacing w:line="240" w:lineRule="auto"/>
              <w:jc w:val="right"/>
              <w:rPr>
                <w:b/>
                <w:bCs/>
                <w:color w:val="000000"/>
                <w:sz w:val="14"/>
                <w:szCs w:val="14"/>
                <w:lang w:eastAsia="en-AU"/>
              </w:rPr>
            </w:pPr>
            <w:r w:rsidRPr="00CD1518">
              <w:rPr>
                <w:b/>
                <w:bCs/>
                <w:color w:val="000000"/>
                <w:sz w:val="14"/>
                <w:szCs w:val="14"/>
                <w:lang w:eastAsia="en-AU"/>
              </w:rPr>
              <w:t>(6,441)</w:t>
            </w:r>
          </w:p>
        </w:tc>
        <w:tc>
          <w:tcPr>
            <w:tcW w:w="577" w:type="pct"/>
            <w:tcBorders>
              <w:top w:val="nil"/>
              <w:left w:val="nil"/>
              <w:bottom w:val="single" w:sz="4" w:space="0" w:color="5B9BD5"/>
              <w:right w:val="single" w:sz="4" w:space="0" w:color="5B9BD5"/>
            </w:tcBorders>
            <w:shd w:val="clear" w:color="000000" w:fill="D0CECE"/>
            <w:noWrap/>
            <w:vAlign w:val="center"/>
            <w:hideMark/>
          </w:tcPr>
          <w:p w:rsidR="00E4451A" w:rsidRPr="00CD1518" w:rsidRDefault="00E4451A" w:rsidP="00CD1518">
            <w:pPr>
              <w:spacing w:line="240" w:lineRule="auto"/>
              <w:jc w:val="right"/>
              <w:rPr>
                <w:b/>
                <w:bCs/>
                <w:color w:val="000000"/>
                <w:sz w:val="14"/>
                <w:szCs w:val="14"/>
                <w:lang w:eastAsia="en-AU"/>
              </w:rPr>
            </w:pPr>
            <w:r w:rsidRPr="00CD1518">
              <w:rPr>
                <w:b/>
                <w:bCs/>
                <w:color w:val="000000"/>
                <w:sz w:val="14"/>
                <w:szCs w:val="14"/>
                <w:lang w:eastAsia="en-AU"/>
              </w:rPr>
              <w:t>160,556</w:t>
            </w:r>
          </w:p>
        </w:tc>
        <w:tc>
          <w:tcPr>
            <w:tcW w:w="578" w:type="pct"/>
            <w:tcBorders>
              <w:top w:val="nil"/>
              <w:left w:val="nil"/>
              <w:bottom w:val="single" w:sz="4" w:space="0" w:color="5B9BD5"/>
              <w:right w:val="single" w:sz="4" w:space="0" w:color="5B9BD5"/>
            </w:tcBorders>
            <w:shd w:val="clear" w:color="000000" w:fill="D0CECE"/>
            <w:noWrap/>
            <w:vAlign w:val="center"/>
            <w:hideMark/>
          </w:tcPr>
          <w:p w:rsidR="00E4451A" w:rsidRPr="00CD1518" w:rsidRDefault="00E4451A" w:rsidP="00CD1518">
            <w:pPr>
              <w:spacing w:line="240" w:lineRule="auto"/>
              <w:jc w:val="right"/>
              <w:rPr>
                <w:b/>
                <w:bCs/>
                <w:color w:val="000000"/>
                <w:sz w:val="14"/>
                <w:szCs w:val="14"/>
                <w:lang w:eastAsia="en-AU"/>
              </w:rPr>
            </w:pPr>
            <w:r w:rsidRPr="00CD1518">
              <w:rPr>
                <w:b/>
                <w:bCs/>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0CECE"/>
            <w:noWrap/>
            <w:vAlign w:val="center"/>
            <w:hideMark/>
          </w:tcPr>
          <w:p w:rsidR="00E4451A" w:rsidRPr="00CD1518" w:rsidRDefault="00E4451A" w:rsidP="00CD1518">
            <w:pPr>
              <w:spacing w:line="240" w:lineRule="auto"/>
              <w:jc w:val="right"/>
              <w:rPr>
                <w:b/>
                <w:bCs/>
                <w:color w:val="000000"/>
                <w:sz w:val="14"/>
                <w:szCs w:val="14"/>
                <w:lang w:eastAsia="en-AU"/>
              </w:rPr>
            </w:pPr>
            <w:r w:rsidRPr="00CD1518">
              <w:rPr>
                <w:b/>
                <w:bCs/>
                <w:color w:val="000000"/>
                <w:sz w:val="14"/>
                <w:szCs w:val="14"/>
                <w:lang w:eastAsia="en-AU"/>
              </w:rPr>
              <w:t>160,556</w:t>
            </w:r>
          </w:p>
        </w:tc>
      </w:tr>
    </w:tbl>
    <w:p w:rsidR="00FC0F41" w:rsidRPr="00975E6B" w:rsidRDefault="00FC0F41" w:rsidP="00FC0F41">
      <w:pPr>
        <w:pStyle w:val="FootnoteText"/>
        <w:rPr>
          <w:bCs/>
          <w:i/>
          <w:sz w:val="16"/>
          <w:szCs w:val="16"/>
        </w:rPr>
      </w:pPr>
      <w:r w:rsidRPr="00975E6B">
        <w:rPr>
          <w:bCs/>
          <w:i/>
          <w:sz w:val="16"/>
          <w:szCs w:val="16"/>
        </w:rPr>
        <w:t xml:space="preserve">Source: KPMG based on data supplied by RVEEH, </w:t>
      </w:r>
      <w:r w:rsidR="00B64F77" w:rsidRPr="00975E6B">
        <w:rPr>
          <w:bCs/>
          <w:i/>
          <w:sz w:val="16"/>
          <w:szCs w:val="16"/>
        </w:rPr>
        <w:t>Victoria</w:t>
      </w:r>
      <w:r w:rsidR="00F066BA">
        <w:rPr>
          <w:bCs/>
          <w:i/>
          <w:sz w:val="16"/>
          <w:szCs w:val="16"/>
        </w:rPr>
        <w:t xml:space="preserve"> Health</w:t>
      </w:r>
      <w:r w:rsidRPr="00975E6B">
        <w:rPr>
          <w:bCs/>
          <w:i/>
          <w:sz w:val="16"/>
          <w:szCs w:val="16"/>
        </w:rPr>
        <w:t xml:space="preserve"> and IHPA </w:t>
      </w:r>
    </w:p>
    <w:p w:rsidR="00FC0F41" w:rsidRDefault="00FC0F41" w:rsidP="00FC0F41">
      <w:pPr>
        <w:pStyle w:val="BodyText"/>
      </w:pPr>
      <w:r w:rsidRPr="00975E6B">
        <w:t>The following should be noted about the transfer of activity data for RVEEH:</w:t>
      </w:r>
    </w:p>
    <w:p w:rsidR="00E4451A" w:rsidRPr="00CD1518" w:rsidRDefault="00E4451A" w:rsidP="00F26328">
      <w:pPr>
        <w:pStyle w:val="BodyText"/>
        <w:numPr>
          <w:ilvl w:val="0"/>
          <w:numId w:val="39"/>
        </w:numPr>
      </w:pPr>
      <w:r w:rsidRPr="00CD1518">
        <w:t xml:space="preserve">The variance between records from source detailed in </w:t>
      </w:r>
      <w:r w:rsidRPr="00CD1518">
        <w:fldChar w:fldCharType="begin"/>
      </w:r>
      <w:r w:rsidRPr="00CD1518">
        <w:instrText xml:space="preserve"> REF _Ref441090118 \h </w:instrText>
      </w:r>
      <w:r>
        <w:instrText xml:space="preserve"> \* MERGEFORMAT </w:instrText>
      </w:r>
      <w:r w:rsidRPr="00CD1518">
        <w:fldChar w:fldCharType="separate"/>
      </w:r>
      <w:r w:rsidR="00154CF7" w:rsidRPr="00975E6B">
        <w:t xml:space="preserve">Table </w:t>
      </w:r>
      <w:r w:rsidR="00154CF7" w:rsidRPr="00154CF7">
        <w:t>88</w:t>
      </w:r>
      <w:r w:rsidRPr="00CD1518">
        <w:fldChar w:fldCharType="end"/>
      </w:r>
      <w:r w:rsidR="006945BF">
        <w:t xml:space="preserve"> (182,896 records)</w:t>
      </w:r>
      <w:r w:rsidRPr="00CD1518">
        <w:t xml:space="preserve"> and activity related to 2013-14 costs by NHCDC product in </w:t>
      </w:r>
      <w:r w:rsidRPr="00CD1518">
        <w:fldChar w:fldCharType="begin"/>
      </w:r>
      <w:r w:rsidRPr="00CD1518">
        <w:instrText xml:space="preserve"> REF _Ref441090133 \h </w:instrText>
      </w:r>
      <w:r>
        <w:instrText xml:space="preserve"> \* MERGEFORMAT </w:instrText>
      </w:r>
      <w:r w:rsidRPr="00CD1518">
        <w:fldChar w:fldCharType="separate"/>
      </w:r>
      <w:r w:rsidR="00154CF7" w:rsidRPr="00975E6B">
        <w:t xml:space="preserve">Table </w:t>
      </w:r>
      <w:r w:rsidR="00154CF7" w:rsidRPr="00154CF7">
        <w:t>89</w:t>
      </w:r>
      <w:r w:rsidRPr="00CD1518">
        <w:fldChar w:fldCharType="end"/>
      </w:r>
      <w:r w:rsidRPr="00CD1518">
        <w:t xml:space="preserve"> </w:t>
      </w:r>
      <w:r w:rsidR="006945BF">
        <w:t xml:space="preserve">(166,996 records) </w:t>
      </w:r>
      <w:r w:rsidRPr="00CD1518">
        <w:t xml:space="preserve">was attributed to </w:t>
      </w:r>
      <w:r>
        <w:t xml:space="preserve">quality assurance errors identified that </w:t>
      </w:r>
      <w:r w:rsidR="00E174A4">
        <w:t>were not reported through the VCDC or NHCDC and specific</w:t>
      </w:r>
      <w:r>
        <w:t xml:space="preserve"> types of patients not submitted </w:t>
      </w:r>
      <w:r w:rsidR="00E174A4">
        <w:t>as they we</w:t>
      </w:r>
      <w:r>
        <w:t>re deemed out of scope</w:t>
      </w:r>
      <w:r w:rsidR="00E174A4">
        <w:t>.</w:t>
      </w:r>
    </w:p>
    <w:p w:rsidR="00FC0F41" w:rsidRPr="00975E6B" w:rsidRDefault="00FC0F41" w:rsidP="00F26328">
      <w:pPr>
        <w:pStyle w:val="BodyText"/>
        <w:numPr>
          <w:ilvl w:val="0"/>
          <w:numId w:val="39"/>
        </w:numPr>
      </w:pPr>
      <w:r w:rsidRPr="00975E6B">
        <w:t xml:space="preserve">Adjustments made by </w:t>
      </w:r>
      <w:r w:rsidR="00B64F77" w:rsidRPr="00975E6B">
        <w:t>Victoria</w:t>
      </w:r>
      <w:r w:rsidR="00304A0C" w:rsidRPr="00975E6B">
        <w:t xml:space="preserve"> Health</w:t>
      </w:r>
      <w:r w:rsidRPr="00975E6B">
        <w:t xml:space="preserve"> relate to </w:t>
      </w:r>
      <w:r w:rsidR="00D52AA9" w:rsidRPr="00975E6B">
        <w:t xml:space="preserve">the </w:t>
      </w:r>
      <w:r w:rsidR="00D52AA9">
        <w:t>activity associated with the</w:t>
      </w:r>
      <w:r w:rsidR="00D52AA9" w:rsidRPr="00975E6B" w:rsidDel="00D52AA9">
        <w:t xml:space="preserve"> </w:t>
      </w:r>
      <w:r w:rsidRPr="00975E6B">
        <w:t xml:space="preserve">exclusion of costs </w:t>
      </w:r>
      <w:r w:rsidR="00906893" w:rsidRPr="00975E6B">
        <w:t>(at Item G of the financial reconciliation) such as records that failed the Victoria Health validation tests</w:t>
      </w:r>
      <w:r w:rsidRPr="00975E6B">
        <w:t>.</w:t>
      </w:r>
    </w:p>
    <w:p w:rsidR="00FC0F41" w:rsidRPr="00975E6B" w:rsidRDefault="00FC0F41" w:rsidP="00F26328">
      <w:pPr>
        <w:pStyle w:val="BodyText"/>
        <w:numPr>
          <w:ilvl w:val="0"/>
          <w:numId w:val="39"/>
        </w:numPr>
      </w:pPr>
      <w:r w:rsidRPr="00975E6B">
        <w:t>Adjustments made by IHPA relating to admitted emergency reallocations</w:t>
      </w:r>
      <w:r w:rsidR="00906893" w:rsidRPr="00975E6B">
        <w:t xml:space="preserve"> for reporting and analysis purposes</w:t>
      </w:r>
      <w:r w:rsidRPr="00975E6B">
        <w:t xml:space="preserve"> (as discussed in Item J of the explanation of reconciliation items) have no impact on the reported activity.</w:t>
      </w:r>
    </w:p>
    <w:p w:rsidR="00FC0F41" w:rsidRPr="00975E6B" w:rsidRDefault="00FC0F41" w:rsidP="003B387A">
      <w:pPr>
        <w:pStyle w:val="Heading3"/>
        <w:numPr>
          <w:ilvl w:val="2"/>
          <w:numId w:val="77"/>
        </w:numPr>
      </w:pPr>
      <w:r w:rsidRPr="003B387A">
        <w:t>Treatment</w:t>
      </w:r>
      <w:r w:rsidRPr="00975E6B">
        <w:t xml:space="preserve"> of </w:t>
      </w:r>
      <w:r w:rsidR="00DA7807" w:rsidRPr="00975E6B">
        <w:t>WIP</w:t>
      </w:r>
    </w:p>
    <w:p w:rsidR="00FC0F41" w:rsidRPr="00975E6B" w:rsidRDefault="00914D23" w:rsidP="00FC0F41">
      <w:pPr>
        <w:pStyle w:val="BodyText"/>
      </w:pPr>
      <w:r w:rsidRPr="00975E6B">
        <w:fldChar w:fldCharType="begin"/>
      </w:r>
      <w:r w:rsidRPr="00975E6B">
        <w:instrText xml:space="preserve"> REF _Ref434265540 \h </w:instrText>
      </w:r>
      <w:r w:rsidR="00975E6B">
        <w:instrText xml:space="preserve"> \* MERGEFORMAT </w:instrText>
      </w:r>
      <w:r w:rsidRPr="00975E6B">
        <w:fldChar w:fldCharType="separate"/>
      </w:r>
      <w:r w:rsidR="00154CF7" w:rsidRPr="00975E6B">
        <w:t xml:space="preserve">Table </w:t>
      </w:r>
      <w:r w:rsidR="00154CF7">
        <w:rPr>
          <w:noProof/>
        </w:rPr>
        <w:t>90</w:t>
      </w:r>
      <w:r w:rsidRPr="00975E6B">
        <w:fldChar w:fldCharType="end"/>
      </w:r>
      <w:r w:rsidRPr="00975E6B">
        <w:t xml:space="preserve"> </w:t>
      </w:r>
      <w:r w:rsidR="00FC0F41" w:rsidRPr="00975E6B">
        <w:t>demonstrates models for WIP and what was included in the RVEEH Round</w:t>
      </w:r>
      <w:r w:rsidR="00304A0C" w:rsidRPr="00975E6B">
        <w:t> </w:t>
      </w:r>
      <w:r w:rsidR="00FC0F41" w:rsidRPr="00975E6B">
        <w:t>18 NHCDC submission.</w:t>
      </w:r>
    </w:p>
    <w:p w:rsidR="00FC0F41" w:rsidRPr="00975E6B" w:rsidRDefault="00FC0F41" w:rsidP="00FC0F41">
      <w:pPr>
        <w:pStyle w:val="Caption"/>
      </w:pPr>
      <w:bookmarkStart w:id="823" w:name="_Ref434265540"/>
      <w:r w:rsidRPr="00975E6B">
        <w:t xml:space="preserve">Table </w:t>
      </w:r>
      <w:r w:rsidR="00AC3838">
        <w:fldChar w:fldCharType="begin"/>
      </w:r>
      <w:r w:rsidR="00AC3838">
        <w:instrText xml:space="preserve"> SEQ Table \* ARABIC </w:instrText>
      </w:r>
      <w:r w:rsidR="00AC3838">
        <w:fldChar w:fldCharType="separate"/>
      </w:r>
      <w:proofErr w:type="gramStart"/>
      <w:r w:rsidR="00154CF7">
        <w:rPr>
          <w:noProof/>
        </w:rPr>
        <w:t>90</w:t>
      </w:r>
      <w:r w:rsidR="00AC3838">
        <w:rPr>
          <w:noProof/>
        </w:rPr>
        <w:fldChar w:fldCharType="end"/>
      </w:r>
      <w:bookmarkEnd w:id="823"/>
      <w:r w:rsidRPr="00975E6B">
        <w:t xml:space="preserve"> – </w:t>
      </w:r>
      <w:r w:rsidR="00DA7807" w:rsidRPr="00975E6B">
        <w:t>WIP</w:t>
      </w:r>
      <w:r w:rsidRPr="00975E6B">
        <w:t xml:space="preserve"> – Royal Victorian Eye</w:t>
      </w:r>
      <w:proofErr w:type="gramEnd"/>
      <w:r w:rsidRPr="00975E6B">
        <w:t xml:space="preserve"> and Ear Hospital</w:t>
      </w:r>
    </w:p>
    <w:tbl>
      <w:tblPr>
        <w:tblStyle w:val="ListTable4-Accent11"/>
        <w:tblW w:w="5000" w:type="pct"/>
        <w:tblLayout w:type="fixed"/>
        <w:tblLook w:val="0620" w:firstRow="1" w:lastRow="0" w:firstColumn="0" w:lastColumn="0" w:noHBand="1" w:noVBand="1"/>
        <w:tblCaption w:val="Table 90 - Models for Work In Progress - Royal Victorian Eye and Ear Hospital"/>
        <w:tblDescription w:val="This table describes the models for Work In Progress and how that applied to Royal Victorian Eye and Ear Hospital.  The first column is the model number, the second column is the description and the third column is how that model was applied for the relevant hospital.&#10;"/>
      </w:tblPr>
      <w:tblGrid>
        <w:gridCol w:w="873"/>
        <w:gridCol w:w="4217"/>
        <w:gridCol w:w="3631"/>
      </w:tblGrid>
      <w:tr w:rsidR="00FC0F41" w:rsidRPr="00975E6B" w:rsidTr="00E14378">
        <w:trPr>
          <w:cnfStyle w:val="100000000000" w:firstRow="1" w:lastRow="0" w:firstColumn="0" w:lastColumn="0" w:oddVBand="0" w:evenVBand="0" w:oddHBand="0" w:evenHBand="0" w:firstRowFirstColumn="0" w:firstRowLastColumn="0" w:lastRowFirstColumn="0" w:lastRowLastColumn="0"/>
          <w:tblHeader/>
        </w:trPr>
        <w:tc>
          <w:tcPr>
            <w:tcW w:w="500" w:type="pct"/>
            <w:tcBorders>
              <w:right w:val="single" w:sz="4" w:space="0" w:color="548DD4" w:themeColor="text2" w:themeTint="99"/>
            </w:tcBorders>
            <w:shd w:val="clear" w:color="auto" w:fill="002060"/>
            <w:noWrap/>
          </w:tcPr>
          <w:p w:rsidR="00FC0F41" w:rsidRPr="00975E6B" w:rsidRDefault="00FC0F41" w:rsidP="00C70986">
            <w:pPr>
              <w:jc w:val="right"/>
            </w:pPr>
            <w:r w:rsidRPr="00975E6B">
              <w:t>Model</w:t>
            </w:r>
          </w:p>
        </w:tc>
        <w:tc>
          <w:tcPr>
            <w:tcW w:w="2418" w:type="pct"/>
            <w:tcBorders>
              <w:left w:val="single" w:sz="4" w:space="0" w:color="548DD4" w:themeColor="text2" w:themeTint="99"/>
            </w:tcBorders>
            <w:shd w:val="clear" w:color="auto" w:fill="002060"/>
          </w:tcPr>
          <w:p w:rsidR="00FC0F41" w:rsidRPr="00975E6B" w:rsidRDefault="00FC0F41" w:rsidP="00C70986">
            <w:r w:rsidRPr="00975E6B">
              <w:t>Description</w:t>
            </w:r>
          </w:p>
        </w:tc>
        <w:tc>
          <w:tcPr>
            <w:tcW w:w="2082" w:type="pct"/>
            <w:tcBorders>
              <w:left w:val="single" w:sz="4" w:space="0" w:color="548DD4" w:themeColor="text2" w:themeTint="99"/>
            </w:tcBorders>
            <w:shd w:val="clear" w:color="auto" w:fill="002060"/>
          </w:tcPr>
          <w:p w:rsidR="00FC0F41" w:rsidRPr="00975E6B" w:rsidRDefault="00FC0F41" w:rsidP="00C70986">
            <w:pPr>
              <w:jc w:val="center"/>
            </w:pPr>
            <w:r w:rsidRPr="00975E6B">
              <w:t>Submitted to Round 18 NHCDC</w:t>
            </w:r>
          </w:p>
        </w:tc>
      </w:tr>
      <w:tr w:rsidR="00FC0F41" w:rsidRPr="00975E6B" w:rsidTr="00C70986">
        <w:tc>
          <w:tcPr>
            <w:tcW w:w="499" w:type="pct"/>
            <w:tcBorders>
              <w:right w:val="single" w:sz="4" w:space="0" w:color="548DD4" w:themeColor="text2" w:themeTint="99"/>
            </w:tcBorders>
            <w:noWrap/>
          </w:tcPr>
          <w:p w:rsidR="00FC0F41" w:rsidRPr="00975E6B" w:rsidRDefault="00FC0F41" w:rsidP="001140D3">
            <w:pPr>
              <w:jc w:val="center"/>
            </w:pPr>
            <w:r w:rsidRPr="00975E6B">
              <w:t>1</w:t>
            </w:r>
          </w:p>
        </w:tc>
        <w:tc>
          <w:tcPr>
            <w:tcW w:w="2418" w:type="pct"/>
            <w:tcBorders>
              <w:left w:val="single" w:sz="4" w:space="0" w:color="548DD4" w:themeColor="text2" w:themeTint="99"/>
            </w:tcBorders>
          </w:tcPr>
          <w:p w:rsidR="00FC0F41" w:rsidRPr="00975E6B" w:rsidRDefault="00FC0F41" w:rsidP="00C70986">
            <w:r w:rsidRPr="00975E6B">
              <w:t>Admitted and Discharged Patients in 2013/14 only</w:t>
            </w:r>
          </w:p>
        </w:tc>
        <w:tc>
          <w:tcPr>
            <w:tcW w:w="2082" w:type="pct"/>
            <w:tcBorders>
              <w:left w:val="single" w:sz="4" w:space="0" w:color="548DD4" w:themeColor="text2" w:themeTint="99"/>
            </w:tcBorders>
          </w:tcPr>
          <w:p w:rsidR="00FC0F41" w:rsidRPr="00975E6B" w:rsidRDefault="00FC0F41" w:rsidP="00C70986">
            <w:pPr>
              <w:jc w:val="center"/>
            </w:pPr>
            <w:r w:rsidRPr="00975E6B">
              <w:t>Submitted to Round 18 of the NHCDC</w:t>
            </w:r>
          </w:p>
        </w:tc>
      </w:tr>
      <w:tr w:rsidR="00FC0F41" w:rsidRPr="00975E6B" w:rsidTr="00C70986">
        <w:tc>
          <w:tcPr>
            <w:tcW w:w="499" w:type="pct"/>
            <w:tcBorders>
              <w:right w:val="single" w:sz="4" w:space="0" w:color="548DD4" w:themeColor="text2" w:themeTint="99"/>
            </w:tcBorders>
            <w:noWrap/>
          </w:tcPr>
          <w:p w:rsidR="00FC0F41" w:rsidRPr="00975E6B" w:rsidRDefault="00FC0F41" w:rsidP="001140D3">
            <w:pPr>
              <w:jc w:val="center"/>
            </w:pPr>
            <w:r w:rsidRPr="00975E6B">
              <w:t>2</w:t>
            </w:r>
          </w:p>
        </w:tc>
        <w:tc>
          <w:tcPr>
            <w:tcW w:w="2418" w:type="pct"/>
            <w:tcBorders>
              <w:left w:val="single" w:sz="4" w:space="0" w:color="548DD4" w:themeColor="text2" w:themeTint="99"/>
            </w:tcBorders>
          </w:tcPr>
          <w:p w:rsidR="00FC0F41" w:rsidRPr="00975E6B" w:rsidRDefault="00FC0F41" w:rsidP="00C70986">
            <w:r w:rsidRPr="00975E6B">
              <w:t>Costs for patients discharged in 2013/14 but admitted prior to 2013/14</w:t>
            </w:r>
          </w:p>
        </w:tc>
        <w:tc>
          <w:tcPr>
            <w:tcW w:w="2082" w:type="pct"/>
            <w:tcBorders>
              <w:left w:val="single" w:sz="4" w:space="0" w:color="548DD4" w:themeColor="text2" w:themeTint="99"/>
            </w:tcBorders>
          </w:tcPr>
          <w:p w:rsidR="00FC0F41" w:rsidRPr="00975E6B" w:rsidRDefault="00FC0F41" w:rsidP="00C70986">
            <w:pPr>
              <w:jc w:val="center"/>
            </w:pPr>
            <w:r w:rsidRPr="00975E6B">
              <w:t>Submitted to Round 18 of the NHCDC</w:t>
            </w:r>
          </w:p>
        </w:tc>
      </w:tr>
      <w:tr w:rsidR="00FC0F41" w:rsidRPr="00975E6B" w:rsidTr="00C70986">
        <w:tc>
          <w:tcPr>
            <w:tcW w:w="499" w:type="pct"/>
            <w:tcBorders>
              <w:right w:val="single" w:sz="4" w:space="0" w:color="548DD4" w:themeColor="text2" w:themeTint="99"/>
            </w:tcBorders>
            <w:noWrap/>
          </w:tcPr>
          <w:p w:rsidR="00FC0F41" w:rsidRPr="00975E6B" w:rsidRDefault="00FC0F41" w:rsidP="001140D3">
            <w:pPr>
              <w:jc w:val="center"/>
            </w:pPr>
            <w:r w:rsidRPr="00975E6B">
              <w:t>3</w:t>
            </w:r>
          </w:p>
        </w:tc>
        <w:tc>
          <w:tcPr>
            <w:tcW w:w="2418" w:type="pct"/>
            <w:tcBorders>
              <w:left w:val="single" w:sz="4" w:space="0" w:color="548DD4" w:themeColor="text2" w:themeTint="99"/>
            </w:tcBorders>
          </w:tcPr>
          <w:p w:rsidR="00FC0F41" w:rsidRPr="00975E6B" w:rsidRDefault="00FC0F41" w:rsidP="00C70986">
            <w:r w:rsidRPr="00975E6B">
              <w:t>Costs for patients admitted prior to or in 2013/14 and remain admitted at 30/06/2014</w:t>
            </w:r>
          </w:p>
        </w:tc>
        <w:tc>
          <w:tcPr>
            <w:tcW w:w="2082" w:type="pct"/>
            <w:tcBorders>
              <w:left w:val="single" w:sz="4" w:space="0" w:color="548DD4" w:themeColor="text2" w:themeTint="99"/>
            </w:tcBorders>
          </w:tcPr>
          <w:p w:rsidR="00FC0F41" w:rsidRPr="00975E6B" w:rsidRDefault="00FC0F41" w:rsidP="00C70986">
            <w:pPr>
              <w:jc w:val="center"/>
            </w:pPr>
            <w:r w:rsidRPr="00975E6B">
              <w:t>Not submitted to Round 18 of the NHCDC</w:t>
            </w:r>
          </w:p>
        </w:tc>
      </w:tr>
      <w:tr w:rsidR="00625C35" w:rsidRPr="00975E6B" w:rsidTr="00C70986">
        <w:tc>
          <w:tcPr>
            <w:tcW w:w="499" w:type="pct"/>
            <w:tcBorders>
              <w:right w:val="single" w:sz="4" w:space="0" w:color="548DD4" w:themeColor="text2" w:themeTint="99"/>
            </w:tcBorders>
            <w:noWrap/>
          </w:tcPr>
          <w:p w:rsidR="00625C35" w:rsidRPr="00975E6B" w:rsidRDefault="00625C35" w:rsidP="001140D3">
            <w:pPr>
              <w:jc w:val="center"/>
            </w:pPr>
            <w:r w:rsidRPr="00975E6B">
              <w:t>4</w:t>
            </w:r>
          </w:p>
        </w:tc>
        <w:tc>
          <w:tcPr>
            <w:tcW w:w="2418" w:type="pct"/>
            <w:tcBorders>
              <w:left w:val="single" w:sz="4" w:space="0" w:color="548DD4" w:themeColor="text2" w:themeTint="99"/>
            </w:tcBorders>
          </w:tcPr>
          <w:p w:rsidR="00625C35" w:rsidRPr="00975E6B" w:rsidRDefault="00625C35" w:rsidP="00625C35">
            <w:r w:rsidRPr="00975E6B">
              <w:t>Costs for patients admitted prior to 2013/14 and still admitted at 30/06/2014</w:t>
            </w:r>
          </w:p>
        </w:tc>
        <w:tc>
          <w:tcPr>
            <w:tcW w:w="2082" w:type="pct"/>
            <w:tcBorders>
              <w:left w:val="single" w:sz="4" w:space="0" w:color="548DD4" w:themeColor="text2" w:themeTint="99"/>
            </w:tcBorders>
          </w:tcPr>
          <w:p w:rsidR="00625C35" w:rsidRPr="00975E6B" w:rsidRDefault="00625C35" w:rsidP="00625C35">
            <w:pPr>
              <w:jc w:val="center"/>
            </w:pPr>
            <w:r w:rsidRPr="00975E6B">
              <w:t>Not submitted to Round 18 of the NHCDC</w:t>
            </w:r>
          </w:p>
        </w:tc>
      </w:tr>
    </w:tbl>
    <w:p w:rsidR="00FC0F41" w:rsidRPr="00975E6B" w:rsidRDefault="00FC0F41" w:rsidP="00FC0F41">
      <w:pPr>
        <w:pStyle w:val="FootnoteText"/>
        <w:rPr>
          <w:bCs/>
          <w:i/>
          <w:sz w:val="16"/>
          <w:szCs w:val="16"/>
        </w:rPr>
      </w:pPr>
      <w:r w:rsidRPr="00975E6B">
        <w:rPr>
          <w:bCs/>
          <w:i/>
          <w:sz w:val="16"/>
          <w:szCs w:val="16"/>
        </w:rPr>
        <w:t>Source: KPMG, based on RVEEH templates and review discussions</w:t>
      </w:r>
    </w:p>
    <w:p w:rsidR="00FC0F41" w:rsidRPr="00975E6B" w:rsidRDefault="00FC0F41" w:rsidP="00FC0F41">
      <w:pPr>
        <w:pStyle w:val="BodyText"/>
      </w:pPr>
      <w:r w:rsidRPr="00975E6B">
        <w:t xml:space="preserve">In summary, RVEEH submitted </w:t>
      </w:r>
      <w:r w:rsidR="00B7080E" w:rsidRPr="00975E6B">
        <w:t xml:space="preserve">WIP </w:t>
      </w:r>
      <w:r w:rsidRPr="00975E6B">
        <w:t xml:space="preserve">costs for admitted and discharged patients in 2013/14 and the 2012/13 </w:t>
      </w:r>
      <w:r w:rsidR="00B7080E" w:rsidRPr="00975E6B">
        <w:t xml:space="preserve">WIP </w:t>
      </w:r>
      <w:r w:rsidRPr="00975E6B">
        <w:t>costs incurred for patients admitted prior to, but discharged, in 2013/14</w:t>
      </w:r>
      <w:r w:rsidRPr="00975E6B">
        <w:rPr>
          <w:i/>
        </w:rPr>
        <w:t>.</w:t>
      </w:r>
    </w:p>
    <w:p w:rsidR="00FC0F41" w:rsidRPr="00975E6B" w:rsidRDefault="00FC0F41" w:rsidP="003B387A">
      <w:pPr>
        <w:pStyle w:val="Heading4"/>
        <w:numPr>
          <w:ilvl w:val="0"/>
          <w:numId w:val="0"/>
        </w:numPr>
        <w:ind w:left="720" w:hanging="720"/>
      </w:pPr>
      <w:r w:rsidRPr="00975E6B">
        <w:lastRenderedPageBreak/>
        <w:t>Escalation factor</w:t>
      </w:r>
    </w:p>
    <w:p w:rsidR="00FC0F41" w:rsidRPr="00975E6B" w:rsidRDefault="00FC0F41" w:rsidP="00FC0F41">
      <w:pPr>
        <w:pStyle w:val="BodyText"/>
      </w:pPr>
      <w:r w:rsidRPr="00975E6B">
        <w:t xml:space="preserve">There was no escalation factor applied to the RVEEH WIP data submitted to IHPA by </w:t>
      </w:r>
      <w:r w:rsidR="00B64F77" w:rsidRPr="00975E6B">
        <w:t>Victoria</w:t>
      </w:r>
      <w:r w:rsidR="00304A0C" w:rsidRPr="00975E6B">
        <w:t xml:space="preserve"> Health</w:t>
      </w:r>
      <w:r w:rsidRPr="00975E6B">
        <w:t>.</w:t>
      </w:r>
    </w:p>
    <w:p w:rsidR="00FC0F41" w:rsidRPr="00975E6B" w:rsidRDefault="00FC0F41" w:rsidP="003B387A">
      <w:pPr>
        <w:pStyle w:val="Heading3"/>
        <w:numPr>
          <w:ilvl w:val="2"/>
          <w:numId w:val="77"/>
        </w:numPr>
      </w:pPr>
      <w:r w:rsidRPr="003B387A">
        <w:t>Treatment</w:t>
      </w:r>
      <w:r w:rsidRPr="00975E6B">
        <w:t xml:space="preserve"> of other specific cost items</w:t>
      </w:r>
    </w:p>
    <w:p w:rsidR="00FC0F41" w:rsidRPr="00975E6B" w:rsidRDefault="00EB4E48" w:rsidP="00FC0F41">
      <w:r w:rsidRPr="00975E6B">
        <w:t>The following items were discussed during the reviews to understand their treatment in the costing process. The cost data is used to inform the NEP and specific funding model adjustments for particular patient cohorts</w:t>
      </w:r>
      <w:r w:rsidR="00FC0F41" w:rsidRPr="00975E6B">
        <w:t>. Treatment of each of the items is summarised in</w:t>
      </w:r>
      <w:r w:rsidR="00914D23" w:rsidRPr="00975E6B">
        <w:t xml:space="preserve"> </w:t>
      </w:r>
      <w:r w:rsidR="00914D23" w:rsidRPr="00975E6B">
        <w:fldChar w:fldCharType="begin"/>
      </w:r>
      <w:r w:rsidR="00914D23" w:rsidRPr="00975E6B">
        <w:instrText xml:space="preserve"> REF _Ref434265555 \h </w:instrText>
      </w:r>
      <w:r w:rsidR="00975E6B">
        <w:instrText xml:space="preserve"> \* MERGEFORMAT </w:instrText>
      </w:r>
      <w:r w:rsidR="00914D23" w:rsidRPr="00975E6B">
        <w:fldChar w:fldCharType="separate"/>
      </w:r>
      <w:r w:rsidR="00154CF7" w:rsidRPr="00975E6B">
        <w:t xml:space="preserve">Table </w:t>
      </w:r>
      <w:r w:rsidR="00154CF7">
        <w:rPr>
          <w:noProof/>
        </w:rPr>
        <w:t>91</w:t>
      </w:r>
      <w:r w:rsidR="00914D23" w:rsidRPr="00975E6B">
        <w:fldChar w:fldCharType="end"/>
      </w:r>
      <w:r w:rsidR="00FC0F41" w:rsidRPr="00975E6B">
        <w:t>.</w:t>
      </w:r>
    </w:p>
    <w:p w:rsidR="00FC0F41" w:rsidRPr="00975E6B" w:rsidRDefault="00FC0F41" w:rsidP="00FC0F41">
      <w:pPr>
        <w:pStyle w:val="Caption"/>
      </w:pPr>
      <w:bookmarkStart w:id="824" w:name="_Ref434265555"/>
      <w:r w:rsidRPr="00975E6B">
        <w:t xml:space="preserve">Table </w:t>
      </w:r>
      <w:fldSimple w:instr=" SEQ Table \* ARABIC ">
        <w:r w:rsidR="00154CF7">
          <w:rPr>
            <w:noProof/>
          </w:rPr>
          <w:t>91</w:t>
        </w:r>
      </w:fldSimple>
      <w:bookmarkEnd w:id="824"/>
      <w:r w:rsidRPr="00975E6B">
        <w:t xml:space="preserve"> – Treatment of other specific cost items – Royal Victorian Eye and Ear Hospital</w:t>
      </w:r>
    </w:p>
    <w:tbl>
      <w:tblPr>
        <w:tblStyle w:val="ListTable4-Accent11"/>
        <w:tblW w:w="5000" w:type="pct"/>
        <w:tblLayout w:type="fixed"/>
        <w:tblLook w:val="0620" w:firstRow="1" w:lastRow="0" w:firstColumn="0" w:lastColumn="0" w:noHBand="1" w:noVBand="1"/>
        <w:tblCaption w:val="Table 91 - Treatment of specific items - Royal Victorian Eye and Ear Hospital"/>
        <w:tblDescription w:val="This table describes how Royal Victorian Eye and Ear Hospital treated specific items in their Round 18 NHCDC Submission.  The first column is the item and the second column is the description of the treatment.&#10;"/>
      </w:tblPr>
      <w:tblGrid>
        <w:gridCol w:w="3342"/>
        <w:gridCol w:w="5379"/>
      </w:tblGrid>
      <w:tr w:rsidR="00FC0F41" w:rsidRPr="00975E6B" w:rsidTr="00E14378">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tcPr>
          <w:p w:rsidR="00FC0F41" w:rsidRPr="00975E6B" w:rsidRDefault="00FC0F41" w:rsidP="00C70986">
            <w:r w:rsidRPr="00975E6B">
              <w:t>Item</w:t>
            </w:r>
          </w:p>
        </w:tc>
        <w:tc>
          <w:tcPr>
            <w:tcW w:w="3084" w:type="pct"/>
            <w:tcBorders>
              <w:left w:val="single" w:sz="4" w:space="0" w:color="548DD4" w:themeColor="text2" w:themeTint="99"/>
            </w:tcBorders>
            <w:shd w:val="clear" w:color="auto" w:fill="002060"/>
          </w:tcPr>
          <w:p w:rsidR="00FC0F41" w:rsidRPr="00975E6B" w:rsidRDefault="00FC0F41" w:rsidP="00C70986">
            <w:r w:rsidRPr="00975E6B">
              <w:t>Treatment</w:t>
            </w:r>
          </w:p>
        </w:tc>
      </w:tr>
      <w:tr w:rsidR="00FC0F41" w:rsidRPr="00975E6B" w:rsidTr="00C70986">
        <w:tc>
          <w:tcPr>
            <w:tcW w:w="1916" w:type="pct"/>
            <w:tcBorders>
              <w:right w:val="single" w:sz="4" w:space="0" w:color="548DD4" w:themeColor="text2" w:themeTint="99"/>
            </w:tcBorders>
            <w:noWrap/>
          </w:tcPr>
          <w:p w:rsidR="00FC0F41" w:rsidRPr="00975E6B" w:rsidRDefault="00FC0F41" w:rsidP="00C70986">
            <w:pPr>
              <w:pStyle w:val="BodyText"/>
              <w:jc w:val="left"/>
            </w:pPr>
            <w:r w:rsidRPr="00975E6B">
              <w:t>Research</w:t>
            </w:r>
          </w:p>
        </w:tc>
        <w:tc>
          <w:tcPr>
            <w:tcW w:w="3084" w:type="pct"/>
            <w:tcBorders>
              <w:left w:val="single" w:sz="4" w:space="0" w:color="548DD4" w:themeColor="text2" w:themeTint="99"/>
            </w:tcBorders>
          </w:tcPr>
          <w:p w:rsidR="00FC0F41" w:rsidRPr="00975E6B" w:rsidRDefault="00FC0F41" w:rsidP="00C70986">
            <w:pPr>
              <w:pStyle w:val="BodyText"/>
              <w:jc w:val="left"/>
            </w:pPr>
            <w:r w:rsidRPr="00975E6B">
              <w:t>Research is averaged across all patients in accordance with VCDC guidelines</w:t>
            </w:r>
            <w:r w:rsidR="00304A0C" w:rsidRPr="00975E6B">
              <w:t xml:space="preserve">. </w:t>
            </w:r>
          </w:p>
        </w:tc>
      </w:tr>
      <w:tr w:rsidR="00FC0F41" w:rsidRPr="00975E6B" w:rsidTr="00C70986">
        <w:tc>
          <w:tcPr>
            <w:tcW w:w="1916" w:type="pct"/>
            <w:tcBorders>
              <w:right w:val="single" w:sz="4" w:space="0" w:color="548DD4" w:themeColor="text2" w:themeTint="99"/>
            </w:tcBorders>
            <w:noWrap/>
          </w:tcPr>
          <w:p w:rsidR="00FC0F41" w:rsidRPr="00975E6B" w:rsidRDefault="00FC0F41" w:rsidP="00C70986">
            <w:pPr>
              <w:pStyle w:val="BodyText"/>
              <w:jc w:val="left"/>
            </w:pPr>
            <w:r w:rsidRPr="00975E6B">
              <w:t>Teaching and Training</w:t>
            </w:r>
          </w:p>
        </w:tc>
        <w:tc>
          <w:tcPr>
            <w:tcW w:w="3084" w:type="pct"/>
            <w:tcBorders>
              <w:left w:val="single" w:sz="4" w:space="0" w:color="548DD4" w:themeColor="text2" w:themeTint="99"/>
            </w:tcBorders>
          </w:tcPr>
          <w:p w:rsidR="00FC0F41" w:rsidRPr="00975E6B" w:rsidRDefault="00FC0F41" w:rsidP="00C70986">
            <w:pPr>
              <w:pStyle w:val="BodyText"/>
              <w:jc w:val="left"/>
            </w:pPr>
            <w:r w:rsidRPr="00975E6B">
              <w:t xml:space="preserve">Teaching and </w:t>
            </w:r>
            <w:r w:rsidR="00304A0C" w:rsidRPr="00975E6B">
              <w:t>t</w:t>
            </w:r>
            <w:r w:rsidRPr="00975E6B">
              <w:t>raining is averaged across all patients in accordance with VCDC guidelines</w:t>
            </w:r>
            <w:r w:rsidR="00304A0C" w:rsidRPr="00975E6B">
              <w:t xml:space="preserve">. </w:t>
            </w:r>
          </w:p>
        </w:tc>
      </w:tr>
      <w:tr w:rsidR="00FC0F41" w:rsidRPr="00975E6B" w:rsidTr="00C70986">
        <w:tc>
          <w:tcPr>
            <w:tcW w:w="1916" w:type="pct"/>
            <w:tcBorders>
              <w:right w:val="single" w:sz="4" w:space="0" w:color="548DD4" w:themeColor="text2" w:themeTint="99"/>
            </w:tcBorders>
            <w:noWrap/>
          </w:tcPr>
          <w:p w:rsidR="00FC0F41" w:rsidRPr="00975E6B" w:rsidRDefault="00FC0F41" w:rsidP="00C70986">
            <w:pPr>
              <w:pStyle w:val="BodyText"/>
              <w:jc w:val="left"/>
            </w:pPr>
            <w:r w:rsidRPr="00975E6B">
              <w:t>Shared/Other commercial entities</w:t>
            </w:r>
          </w:p>
        </w:tc>
        <w:tc>
          <w:tcPr>
            <w:tcW w:w="3084" w:type="pct"/>
            <w:tcBorders>
              <w:left w:val="single" w:sz="4" w:space="0" w:color="548DD4" w:themeColor="text2" w:themeTint="99"/>
            </w:tcBorders>
          </w:tcPr>
          <w:p w:rsidR="00FC0F41" w:rsidRPr="00975E6B" w:rsidRDefault="00FC0F41" w:rsidP="00C70986">
            <w:pPr>
              <w:pStyle w:val="BodyText"/>
              <w:jc w:val="left"/>
            </w:pPr>
            <w:r w:rsidRPr="00975E6B">
              <w:t>All expenditure is reflected in the costed data. Based on discussions in the interview process, the costs associated with these shared/other commercial entities are not material.</w:t>
            </w:r>
          </w:p>
        </w:tc>
      </w:tr>
      <w:tr w:rsidR="00901115" w:rsidRPr="00975E6B" w:rsidTr="00C70986">
        <w:tc>
          <w:tcPr>
            <w:tcW w:w="1916" w:type="pct"/>
            <w:tcBorders>
              <w:right w:val="single" w:sz="4" w:space="0" w:color="548DD4" w:themeColor="text2" w:themeTint="99"/>
            </w:tcBorders>
            <w:noWrap/>
          </w:tcPr>
          <w:p w:rsidR="00901115" w:rsidRPr="00975E6B" w:rsidRDefault="00901115" w:rsidP="00901115">
            <w:pPr>
              <w:pStyle w:val="BodyText"/>
              <w:jc w:val="left"/>
            </w:pPr>
            <w:r w:rsidRPr="00975E6B">
              <w:t xml:space="preserve">Intensive Care Unit </w:t>
            </w:r>
          </w:p>
        </w:tc>
        <w:tc>
          <w:tcPr>
            <w:tcW w:w="3084" w:type="pct"/>
            <w:tcBorders>
              <w:left w:val="single" w:sz="4" w:space="0" w:color="548DD4" w:themeColor="text2" w:themeTint="99"/>
            </w:tcBorders>
          </w:tcPr>
          <w:p w:rsidR="00901115" w:rsidRPr="00975E6B" w:rsidRDefault="00901115" w:rsidP="00901115">
            <w:pPr>
              <w:pStyle w:val="BodyText"/>
              <w:jc w:val="left"/>
            </w:pPr>
            <w:r w:rsidRPr="00975E6B">
              <w:rPr>
                <w:szCs w:val="20"/>
                <w:lang w:val="en"/>
              </w:rPr>
              <w:t>Not applicable – ICU patients are transferred to other facilities.</w:t>
            </w:r>
          </w:p>
        </w:tc>
      </w:tr>
      <w:tr w:rsidR="00901115" w:rsidRPr="00975E6B" w:rsidTr="00C70986">
        <w:tc>
          <w:tcPr>
            <w:tcW w:w="1916" w:type="pct"/>
            <w:tcBorders>
              <w:right w:val="single" w:sz="4" w:space="0" w:color="548DD4" w:themeColor="text2" w:themeTint="99"/>
            </w:tcBorders>
            <w:noWrap/>
          </w:tcPr>
          <w:p w:rsidR="00901115" w:rsidRPr="00975E6B" w:rsidRDefault="00EE5E5B" w:rsidP="00901115">
            <w:pPr>
              <w:pStyle w:val="BodyText"/>
              <w:jc w:val="left"/>
            </w:pPr>
            <w:r w:rsidRPr="00975E6B">
              <w:t>Aboriginal and Torres Strait Islander</w:t>
            </w:r>
            <w:r w:rsidR="00901115" w:rsidRPr="00975E6B">
              <w:t xml:space="preserve"> patients</w:t>
            </w:r>
          </w:p>
        </w:tc>
        <w:tc>
          <w:tcPr>
            <w:tcW w:w="3084" w:type="pct"/>
            <w:tcBorders>
              <w:left w:val="single" w:sz="4" w:space="0" w:color="548DD4" w:themeColor="text2" w:themeTint="99"/>
            </w:tcBorders>
          </w:tcPr>
          <w:p w:rsidR="00901115" w:rsidRPr="00975E6B" w:rsidRDefault="00901115" w:rsidP="00901115">
            <w:pPr>
              <w:pStyle w:val="BodyText"/>
              <w:jc w:val="left"/>
            </w:pPr>
            <w:r w:rsidRPr="00975E6B">
              <w:t>No change to the costing methodology. No ATSI weights or adjustments made.</w:t>
            </w:r>
          </w:p>
        </w:tc>
      </w:tr>
      <w:tr w:rsidR="00901115" w:rsidRPr="00975E6B" w:rsidTr="00C70986">
        <w:trPr>
          <w:trHeight w:val="516"/>
        </w:trPr>
        <w:tc>
          <w:tcPr>
            <w:tcW w:w="1916" w:type="pct"/>
            <w:tcBorders>
              <w:right w:val="single" w:sz="4" w:space="0" w:color="548DD4" w:themeColor="text2" w:themeTint="99"/>
            </w:tcBorders>
            <w:noWrap/>
          </w:tcPr>
          <w:p w:rsidR="00901115" w:rsidRPr="00975E6B" w:rsidRDefault="00901115" w:rsidP="00901115">
            <w:pPr>
              <w:pStyle w:val="BodyText"/>
              <w:jc w:val="left"/>
            </w:pPr>
            <w:r w:rsidRPr="00975E6B">
              <w:t xml:space="preserve">Private Patients </w:t>
            </w:r>
          </w:p>
        </w:tc>
        <w:tc>
          <w:tcPr>
            <w:tcW w:w="3084" w:type="pct"/>
            <w:tcBorders>
              <w:left w:val="single" w:sz="4" w:space="0" w:color="548DD4" w:themeColor="text2" w:themeTint="99"/>
            </w:tcBorders>
          </w:tcPr>
          <w:p w:rsidR="00901115" w:rsidRPr="00975E6B" w:rsidRDefault="00901115" w:rsidP="00901115">
            <w:pPr>
              <w:pStyle w:val="BodyText"/>
              <w:jc w:val="left"/>
            </w:pPr>
            <w:r w:rsidRPr="00975E6B">
              <w:t>No change to the costing methodology. No private patient weights or adjustments made.</w:t>
            </w:r>
          </w:p>
        </w:tc>
      </w:tr>
      <w:tr w:rsidR="00901115" w:rsidRPr="00975E6B" w:rsidTr="00C70986">
        <w:tc>
          <w:tcPr>
            <w:tcW w:w="1916" w:type="pct"/>
            <w:tcBorders>
              <w:right w:val="single" w:sz="4" w:space="0" w:color="548DD4" w:themeColor="text2" w:themeTint="99"/>
            </w:tcBorders>
            <w:noWrap/>
          </w:tcPr>
          <w:p w:rsidR="00901115" w:rsidRPr="00975E6B" w:rsidRDefault="00901115" w:rsidP="00901115">
            <w:pPr>
              <w:pStyle w:val="BodyText"/>
              <w:jc w:val="left"/>
            </w:pPr>
            <w:r w:rsidRPr="00975E6B">
              <w:t>PBS drugs</w:t>
            </w:r>
          </w:p>
        </w:tc>
        <w:tc>
          <w:tcPr>
            <w:tcW w:w="3084" w:type="pct"/>
            <w:tcBorders>
              <w:left w:val="single" w:sz="4" w:space="0" w:color="548DD4" w:themeColor="text2" w:themeTint="99"/>
            </w:tcBorders>
          </w:tcPr>
          <w:p w:rsidR="00901115" w:rsidRPr="00975E6B" w:rsidRDefault="00901115" w:rsidP="00901115">
            <w:pPr>
              <w:pStyle w:val="BodyText"/>
              <w:jc w:val="left"/>
            </w:pPr>
            <w:r w:rsidRPr="00975E6B">
              <w:t>Included in Round 18, no revenue offsets processed.</w:t>
            </w:r>
          </w:p>
        </w:tc>
      </w:tr>
    </w:tbl>
    <w:p w:rsidR="00FC0F41" w:rsidRPr="00975E6B" w:rsidRDefault="00FC0F41" w:rsidP="00FC0F41">
      <w:pPr>
        <w:pStyle w:val="FootnoteText"/>
        <w:rPr>
          <w:bCs/>
          <w:i/>
          <w:sz w:val="16"/>
          <w:szCs w:val="16"/>
        </w:rPr>
      </w:pPr>
      <w:r w:rsidRPr="00975E6B">
        <w:rPr>
          <w:bCs/>
          <w:i/>
          <w:sz w:val="16"/>
          <w:szCs w:val="16"/>
        </w:rPr>
        <w:t>Source: KPMG</w:t>
      </w:r>
    </w:p>
    <w:p w:rsidR="00FC0F41" w:rsidRPr="00975E6B" w:rsidRDefault="00FC0F41" w:rsidP="003B387A">
      <w:pPr>
        <w:pStyle w:val="Heading3"/>
        <w:numPr>
          <w:ilvl w:val="2"/>
          <w:numId w:val="77"/>
        </w:numPr>
      </w:pPr>
      <w:r w:rsidRPr="00975E6B">
        <w:t xml:space="preserve">Sample </w:t>
      </w:r>
      <w:r w:rsidRPr="003B387A">
        <w:t>patient</w:t>
      </w:r>
      <w:r w:rsidRPr="00975E6B">
        <w:t xml:space="preserve"> data</w:t>
      </w:r>
    </w:p>
    <w:p w:rsidR="00FC0F41" w:rsidRPr="00975E6B" w:rsidRDefault="00FC0F41" w:rsidP="00FC0F41">
      <w:pPr>
        <w:pStyle w:val="BodyText"/>
      </w:pPr>
      <w:r w:rsidRPr="00975E6B">
        <w:t xml:space="preserve">IHPA selected a sample of five patients from RVEEH for the purposes of testing the data flow from jurisdictions to IHPA at the patient level. </w:t>
      </w:r>
      <w:r w:rsidR="00B64F77" w:rsidRPr="00975E6B">
        <w:t>Victoria</w:t>
      </w:r>
      <w:r w:rsidR="00DF3D31" w:rsidRPr="00975E6B">
        <w:t xml:space="preserve"> Health</w:t>
      </w:r>
      <w:r w:rsidRPr="00975E6B">
        <w:t xml:space="preserve"> provided the patient level costs for all five patients and these reconciled to IHPA records. The results are summarised in</w:t>
      </w:r>
      <w:r w:rsidR="00776377">
        <w:t xml:space="preserve"> </w:t>
      </w:r>
      <w:r w:rsidR="00776377">
        <w:fldChar w:fldCharType="begin"/>
      </w:r>
      <w:r w:rsidR="00776377">
        <w:instrText xml:space="preserve"> REF _Ref444518671 \h  \* MERGEFORMAT </w:instrText>
      </w:r>
      <w:r w:rsidR="00776377">
        <w:fldChar w:fldCharType="separate"/>
      </w:r>
      <w:r w:rsidR="00154CF7" w:rsidRPr="00975E6B">
        <w:t xml:space="preserve">Table </w:t>
      </w:r>
      <w:r w:rsidR="00154CF7">
        <w:rPr>
          <w:bCs/>
          <w:noProof/>
        </w:rPr>
        <w:t>92</w:t>
      </w:r>
      <w:r w:rsidR="00776377">
        <w:fldChar w:fldCharType="end"/>
      </w:r>
      <w:r w:rsidRPr="00975E6B">
        <w:t>.</w:t>
      </w:r>
    </w:p>
    <w:p w:rsidR="00C122B2" w:rsidRPr="00975E6B" w:rsidRDefault="00FC0F41" w:rsidP="00776377">
      <w:pPr>
        <w:pStyle w:val="Caption"/>
        <w:pageBreakBefore/>
      </w:pPr>
      <w:bookmarkStart w:id="825" w:name="_Ref434265576"/>
      <w:bookmarkStart w:id="826" w:name="_Ref444518671"/>
      <w:r w:rsidRPr="00975E6B">
        <w:lastRenderedPageBreak/>
        <w:t xml:space="preserve">Table </w:t>
      </w:r>
      <w:r w:rsidR="00DF43A9" w:rsidRPr="00776377">
        <w:fldChar w:fldCharType="begin"/>
      </w:r>
      <w:r w:rsidR="00DF43A9" w:rsidRPr="00776377">
        <w:rPr>
          <w:bCs w:val="0"/>
        </w:rPr>
        <w:instrText xml:space="preserve"> SEQ Table \* ARABIC </w:instrText>
      </w:r>
      <w:r w:rsidR="00DF43A9" w:rsidRPr="00776377">
        <w:fldChar w:fldCharType="separate"/>
      </w:r>
      <w:r w:rsidR="00154CF7">
        <w:rPr>
          <w:bCs w:val="0"/>
          <w:noProof/>
        </w:rPr>
        <w:t>92</w:t>
      </w:r>
      <w:r w:rsidR="00DF43A9" w:rsidRPr="00776377">
        <w:rPr>
          <w:noProof/>
        </w:rPr>
        <w:fldChar w:fldCharType="end"/>
      </w:r>
      <w:bookmarkEnd w:id="825"/>
      <w:bookmarkEnd w:id="826"/>
      <w:r w:rsidRPr="00975E6B">
        <w:t xml:space="preserve"> – Sample patients – Royal Victorian Eye and Ear Hospital</w:t>
      </w:r>
    </w:p>
    <w:tbl>
      <w:tblPr>
        <w:tblW w:w="5000" w:type="pct"/>
        <w:tblLook w:val="04A0" w:firstRow="1" w:lastRow="0" w:firstColumn="1" w:lastColumn="0" w:noHBand="0" w:noVBand="1"/>
        <w:tblCaption w:val="Table 92 - Sample patients - Royal Victorian Eye and Ear Hospital"/>
        <w:tblDescription w:val="This table presents the results of the 5 sample patients tested for the data flow from jurisdictions to IHPA at the patient level for Royal Victorian Eye and Ear Hospital. There are 5 columns.  Column 1 is the sample number, Column 2 is the product type, column 3 is the amount in  jurisdiction records, Column 4 is the amount received by IHPA and Column 5 is the variance between jurisdiction and IHPA.&#10;"/>
      </w:tblPr>
      <w:tblGrid>
        <w:gridCol w:w="509"/>
        <w:gridCol w:w="2274"/>
        <w:gridCol w:w="2274"/>
        <w:gridCol w:w="2274"/>
        <w:gridCol w:w="1390"/>
      </w:tblGrid>
      <w:tr w:rsidR="00C122B2" w:rsidRPr="00C122B2" w:rsidTr="00E14378">
        <w:trPr>
          <w:trHeight w:val="260"/>
        </w:trPr>
        <w:tc>
          <w:tcPr>
            <w:tcW w:w="291"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C122B2" w:rsidRPr="00C122B2" w:rsidRDefault="00C122B2" w:rsidP="00C122B2">
            <w:pPr>
              <w:spacing w:line="240" w:lineRule="auto"/>
              <w:jc w:val="center"/>
              <w:rPr>
                <w:b/>
                <w:bCs/>
                <w:color w:val="FFFFFF"/>
                <w:lang w:eastAsia="en-AU"/>
              </w:rPr>
            </w:pPr>
            <w:r w:rsidRPr="00C122B2">
              <w:rPr>
                <w:b/>
                <w:bCs/>
                <w:color w:val="FFFFFF"/>
                <w:lang w:eastAsia="en-AU"/>
              </w:rPr>
              <w: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C122B2" w:rsidRPr="00C122B2" w:rsidRDefault="00C122B2" w:rsidP="00C122B2">
            <w:pPr>
              <w:spacing w:line="240" w:lineRule="auto"/>
              <w:rPr>
                <w:b/>
                <w:bCs/>
                <w:color w:val="FFFFFF"/>
                <w:lang w:eastAsia="en-AU"/>
              </w:rPr>
            </w:pPr>
            <w:r w:rsidRPr="00C122B2">
              <w:rPr>
                <w:b/>
                <w:bCs/>
                <w:color w:val="FFFFFF"/>
                <w:lang w:eastAsia="en-AU"/>
              </w:rPr>
              <w:t>Product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C122B2" w:rsidRPr="00C122B2" w:rsidRDefault="00C122B2" w:rsidP="00C122B2">
            <w:pPr>
              <w:spacing w:line="240" w:lineRule="auto"/>
              <w:jc w:val="center"/>
              <w:rPr>
                <w:b/>
                <w:bCs/>
                <w:color w:val="FFFFFF"/>
                <w:lang w:eastAsia="en-AU"/>
              </w:rPr>
            </w:pPr>
            <w:r w:rsidRPr="00C122B2">
              <w:rPr>
                <w:b/>
                <w:bCs/>
                <w:color w:val="FFFFFF"/>
                <w:lang w:eastAsia="en-AU"/>
              </w:rPr>
              <w:t>Jurisdiction records</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C122B2" w:rsidRPr="00C122B2" w:rsidRDefault="00C122B2" w:rsidP="00C122B2">
            <w:pPr>
              <w:spacing w:line="240" w:lineRule="auto"/>
              <w:jc w:val="center"/>
              <w:rPr>
                <w:b/>
                <w:bCs/>
                <w:color w:val="FFFFFF"/>
                <w:lang w:eastAsia="en-AU"/>
              </w:rPr>
            </w:pPr>
            <w:r w:rsidRPr="00C122B2">
              <w:rPr>
                <w:b/>
                <w:bCs/>
                <w:color w:val="FFFFFF"/>
                <w:lang w:eastAsia="en-AU"/>
              </w:rPr>
              <w:t>Received by IHPA</w:t>
            </w:r>
          </w:p>
        </w:tc>
        <w:tc>
          <w:tcPr>
            <w:tcW w:w="797" w:type="pct"/>
            <w:tcBorders>
              <w:top w:val="nil"/>
              <w:left w:val="nil"/>
              <w:bottom w:val="nil"/>
              <w:right w:val="single" w:sz="4" w:space="0" w:color="5B9BD5"/>
            </w:tcBorders>
            <w:shd w:val="clear" w:color="auto" w:fill="002060"/>
            <w:vAlign w:val="bottom"/>
            <w:hideMark/>
          </w:tcPr>
          <w:p w:rsidR="00C122B2" w:rsidRPr="00C122B2" w:rsidRDefault="00C122B2" w:rsidP="00C122B2">
            <w:pPr>
              <w:spacing w:line="240" w:lineRule="auto"/>
              <w:jc w:val="center"/>
              <w:rPr>
                <w:b/>
                <w:bCs/>
                <w:color w:val="FFFFFF"/>
                <w:lang w:eastAsia="en-AU"/>
              </w:rPr>
            </w:pPr>
            <w:r w:rsidRPr="00C122B2">
              <w:rPr>
                <w:b/>
                <w:bCs/>
                <w:color w:val="FFFFFF"/>
                <w:lang w:eastAsia="en-AU"/>
              </w:rPr>
              <w:t>Variance</w:t>
            </w:r>
          </w:p>
        </w:tc>
      </w:tr>
      <w:tr w:rsidR="009C3210" w:rsidRPr="00C122B2"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C122B2" w:rsidRDefault="009C3210" w:rsidP="009C3210">
            <w:pPr>
              <w:spacing w:line="240" w:lineRule="auto"/>
              <w:jc w:val="center"/>
              <w:rPr>
                <w:color w:val="000000"/>
                <w:lang w:eastAsia="en-AU"/>
              </w:rPr>
            </w:pPr>
            <w:r w:rsidRPr="00C122B2">
              <w:rPr>
                <w:color w:val="000000"/>
                <w:lang w:eastAsia="en-AU"/>
              </w:rPr>
              <w:t>1</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C122B2" w:rsidRDefault="009C3210" w:rsidP="009C3210">
            <w:pPr>
              <w:spacing w:line="240" w:lineRule="auto"/>
              <w:rPr>
                <w:color w:val="000000"/>
                <w:lang w:eastAsia="en-AU"/>
              </w:rPr>
            </w:pPr>
            <w:r w:rsidRPr="00C122B2">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C122B2" w:rsidRDefault="009C3210" w:rsidP="00CD1518">
            <w:pPr>
              <w:spacing w:line="240" w:lineRule="auto"/>
              <w:jc w:val="right"/>
              <w:rPr>
                <w:color w:val="000000"/>
                <w:lang w:eastAsia="en-AU"/>
              </w:rPr>
            </w:pPr>
            <w:r w:rsidRPr="00C122B2">
              <w:rPr>
                <w:color w:val="000000"/>
                <w:lang w:eastAsia="en-AU"/>
              </w:rPr>
              <w:t xml:space="preserve"> $5,202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C122B2" w:rsidRDefault="009C3210" w:rsidP="00CD1518">
            <w:pPr>
              <w:spacing w:line="240" w:lineRule="auto"/>
              <w:jc w:val="right"/>
              <w:rPr>
                <w:color w:val="000000"/>
                <w:lang w:eastAsia="en-AU"/>
              </w:rPr>
            </w:pPr>
            <w:r w:rsidRPr="00C122B2">
              <w:rPr>
                <w:color w:val="000000"/>
                <w:lang w:eastAsia="en-AU"/>
              </w:rPr>
              <w:t xml:space="preserve"> $5,202 </w:t>
            </w:r>
          </w:p>
        </w:tc>
        <w:tc>
          <w:tcPr>
            <w:tcW w:w="797" w:type="pct"/>
            <w:tcBorders>
              <w:top w:val="single" w:sz="4" w:space="0" w:color="5B9BD5"/>
              <w:left w:val="nil"/>
              <w:bottom w:val="single" w:sz="4" w:space="0" w:color="5B9BD5"/>
              <w:right w:val="single" w:sz="4" w:space="0" w:color="5B9BD5"/>
            </w:tcBorders>
            <w:shd w:val="clear" w:color="000000" w:fill="FFFFFF"/>
            <w:noWrap/>
            <w:vAlign w:val="bottom"/>
            <w:hideMark/>
          </w:tcPr>
          <w:p w:rsidR="009C3210" w:rsidRPr="00C122B2" w:rsidRDefault="009C3210" w:rsidP="00CD1518">
            <w:pPr>
              <w:spacing w:line="240" w:lineRule="auto"/>
              <w:jc w:val="right"/>
              <w:rPr>
                <w:color w:val="000000"/>
                <w:lang w:eastAsia="en-AU"/>
              </w:rPr>
            </w:pPr>
            <w:r w:rsidRPr="00C122B2">
              <w:rPr>
                <w:color w:val="000000"/>
                <w:lang w:eastAsia="en-AU"/>
              </w:rPr>
              <w:t xml:space="preserve"> $-   </w:t>
            </w:r>
          </w:p>
        </w:tc>
      </w:tr>
      <w:tr w:rsidR="009C3210" w:rsidRPr="00C122B2" w:rsidTr="00CD1518">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C122B2" w:rsidRDefault="009C3210" w:rsidP="009C3210">
            <w:pPr>
              <w:spacing w:line="240" w:lineRule="auto"/>
              <w:jc w:val="center"/>
              <w:rPr>
                <w:color w:val="000000"/>
                <w:lang w:eastAsia="en-AU"/>
              </w:rPr>
            </w:pPr>
            <w:r w:rsidRPr="00C122B2">
              <w:rPr>
                <w:color w:val="000000"/>
                <w:lang w:eastAsia="en-AU"/>
              </w:rPr>
              <w:t>2</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C122B2" w:rsidRDefault="009C3210" w:rsidP="009C3210">
            <w:pPr>
              <w:spacing w:line="240" w:lineRule="auto"/>
              <w:rPr>
                <w:color w:val="000000"/>
                <w:lang w:eastAsia="en-AU"/>
              </w:rPr>
            </w:pPr>
            <w:r w:rsidRPr="00C122B2">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C122B2" w:rsidRDefault="009C3210" w:rsidP="00CD1518">
            <w:pPr>
              <w:spacing w:line="240" w:lineRule="auto"/>
              <w:jc w:val="right"/>
              <w:rPr>
                <w:color w:val="000000"/>
                <w:lang w:eastAsia="en-AU"/>
              </w:rPr>
            </w:pPr>
            <w:r w:rsidRPr="00C122B2">
              <w:rPr>
                <w:color w:val="000000"/>
                <w:lang w:eastAsia="en-AU"/>
              </w:rPr>
              <w:t xml:space="preserve"> $67,746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C122B2" w:rsidRDefault="009C3210" w:rsidP="00CD1518">
            <w:pPr>
              <w:spacing w:line="240" w:lineRule="auto"/>
              <w:jc w:val="right"/>
              <w:rPr>
                <w:color w:val="000000"/>
                <w:lang w:eastAsia="en-AU"/>
              </w:rPr>
            </w:pPr>
            <w:r w:rsidRPr="00C122B2">
              <w:rPr>
                <w:color w:val="000000"/>
                <w:lang w:eastAsia="en-AU"/>
              </w:rPr>
              <w:t xml:space="preserve"> $67,746 </w:t>
            </w:r>
          </w:p>
        </w:tc>
        <w:tc>
          <w:tcPr>
            <w:tcW w:w="797" w:type="pct"/>
            <w:tcBorders>
              <w:top w:val="nil"/>
              <w:left w:val="nil"/>
              <w:bottom w:val="single" w:sz="4" w:space="0" w:color="5B9BD5"/>
              <w:right w:val="single" w:sz="4" w:space="0" w:color="5B9BD5"/>
            </w:tcBorders>
            <w:shd w:val="clear" w:color="000000" w:fill="DDEBF7"/>
            <w:noWrap/>
            <w:vAlign w:val="bottom"/>
            <w:hideMark/>
          </w:tcPr>
          <w:p w:rsidR="009C3210" w:rsidRPr="00C122B2" w:rsidRDefault="009C3210" w:rsidP="00CD1518">
            <w:pPr>
              <w:spacing w:line="240" w:lineRule="auto"/>
              <w:jc w:val="right"/>
              <w:rPr>
                <w:color w:val="000000"/>
                <w:lang w:eastAsia="en-AU"/>
              </w:rPr>
            </w:pPr>
            <w:r w:rsidRPr="00C122B2">
              <w:rPr>
                <w:color w:val="000000"/>
                <w:lang w:eastAsia="en-AU"/>
              </w:rPr>
              <w:t xml:space="preserve"> $-   </w:t>
            </w:r>
          </w:p>
        </w:tc>
      </w:tr>
      <w:tr w:rsidR="009C3210" w:rsidRPr="00C122B2"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C122B2" w:rsidRDefault="009C3210" w:rsidP="009C3210">
            <w:pPr>
              <w:spacing w:line="240" w:lineRule="auto"/>
              <w:jc w:val="center"/>
              <w:rPr>
                <w:color w:val="000000"/>
                <w:lang w:eastAsia="en-AU"/>
              </w:rPr>
            </w:pPr>
            <w:r w:rsidRPr="00C122B2">
              <w:rPr>
                <w:color w:val="000000"/>
                <w:lang w:eastAsia="en-AU"/>
              </w:rPr>
              <w:t>3</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C122B2" w:rsidRDefault="009C3210" w:rsidP="009C3210">
            <w:pPr>
              <w:spacing w:line="240" w:lineRule="auto"/>
              <w:rPr>
                <w:color w:val="000000"/>
                <w:lang w:eastAsia="en-AU"/>
              </w:rPr>
            </w:pPr>
            <w:r w:rsidRPr="00C122B2">
              <w:rPr>
                <w:color w:val="000000"/>
                <w:lang w:eastAsia="en-AU"/>
              </w:rPr>
              <w:t xml:space="preserve"> Admitted ED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C122B2" w:rsidRDefault="009C3210" w:rsidP="00CD1518">
            <w:pPr>
              <w:spacing w:line="240" w:lineRule="auto"/>
              <w:jc w:val="right"/>
              <w:rPr>
                <w:color w:val="000000"/>
                <w:lang w:eastAsia="en-AU"/>
              </w:rPr>
            </w:pPr>
            <w:r>
              <w:rPr>
                <w:color w:val="000000"/>
                <w:lang w:eastAsia="en-AU"/>
              </w:rPr>
              <w:t xml:space="preserve"> $</w:t>
            </w:r>
            <w:r w:rsidRPr="00C122B2">
              <w:rPr>
                <w:color w:val="000000"/>
                <w:lang w:eastAsia="en-AU"/>
              </w:rPr>
              <w:t xml:space="preserve">452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C122B2" w:rsidRDefault="009C3210" w:rsidP="00CD1518">
            <w:pPr>
              <w:spacing w:line="240" w:lineRule="auto"/>
              <w:jc w:val="right"/>
              <w:rPr>
                <w:color w:val="000000"/>
                <w:lang w:eastAsia="en-AU"/>
              </w:rPr>
            </w:pPr>
            <w:r>
              <w:rPr>
                <w:color w:val="000000"/>
                <w:lang w:eastAsia="en-AU"/>
              </w:rPr>
              <w:t xml:space="preserve"> $</w:t>
            </w:r>
            <w:r w:rsidRPr="00C122B2">
              <w:rPr>
                <w:color w:val="000000"/>
                <w:lang w:eastAsia="en-AU"/>
              </w:rPr>
              <w:t xml:space="preserve">452 </w:t>
            </w:r>
          </w:p>
        </w:tc>
        <w:tc>
          <w:tcPr>
            <w:tcW w:w="797" w:type="pct"/>
            <w:tcBorders>
              <w:top w:val="nil"/>
              <w:left w:val="nil"/>
              <w:bottom w:val="single" w:sz="4" w:space="0" w:color="5B9BD5"/>
              <w:right w:val="single" w:sz="4" w:space="0" w:color="5B9BD5"/>
            </w:tcBorders>
            <w:shd w:val="clear" w:color="000000" w:fill="FFFFFF"/>
            <w:noWrap/>
            <w:vAlign w:val="bottom"/>
            <w:hideMark/>
          </w:tcPr>
          <w:p w:rsidR="009C3210" w:rsidRPr="00C122B2" w:rsidRDefault="009C3210" w:rsidP="00CD1518">
            <w:pPr>
              <w:spacing w:line="240" w:lineRule="auto"/>
              <w:jc w:val="right"/>
              <w:rPr>
                <w:color w:val="000000"/>
                <w:lang w:eastAsia="en-AU"/>
              </w:rPr>
            </w:pPr>
            <w:r w:rsidRPr="00C122B2">
              <w:rPr>
                <w:color w:val="000000"/>
                <w:lang w:eastAsia="en-AU"/>
              </w:rPr>
              <w:t xml:space="preserve"> $-   </w:t>
            </w:r>
          </w:p>
        </w:tc>
      </w:tr>
      <w:tr w:rsidR="009C3210" w:rsidRPr="00C122B2" w:rsidTr="00CD1518">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C122B2" w:rsidRDefault="009C3210" w:rsidP="009C3210">
            <w:pPr>
              <w:spacing w:line="240" w:lineRule="auto"/>
              <w:jc w:val="center"/>
              <w:rPr>
                <w:color w:val="000000"/>
                <w:lang w:eastAsia="en-AU"/>
              </w:rPr>
            </w:pPr>
            <w:r w:rsidRPr="00C122B2">
              <w:rPr>
                <w:color w:val="000000"/>
                <w:lang w:eastAsia="en-AU"/>
              </w:rPr>
              <w:t>4</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C122B2" w:rsidRDefault="009C3210" w:rsidP="009C3210">
            <w:pPr>
              <w:spacing w:line="240" w:lineRule="auto"/>
              <w:rPr>
                <w:color w:val="000000"/>
                <w:lang w:eastAsia="en-AU"/>
              </w:rPr>
            </w:pPr>
            <w:r w:rsidRPr="00C122B2">
              <w:rPr>
                <w:color w:val="000000"/>
                <w:lang w:eastAsia="en-AU"/>
              </w:rPr>
              <w:t xml:space="preserve"> Non-Admitted ED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C122B2" w:rsidRDefault="009C3210" w:rsidP="00CD1518">
            <w:pPr>
              <w:spacing w:line="240" w:lineRule="auto"/>
              <w:jc w:val="right"/>
              <w:rPr>
                <w:color w:val="000000"/>
                <w:lang w:eastAsia="en-AU"/>
              </w:rPr>
            </w:pPr>
            <w:r w:rsidRPr="00C122B2">
              <w:rPr>
                <w:color w:val="000000"/>
                <w:lang w:eastAsia="en-AU"/>
              </w:rPr>
              <w:t xml:space="preserve"> $289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C122B2" w:rsidRDefault="009C3210" w:rsidP="00CD1518">
            <w:pPr>
              <w:spacing w:line="240" w:lineRule="auto"/>
              <w:jc w:val="right"/>
              <w:rPr>
                <w:color w:val="000000"/>
                <w:lang w:eastAsia="en-AU"/>
              </w:rPr>
            </w:pPr>
            <w:r w:rsidRPr="00C122B2">
              <w:rPr>
                <w:color w:val="000000"/>
                <w:lang w:eastAsia="en-AU"/>
              </w:rPr>
              <w:t xml:space="preserve"> $289 </w:t>
            </w:r>
          </w:p>
        </w:tc>
        <w:tc>
          <w:tcPr>
            <w:tcW w:w="797" w:type="pct"/>
            <w:tcBorders>
              <w:top w:val="nil"/>
              <w:left w:val="nil"/>
              <w:bottom w:val="single" w:sz="4" w:space="0" w:color="5B9BD5"/>
              <w:right w:val="single" w:sz="4" w:space="0" w:color="5B9BD5"/>
            </w:tcBorders>
            <w:shd w:val="clear" w:color="000000" w:fill="DDEBF7"/>
            <w:noWrap/>
            <w:vAlign w:val="bottom"/>
            <w:hideMark/>
          </w:tcPr>
          <w:p w:rsidR="009C3210" w:rsidRPr="00C122B2" w:rsidRDefault="009C3210" w:rsidP="00CD1518">
            <w:pPr>
              <w:spacing w:line="240" w:lineRule="auto"/>
              <w:jc w:val="right"/>
              <w:rPr>
                <w:color w:val="000000"/>
                <w:lang w:eastAsia="en-AU"/>
              </w:rPr>
            </w:pPr>
            <w:r w:rsidRPr="00C122B2">
              <w:rPr>
                <w:color w:val="000000"/>
                <w:lang w:eastAsia="en-AU"/>
              </w:rPr>
              <w:t xml:space="preserve"> $-   </w:t>
            </w:r>
          </w:p>
        </w:tc>
      </w:tr>
      <w:tr w:rsidR="009C3210" w:rsidRPr="00C122B2"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C122B2" w:rsidRDefault="009C3210" w:rsidP="009C3210">
            <w:pPr>
              <w:spacing w:line="240" w:lineRule="auto"/>
              <w:jc w:val="center"/>
              <w:rPr>
                <w:color w:val="000000"/>
                <w:lang w:eastAsia="en-AU"/>
              </w:rPr>
            </w:pPr>
            <w:r w:rsidRPr="00C122B2">
              <w:rPr>
                <w:color w:val="000000"/>
                <w:lang w:eastAsia="en-AU"/>
              </w:rPr>
              <w:t>5</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C122B2" w:rsidRDefault="009C3210" w:rsidP="009C3210">
            <w:pPr>
              <w:spacing w:line="240" w:lineRule="auto"/>
              <w:rPr>
                <w:color w:val="000000"/>
                <w:lang w:eastAsia="en-AU"/>
              </w:rPr>
            </w:pPr>
            <w:r w:rsidRPr="00C122B2">
              <w:rPr>
                <w:color w:val="000000"/>
                <w:lang w:eastAsia="en-AU"/>
              </w:rPr>
              <w:t xml:space="preserve"> Non-admitted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C122B2" w:rsidRDefault="009C3210" w:rsidP="00CD1518">
            <w:pPr>
              <w:spacing w:line="240" w:lineRule="auto"/>
              <w:jc w:val="right"/>
              <w:rPr>
                <w:color w:val="000000"/>
                <w:lang w:eastAsia="en-AU"/>
              </w:rPr>
            </w:pPr>
            <w:r w:rsidRPr="00C122B2">
              <w:rPr>
                <w:color w:val="000000"/>
                <w:lang w:eastAsia="en-AU"/>
              </w:rPr>
              <w:t xml:space="preserve"> $211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C122B2" w:rsidRDefault="009C3210" w:rsidP="00CD1518">
            <w:pPr>
              <w:spacing w:line="240" w:lineRule="auto"/>
              <w:jc w:val="right"/>
              <w:rPr>
                <w:color w:val="000000"/>
                <w:lang w:eastAsia="en-AU"/>
              </w:rPr>
            </w:pPr>
            <w:r w:rsidRPr="00C122B2">
              <w:rPr>
                <w:color w:val="000000"/>
                <w:lang w:eastAsia="en-AU"/>
              </w:rPr>
              <w:t xml:space="preserve"> $211 </w:t>
            </w:r>
          </w:p>
        </w:tc>
        <w:tc>
          <w:tcPr>
            <w:tcW w:w="797" w:type="pct"/>
            <w:tcBorders>
              <w:top w:val="nil"/>
              <w:left w:val="nil"/>
              <w:bottom w:val="single" w:sz="4" w:space="0" w:color="5B9BD5"/>
              <w:right w:val="single" w:sz="4" w:space="0" w:color="5B9BD5"/>
            </w:tcBorders>
            <w:shd w:val="clear" w:color="000000" w:fill="FFFFFF"/>
            <w:noWrap/>
            <w:vAlign w:val="bottom"/>
            <w:hideMark/>
          </w:tcPr>
          <w:p w:rsidR="009C3210" w:rsidRPr="00C122B2" w:rsidRDefault="009C3210" w:rsidP="00CD1518">
            <w:pPr>
              <w:spacing w:line="240" w:lineRule="auto"/>
              <w:jc w:val="right"/>
              <w:rPr>
                <w:color w:val="000000"/>
                <w:lang w:eastAsia="en-AU"/>
              </w:rPr>
            </w:pPr>
            <w:r w:rsidRPr="00C122B2">
              <w:rPr>
                <w:color w:val="000000"/>
                <w:lang w:eastAsia="en-AU"/>
              </w:rPr>
              <w:t xml:space="preserve"> $-   </w:t>
            </w:r>
          </w:p>
        </w:tc>
      </w:tr>
    </w:tbl>
    <w:p w:rsidR="00FC0F41" w:rsidRPr="00975E6B" w:rsidRDefault="00FC0F41" w:rsidP="00FC0F41">
      <w:pPr>
        <w:pStyle w:val="FootnoteText"/>
        <w:rPr>
          <w:bCs/>
          <w:i/>
          <w:sz w:val="16"/>
          <w:szCs w:val="16"/>
        </w:rPr>
      </w:pPr>
      <w:r w:rsidRPr="00975E6B">
        <w:rPr>
          <w:bCs/>
          <w:i/>
          <w:sz w:val="16"/>
          <w:szCs w:val="16"/>
        </w:rPr>
        <w:t>Source: KPMG, based on RVEEH and IHPA data</w:t>
      </w:r>
    </w:p>
    <w:p w:rsidR="00FC0F41" w:rsidRPr="00975E6B" w:rsidRDefault="00FC0F41" w:rsidP="003B387A">
      <w:pPr>
        <w:pStyle w:val="Heading2"/>
        <w:numPr>
          <w:ilvl w:val="1"/>
          <w:numId w:val="77"/>
        </w:numPr>
      </w:pPr>
      <w:bookmarkStart w:id="827" w:name="_Toc444523683"/>
      <w:r w:rsidRPr="003B387A">
        <w:t>Application</w:t>
      </w:r>
      <w:r w:rsidRPr="00975E6B">
        <w:t xml:space="preserve"> of AHPCS Version 3.1</w:t>
      </w:r>
      <w:bookmarkEnd w:id="827"/>
    </w:p>
    <w:p w:rsidR="00FC0F41" w:rsidRPr="00975E6B" w:rsidRDefault="00FC0F41" w:rsidP="00FC0F41">
      <w:pPr>
        <w:pStyle w:val="BodyText"/>
      </w:pPr>
      <w:r w:rsidRPr="00975E6B">
        <w:fldChar w:fldCharType="begin"/>
      </w:r>
      <w:r w:rsidRPr="00975E6B">
        <w:instrText xml:space="preserve"> REF _Ref434227809 \h </w:instrText>
      </w:r>
      <w:r w:rsidR="00975E6B">
        <w:instrText xml:space="preserve"> \* MERGEFORMAT </w:instrText>
      </w:r>
      <w:r w:rsidRPr="00975E6B">
        <w:fldChar w:fldCharType="separate"/>
      </w:r>
      <w:r w:rsidR="00154CF7" w:rsidRPr="00975E6B">
        <w:t xml:space="preserve">Table </w:t>
      </w:r>
      <w:r w:rsidR="00154CF7">
        <w:rPr>
          <w:noProof/>
        </w:rPr>
        <w:t>93</w:t>
      </w:r>
      <w:r w:rsidRPr="00975E6B">
        <w:fldChar w:fldCharType="end"/>
      </w:r>
      <w:r w:rsidRPr="00975E6B">
        <w:t xml:space="preserve"> summarises </w:t>
      </w:r>
      <w:r w:rsidR="00B64F77" w:rsidRPr="00975E6B">
        <w:t>Victoria</w:t>
      </w:r>
      <w:r w:rsidRPr="00975E6B">
        <w:t xml:space="preserve">’s application of selected standards from version 3.1 of the AHPCS (outlined in Section </w:t>
      </w:r>
      <w:r w:rsidRPr="00975E6B">
        <w:fldChar w:fldCharType="begin"/>
      </w:r>
      <w:r w:rsidRPr="00975E6B">
        <w:instrText xml:space="preserve"> REF _Ref434054856 \r \h </w:instrText>
      </w:r>
      <w:r w:rsidR="00975E6B">
        <w:instrText xml:space="preserve"> \* MERGEFORMAT </w:instrText>
      </w:r>
      <w:r w:rsidRPr="00975E6B">
        <w:fldChar w:fldCharType="separate"/>
      </w:r>
      <w:r w:rsidR="00154CF7">
        <w:t>1.3.4</w:t>
      </w:r>
      <w:r w:rsidRPr="00975E6B">
        <w:fldChar w:fldCharType="end"/>
      </w:r>
      <w:r w:rsidRPr="00975E6B">
        <w:t>). The application of the selected standards was consistent across each of the two hospitals reviewed during the Round 18 IFR.</w:t>
      </w:r>
    </w:p>
    <w:p w:rsidR="00FC0F41" w:rsidRPr="00975E6B" w:rsidRDefault="00FC0F41" w:rsidP="00FC0F41">
      <w:pPr>
        <w:pStyle w:val="Caption"/>
      </w:pPr>
      <w:bookmarkStart w:id="828" w:name="_Ref434227809"/>
      <w:r w:rsidRPr="00975E6B">
        <w:t xml:space="preserve">Table </w:t>
      </w:r>
      <w:fldSimple w:instr=" SEQ Table \* ARABIC ">
        <w:r w:rsidR="00154CF7">
          <w:rPr>
            <w:noProof/>
          </w:rPr>
          <w:t>93</w:t>
        </w:r>
      </w:fldSimple>
      <w:bookmarkEnd w:id="828"/>
      <w:r w:rsidRPr="00975E6B">
        <w:t xml:space="preserve"> – Application of Costing Standards – </w:t>
      </w:r>
      <w:r w:rsidR="004D1C76">
        <w:t>Victoria sampled hospitals</w:t>
      </w:r>
    </w:p>
    <w:tbl>
      <w:tblPr>
        <w:tblStyle w:val="ListTable4-Accent11"/>
        <w:tblW w:w="5000" w:type="pct"/>
        <w:tblLayout w:type="fixed"/>
        <w:tblLook w:val="0620" w:firstRow="1" w:lastRow="0" w:firstColumn="0" w:lastColumn="0" w:noHBand="1" w:noVBand="1"/>
        <w:tblCaption w:val="Table 93 - Application of Costing Standards - VIC"/>
        <w:tblDescription w:val="This table describes the application of the in-scope costing standards for Victoria based on the hospitals sampled.  The first column is the Costing Standard number, the second column is the costing standard title and the third column is the discussion of the application of the costing standard for the relevant hospitals.&#10;"/>
      </w:tblPr>
      <w:tblGrid>
        <w:gridCol w:w="1451"/>
        <w:gridCol w:w="3201"/>
        <w:gridCol w:w="4069"/>
      </w:tblGrid>
      <w:tr w:rsidR="00FC0F41" w:rsidRPr="00975E6B" w:rsidTr="00E14378">
        <w:trPr>
          <w:cnfStyle w:val="100000000000" w:firstRow="1" w:lastRow="0" w:firstColumn="0" w:lastColumn="0" w:oddVBand="0" w:evenVBand="0" w:oddHBand="0" w:evenHBand="0" w:firstRowFirstColumn="0" w:firstRowLastColumn="0" w:lastRowFirstColumn="0" w:lastRowLastColumn="0"/>
          <w:tblHeader/>
        </w:trPr>
        <w:tc>
          <w:tcPr>
            <w:tcW w:w="832" w:type="pct"/>
            <w:tcBorders>
              <w:right w:val="single" w:sz="4" w:space="0" w:color="548DD4" w:themeColor="text2" w:themeTint="99"/>
            </w:tcBorders>
            <w:shd w:val="clear" w:color="auto" w:fill="002060"/>
            <w:noWrap/>
          </w:tcPr>
          <w:p w:rsidR="00FC0F41" w:rsidRPr="00975E6B" w:rsidRDefault="00FC0F41" w:rsidP="00C70986">
            <w:r w:rsidRPr="00975E6B">
              <w:t>No.</w:t>
            </w:r>
          </w:p>
        </w:tc>
        <w:tc>
          <w:tcPr>
            <w:tcW w:w="1835" w:type="pct"/>
            <w:tcBorders>
              <w:left w:val="single" w:sz="4" w:space="0" w:color="548DD4" w:themeColor="text2" w:themeTint="99"/>
            </w:tcBorders>
            <w:shd w:val="clear" w:color="auto" w:fill="002060"/>
          </w:tcPr>
          <w:p w:rsidR="00FC0F41" w:rsidRPr="00975E6B" w:rsidRDefault="00FC0F41" w:rsidP="00C70986">
            <w:r w:rsidRPr="00975E6B">
              <w:t>Title</w:t>
            </w:r>
          </w:p>
        </w:tc>
        <w:tc>
          <w:tcPr>
            <w:tcW w:w="2333" w:type="pct"/>
            <w:tcBorders>
              <w:left w:val="single" w:sz="4" w:space="0" w:color="548DD4" w:themeColor="text2" w:themeTint="99"/>
            </w:tcBorders>
            <w:shd w:val="clear" w:color="auto" w:fill="002060"/>
          </w:tcPr>
          <w:p w:rsidR="00FC0F41" w:rsidRPr="00975E6B" w:rsidRDefault="005B2E50" w:rsidP="00C70986">
            <w:r w:rsidRPr="00975E6B">
              <w:t>Discussion</w:t>
            </w:r>
          </w:p>
        </w:tc>
      </w:tr>
      <w:tr w:rsidR="00FC0F41" w:rsidRPr="00975E6B" w:rsidTr="00C70986">
        <w:tc>
          <w:tcPr>
            <w:tcW w:w="832" w:type="pct"/>
            <w:tcBorders>
              <w:right w:val="single" w:sz="4" w:space="0" w:color="548DD4" w:themeColor="text2" w:themeTint="99"/>
            </w:tcBorders>
            <w:noWrap/>
          </w:tcPr>
          <w:p w:rsidR="00FC0F41" w:rsidRPr="00975E6B" w:rsidRDefault="00FC0F41" w:rsidP="00C70986">
            <w:pPr>
              <w:pStyle w:val="BodyText"/>
              <w:jc w:val="left"/>
            </w:pPr>
            <w:r w:rsidRPr="00975E6B">
              <w:t>SCP 1.004</w:t>
            </w:r>
          </w:p>
        </w:tc>
        <w:tc>
          <w:tcPr>
            <w:tcW w:w="1835" w:type="pct"/>
            <w:tcBorders>
              <w:left w:val="single" w:sz="4" w:space="0" w:color="548DD4" w:themeColor="text2" w:themeTint="99"/>
            </w:tcBorders>
          </w:tcPr>
          <w:p w:rsidR="00FC0F41" w:rsidRPr="00975E6B" w:rsidRDefault="00FC0F41" w:rsidP="00C70986">
            <w:pPr>
              <w:pStyle w:val="BodyText"/>
              <w:jc w:val="left"/>
            </w:pPr>
            <w:r w:rsidRPr="00975E6B">
              <w:t>Hospital Products in Scope</w:t>
            </w:r>
          </w:p>
        </w:tc>
        <w:tc>
          <w:tcPr>
            <w:tcW w:w="2333" w:type="pct"/>
            <w:tcBorders>
              <w:left w:val="single" w:sz="4" w:space="0" w:color="548DD4" w:themeColor="text2" w:themeTint="99"/>
            </w:tcBorders>
          </w:tcPr>
          <w:p w:rsidR="00FC0F41" w:rsidRPr="00975E6B" w:rsidRDefault="00FC0F41" w:rsidP="00C70986">
            <w:pPr>
              <w:pStyle w:val="BodyText"/>
              <w:jc w:val="left"/>
            </w:pPr>
            <w:r w:rsidRPr="00975E6B">
              <w:t xml:space="preserve">Application of this standard was demonstrated through the template submitted and the subsequent interview process </w:t>
            </w:r>
          </w:p>
          <w:p w:rsidR="00FC0F41" w:rsidRPr="00975E6B" w:rsidRDefault="00FC0F41">
            <w:pPr>
              <w:pStyle w:val="BodyText"/>
              <w:jc w:val="left"/>
            </w:pPr>
            <w:r w:rsidRPr="00975E6B">
              <w:t xml:space="preserve">Costs were allocated to acute, </w:t>
            </w:r>
            <w:r w:rsidR="00E80193" w:rsidRPr="00975E6B">
              <w:t>emergency</w:t>
            </w:r>
            <w:r w:rsidRPr="00975E6B">
              <w:t xml:space="preserve">, non-admitted and subacute products. Costs associated with TTR are allocated across these products. </w:t>
            </w:r>
          </w:p>
        </w:tc>
      </w:tr>
      <w:tr w:rsidR="00FC0F41" w:rsidRPr="00975E6B" w:rsidTr="00C70986">
        <w:trPr>
          <w:trHeight w:val="1908"/>
        </w:trPr>
        <w:tc>
          <w:tcPr>
            <w:tcW w:w="832" w:type="pct"/>
            <w:tcBorders>
              <w:right w:val="single" w:sz="4" w:space="0" w:color="548DD4" w:themeColor="text2" w:themeTint="99"/>
            </w:tcBorders>
            <w:noWrap/>
          </w:tcPr>
          <w:p w:rsidR="00FC0F41" w:rsidRPr="00975E6B" w:rsidRDefault="00FC0F41" w:rsidP="00C70986">
            <w:pPr>
              <w:pStyle w:val="BodyText"/>
              <w:jc w:val="left"/>
            </w:pPr>
            <w:r w:rsidRPr="00975E6B">
              <w:t>SCP 2.003</w:t>
            </w:r>
          </w:p>
        </w:tc>
        <w:tc>
          <w:tcPr>
            <w:tcW w:w="1835" w:type="pct"/>
            <w:tcBorders>
              <w:left w:val="single" w:sz="4" w:space="0" w:color="548DD4" w:themeColor="text2" w:themeTint="99"/>
            </w:tcBorders>
          </w:tcPr>
          <w:p w:rsidR="00FC0F41" w:rsidRPr="00975E6B" w:rsidRDefault="00FC0F41" w:rsidP="00C70986">
            <w:pPr>
              <w:pStyle w:val="BodyText"/>
              <w:jc w:val="left"/>
            </w:pPr>
            <w:r w:rsidRPr="00975E6B">
              <w:t>Product Costs in Scope</w:t>
            </w:r>
          </w:p>
        </w:tc>
        <w:tc>
          <w:tcPr>
            <w:tcW w:w="2333" w:type="pct"/>
            <w:tcBorders>
              <w:left w:val="single" w:sz="4" w:space="0" w:color="548DD4" w:themeColor="text2" w:themeTint="99"/>
            </w:tcBorders>
          </w:tcPr>
          <w:p w:rsidR="00FC0F41" w:rsidRPr="00975E6B" w:rsidRDefault="00FC0F41" w:rsidP="00C70986">
            <w:pPr>
              <w:pStyle w:val="BodyText"/>
              <w:jc w:val="left"/>
            </w:pPr>
            <w:r w:rsidRPr="00975E6B">
              <w:t xml:space="preserve">Based on discussions with both hospitals, it was demonstrated that all relevant product costs are included in the product costing process. </w:t>
            </w:r>
          </w:p>
          <w:p w:rsidR="00FC0F41" w:rsidRPr="00975E6B" w:rsidRDefault="00FC0F41" w:rsidP="00C70986">
            <w:pPr>
              <w:pStyle w:val="BodyText"/>
              <w:jc w:val="left"/>
            </w:pPr>
            <w:r w:rsidRPr="00975E6B">
              <w:t xml:space="preserve">Both hospitals do not exclude commercial entity costs such as the café. It is understood that these costs are not material. </w:t>
            </w:r>
          </w:p>
          <w:p w:rsidR="00FC0F41" w:rsidRPr="00975E6B" w:rsidRDefault="00FC0F41" w:rsidP="00C70986">
            <w:pPr>
              <w:pStyle w:val="BodyText"/>
              <w:jc w:val="left"/>
            </w:pPr>
            <w:r w:rsidRPr="00975E6B">
              <w:t>Both hospitals exclude capital expenditure items in accordance with the VCDC guidelines.</w:t>
            </w:r>
          </w:p>
        </w:tc>
      </w:tr>
      <w:tr w:rsidR="00FC0F41" w:rsidRPr="00975E6B" w:rsidTr="00C70986">
        <w:tc>
          <w:tcPr>
            <w:tcW w:w="832" w:type="pct"/>
            <w:tcBorders>
              <w:right w:val="single" w:sz="4" w:space="0" w:color="548DD4" w:themeColor="text2" w:themeTint="99"/>
            </w:tcBorders>
            <w:noWrap/>
          </w:tcPr>
          <w:p w:rsidR="00FC0F41" w:rsidRPr="00975E6B" w:rsidRDefault="00FC0F41" w:rsidP="00C70986">
            <w:pPr>
              <w:pStyle w:val="BodyText"/>
              <w:jc w:val="left"/>
            </w:pPr>
            <w:r w:rsidRPr="00975E6B">
              <w:t>SCP 2A.003</w:t>
            </w:r>
          </w:p>
        </w:tc>
        <w:tc>
          <w:tcPr>
            <w:tcW w:w="1835" w:type="pct"/>
            <w:tcBorders>
              <w:left w:val="single" w:sz="4" w:space="0" w:color="548DD4" w:themeColor="text2" w:themeTint="99"/>
            </w:tcBorders>
          </w:tcPr>
          <w:p w:rsidR="00FC0F41" w:rsidRPr="00975E6B" w:rsidRDefault="00FC0F41" w:rsidP="00C70986">
            <w:pPr>
              <w:pStyle w:val="BodyText"/>
              <w:jc w:val="left"/>
            </w:pPr>
            <w:r w:rsidRPr="00975E6B">
              <w:t>Teaching and Training Costs</w:t>
            </w:r>
          </w:p>
        </w:tc>
        <w:tc>
          <w:tcPr>
            <w:tcW w:w="2333" w:type="pct"/>
            <w:tcBorders>
              <w:left w:val="single" w:sz="4" w:space="0" w:color="548DD4" w:themeColor="text2" w:themeTint="99"/>
            </w:tcBorders>
          </w:tcPr>
          <w:p w:rsidR="00FC0F41" w:rsidRPr="00975E6B" w:rsidRDefault="00FC0F41" w:rsidP="00DF3D31">
            <w:pPr>
              <w:pStyle w:val="BodyText"/>
              <w:jc w:val="left"/>
            </w:pPr>
            <w:r w:rsidRPr="00975E6B">
              <w:t xml:space="preserve">Teaching and </w:t>
            </w:r>
            <w:r w:rsidR="00DF3D31" w:rsidRPr="00975E6B">
              <w:t xml:space="preserve">training </w:t>
            </w:r>
            <w:r w:rsidRPr="00975E6B">
              <w:t>costs are allocated across all products.</w:t>
            </w:r>
          </w:p>
        </w:tc>
      </w:tr>
      <w:tr w:rsidR="00FC0F41" w:rsidRPr="00975E6B" w:rsidTr="00C70986">
        <w:tc>
          <w:tcPr>
            <w:tcW w:w="832" w:type="pct"/>
            <w:tcBorders>
              <w:right w:val="single" w:sz="4" w:space="0" w:color="548DD4" w:themeColor="text2" w:themeTint="99"/>
            </w:tcBorders>
            <w:noWrap/>
          </w:tcPr>
          <w:p w:rsidR="00FC0F41" w:rsidRPr="00975E6B" w:rsidRDefault="00FC0F41" w:rsidP="00C70986">
            <w:pPr>
              <w:pStyle w:val="BodyText"/>
              <w:jc w:val="left"/>
            </w:pPr>
            <w:r w:rsidRPr="00975E6B">
              <w:t>SCP 2B.002</w:t>
            </w:r>
          </w:p>
        </w:tc>
        <w:tc>
          <w:tcPr>
            <w:tcW w:w="1835" w:type="pct"/>
            <w:tcBorders>
              <w:left w:val="single" w:sz="4" w:space="0" w:color="548DD4" w:themeColor="text2" w:themeTint="99"/>
            </w:tcBorders>
          </w:tcPr>
          <w:p w:rsidR="00FC0F41" w:rsidRPr="00975E6B" w:rsidRDefault="00FC0F41" w:rsidP="00C70986">
            <w:pPr>
              <w:pStyle w:val="BodyText"/>
              <w:jc w:val="left"/>
            </w:pPr>
            <w:r w:rsidRPr="00975E6B">
              <w:t>Research Costs</w:t>
            </w:r>
          </w:p>
        </w:tc>
        <w:tc>
          <w:tcPr>
            <w:tcW w:w="2333" w:type="pct"/>
            <w:tcBorders>
              <w:left w:val="single" w:sz="4" w:space="0" w:color="548DD4" w:themeColor="text2" w:themeTint="99"/>
            </w:tcBorders>
          </w:tcPr>
          <w:p w:rsidR="00FC0F41" w:rsidRPr="00975E6B" w:rsidRDefault="00FC0F41" w:rsidP="00C70986">
            <w:pPr>
              <w:pStyle w:val="BodyText"/>
              <w:jc w:val="left"/>
              <w:rPr>
                <w:b/>
              </w:rPr>
            </w:pPr>
            <w:r w:rsidRPr="00975E6B">
              <w:t>Research costs are allocated across all products.</w:t>
            </w:r>
          </w:p>
        </w:tc>
      </w:tr>
      <w:tr w:rsidR="00FC0F41" w:rsidRPr="00975E6B" w:rsidTr="00C70986">
        <w:trPr>
          <w:trHeight w:val="516"/>
        </w:trPr>
        <w:tc>
          <w:tcPr>
            <w:tcW w:w="832" w:type="pct"/>
            <w:tcBorders>
              <w:right w:val="single" w:sz="4" w:space="0" w:color="548DD4" w:themeColor="text2" w:themeTint="99"/>
            </w:tcBorders>
            <w:noWrap/>
          </w:tcPr>
          <w:p w:rsidR="00FC0F41" w:rsidRPr="00975E6B" w:rsidRDefault="00FC0F41" w:rsidP="00C70986">
            <w:pPr>
              <w:pStyle w:val="BodyText"/>
              <w:jc w:val="left"/>
            </w:pPr>
            <w:r w:rsidRPr="00975E6B">
              <w:t>SCP 3.001</w:t>
            </w:r>
          </w:p>
        </w:tc>
        <w:tc>
          <w:tcPr>
            <w:tcW w:w="1835" w:type="pct"/>
            <w:tcBorders>
              <w:left w:val="single" w:sz="4" w:space="0" w:color="548DD4" w:themeColor="text2" w:themeTint="99"/>
            </w:tcBorders>
          </w:tcPr>
          <w:p w:rsidR="00FC0F41" w:rsidRPr="00975E6B" w:rsidRDefault="00FC0F41" w:rsidP="00C70986">
            <w:pPr>
              <w:pStyle w:val="BodyText"/>
              <w:jc w:val="left"/>
            </w:pPr>
            <w:r w:rsidRPr="00975E6B">
              <w:t>Matching Production and Cost</w:t>
            </w:r>
          </w:p>
        </w:tc>
        <w:tc>
          <w:tcPr>
            <w:tcW w:w="2333" w:type="pct"/>
            <w:tcBorders>
              <w:left w:val="single" w:sz="4" w:space="0" w:color="548DD4" w:themeColor="text2" w:themeTint="99"/>
            </w:tcBorders>
          </w:tcPr>
          <w:p w:rsidR="00FC0F41" w:rsidRPr="00975E6B" w:rsidRDefault="00FC0F41" w:rsidP="00C70986">
            <w:pPr>
              <w:pStyle w:val="BodyText"/>
              <w:jc w:val="left"/>
            </w:pPr>
            <w:r w:rsidRPr="00975E6B">
              <w:t xml:space="preserve">This was demonstrated during the site visit and an excel file was produced from the </w:t>
            </w:r>
            <w:r w:rsidRPr="00975E6B">
              <w:lastRenderedPageBreak/>
              <w:t>costing system which outlined all reclass rules.</w:t>
            </w:r>
          </w:p>
        </w:tc>
      </w:tr>
      <w:tr w:rsidR="00AD71DB" w:rsidRPr="00975E6B" w:rsidTr="00C70986">
        <w:tc>
          <w:tcPr>
            <w:tcW w:w="832" w:type="pct"/>
            <w:tcBorders>
              <w:right w:val="single" w:sz="4" w:space="0" w:color="548DD4" w:themeColor="text2" w:themeTint="99"/>
            </w:tcBorders>
            <w:noWrap/>
          </w:tcPr>
          <w:p w:rsidR="00AD71DB" w:rsidRPr="00975E6B" w:rsidRDefault="00AD71DB" w:rsidP="00AD71DB">
            <w:pPr>
              <w:pStyle w:val="BodyText"/>
              <w:jc w:val="left"/>
            </w:pPr>
            <w:r w:rsidRPr="00975E6B">
              <w:lastRenderedPageBreak/>
              <w:t>SCP 3A.001</w:t>
            </w:r>
          </w:p>
        </w:tc>
        <w:tc>
          <w:tcPr>
            <w:tcW w:w="1835" w:type="pct"/>
            <w:tcBorders>
              <w:left w:val="single" w:sz="4" w:space="0" w:color="548DD4" w:themeColor="text2" w:themeTint="99"/>
            </w:tcBorders>
          </w:tcPr>
          <w:p w:rsidR="00AD71DB" w:rsidRPr="00975E6B" w:rsidRDefault="00AD71DB" w:rsidP="00AD71DB">
            <w:pPr>
              <w:pStyle w:val="BodyText"/>
              <w:jc w:val="left"/>
            </w:pPr>
            <w:r w:rsidRPr="00975E6B">
              <w:t>Matching Production and Cost – Overhead Cost Allocation</w:t>
            </w:r>
          </w:p>
        </w:tc>
        <w:tc>
          <w:tcPr>
            <w:tcW w:w="2333" w:type="pct"/>
            <w:tcBorders>
              <w:left w:val="single" w:sz="4" w:space="0" w:color="548DD4" w:themeColor="text2" w:themeTint="99"/>
            </w:tcBorders>
          </w:tcPr>
          <w:p w:rsidR="00AD71DB" w:rsidRPr="00975E6B" w:rsidRDefault="00AD71DB" w:rsidP="00AD71DB">
            <w:pPr>
              <w:pStyle w:val="BodyText"/>
              <w:jc w:val="left"/>
            </w:pPr>
            <w:r w:rsidRPr="00975E6B">
              <w:t>The jurisdiction was able to demonstrate that overhead costs were fully allocated to direct patient care areas via the pre allocation and post allocation data included in the templates.</w:t>
            </w:r>
          </w:p>
        </w:tc>
      </w:tr>
      <w:tr w:rsidR="00887033" w:rsidRPr="00975E6B" w:rsidTr="00C70986">
        <w:tc>
          <w:tcPr>
            <w:tcW w:w="832" w:type="pct"/>
            <w:tcBorders>
              <w:right w:val="single" w:sz="4" w:space="0" w:color="548DD4" w:themeColor="text2" w:themeTint="99"/>
            </w:tcBorders>
            <w:noWrap/>
          </w:tcPr>
          <w:p w:rsidR="00887033" w:rsidRPr="00975E6B" w:rsidRDefault="00887033" w:rsidP="00887033">
            <w:pPr>
              <w:pStyle w:val="BodyText"/>
              <w:jc w:val="left"/>
            </w:pPr>
            <w:r w:rsidRPr="00975E6B">
              <w:t>SCP 3B.001</w:t>
            </w:r>
          </w:p>
        </w:tc>
        <w:tc>
          <w:tcPr>
            <w:tcW w:w="1835" w:type="pct"/>
            <w:tcBorders>
              <w:left w:val="single" w:sz="4" w:space="0" w:color="548DD4" w:themeColor="text2" w:themeTint="99"/>
            </w:tcBorders>
          </w:tcPr>
          <w:p w:rsidR="00887033" w:rsidRPr="00975E6B" w:rsidRDefault="00887033" w:rsidP="00887033">
            <w:pPr>
              <w:pStyle w:val="BodyText"/>
              <w:jc w:val="left"/>
            </w:pPr>
            <w:r w:rsidRPr="00975E6B">
              <w:t>Matching Production and Cost – Costing all Products</w:t>
            </w:r>
          </w:p>
        </w:tc>
        <w:tc>
          <w:tcPr>
            <w:tcW w:w="2333" w:type="pct"/>
            <w:tcBorders>
              <w:left w:val="single" w:sz="4" w:space="0" w:color="548DD4" w:themeColor="text2" w:themeTint="99"/>
            </w:tcBorders>
          </w:tcPr>
          <w:p w:rsidR="00887033" w:rsidRPr="00975E6B" w:rsidRDefault="006912DE">
            <w:pPr>
              <w:pStyle w:val="BodyText"/>
              <w:jc w:val="left"/>
            </w:pPr>
            <w:r w:rsidRPr="00975E6B">
              <w:t>Victoria Health</w:t>
            </w:r>
            <w:r w:rsidR="00887033" w:rsidRPr="00975E6B">
              <w:t xml:space="preserve"> provided an overview of their internal reconciliation process which demonstrated the allocation of costs to products</w:t>
            </w:r>
            <w:r w:rsidRPr="00975E6B">
              <w:t>, with the exception of Depreciation and amortisation</w:t>
            </w:r>
            <w:r w:rsidR="00887033" w:rsidRPr="00975E6B">
              <w:t>.</w:t>
            </w:r>
          </w:p>
        </w:tc>
      </w:tr>
      <w:tr w:rsidR="00FC0F41" w:rsidRPr="00975E6B" w:rsidTr="00C70986">
        <w:tc>
          <w:tcPr>
            <w:tcW w:w="832" w:type="pct"/>
            <w:tcBorders>
              <w:right w:val="single" w:sz="4" w:space="0" w:color="548DD4" w:themeColor="text2" w:themeTint="99"/>
            </w:tcBorders>
            <w:noWrap/>
          </w:tcPr>
          <w:p w:rsidR="00FC0F41" w:rsidRPr="00975E6B" w:rsidRDefault="00FC0F41" w:rsidP="00C70986">
            <w:pPr>
              <w:pStyle w:val="BodyText"/>
              <w:jc w:val="left"/>
            </w:pPr>
            <w:r w:rsidRPr="00975E6B">
              <w:t>SCP 3C.001</w:t>
            </w:r>
          </w:p>
        </w:tc>
        <w:tc>
          <w:tcPr>
            <w:tcW w:w="1835" w:type="pct"/>
            <w:tcBorders>
              <w:left w:val="single" w:sz="4" w:space="0" w:color="548DD4" w:themeColor="text2" w:themeTint="99"/>
            </w:tcBorders>
          </w:tcPr>
          <w:p w:rsidR="00FC0F41" w:rsidRPr="00975E6B" w:rsidRDefault="00FC0F41" w:rsidP="00C70986">
            <w:pPr>
              <w:pStyle w:val="BodyText"/>
              <w:jc w:val="left"/>
            </w:pPr>
            <w:r w:rsidRPr="00975E6B">
              <w:t>Matching Production and Cost – Commercial Business Entities</w:t>
            </w:r>
          </w:p>
        </w:tc>
        <w:tc>
          <w:tcPr>
            <w:tcW w:w="2333" w:type="pct"/>
            <w:tcBorders>
              <w:left w:val="single" w:sz="4" w:space="0" w:color="548DD4" w:themeColor="text2" w:themeTint="99"/>
            </w:tcBorders>
          </w:tcPr>
          <w:p w:rsidR="00FC0F41" w:rsidRPr="00975E6B" w:rsidRDefault="00FC0F41">
            <w:pPr>
              <w:pStyle w:val="BodyText"/>
              <w:jc w:val="left"/>
            </w:pPr>
            <w:r w:rsidRPr="00975E6B">
              <w:t xml:space="preserve">All expenditure </w:t>
            </w:r>
            <w:r w:rsidR="0074117C" w:rsidRPr="00975E6B">
              <w:t xml:space="preserve">was </w:t>
            </w:r>
            <w:r w:rsidRPr="00975E6B">
              <w:t>reflected in the costed data. Based on discussions in the interview process, the costs associated with these shared/other commercial entities are not material.</w:t>
            </w:r>
          </w:p>
        </w:tc>
      </w:tr>
      <w:tr w:rsidR="00FC0F41" w:rsidRPr="00975E6B" w:rsidTr="00C70986">
        <w:tc>
          <w:tcPr>
            <w:tcW w:w="832" w:type="pct"/>
            <w:tcBorders>
              <w:right w:val="single" w:sz="4" w:space="0" w:color="548DD4" w:themeColor="text2" w:themeTint="99"/>
            </w:tcBorders>
            <w:noWrap/>
          </w:tcPr>
          <w:p w:rsidR="00FC0F41" w:rsidRPr="00975E6B" w:rsidRDefault="00FC0F41" w:rsidP="00C70986">
            <w:pPr>
              <w:pStyle w:val="BodyText"/>
              <w:jc w:val="left"/>
            </w:pPr>
            <w:r w:rsidRPr="00975E6B">
              <w:t>SCP 3E.001</w:t>
            </w:r>
          </w:p>
        </w:tc>
        <w:tc>
          <w:tcPr>
            <w:tcW w:w="1835" w:type="pct"/>
            <w:tcBorders>
              <w:left w:val="single" w:sz="4" w:space="0" w:color="548DD4" w:themeColor="text2" w:themeTint="99"/>
            </w:tcBorders>
          </w:tcPr>
          <w:p w:rsidR="00FC0F41" w:rsidRPr="00975E6B" w:rsidRDefault="00FC0F41" w:rsidP="00C70986">
            <w:pPr>
              <w:pStyle w:val="BodyText"/>
              <w:jc w:val="left"/>
            </w:pPr>
            <w:r w:rsidRPr="00975E6B">
              <w:t>Matching Production and Cost – Offsets and Recoveries</w:t>
            </w:r>
          </w:p>
        </w:tc>
        <w:tc>
          <w:tcPr>
            <w:tcW w:w="2333" w:type="pct"/>
            <w:tcBorders>
              <w:left w:val="single" w:sz="4" w:space="0" w:color="548DD4" w:themeColor="text2" w:themeTint="99"/>
            </w:tcBorders>
          </w:tcPr>
          <w:p w:rsidR="00FC0F41" w:rsidRPr="00975E6B" w:rsidRDefault="00FC0F41" w:rsidP="00C70986">
            <w:pPr>
              <w:pStyle w:val="BodyText"/>
              <w:jc w:val="left"/>
            </w:pPr>
            <w:r w:rsidRPr="00975E6B">
              <w:t>Demonstrated in the template and confirmed during the consultation process</w:t>
            </w:r>
            <w:r w:rsidR="0008064C" w:rsidRPr="00975E6B">
              <w:t xml:space="preserve"> (salary recoveries were included at RVEEH)</w:t>
            </w:r>
            <w:r w:rsidRPr="00975E6B">
              <w:t xml:space="preserve">. There were no offsets identified. </w:t>
            </w:r>
          </w:p>
        </w:tc>
      </w:tr>
      <w:tr w:rsidR="00FC0F41" w:rsidRPr="00975E6B" w:rsidTr="00C70986">
        <w:tc>
          <w:tcPr>
            <w:tcW w:w="832" w:type="pct"/>
            <w:tcBorders>
              <w:right w:val="single" w:sz="4" w:space="0" w:color="548DD4" w:themeColor="text2" w:themeTint="99"/>
            </w:tcBorders>
            <w:noWrap/>
          </w:tcPr>
          <w:p w:rsidR="00FC0F41" w:rsidRPr="00975E6B" w:rsidRDefault="00FC0F41" w:rsidP="00C70986">
            <w:pPr>
              <w:pStyle w:val="BodyText"/>
              <w:jc w:val="left"/>
            </w:pPr>
            <w:r w:rsidRPr="00975E6B">
              <w:t>SCP 3G.001</w:t>
            </w:r>
          </w:p>
        </w:tc>
        <w:tc>
          <w:tcPr>
            <w:tcW w:w="1835" w:type="pct"/>
            <w:tcBorders>
              <w:left w:val="single" w:sz="4" w:space="0" w:color="548DD4" w:themeColor="text2" w:themeTint="99"/>
            </w:tcBorders>
          </w:tcPr>
          <w:p w:rsidR="00FC0F41" w:rsidRPr="00975E6B" w:rsidRDefault="00FC0F41" w:rsidP="00C70986">
            <w:pPr>
              <w:pStyle w:val="BodyText"/>
              <w:jc w:val="left"/>
            </w:pPr>
            <w:r w:rsidRPr="00975E6B">
              <w:t>Matching Production and Cost – Reconciliation to Source Data</w:t>
            </w:r>
          </w:p>
        </w:tc>
        <w:tc>
          <w:tcPr>
            <w:tcW w:w="2333" w:type="pct"/>
            <w:tcBorders>
              <w:left w:val="single" w:sz="4" w:space="0" w:color="548DD4" w:themeColor="text2" w:themeTint="99"/>
            </w:tcBorders>
          </w:tcPr>
          <w:p w:rsidR="00FC0F41" w:rsidRPr="00975E6B" w:rsidRDefault="00FC0F41" w:rsidP="00C70986">
            <w:pPr>
              <w:pStyle w:val="BodyText"/>
              <w:jc w:val="left"/>
            </w:pPr>
            <w:r w:rsidRPr="00975E6B">
              <w:t>The hospital is responsible for reconciling to source data.</w:t>
            </w:r>
          </w:p>
        </w:tc>
      </w:tr>
      <w:tr w:rsidR="00FC0F41" w:rsidRPr="00975E6B" w:rsidTr="00C70986">
        <w:tc>
          <w:tcPr>
            <w:tcW w:w="832" w:type="pct"/>
            <w:tcBorders>
              <w:right w:val="single" w:sz="4" w:space="0" w:color="548DD4" w:themeColor="text2" w:themeTint="99"/>
            </w:tcBorders>
            <w:noWrap/>
          </w:tcPr>
          <w:p w:rsidR="00FC0F41" w:rsidRPr="00975E6B" w:rsidRDefault="00FC0F41" w:rsidP="00C70986">
            <w:pPr>
              <w:pStyle w:val="BodyText"/>
              <w:jc w:val="left"/>
            </w:pPr>
            <w:r w:rsidRPr="00975E6B">
              <w:t>GL2.004</w:t>
            </w:r>
          </w:p>
        </w:tc>
        <w:tc>
          <w:tcPr>
            <w:tcW w:w="1835" w:type="pct"/>
            <w:tcBorders>
              <w:left w:val="single" w:sz="4" w:space="0" w:color="548DD4" w:themeColor="text2" w:themeTint="99"/>
            </w:tcBorders>
          </w:tcPr>
          <w:p w:rsidR="00FC0F41" w:rsidRPr="00975E6B" w:rsidRDefault="00FC0F41" w:rsidP="00C70986">
            <w:pPr>
              <w:pStyle w:val="BodyText"/>
              <w:jc w:val="left"/>
            </w:pPr>
            <w:r w:rsidRPr="00975E6B">
              <w:t>Account Code Mapping to Line Items</w:t>
            </w:r>
          </w:p>
        </w:tc>
        <w:tc>
          <w:tcPr>
            <w:tcW w:w="2333" w:type="pct"/>
            <w:tcBorders>
              <w:left w:val="single" w:sz="4" w:space="0" w:color="548DD4" w:themeColor="text2" w:themeTint="99"/>
            </w:tcBorders>
          </w:tcPr>
          <w:p w:rsidR="00FC0F41" w:rsidRPr="00975E6B" w:rsidRDefault="00FC0F41" w:rsidP="00C70986">
            <w:pPr>
              <w:pStyle w:val="BodyText"/>
              <w:jc w:val="left"/>
            </w:pPr>
            <w:r w:rsidRPr="00975E6B">
              <w:t>Data is not mapped specifically to the NHCDC as it is prepared and submitted for the VCDC purposes.</w:t>
            </w:r>
          </w:p>
        </w:tc>
      </w:tr>
      <w:tr w:rsidR="00FC0F41" w:rsidRPr="00975E6B" w:rsidTr="00C70986">
        <w:tc>
          <w:tcPr>
            <w:tcW w:w="832" w:type="pct"/>
            <w:tcBorders>
              <w:right w:val="single" w:sz="4" w:space="0" w:color="548DD4" w:themeColor="text2" w:themeTint="99"/>
            </w:tcBorders>
            <w:noWrap/>
          </w:tcPr>
          <w:p w:rsidR="00FC0F41" w:rsidRPr="00975E6B" w:rsidRDefault="00FC0F41" w:rsidP="00C70986">
            <w:pPr>
              <w:pStyle w:val="BodyText"/>
              <w:jc w:val="left"/>
            </w:pPr>
            <w:r w:rsidRPr="00975E6B">
              <w:t>COST 5.002</w:t>
            </w:r>
          </w:p>
        </w:tc>
        <w:tc>
          <w:tcPr>
            <w:tcW w:w="1835" w:type="pct"/>
            <w:tcBorders>
              <w:left w:val="single" w:sz="4" w:space="0" w:color="548DD4" w:themeColor="text2" w:themeTint="99"/>
            </w:tcBorders>
          </w:tcPr>
          <w:p w:rsidR="00FC0F41" w:rsidRPr="00975E6B" w:rsidRDefault="00FC0F41" w:rsidP="00C70986">
            <w:pPr>
              <w:pStyle w:val="BodyText"/>
              <w:jc w:val="left"/>
            </w:pPr>
            <w:r w:rsidRPr="00975E6B">
              <w:t>Treatment of Work-In-Progress Costs</w:t>
            </w:r>
          </w:p>
        </w:tc>
        <w:tc>
          <w:tcPr>
            <w:tcW w:w="2333" w:type="pct"/>
            <w:tcBorders>
              <w:left w:val="single" w:sz="4" w:space="0" w:color="548DD4" w:themeColor="text2" w:themeTint="99"/>
            </w:tcBorders>
          </w:tcPr>
          <w:p w:rsidR="00FC0F41" w:rsidRPr="00975E6B" w:rsidRDefault="00FC0F41" w:rsidP="00C70986">
            <w:pPr>
              <w:pStyle w:val="BodyText"/>
              <w:jc w:val="left"/>
            </w:pPr>
            <w:r w:rsidRPr="00975E6B">
              <w:t>Based on discussions during the review, patients are allocated costs based on their consumption of resources for that reporting period. Where costs are incurred in prior years, these are included in the final costed data and NHCDC submission.</w:t>
            </w:r>
          </w:p>
          <w:p w:rsidR="00FC0F41" w:rsidRPr="00975E6B" w:rsidRDefault="00FC0F41" w:rsidP="00C70986">
            <w:pPr>
              <w:pStyle w:val="BodyText"/>
              <w:jc w:val="left"/>
            </w:pPr>
            <w:r w:rsidRPr="00975E6B">
              <w:t>No escalation factor is applied to prior year costs.</w:t>
            </w:r>
          </w:p>
        </w:tc>
      </w:tr>
    </w:tbl>
    <w:p w:rsidR="00FC0F41" w:rsidRPr="00975E6B" w:rsidRDefault="00FC0F41" w:rsidP="00FC0F41">
      <w:pPr>
        <w:pStyle w:val="FootnoteText"/>
        <w:rPr>
          <w:bCs/>
          <w:i/>
          <w:sz w:val="16"/>
          <w:szCs w:val="16"/>
        </w:rPr>
      </w:pPr>
      <w:r w:rsidRPr="00975E6B">
        <w:rPr>
          <w:bCs/>
          <w:i/>
          <w:sz w:val="16"/>
          <w:szCs w:val="16"/>
        </w:rPr>
        <w:t>Source: KPMG</w:t>
      </w:r>
    </w:p>
    <w:p w:rsidR="00FC0F41" w:rsidRPr="00975E6B" w:rsidRDefault="00FC0F41" w:rsidP="003B387A">
      <w:pPr>
        <w:pStyle w:val="Heading2"/>
        <w:numPr>
          <w:ilvl w:val="1"/>
          <w:numId w:val="77"/>
        </w:numPr>
      </w:pPr>
      <w:bookmarkStart w:id="829" w:name="_Toc444523684"/>
      <w:r w:rsidRPr="003B387A">
        <w:t>Conclusion</w:t>
      </w:r>
      <w:bookmarkEnd w:id="829"/>
    </w:p>
    <w:p w:rsidR="00FC0F41" w:rsidRPr="00975E6B" w:rsidRDefault="00FC0F41" w:rsidP="00FC0F41">
      <w:pPr>
        <w:pStyle w:val="BodyText"/>
      </w:pPr>
      <w:r w:rsidRPr="00975E6B">
        <w:t xml:space="preserve">The findings of the </w:t>
      </w:r>
      <w:r w:rsidR="00B64F77" w:rsidRPr="00975E6B">
        <w:t>Victoria</w:t>
      </w:r>
      <w:r w:rsidRPr="00975E6B">
        <w:t xml:space="preserve"> Round 18 IFR are summarised below:</w:t>
      </w:r>
    </w:p>
    <w:p w:rsidR="00FC0F41" w:rsidRPr="00975E6B" w:rsidRDefault="00FC0F41" w:rsidP="00F26328">
      <w:pPr>
        <w:pStyle w:val="BodyText"/>
        <w:numPr>
          <w:ilvl w:val="0"/>
          <w:numId w:val="48"/>
        </w:numPr>
      </w:pPr>
      <w:r w:rsidRPr="00975E6B">
        <w:rPr>
          <w:bCs/>
        </w:rPr>
        <w:lastRenderedPageBreak/>
        <w:t xml:space="preserve">The </w:t>
      </w:r>
      <w:r w:rsidRPr="00975E6B">
        <w:t xml:space="preserve">financial reconciliations demonstrated the transformation of cost data for the sampled hospitals based on the respective hospital GL. </w:t>
      </w:r>
      <w:r w:rsidR="00B64F77" w:rsidRPr="00975E6B">
        <w:t>Victoria</w:t>
      </w:r>
      <w:r w:rsidR="00DF3D31" w:rsidRPr="00975E6B">
        <w:t xml:space="preserve"> health</w:t>
      </w:r>
      <w:r w:rsidRPr="00975E6B">
        <w:t xml:space="preserve"> removed activity from the NHCDC submissions in relation to records that failed validation tests and out-of-scope Tier</w:t>
      </w:r>
      <w:r w:rsidR="00DF3D31" w:rsidRPr="00975E6B">
        <w:t> </w:t>
      </w:r>
      <w:r w:rsidRPr="00975E6B">
        <w:t xml:space="preserve">2 clinics. </w:t>
      </w:r>
    </w:p>
    <w:p w:rsidR="00FC0F41" w:rsidRPr="00975E6B" w:rsidRDefault="00FC0F41" w:rsidP="00F26328">
      <w:pPr>
        <w:pStyle w:val="BodyText"/>
        <w:numPr>
          <w:ilvl w:val="0"/>
          <w:numId w:val="48"/>
        </w:numPr>
      </w:pPr>
      <w:r w:rsidRPr="00975E6B">
        <w:t xml:space="preserve">A variance of $158,855 was noted at </w:t>
      </w:r>
      <w:r w:rsidR="001044F3" w:rsidRPr="00975E6B">
        <w:t>St Vincent’s</w:t>
      </w:r>
      <w:r w:rsidRPr="00975E6B">
        <w:t xml:space="preserve"> between the costed products submitted to the jurisdiction and the costs allocated to patients</w:t>
      </w:r>
      <w:r w:rsidR="00C50DA9" w:rsidRPr="00975E6B">
        <w:t xml:space="preserve">. </w:t>
      </w:r>
      <w:r w:rsidRPr="00975E6B">
        <w:t>This variance related to timing issues and a file being overwritten during the costing process</w:t>
      </w:r>
      <w:r w:rsidR="00C50DA9" w:rsidRPr="00975E6B">
        <w:t xml:space="preserve">. </w:t>
      </w:r>
      <w:r w:rsidRPr="00975E6B">
        <w:t xml:space="preserve">The costs submitted to IHPA reconciled to the costs allocated to patients at </w:t>
      </w:r>
      <w:r w:rsidR="001044F3" w:rsidRPr="00975E6B">
        <w:t>St Vincent’s</w:t>
      </w:r>
      <w:r w:rsidR="00C50DA9" w:rsidRPr="00975E6B">
        <w:t xml:space="preserve">. </w:t>
      </w:r>
      <w:r w:rsidRPr="00975E6B">
        <w:t xml:space="preserve">The financial reconciliation of RVEEH had no variances. </w:t>
      </w:r>
    </w:p>
    <w:p w:rsidR="00FC0F41" w:rsidRPr="00975E6B" w:rsidRDefault="00FC0F41" w:rsidP="00F26328">
      <w:pPr>
        <w:pStyle w:val="BodyText"/>
        <w:numPr>
          <w:ilvl w:val="0"/>
          <w:numId w:val="48"/>
        </w:numPr>
      </w:pPr>
      <w:r w:rsidRPr="00975E6B">
        <w:t>Both hospitals prepare cost data for NHCDC submission in accordance with the VCDC guidelines</w:t>
      </w:r>
      <w:r w:rsidR="00C50DA9" w:rsidRPr="00975E6B">
        <w:t xml:space="preserve">. </w:t>
      </w:r>
      <w:r w:rsidRPr="00975E6B">
        <w:t xml:space="preserve">As such, Depreciation and Amortisation </w:t>
      </w:r>
      <w:r w:rsidR="0074117C" w:rsidRPr="00975E6B">
        <w:t xml:space="preserve">was </w:t>
      </w:r>
      <w:r w:rsidRPr="00975E6B">
        <w:t xml:space="preserve">excluded from patient costing and TTR </w:t>
      </w:r>
      <w:r w:rsidR="0074117C" w:rsidRPr="00975E6B">
        <w:t xml:space="preserve">was </w:t>
      </w:r>
      <w:r w:rsidRPr="00975E6B">
        <w:t>not product costed, but spread across all patients.</w:t>
      </w:r>
    </w:p>
    <w:p w:rsidR="00FC0F41" w:rsidRPr="00975E6B" w:rsidRDefault="00FC0F41" w:rsidP="00F26328">
      <w:pPr>
        <w:pStyle w:val="BodyText"/>
        <w:numPr>
          <w:ilvl w:val="0"/>
          <w:numId w:val="48"/>
        </w:numPr>
      </w:pPr>
      <w:r w:rsidRPr="00975E6B">
        <w:t xml:space="preserve">Total activity data for the hospitals was adjusted by </w:t>
      </w:r>
      <w:r w:rsidR="00B64F77" w:rsidRPr="00975E6B">
        <w:t>Victoria</w:t>
      </w:r>
      <w:r w:rsidR="00DF3D31" w:rsidRPr="00975E6B">
        <w:t xml:space="preserve"> Health </w:t>
      </w:r>
      <w:r w:rsidRPr="00975E6B">
        <w:t>for the removal of records associated with excluded costs</w:t>
      </w:r>
      <w:r w:rsidR="00C50DA9" w:rsidRPr="00975E6B">
        <w:t xml:space="preserve">. </w:t>
      </w:r>
      <w:r w:rsidRPr="00975E6B">
        <w:t>IHPA made no adjustments to activity data</w:t>
      </w:r>
      <w:r w:rsidR="00C50DA9" w:rsidRPr="00975E6B">
        <w:t xml:space="preserve">. </w:t>
      </w:r>
    </w:p>
    <w:p w:rsidR="00FC0F41" w:rsidRPr="00975E6B" w:rsidRDefault="00FC0F41" w:rsidP="00F26328">
      <w:pPr>
        <w:pStyle w:val="BodyText"/>
        <w:numPr>
          <w:ilvl w:val="0"/>
          <w:numId w:val="48"/>
        </w:numPr>
      </w:pPr>
      <w:r w:rsidRPr="00975E6B">
        <w:t xml:space="preserve">The number of records linked from source to product </w:t>
      </w:r>
      <w:r w:rsidR="0074117C" w:rsidRPr="00975E6B">
        <w:t xml:space="preserve">was </w:t>
      </w:r>
      <w:r w:rsidRPr="00975E6B">
        <w:t>significant with the majority of feeders having a greater than 90</w:t>
      </w:r>
      <w:r w:rsidR="00DA7807" w:rsidRPr="00975E6B">
        <w:t> percent</w:t>
      </w:r>
      <w:r w:rsidRPr="00975E6B">
        <w:t xml:space="preserve"> link or match across both hospitals. </w:t>
      </w:r>
      <w:r w:rsidR="005A49BD" w:rsidRPr="00975E6B">
        <w:t xml:space="preserve">This suggests that there is robustness in the level of feeder activity reported back to episodes. </w:t>
      </w:r>
      <w:r w:rsidRPr="00975E6B">
        <w:t xml:space="preserve">Large variances were noted in pharmacy due to oncology and manufactured drugs (at </w:t>
      </w:r>
      <w:r w:rsidR="001044F3" w:rsidRPr="00975E6B">
        <w:t>St</w:t>
      </w:r>
      <w:r w:rsidR="00DF3D31" w:rsidRPr="00975E6B">
        <w:t> </w:t>
      </w:r>
      <w:r w:rsidR="001044F3" w:rsidRPr="00975E6B">
        <w:t>Vincent’s</w:t>
      </w:r>
      <w:r w:rsidRPr="00975E6B">
        <w:t>) and matching repeat scripts where the activity can be up to 12 months from the original encounter (at RVEEH).</w:t>
      </w:r>
    </w:p>
    <w:p w:rsidR="00FC0F41" w:rsidRPr="00975E6B" w:rsidRDefault="00FC0F41" w:rsidP="00F26328">
      <w:pPr>
        <w:pStyle w:val="BodyText"/>
        <w:numPr>
          <w:ilvl w:val="0"/>
          <w:numId w:val="48"/>
        </w:numPr>
      </w:pPr>
      <w:r w:rsidRPr="00975E6B">
        <w:t xml:space="preserve">Data </w:t>
      </w:r>
      <w:r w:rsidR="0074117C" w:rsidRPr="00975E6B">
        <w:t xml:space="preserve">was </w:t>
      </w:r>
      <w:r w:rsidRPr="00975E6B">
        <w:t xml:space="preserve">not mapped specifically to the NHCDC as outlined in AHPCS Version 3.1 GL 2.004 as it </w:t>
      </w:r>
      <w:r w:rsidR="0074117C" w:rsidRPr="00975E6B">
        <w:t xml:space="preserve">was </w:t>
      </w:r>
      <w:r w:rsidRPr="00975E6B">
        <w:t>prepared and submitted for the VCDC purposes.</w:t>
      </w:r>
    </w:p>
    <w:p w:rsidR="00FC0F41" w:rsidRPr="00975E6B" w:rsidRDefault="00FC0F41" w:rsidP="00F26328">
      <w:pPr>
        <w:pStyle w:val="BodyText"/>
        <w:numPr>
          <w:ilvl w:val="0"/>
          <w:numId w:val="48"/>
        </w:numPr>
      </w:pPr>
      <w:r w:rsidRPr="00975E6B">
        <w:t xml:space="preserve">WIP </w:t>
      </w:r>
      <w:r w:rsidR="0074117C" w:rsidRPr="00975E6B">
        <w:t xml:space="preserve">was </w:t>
      </w:r>
      <w:r w:rsidRPr="00975E6B">
        <w:t xml:space="preserve">treated in accordance with the COST 5.002 of the AHPCS Version 3.1. It is noted that no escalation factor </w:t>
      </w:r>
      <w:r w:rsidR="0074117C" w:rsidRPr="00975E6B">
        <w:t xml:space="preserve">was </w:t>
      </w:r>
      <w:r w:rsidRPr="00975E6B">
        <w:t>applied to prior year costs.</w:t>
      </w:r>
    </w:p>
    <w:p w:rsidR="00155BD9" w:rsidRPr="00975E6B" w:rsidRDefault="00155BD9" w:rsidP="00F26328">
      <w:pPr>
        <w:pStyle w:val="BodyText"/>
        <w:numPr>
          <w:ilvl w:val="0"/>
          <w:numId w:val="48"/>
        </w:numPr>
      </w:pPr>
      <w:r w:rsidRPr="00975E6B">
        <w:t xml:space="preserve">On review of the five sample patients selected for St. Vincent’s and RVEEH, all 10 patient records reconciled with IHPA records. </w:t>
      </w:r>
    </w:p>
    <w:p w:rsidR="003B017A" w:rsidRDefault="003B017A" w:rsidP="00985223">
      <w:pPr>
        <w:pStyle w:val="BodyText"/>
      </w:pPr>
      <w:r w:rsidRPr="00975E6B">
        <w:t xml:space="preserve">Based on discussions during the site visits, </w:t>
      </w:r>
      <w:r w:rsidR="00962729" w:rsidRPr="008B40BB">
        <w:t>an end-to-end reconciliation process exists from the VCDC data submitted by the hospital to the final NHCDC submission to IHPA, however it is not formalised</w:t>
      </w:r>
      <w:r w:rsidRPr="00975E6B">
        <w:t xml:space="preserve">. It is recommended that a </w:t>
      </w:r>
      <w:r w:rsidR="00962729">
        <w:t>formalised</w:t>
      </w:r>
      <w:r w:rsidR="00962729" w:rsidRPr="00975E6B">
        <w:t xml:space="preserve"> </w:t>
      </w:r>
      <w:r w:rsidRPr="00975E6B">
        <w:t>reconciliation process be implemented for future NHCDC rounds.</w:t>
      </w:r>
      <w:r w:rsidR="00BA3F4B" w:rsidRPr="00975E6B">
        <w:t xml:space="preserve"> </w:t>
      </w:r>
      <w:r w:rsidRPr="00975E6B">
        <w:t>Victoria Health can be certain that the data submitted by each hospital for VCDC purposes has either been submitted to IHPA in the NHCDC or excluded for valid reasons.</w:t>
      </w:r>
      <w:r w:rsidR="00BA3F4B" w:rsidRPr="00975E6B">
        <w:t xml:space="preserve"> </w:t>
      </w:r>
      <w:r w:rsidRPr="00975E6B">
        <w:t>Further, they can be confident that there is consistency in the data submitted to IHPA and any comparative hospital information that may flow from the NHCDC process.</w:t>
      </w:r>
      <w:r w:rsidR="00314BB4">
        <w:t xml:space="preserve"> It is noted that a formalised reconciliation process has been implemented by Victoria for the Round 19 NHCDC.</w:t>
      </w:r>
    </w:p>
    <w:p w:rsidR="00FC0F41" w:rsidRPr="00975E6B" w:rsidRDefault="00FC0F41" w:rsidP="001140D3">
      <w:pPr>
        <w:pStyle w:val="BodyText"/>
      </w:pPr>
      <w:r w:rsidRPr="00975E6B">
        <w:t xml:space="preserve">Information provided during the review demonstrated that the financial data for the Round 18 NHCDC for both </w:t>
      </w:r>
      <w:r w:rsidR="001044F3" w:rsidRPr="00975E6B">
        <w:t>St Vincent’s</w:t>
      </w:r>
      <w:r w:rsidRPr="00975E6B">
        <w:t xml:space="preserve"> and RVEEH reconciled (there were no unexplained variances). As such, nothing </w:t>
      </w:r>
      <w:r w:rsidR="00AE5BD0" w:rsidRPr="00975E6B">
        <w:t>was identified</w:t>
      </w:r>
      <w:r w:rsidRPr="00975E6B">
        <w:t xml:space="preserve"> to suggest that the financial data</w:t>
      </w:r>
      <w:r w:rsidR="00FA471E" w:rsidRPr="00975E6B">
        <w:t xml:space="preserve"> for </w:t>
      </w:r>
      <w:r w:rsidR="001044F3" w:rsidRPr="00975E6B">
        <w:t>St Vincent’s</w:t>
      </w:r>
      <w:r w:rsidR="00FA471E" w:rsidRPr="00975E6B">
        <w:t xml:space="preserve"> and RVEEH</w:t>
      </w:r>
      <w:r w:rsidRPr="00975E6B">
        <w:t xml:space="preserve"> is not fit for NHCDC submission. Furthermore, the data flow from the jurisdiction to IHPA demonstrated no unexplained variances.</w:t>
      </w:r>
    </w:p>
    <w:p w:rsidR="00BA70A6" w:rsidRPr="00975E6B" w:rsidRDefault="00BA70A6" w:rsidP="00A952FC">
      <w:pPr>
        <w:pStyle w:val="Heading1"/>
        <w:numPr>
          <w:ilvl w:val="0"/>
          <w:numId w:val="77"/>
        </w:numPr>
      </w:pPr>
      <w:bookmarkStart w:id="830" w:name="_Toc444523685"/>
      <w:r w:rsidRPr="00975E6B">
        <w:lastRenderedPageBreak/>
        <w:t>Western Australia</w:t>
      </w:r>
      <w:bookmarkEnd w:id="830"/>
    </w:p>
    <w:p w:rsidR="00B5276F" w:rsidRPr="00975E6B" w:rsidRDefault="00B5276F" w:rsidP="00A952FC">
      <w:pPr>
        <w:pStyle w:val="Heading2"/>
        <w:numPr>
          <w:ilvl w:val="1"/>
          <w:numId w:val="77"/>
        </w:numPr>
      </w:pPr>
      <w:bookmarkStart w:id="831" w:name="_Toc444523686"/>
      <w:r w:rsidRPr="00A952FC">
        <w:t>Jurisdictional</w:t>
      </w:r>
      <w:r w:rsidRPr="00975E6B">
        <w:t xml:space="preserve"> overview</w:t>
      </w:r>
      <w:bookmarkEnd w:id="831"/>
    </w:p>
    <w:p w:rsidR="00B5276F" w:rsidRPr="00975E6B" w:rsidRDefault="00B5276F" w:rsidP="00A952FC">
      <w:pPr>
        <w:pStyle w:val="Heading3"/>
        <w:numPr>
          <w:ilvl w:val="2"/>
          <w:numId w:val="77"/>
        </w:numPr>
      </w:pPr>
      <w:r w:rsidRPr="00A952FC">
        <w:t>Management</w:t>
      </w:r>
      <w:r w:rsidRPr="00975E6B">
        <w:t xml:space="preserve"> of NHCDC process </w:t>
      </w:r>
    </w:p>
    <w:p w:rsidR="00B5276F" w:rsidRPr="00975E6B" w:rsidRDefault="00B5276F" w:rsidP="00B5276F">
      <w:pPr>
        <w:pStyle w:val="BodyText"/>
      </w:pPr>
      <w:r w:rsidRPr="00975E6B">
        <w:t>Each Area Health Service in Western Australia (WA) is responsible for the preparation of their own NHCDC submission based on the Accrued Operating Expenditure data contained in the Audited Financial Statements. The WA Department of Health (</w:t>
      </w:r>
      <w:r w:rsidR="00DF3D31" w:rsidRPr="00975E6B">
        <w:t>WA Health</w:t>
      </w:r>
      <w:r w:rsidRPr="00975E6B">
        <w:t xml:space="preserve">), through the Health System Economic Modelling Directorate, Purchasing and System Performance, continues to provide guidance and support for the NHCDC process for the health services around WA. </w:t>
      </w:r>
    </w:p>
    <w:p w:rsidR="00B5276F" w:rsidRPr="00975E6B" w:rsidRDefault="00DF3D31" w:rsidP="00B5276F">
      <w:pPr>
        <w:pStyle w:val="BodyText"/>
      </w:pPr>
      <w:r w:rsidRPr="00975E6B">
        <w:t>Power Performance Manager 2 (</w:t>
      </w:r>
      <w:r w:rsidR="00B5276F" w:rsidRPr="00975E6B">
        <w:t>PPM2</w:t>
      </w:r>
      <w:r w:rsidRPr="00975E6B">
        <w:t>)</w:t>
      </w:r>
      <w:r w:rsidR="00B5276F" w:rsidRPr="00975E6B">
        <w:t xml:space="preserve"> is the software used across all NHCDC sites</w:t>
      </w:r>
      <w:r w:rsidRPr="00975E6B">
        <w:t xml:space="preserve"> in WA</w:t>
      </w:r>
      <w:r w:rsidR="00B5276F" w:rsidRPr="00975E6B">
        <w:t xml:space="preserve">. The software was first implemented for Round 17. However, Round 18 is the first year </w:t>
      </w:r>
      <w:r w:rsidRPr="00975E6B">
        <w:t>work in progress (</w:t>
      </w:r>
      <w:r w:rsidR="00B5276F" w:rsidRPr="00975E6B">
        <w:t>WIP</w:t>
      </w:r>
      <w:r w:rsidRPr="00975E6B">
        <w:t>) patient</w:t>
      </w:r>
      <w:r w:rsidR="00B5276F" w:rsidRPr="00975E6B">
        <w:t xml:space="preserve"> amounts were included in the NHCDC process.</w:t>
      </w:r>
    </w:p>
    <w:p w:rsidR="00B5276F" w:rsidRPr="00975E6B" w:rsidRDefault="001E2D76" w:rsidP="00B5276F">
      <w:pPr>
        <w:pStyle w:val="BodyText"/>
      </w:pPr>
      <w:r w:rsidRPr="00975E6B">
        <w:t>For</w:t>
      </w:r>
      <w:r w:rsidR="00B5276F" w:rsidRPr="00975E6B">
        <w:t xml:space="preserve"> Round 18</w:t>
      </w:r>
      <w:r w:rsidRPr="00975E6B">
        <w:t xml:space="preserve">, </w:t>
      </w:r>
      <w:r w:rsidR="00BC6D16" w:rsidRPr="00975E6B">
        <w:t xml:space="preserve">WA Health nominated </w:t>
      </w:r>
      <w:r w:rsidRPr="00975E6B">
        <w:t xml:space="preserve">Rockingham General Hospital and Princess Margaret Hospital </w:t>
      </w:r>
      <w:r w:rsidR="00BC6D16" w:rsidRPr="00975E6B">
        <w:t xml:space="preserve">to participate in the IFR. </w:t>
      </w:r>
    </w:p>
    <w:p w:rsidR="00B5276F" w:rsidRPr="00975E6B" w:rsidRDefault="00B5276F" w:rsidP="00B5276F">
      <w:pPr>
        <w:pStyle w:val="BodyText"/>
      </w:pPr>
      <w:r w:rsidRPr="00975E6B">
        <w:t xml:space="preserve">There is no formal sign-off of the NHCDC data at executive level for either </w:t>
      </w:r>
      <w:r w:rsidR="00C15673" w:rsidRPr="00975E6B">
        <w:t>Rockingham General</w:t>
      </w:r>
      <w:r w:rsidRPr="00975E6B">
        <w:t xml:space="preserve"> or </w:t>
      </w:r>
      <w:r w:rsidR="003F167A" w:rsidRPr="00975E6B">
        <w:t xml:space="preserve">Princess </w:t>
      </w:r>
      <w:proofErr w:type="gramStart"/>
      <w:r w:rsidR="000C19A6" w:rsidRPr="00975E6B">
        <w:t>Margaret</w:t>
      </w:r>
      <w:r w:rsidR="00404E4F">
        <w:t>,</w:t>
      </w:r>
      <w:proofErr w:type="gramEnd"/>
      <w:r w:rsidR="00BA3F4B" w:rsidRPr="00975E6B">
        <w:t xml:space="preserve"> however,</w:t>
      </w:r>
      <w:r w:rsidRPr="00975E6B">
        <w:t xml:space="preserve"> the health services implement their own internal checks and processes before sending the data to </w:t>
      </w:r>
      <w:r w:rsidR="00DF3D31" w:rsidRPr="00975E6B">
        <w:t>WA Health</w:t>
      </w:r>
      <w:r w:rsidRPr="00975E6B">
        <w:t xml:space="preserve">. At </w:t>
      </w:r>
      <w:r w:rsidR="00C15673" w:rsidRPr="00975E6B">
        <w:t>Rockingham General</w:t>
      </w:r>
      <w:r w:rsidRPr="00975E6B">
        <w:t xml:space="preserve">, the Operations Manager has ownership of the NHCDC data, and is required to sign off on the data before submission to </w:t>
      </w:r>
      <w:r w:rsidR="00DF3D31" w:rsidRPr="00975E6B">
        <w:t>WA Health</w:t>
      </w:r>
      <w:r w:rsidRPr="00975E6B">
        <w:t xml:space="preserve"> by the </w:t>
      </w:r>
      <w:proofErr w:type="spellStart"/>
      <w:r w:rsidRPr="00975E6B">
        <w:t>Casemix</w:t>
      </w:r>
      <w:proofErr w:type="spellEnd"/>
      <w:r w:rsidRPr="00975E6B">
        <w:t xml:space="preserve"> Manager. A similar process is undertaken for </w:t>
      </w:r>
      <w:r w:rsidR="003F167A" w:rsidRPr="00975E6B">
        <w:t>Princess Margaret</w:t>
      </w:r>
      <w:r w:rsidRPr="00975E6B">
        <w:t xml:space="preserve"> with internal checks, which include service managers agreeing that the NHCDC data is fit for purpose before it is submitted. An executive level formal sign-off process is being implemented for Round 19.</w:t>
      </w:r>
    </w:p>
    <w:p w:rsidR="00B5276F" w:rsidRPr="00975E6B" w:rsidRDefault="00B5276F" w:rsidP="00B5276F">
      <w:pPr>
        <w:pStyle w:val="BodyText"/>
      </w:pPr>
      <w:r w:rsidRPr="00975E6B">
        <w:t xml:space="preserve">Once the costed results are received by </w:t>
      </w:r>
      <w:r w:rsidR="00DF3D31" w:rsidRPr="00975E6B">
        <w:t>WA Health</w:t>
      </w:r>
      <w:r w:rsidRPr="00975E6B">
        <w:t xml:space="preserve">, adjustments are made by the jurisdiction. These adjustments include removal of </w:t>
      </w:r>
      <w:r w:rsidR="00BC6D16" w:rsidRPr="00975E6B">
        <w:t>teaching, training and research (</w:t>
      </w:r>
      <w:r w:rsidRPr="00975E6B">
        <w:t>TTR</w:t>
      </w:r>
      <w:r w:rsidR="00BC6D16" w:rsidRPr="00975E6B">
        <w:t>)</w:t>
      </w:r>
      <w:r w:rsidRPr="00975E6B">
        <w:t xml:space="preserve"> costs and WIP. Finally, a </w:t>
      </w:r>
      <w:r w:rsidR="00BC6D16" w:rsidRPr="00975E6B">
        <w:t xml:space="preserve">quality assurance </w:t>
      </w:r>
      <w:r w:rsidRPr="00975E6B">
        <w:t xml:space="preserve">process is undertaken and all critical warnings are addressed before the data is regarded as fit for submission. </w:t>
      </w:r>
      <w:r w:rsidR="00DF3D31" w:rsidRPr="00975E6B">
        <w:t>WA Health</w:t>
      </w:r>
      <w:r w:rsidRPr="00975E6B">
        <w:t xml:space="preserve"> addresses any further checks or queries that may arise from the IHPA data validation process.</w:t>
      </w:r>
    </w:p>
    <w:p w:rsidR="00B5276F" w:rsidRPr="00975E6B" w:rsidRDefault="00934925" w:rsidP="00A952FC">
      <w:pPr>
        <w:pStyle w:val="Heading4"/>
        <w:numPr>
          <w:ilvl w:val="0"/>
          <w:numId w:val="0"/>
        </w:numPr>
        <w:ind w:left="720" w:hanging="720"/>
      </w:pPr>
      <w:r w:rsidRPr="00975E6B">
        <w:t>Key initiatives since Round 17 NHCDC</w:t>
      </w:r>
      <w:r w:rsidRPr="00975E6B" w:rsidDel="007A24FF">
        <w:t xml:space="preserve"> </w:t>
      </w:r>
    </w:p>
    <w:p w:rsidR="00277B23" w:rsidRPr="00975E6B" w:rsidRDefault="00B5276F" w:rsidP="00B5276F">
      <w:pPr>
        <w:pStyle w:val="BodyText"/>
      </w:pPr>
      <w:r w:rsidRPr="00975E6B">
        <w:t xml:space="preserve">In Round 17, </w:t>
      </w:r>
      <w:r w:rsidR="00DF3D31" w:rsidRPr="00975E6B">
        <w:t>WA Health</w:t>
      </w:r>
      <w:r w:rsidRPr="00975E6B">
        <w:t xml:space="preserve"> undertook an internal Australian Hospital Patient Costing Standards (AHPCS) Version 3.1 compliance project and developed educational tools and documentation to enhance hospital costing. A copy of the Patient Costing Standards Compliance Audit – 2013/14 was provided to the review team</w:t>
      </w:r>
      <w:r w:rsidRPr="00975E6B">
        <w:rPr>
          <w:rStyle w:val="CommentReference"/>
          <w:sz w:val="20"/>
          <w:szCs w:val="20"/>
        </w:rPr>
        <w:t xml:space="preserve">. The audit </w:t>
      </w:r>
      <w:r w:rsidRPr="00975E6B">
        <w:t xml:space="preserve">indicated that </w:t>
      </w:r>
      <w:r w:rsidR="00DF3D31" w:rsidRPr="00975E6B">
        <w:t>WA Health</w:t>
      </w:r>
      <w:r w:rsidRPr="00975E6B">
        <w:t xml:space="preserve"> were compliant with 86</w:t>
      </w:r>
      <w:r w:rsidR="00625C35" w:rsidRPr="00975E6B">
        <w:t> percent</w:t>
      </w:r>
      <w:r w:rsidRPr="00975E6B">
        <w:t xml:space="preserve"> of the AHPCS, partially compliant with 11</w:t>
      </w:r>
      <w:r w:rsidR="00625C35" w:rsidRPr="00975E6B">
        <w:t> percent</w:t>
      </w:r>
      <w:r w:rsidRPr="00975E6B">
        <w:t xml:space="preserve"> of the AHPCS and</w:t>
      </w:r>
      <w:r w:rsidR="00163308" w:rsidRPr="00975E6B">
        <w:t xml:space="preserve"> non-compliant with 3 percent of the AHPCS (i.e. non-compliance with one standard - SCP 3F.001 Matching Production and Cost – Order Request Point)</w:t>
      </w:r>
      <w:r w:rsidR="00625C35" w:rsidRPr="00975E6B">
        <w:t>.</w:t>
      </w:r>
      <w:r w:rsidR="00277B23" w:rsidRPr="00975E6B">
        <w:t xml:space="preserve"> </w:t>
      </w:r>
    </w:p>
    <w:p w:rsidR="00B5276F" w:rsidRPr="00975E6B" w:rsidRDefault="00277B23" w:rsidP="00B5276F">
      <w:pPr>
        <w:pStyle w:val="BodyText"/>
      </w:pPr>
      <w:r w:rsidRPr="00975E6B">
        <w:t xml:space="preserve">This non-compliance relates to the functionality within the PPM2 costing system in relation to the date matching process for service events. Where there is no link by episode number, PPM2 </w:t>
      </w:r>
      <w:r w:rsidRPr="00975E6B">
        <w:lastRenderedPageBreak/>
        <w:t>uses a series of date matching windows per patient type, whereas, SCP 3F.001 limits the date matching process to the service’s order point.</w:t>
      </w:r>
      <w:r w:rsidRPr="00975E6B">
        <w:rPr>
          <w:rStyle w:val="FootnoteReference"/>
        </w:rPr>
        <w:footnoteReference w:id="14"/>
      </w:r>
    </w:p>
    <w:p w:rsidR="00B5276F" w:rsidRPr="00975E6B" w:rsidRDefault="00B5276F" w:rsidP="00A952FC">
      <w:pPr>
        <w:pStyle w:val="Heading2"/>
        <w:numPr>
          <w:ilvl w:val="1"/>
          <w:numId w:val="77"/>
        </w:numPr>
      </w:pPr>
      <w:bookmarkStart w:id="832" w:name="_Toc444523687"/>
      <w:r w:rsidRPr="00A952FC">
        <w:t>Rockingham</w:t>
      </w:r>
      <w:r w:rsidRPr="00975E6B">
        <w:t xml:space="preserve"> General Hospital</w:t>
      </w:r>
      <w:bookmarkEnd w:id="832"/>
    </w:p>
    <w:p w:rsidR="00B5276F" w:rsidRPr="00975E6B" w:rsidRDefault="00B5276F" w:rsidP="00A952FC">
      <w:pPr>
        <w:pStyle w:val="Heading3"/>
        <w:numPr>
          <w:ilvl w:val="2"/>
          <w:numId w:val="77"/>
        </w:numPr>
      </w:pPr>
      <w:r w:rsidRPr="00A952FC">
        <w:t>Overview</w:t>
      </w:r>
    </w:p>
    <w:p w:rsidR="00B5276F" w:rsidRPr="00975E6B" w:rsidRDefault="00C15673" w:rsidP="00B5276F">
      <w:pPr>
        <w:pStyle w:val="BodyText"/>
      </w:pPr>
      <w:r w:rsidRPr="00975E6B">
        <w:t xml:space="preserve">Rockingham General Hospital (Rockingham General) </w:t>
      </w:r>
      <w:r w:rsidR="00B5276F" w:rsidRPr="00975E6B">
        <w:t xml:space="preserve">is located in Rockingham, approximately 50 kilometres south of the Perth </w:t>
      </w:r>
      <w:r w:rsidR="002D636A" w:rsidRPr="00975E6B">
        <w:t>central business district</w:t>
      </w:r>
      <w:r w:rsidR="00B5276F" w:rsidRPr="00975E6B">
        <w:t xml:space="preserve">. </w:t>
      </w:r>
      <w:r w:rsidRPr="00975E6B">
        <w:t>Rockingham General</w:t>
      </w:r>
      <w:r w:rsidR="00B5276F" w:rsidRPr="00975E6B">
        <w:t xml:space="preserve"> provides both inpatient and </w:t>
      </w:r>
      <w:r w:rsidR="00FC6E55" w:rsidRPr="00975E6B">
        <w:t>non-admitted</w:t>
      </w:r>
      <w:r w:rsidR="00B5276F" w:rsidRPr="00975E6B">
        <w:t xml:space="preserve"> services for adults and children. Having first opened in 1975, </w:t>
      </w:r>
      <w:r w:rsidRPr="00975E6B">
        <w:t>Rockingham General</w:t>
      </w:r>
      <w:r w:rsidR="00B5276F" w:rsidRPr="00975E6B">
        <w:t xml:space="preserve"> has undergone extensive redevelopment transforming from a district hospital into a general hospital providing a range of emergency, medical and surgical services for the Rockingham community. The hospital has a 24</w:t>
      </w:r>
      <w:r w:rsidR="002D636A" w:rsidRPr="00975E6B">
        <w:t xml:space="preserve"> </w:t>
      </w:r>
      <w:r w:rsidR="00B5276F" w:rsidRPr="00975E6B">
        <w:t>hour Emergency Department (ED), Intensive Care Unit (ICU) and a 30 bed mental health inpatient unit. In total, it has more than 200 beds.</w:t>
      </w:r>
    </w:p>
    <w:p w:rsidR="00B5276F" w:rsidRPr="00975E6B" w:rsidRDefault="00C15673" w:rsidP="00B5276F">
      <w:pPr>
        <w:pStyle w:val="BodyText"/>
      </w:pPr>
      <w:r w:rsidRPr="00975E6B">
        <w:t>Rockingham General</w:t>
      </w:r>
      <w:r w:rsidR="00B5276F" w:rsidRPr="00975E6B">
        <w:t xml:space="preserve"> is a member of the Rockingham Peel Group</w:t>
      </w:r>
      <w:r w:rsidRPr="00975E6B">
        <w:t xml:space="preserve"> </w:t>
      </w:r>
      <w:r w:rsidR="00B5276F" w:rsidRPr="00975E6B">
        <w:t xml:space="preserve">and a health care provider for people in the south coastal metropolitan area of WA. The </w:t>
      </w:r>
      <w:r w:rsidR="002D636A" w:rsidRPr="00975E6B">
        <w:t>Rockingham Peel Group</w:t>
      </w:r>
      <w:r w:rsidR="00B5276F" w:rsidRPr="00975E6B">
        <w:t xml:space="preserve"> is part of the South Metropolitan Health Service (</w:t>
      </w:r>
      <w:r w:rsidR="002D636A" w:rsidRPr="00975E6B">
        <w:t>South Metro HS)</w:t>
      </w:r>
      <w:r w:rsidR="00B5276F" w:rsidRPr="00975E6B">
        <w:t xml:space="preserve"> and comprises two hospital campuses, the </w:t>
      </w:r>
      <w:r w:rsidRPr="00975E6B">
        <w:t>Rockingham General</w:t>
      </w:r>
      <w:r w:rsidR="00B5276F" w:rsidRPr="00975E6B">
        <w:t xml:space="preserve"> and Murray District Hospital, in addition to community and mental health services across Peel, Rockingham and Kwinana. Across these facilities, more than 1,000 staff members are employed.</w:t>
      </w:r>
      <w:r w:rsidR="00B5276F" w:rsidRPr="00975E6B">
        <w:rPr>
          <w:rStyle w:val="FootnoteReference"/>
        </w:rPr>
        <w:footnoteReference w:id="15"/>
      </w:r>
    </w:p>
    <w:p w:rsidR="00B5276F" w:rsidRPr="00975E6B" w:rsidRDefault="00B5276F" w:rsidP="00A952FC">
      <w:pPr>
        <w:pStyle w:val="Heading3"/>
        <w:numPr>
          <w:ilvl w:val="2"/>
          <w:numId w:val="77"/>
        </w:numPr>
      </w:pPr>
      <w:r w:rsidRPr="00A952FC">
        <w:t>Financial</w:t>
      </w:r>
      <w:r w:rsidRPr="00975E6B">
        <w:t xml:space="preserve"> data</w:t>
      </w:r>
    </w:p>
    <w:p w:rsidR="00B5276F" w:rsidRPr="00975E6B" w:rsidRDefault="00B5276F" w:rsidP="00B5276F">
      <w:pPr>
        <w:pStyle w:val="BodyText"/>
      </w:pPr>
      <w:r w:rsidRPr="00975E6B">
        <w:t xml:space="preserve">For the Round 18 IFR, </w:t>
      </w:r>
      <w:r w:rsidR="002D636A" w:rsidRPr="00975E6B">
        <w:t xml:space="preserve">the South Metro HS </w:t>
      </w:r>
      <w:r w:rsidRPr="00975E6B">
        <w:t xml:space="preserve">and </w:t>
      </w:r>
      <w:r w:rsidR="00DF3D31" w:rsidRPr="00975E6B">
        <w:t>WA Health</w:t>
      </w:r>
      <w:r w:rsidRPr="00975E6B">
        <w:t xml:space="preserve"> representatives completed the relevant IFR templates and participated in consultations during the review.</w:t>
      </w:r>
    </w:p>
    <w:p w:rsidR="00B5276F" w:rsidRPr="00975E6B" w:rsidRDefault="00B5276F" w:rsidP="00B5276F">
      <w:pPr>
        <w:pStyle w:val="BodyText"/>
      </w:pPr>
      <w:r w:rsidRPr="00975E6B">
        <w:fldChar w:fldCharType="begin"/>
      </w:r>
      <w:r w:rsidRPr="00975E6B">
        <w:instrText xml:space="preserve"> REF _Ref434147302 \h </w:instrText>
      </w:r>
      <w:r w:rsidR="00975E6B">
        <w:instrText xml:space="preserve"> \* MERGEFORMAT </w:instrText>
      </w:r>
      <w:r w:rsidRPr="00975E6B">
        <w:fldChar w:fldCharType="separate"/>
      </w:r>
      <w:r w:rsidR="00154CF7" w:rsidRPr="00975E6B">
        <w:t xml:space="preserve">Table </w:t>
      </w:r>
      <w:r w:rsidR="00154CF7">
        <w:rPr>
          <w:noProof/>
        </w:rPr>
        <w:t>94</w:t>
      </w:r>
      <w:r w:rsidRPr="00975E6B">
        <w:fldChar w:fldCharType="end"/>
      </w:r>
      <w:r w:rsidRPr="00975E6B">
        <w:t xml:space="preserve"> presents an overview of the template results for expenditures used for costing (at the hospital level), the jurisdictional process for cost data received and the IHPA process for cost data received.</w:t>
      </w:r>
    </w:p>
    <w:p w:rsidR="00B5276F" w:rsidRPr="00975E6B" w:rsidRDefault="00B5276F" w:rsidP="00B5276F">
      <w:pPr>
        <w:pStyle w:val="BodyText"/>
      </w:pPr>
    </w:p>
    <w:p w:rsidR="00B5276F" w:rsidRPr="00975E6B" w:rsidRDefault="00B5276F" w:rsidP="00B5276F">
      <w:pPr>
        <w:pStyle w:val="BodyText"/>
      </w:pPr>
    </w:p>
    <w:p w:rsidR="00B5276F" w:rsidRPr="00975E6B" w:rsidRDefault="00B5276F" w:rsidP="00B5276F">
      <w:pPr>
        <w:pStyle w:val="Caption"/>
        <w:sectPr w:rsidR="00B5276F" w:rsidRPr="00975E6B" w:rsidSect="00CD1518">
          <w:endnotePr>
            <w:numFmt w:val="decimal"/>
          </w:endnotePr>
          <w:pgSz w:w="11907" w:h="16840" w:code="9"/>
          <w:pgMar w:top="1843" w:right="1474" w:bottom="1560" w:left="1474" w:header="958" w:footer="737" w:gutter="454"/>
          <w:cols w:space="720"/>
          <w:docGrid w:linePitch="272"/>
        </w:sectPr>
      </w:pPr>
    </w:p>
    <w:p w:rsidR="00B5276F" w:rsidRPr="00975E6B" w:rsidRDefault="00B5276F" w:rsidP="00B5276F">
      <w:pPr>
        <w:pStyle w:val="Caption"/>
      </w:pPr>
      <w:bookmarkStart w:id="833" w:name="_Ref434147302"/>
      <w:r w:rsidRPr="00975E6B">
        <w:lastRenderedPageBreak/>
        <w:t xml:space="preserve">Table </w:t>
      </w:r>
      <w:fldSimple w:instr=" SEQ Table \* ARABIC ">
        <w:r w:rsidR="00154CF7">
          <w:rPr>
            <w:noProof/>
          </w:rPr>
          <w:t>94</w:t>
        </w:r>
      </w:fldSimple>
      <w:bookmarkEnd w:id="833"/>
      <w:r w:rsidRPr="00975E6B">
        <w:t xml:space="preserve"> – </w:t>
      </w:r>
      <w:proofErr w:type="gramStart"/>
      <w:r w:rsidRPr="00975E6B">
        <w:t>Round 18 NHCDC Reconciliation – Rockingham General Hospital</w:t>
      </w:r>
      <w:proofErr w:type="gramEnd"/>
    </w:p>
    <w:p w:rsidR="00B5276F" w:rsidRPr="00975E6B" w:rsidRDefault="00E52E03" w:rsidP="00B5276F">
      <w:r w:rsidRPr="00E52E03">
        <w:rPr>
          <w:noProof/>
          <w:lang w:eastAsia="en-AU"/>
        </w:rPr>
        <w:drawing>
          <wp:inline distT="0" distB="0" distL="0" distR="0" wp14:anchorId="2201F746" wp14:editId="4077F054">
            <wp:extent cx="8437880" cy="3196105"/>
            <wp:effectExtent l="0" t="0" r="1270" b="4445"/>
            <wp:docPr id="19" name="Picture 19" descr="This table presents the financial reconciliation of hospital expenditure for Round 18 for Rockingham General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 title="Table 94 - Round 18 NHCDC Reconciliation – Rockingham General Hospi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8437880" cy="3196105"/>
                    </a:xfrm>
                    <a:prstGeom prst="rect">
                      <a:avLst/>
                    </a:prstGeom>
                    <a:noFill/>
                    <a:ln>
                      <a:noFill/>
                    </a:ln>
                  </pic:spPr>
                </pic:pic>
              </a:graphicData>
            </a:graphic>
          </wp:inline>
        </w:drawing>
      </w:r>
    </w:p>
    <w:p w:rsidR="00B5276F" w:rsidRPr="00975E6B" w:rsidRDefault="00B5276F" w:rsidP="00B5276F">
      <w:pPr>
        <w:rPr>
          <w:bCs/>
          <w:i/>
          <w:sz w:val="16"/>
          <w:szCs w:val="16"/>
        </w:rPr>
      </w:pPr>
      <w:r w:rsidRPr="00975E6B">
        <w:rPr>
          <w:bCs/>
          <w:i/>
          <w:sz w:val="16"/>
          <w:szCs w:val="16"/>
        </w:rPr>
        <w:t xml:space="preserve">Source: KPMG based on </w:t>
      </w:r>
      <w:r w:rsidR="00C15673" w:rsidRPr="00975E6B">
        <w:rPr>
          <w:bCs/>
          <w:i/>
          <w:sz w:val="16"/>
          <w:szCs w:val="16"/>
        </w:rPr>
        <w:t>Rockingham General</w:t>
      </w:r>
      <w:r w:rsidRPr="00975E6B">
        <w:rPr>
          <w:bCs/>
          <w:i/>
          <w:sz w:val="16"/>
          <w:szCs w:val="16"/>
        </w:rPr>
        <w:t xml:space="preserve"> IFR templates</w:t>
      </w:r>
    </w:p>
    <w:p w:rsidR="00B5276F" w:rsidRPr="00975E6B" w:rsidRDefault="00B5276F" w:rsidP="00B5276F">
      <w:pPr>
        <w:rPr>
          <w:bCs/>
          <w:i/>
          <w:sz w:val="16"/>
          <w:szCs w:val="16"/>
        </w:rPr>
      </w:pPr>
      <w:r w:rsidRPr="00975E6B">
        <w:rPr>
          <w:bCs/>
          <w:i/>
          <w:sz w:val="16"/>
          <w:szCs w:val="16"/>
        </w:rPr>
        <w:t xml:space="preserve">* This amount includes virtual admitted emergency costs </w:t>
      </w:r>
    </w:p>
    <w:p w:rsidR="00B5276F" w:rsidRPr="00975E6B" w:rsidRDefault="00B5276F" w:rsidP="00B5276F">
      <w:pPr>
        <w:rPr>
          <w:bCs/>
          <w:i/>
          <w:sz w:val="16"/>
          <w:szCs w:val="16"/>
        </w:rPr>
      </w:pPr>
    </w:p>
    <w:p w:rsidR="00B5276F" w:rsidRPr="00975E6B" w:rsidRDefault="00B5276F" w:rsidP="00F26328">
      <w:pPr>
        <w:pStyle w:val="Heading4"/>
        <w:numPr>
          <w:ilvl w:val="3"/>
          <w:numId w:val="63"/>
        </w:numPr>
        <w:sectPr w:rsidR="00B5276F" w:rsidRPr="00975E6B" w:rsidSect="00835E8A">
          <w:endnotePr>
            <w:numFmt w:val="decimal"/>
          </w:endnotePr>
          <w:pgSz w:w="16840" w:h="11907" w:orient="landscape" w:code="9"/>
          <w:pgMar w:top="1474" w:right="1964" w:bottom="1474" w:left="1588" w:header="958" w:footer="737" w:gutter="454"/>
          <w:cols w:space="720"/>
          <w:docGrid w:linePitch="272"/>
        </w:sectPr>
      </w:pPr>
    </w:p>
    <w:p w:rsidR="00B5276F" w:rsidRPr="00975E6B" w:rsidRDefault="00B5276F" w:rsidP="00A952FC">
      <w:pPr>
        <w:pStyle w:val="Heading4"/>
        <w:numPr>
          <w:ilvl w:val="0"/>
          <w:numId w:val="0"/>
        </w:numPr>
      </w:pPr>
      <w:r w:rsidRPr="00975E6B">
        <w:lastRenderedPageBreak/>
        <w:t>Explanation of reconciliation items</w:t>
      </w:r>
    </w:p>
    <w:p w:rsidR="00B5276F" w:rsidRPr="00975E6B" w:rsidRDefault="00914D23" w:rsidP="00B5276F">
      <w:pPr>
        <w:pStyle w:val="BodyText"/>
      </w:pPr>
      <w:r w:rsidRPr="00975E6B">
        <w:fldChar w:fldCharType="begin"/>
      </w:r>
      <w:r w:rsidRPr="00975E6B">
        <w:instrText xml:space="preserve"> REF _Ref434265594 \h </w:instrText>
      </w:r>
      <w:r w:rsidR="00975E6B">
        <w:instrText xml:space="preserve"> \* MERGEFORMAT </w:instrText>
      </w:r>
      <w:r w:rsidRPr="00975E6B">
        <w:fldChar w:fldCharType="separate"/>
      </w:r>
      <w:r w:rsidR="00154CF7" w:rsidRPr="00975E6B">
        <w:t xml:space="preserve">Table </w:t>
      </w:r>
      <w:r w:rsidR="00154CF7">
        <w:rPr>
          <w:noProof/>
        </w:rPr>
        <w:t>95</w:t>
      </w:r>
      <w:r w:rsidRPr="00975E6B">
        <w:fldChar w:fldCharType="end"/>
      </w:r>
      <w:r w:rsidRPr="00975E6B">
        <w:t xml:space="preserve"> </w:t>
      </w:r>
      <w:r w:rsidR="00B5276F" w:rsidRPr="00975E6B">
        <w:t>discusses each of the reconciliation items, including adjustments, inclusions and exclusions to the general ledger</w:t>
      </w:r>
      <w:r w:rsidR="002D636A" w:rsidRPr="00975E6B">
        <w:t xml:space="preserve"> (GL)</w:t>
      </w:r>
      <w:r w:rsidR="00B5276F" w:rsidRPr="00975E6B">
        <w:t>.</w:t>
      </w:r>
    </w:p>
    <w:p w:rsidR="00B5276F" w:rsidRPr="00975E6B" w:rsidRDefault="00B5276F" w:rsidP="00B5276F">
      <w:pPr>
        <w:pStyle w:val="Caption"/>
      </w:pPr>
      <w:bookmarkStart w:id="834" w:name="_Ref434265594"/>
      <w:r w:rsidRPr="00975E6B">
        <w:t xml:space="preserve">Table </w:t>
      </w:r>
      <w:fldSimple w:instr=" SEQ Table \* ARABIC ">
        <w:r w:rsidR="00154CF7">
          <w:rPr>
            <w:noProof/>
          </w:rPr>
          <w:t>95</w:t>
        </w:r>
      </w:fldSimple>
      <w:bookmarkEnd w:id="834"/>
      <w:r w:rsidRPr="00975E6B">
        <w:t xml:space="preserve"> – </w:t>
      </w:r>
      <w:r w:rsidR="00704A46" w:rsidRPr="00975E6B">
        <w:t>Financial Reconciliation, explanation of items</w:t>
      </w:r>
      <w:r w:rsidRPr="00975E6B">
        <w:t xml:space="preserve"> – Rockingham General Hospital</w:t>
      </w:r>
    </w:p>
    <w:tbl>
      <w:tblPr>
        <w:tblStyle w:val="ListTable4-Accent11"/>
        <w:tblW w:w="5000" w:type="pct"/>
        <w:tblLayout w:type="fixed"/>
        <w:tblLook w:val="0620" w:firstRow="1" w:lastRow="0" w:firstColumn="0" w:lastColumn="0" w:noHBand="1" w:noVBand="1"/>
        <w:tblCaption w:val="Table 95 - Financial reconciliation, explanation of items - Rockingham General Hospital"/>
        <w:tblDescription w:val="This table describes the information presented in Table 94.  The first column is the item number (A to K), the second column is the title of the item number and the third column is a description of the financial information included at that item.&#10;"/>
      </w:tblPr>
      <w:tblGrid>
        <w:gridCol w:w="722"/>
        <w:gridCol w:w="2622"/>
        <w:gridCol w:w="5377"/>
      </w:tblGrid>
      <w:tr w:rsidR="00B5276F"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14" w:type="pct"/>
            <w:tcBorders>
              <w:right w:val="single" w:sz="4" w:space="0" w:color="548DD4" w:themeColor="text2" w:themeTint="99"/>
            </w:tcBorders>
            <w:shd w:val="clear" w:color="auto" w:fill="002060"/>
            <w:noWrap/>
          </w:tcPr>
          <w:p w:rsidR="00B5276F" w:rsidRPr="00975E6B" w:rsidRDefault="00B5276F" w:rsidP="00AF6CC3">
            <w:r w:rsidRPr="00975E6B">
              <w:t>Item</w:t>
            </w:r>
          </w:p>
        </w:tc>
        <w:tc>
          <w:tcPr>
            <w:tcW w:w="1503" w:type="pct"/>
            <w:tcBorders>
              <w:left w:val="single" w:sz="4" w:space="0" w:color="548DD4" w:themeColor="text2" w:themeTint="99"/>
            </w:tcBorders>
            <w:shd w:val="clear" w:color="auto" w:fill="002060"/>
          </w:tcPr>
          <w:p w:rsidR="00B5276F" w:rsidRPr="00975E6B" w:rsidRDefault="00B5276F" w:rsidP="00AF6CC3">
            <w:r w:rsidRPr="00975E6B">
              <w:t>Heading</w:t>
            </w:r>
          </w:p>
        </w:tc>
        <w:tc>
          <w:tcPr>
            <w:tcW w:w="3083" w:type="pct"/>
            <w:tcBorders>
              <w:left w:val="single" w:sz="4" w:space="0" w:color="548DD4" w:themeColor="text2" w:themeTint="99"/>
            </w:tcBorders>
            <w:shd w:val="clear" w:color="auto" w:fill="002060"/>
          </w:tcPr>
          <w:p w:rsidR="00B5276F" w:rsidRPr="00975E6B" w:rsidRDefault="00B5276F" w:rsidP="00AF6CC3">
            <w:r w:rsidRPr="00975E6B">
              <w:t>Discussion</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t>A</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General Ledger</w:t>
            </w:r>
          </w:p>
        </w:tc>
        <w:tc>
          <w:tcPr>
            <w:tcW w:w="3083" w:type="pct"/>
            <w:tcBorders>
              <w:left w:val="single" w:sz="4" w:space="0" w:color="548DD4" w:themeColor="text2" w:themeTint="99"/>
            </w:tcBorders>
          </w:tcPr>
          <w:p w:rsidR="00B5276F" w:rsidRPr="00975E6B" w:rsidRDefault="00B5276F">
            <w:pPr>
              <w:pStyle w:val="BodyText"/>
            </w:pPr>
            <w:r w:rsidRPr="00975E6B">
              <w:t xml:space="preserve">The final </w:t>
            </w:r>
            <w:r w:rsidR="002D636A" w:rsidRPr="00975E6B">
              <w:t>GL</w:t>
            </w:r>
            <w:r w:rsidRPr="00975E6B">
              <w:t xml:space="preserve"> amount extracted indicates expenditure of $2.22 billion. It should be noted that this </w:t>
            </w:r>
            <w:r w:rsidR="0074117C" w:rsidRPr="00975E6B">
              <w:t xml:space="preserve">was </w:t>
            </w:r>
            <w:r w:rsidRPr="00975E6B">
              <w:t xml:space="preserve">the total for </w:t>
            </w:r>
            <w:r w:rsidR="002D636A" w:rsidRPr="00975E6B">
              <w:t>South Metro HS</w:t>
            </w:r>
            <w:r w:rsidRPr="00975E6B">
              <w:t xml:space="preserve"> of which </w:t>
            </w:r>
            <w:r w:rsidR="00C15673" w:rsidRPr="00975E6B">
              <w:t>Rockingham General</w:t>
            </w:r>
            <w:r w:rsidRPr="00975E6B">
              <w:t xml:space="preserve"> is a part.</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t>B</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Adjustments to the GL</w:t>
            </w:r>
          </w:p>
        </w:tc>
        <w:tc>
          <w:tcPr>
            <w:tcW w:w="3083" w:type="pct"/>
            <w:tcBorders>
              <w:left w:val="single" w:sz="4" w:space="0" w:color="548DD4" w:themeColor="text2" w:themeTint="99"/>
            </w:tcBorders>
          </w:tcPr>
          <w:p w:rsidR="00B5276F" w:rsidRPr="00975E6B" w:rsidRDefault="00B5276F" w:rsidP="00AF6CC3">
            <w:pPr>
              <w:pStyle w:val="BodyText"/>
            </w:pPr>
            <w:r w:rsidRPr="00975E6B">
              <w:t>A number of adjustments are made to the GL. Expenditure items excluded totals $2.06 billion and relates to the following:</w:t>
            </w:r>
          </w:p>
          <w:p w:rsidR="00B5276F" w:rsidRPr="00975E6B" w:rsidRDefault="00B5276F" w:rsidP="00F26328">
            <w:pPr>
              <w:pStyle w:val="BodyText"/>
              <w:numPr>
                <w:ilvl w:val="0"/>
                <w:numId w:val="57"/>
              </w:numPr>
            </w:pPr>
            <w:r w:rsidRPr="00975E6B">
              <w:t>Loss on disposal of assets of $4.2 million.</w:t>
            </w:r>
          </w:p>
          <w:p w:rsidR="00B5276F" w:rsidRPr="00975E6B" w:rsidRDefault="002D636A" w:rsidP="00F26328">
            <w:pPr>
              <w:pStyle w:val="BodyText"/>
              <w:numPr>
                <w:ilvl w:val="0"/>
                <w:numId w:val="57"/>
              </w:numPr>
            </w:pPr>
            <w:r w:rsidRPr="00975E6B">
              <w:t>South Metro HS</w:t>
            </w:r>
            <w:r w:rsidR="00B5276F" w:rsidRPr="00975E6B">
              <w:t xml:space="preserve"> Special Purpose/Trust accounts of $8.9 million.</w:t>
            </w:r>
          </w:p>
          <w:p w:rsidR="00B5276F" w:rsidRPr="00975E6B" w:rsidRDefault="00B5276F" w:rsidP="00F26328">
            <w:pPr>
              <w:pStyle w:val="BodyText"/>
              <w:numPr>
                <w:ilvl w:val="0"/>
                <w:numId w:val="57"/>
              </w:numPr>
            </w:pPr>
            <w:r w:rsidRPr="00975E6B">
              <w:t>Internal and external recoups of $18.2 million.</w:t>
            </w:r>
          </w:p>
          <w:p w:rsidR="00B5276F" w:rsidRPr="00975E6B" w:rsidRDefault="00B5276F" w:rsidP="00F26328">
            <w:pPr>
              <w:pStyle w:val="BodyText"/>
              <w:numPr>
                <w:ilvl w:val="0"/>
                <w:numId w:val="57"/>
              </w:numPr>
            </w:pPr>
            <w:r w:rsidRPr="00975E6B">
              <w:t>Services to external health services of $3.3 million.</w:t>
            </w:r>
          </w:p>
          <w:p w:rsidR="00B5276F" w:rsidRPr="00975E6B" w:rsidRDefault="00B5276F" w:rsidP="00F26328">
            <w:pPr>
              <w:pStyle w:val="BodyText"/>
              <w:numPr>
                <w:ilvl w:val="0"/>
                <w:numId w:val="57"/>
              </w:numPr>
            </w:pPr>
            <w:r w:rsidRPr="00975E6B">
              <w:t>Other health services not included in the review of $2.03 billion.</w:t>
            </w:r>
          </w:p>
          <w:p w:rsidR="00B5276F" w:rsidRPr="00975E6B" w:rsidRDefault="00B5276F" w:rsidP="00AF6CC3">
            <w:pPr>
              <w:pStyle w:val="BodyText"/>
            </w:pPr>
            <w:r w:rsidRPr="00975E6B">
              <w:t xml:space="preserve">Expenditures included relate to shared ICT services and corporate costs which are not included in the </w:t>
            </w:r>
            <w:r w:rsidR="002D636A" w:rsidRPr="00975E6B">
              <w:t>South Metro HS</w:t>
            </w:r>
            <w:r w:rsidRPr="00975E6B">
              <w:t xml:space="preserve"> GL. Expenditure included totals $51.1 million.</w:t>
            </w:r>
          </w:p>
          <w:p w:rsidR="00B5276F" w:rsidRPr="00975E6B" w:rsidRDefault="00B5276F" w:rsidP="00C15673">
            <w:pPr>
              <w:pStyle w:val="BodyText"/>
            </w:pPr>
            <w:r w:rsidRPr="00975E6B">
              <w:t xml:space="preserve">These adjustments established an expenditure base for costing of $205 million for </w:t>
            </w:r>
            <w:r w:rsidR="00C15673" w:rsidRPr="00975E6B">
              <w:t>Rockingham General</w:t>
            </w:r>
            <w:r w:rsidRPr="00975E6B">
              <w:t>. This was approximately 9</w:t>
            </w:r>
            <w:r w:rsidR="00625C35" w:rsidRPr="00975E6B">
              <w:t> percent</w:t>
            </w:r>
            <w:r w:rsidRPr="00975E6B">
              <w:t xml:space="preserve"> of total expenditure reported in the </w:t>
            </w:r>
            <w:r w:rsidR="00C15673" w:rsidRPr="00975E6B">
              <w:t xml:space="preserve">GL of </w:t>
            </w:r>
            <w:r w:rsidR="002D636A" w:rsidRPr="00975E6B">
              <w:t>South Metro HS</w:t>
            </w:r>
            <w:r w:rsidRPr="00975E6B">
              <w:t>.</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t>C</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Allocation of Costs</w:t>
            </w:r>
          </w:p>
        </w:tc>
        <w:tc>
          <w:tcPr>
            <w:tcW w:w="3083" w:type="pct"/>
            <w:tcBorders>
              <w:left w:val="single" w:sz="4" w:space="0" w:color="548DD4" w:themeColor="text2" w:themeTint="99"/>
            </w:tcBorders>
          </w:tcPr>
          <w:p w:rsidR="00B5276F" w:rsidRPr="00975E6B" w:rsidRDefault="00B5276F" w:rsidP="00AF6CC3">
            <w:pPr>
              <w:pStyle w:val="BodyText"/>
            </w:pPr>
            <w:r w:rsidRPr="00975E6B">
              <w:t>The health service undertakes a process of reclass/transfers etc. between direct cost centres. Reclass/transfers are determined based on a set of pre-determined rules.</w:t>
            </w:r>
          </w:p>
          <w:p w:rsidR="00B5276F" w:rsidRPr="00975E6B" w:rsidRDefault="00B5276F" w:rsidP="00F26328">
            <w:pPr>
              <w:pStyle w:val="BodyText"/>
              <w:numPr>
                <w:ilvl w:val="0"/>
                <w:numId w:val="38"/>
              </w:numPr>
            </w:pPr>
            <w:r w:rsidRPr="00975E6B">
              <w:t>It was observed through the template that the total of all direct cost centres of $146.2 million was allocated post allocation.</w:t>
            </w:r>
          </w:p>
          <w:p w:rsidR="00B5276F" w:rsidRPr="00975E6B" w:rsidRDefault="00B5276F" w:rsidP="00F26328">
            <w:pPr>
              <w:pStyle w:val="BodyText"/>
              <w:numPr>
                <w:ilvl w:val="0"/>
                <w:numId w:val="38"/>
              </w:numPr>
            </w:pPr>
            <w:r w:rsidRPr="00975E6B">
              <w:t>It was observed through the template that overheads of $58.5 million were allocated down to direct cost centres, post allocation.</w:t>
            </w:r>
          </w:p>
          <w:p w:rsidR="00B5276F" w:rsidRPr="00975E6B" w:rsidRDefault="00B5276F" w:rsidP="004C34CE">
            <w:pPr>
              <w:pStyle w:val="BodyText"/>
            </w:pPr>
            <w:r w:rsidRPr="00975E6B">
              <w:t xml:space="preserve">These amounts are the </w:t>
            </w:r>
            <w:r w:rsidR="002D636A" w:rsidRPr="00975E6B">
              <w:t>Rockingham Peel Group</w:t>
            </w:r>
            <w:r w:rsidRPr="00975E6B">
              <w:t xml:space="preserve"> component of the total </w:t>
            </w:r>
            <w:r w:rsidR="002D636A" w:rsidRPr="00975E6B">
              <w:t>South Metro HS</w:t>
            </w:r>
            <w:r w:rsidRPr="00975E6B">
              <w:t xml:space="preserve"> GL in Item</w:t>
            </w:r>
            <w:r w:rsidR="002D636A" w:rsidRPr="00975E6B">
              <w:t> </w:t>
            </w:r>
            <w:r w:rsidRPr="00975E6B">
              <w:t>B and also include the Murray District component. A variance of $</w:t>
            </w:r>
            <w:r w:rsidR="004C34CE" w:rsidRPr="00975E6B">
              <w:t>269,821</w:t>
            </w:r>
            <w:r w:rsidRPr="00975E6B">
              <w:t xml:space="preserve"> was noted which relates to timing issues of </w:t>
            </w:r>
            <w:r w:rsidRPr="00975E6B">
              <w:lastRenderedPageBreak/>
              <w:t>financial information (based on advice from the health service). This variance represented 0.01</w:t>
            </w:r>
            <w:r w:rsidR="00625C35" w:rsidRPr="00975E6B">
              <w:t> percent</w:t>
            </w:r>
            <w:r w:rsidRPr="00975E6B">
              <w:t xml:space="preserve"> of the GL.</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lastRenderedPageBreak/>
              <w:t>D</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Post Allocation Adjustments</w:t>
            </w:r>
          </w:p>
        </w:tc>
        <w:tc>
          <w:tcPr>
            <w:tcW w:w="3083" w:type="pct"/>
            <w:tcBorders>
              <w:left w:val="single" w:sz="4" w:space="0" w:color="548DD4" w:themeColor="text2" w:themeTint="99"/>
            </w:tcBorders>
          </w:tcPr>
          <w:p w:rsidR="00B5276F" w:rsidRPr="00975E6B" w:rsidRDefault="00B5276F" w:rsidP="00AF6CC3">
            <w:pPr>
              <w:pStyle w:val="BodyText"/>
            </w:pPr>
            <w:r w:rsidRPr="00975E6B">
              <w:t>Post allocation adjustments were made for non-</w:t>
            </w:r>
            <w:r w:rsidR="004C34CE" w:rsidRPr="00975E6B">
              <w:t>activity based funding (</w:t>
            </w:r>
            <w:r w:rsidRPr="00975E6B">
              <w:t>ABF</w:t>
            </w:r>
            <w:r w:rsidR="004C34CE" w:rsidRPr="00975E6B">
              <w:t>)</w:t>
            </w:r>
            <w:r w:rsidRPr="00975E6B">
              <w:t xml:space="preserve"> products and totalled. $20.6 million. This amount comprised:</w:t>
            </w:r>
          </w:p>
          <w:p w:rsidR="00B5276F" w:rsidRPr="00975E6B" w:rsidRDefault="00B5276F" w:rsidP="00F26328">
            <w:pPr>
              <w:pStyle w:val="BodyText"/>
              <w:numPr>
                <w:ilvl w:val="0"/>
                <w:numId w:val="58"/>
              </w:numPr>
            </w:pPr>
            <w:r w:rsidRPr="00975E6B">
              <w:t>Community health - $5.8 million</w:t>
            </w:r>
          </w:p>
          <w:p w:rsidR="00B5276F" w:rsidRPr="00975E6B" w:rsidRDefault="00B5276F" w:rsidP="00F26328">
            <w:pPr>
              <w:pStyle w:val="BodyText"/>
              <w:numPr>
                <w:ilvl w:val="0"/>
                <w:numId w:val="58"/>
              </w:numPr>
            </w:pPr>
            <w:r w:rsidRPr="00975E6B">
              <w:t>Community Mental Health - $12.1 million</w:t>
            </w:r>
          </w:p>
          <w:p w:rsidR="00B5276F" w:rsidRPr="00975E6B" w:rsidRDefault="00B5276F" w:rsidP="00F26328">
            <w:pPr>
              <w:pStyle w:val="BodyText"/>
              <w:numPr>
                <w:ilvl w:val="0"/>
                <w:numId w:val="58"/>
              </w:numPr>
            </w:pPr>
            <w:r w:rsidRPr="00975E6B">
              <w:t>Non-ABF - $2.8 million</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t>E</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Costed Products Submitted to jurisdiction</w:t>
            </w:r>
          </w:p>
        </w:tc>
        <w:tc>
          <w:tcPr>
            <w:tcW w:w="3083" w:type="pct"/>
            <w:tcBorders>
              <w:left w:val="single" w:sz="4" w:space="0" w:color="548DD4" w:themeColor="text2" w:themeTint="99"/>
            </w:tcBorders>
          </w:tcPr>
          <w:p w:rsidR="00B5276F" w:rsidRPr="00975E6B" w:rsidRDefault="00B5276F">
            <w:pPr>
              <w:pStyle w:val="BodyText"/>
            </w:pPr>
            <w:r w:rsidRPr="00975E6B">
              <w:t xml:space="preserve">Costs derived by the health service/hospital and reported at product level are equal to $181.3 million. The health service/hospital submits </w:t>
            </w:r>
            <w:r w:rsidR="004C34CE" w:rsidRPr="00975E6B">
              <w:t>a</w:t>
            </w:r>
            <w:r w:rsidRPr="00975E6B">
              <w:t xml:space="preserve">cute, </w:t>
            </w:r>
            <w:r w:rsidR="009079A4" w:rsidRPr="00975E6B">
              <w:t>non-admitted</w:t>
            </w:r>
            <w:r w:rsidRPr="00975E6B">
              <w:t xml:space="preserve">, </w:t>
            </w:r>
            <w:r w:rsidR="004C34CE" w:rsidRPr="00975E6B">
              <w:t>e</w:t>
            </w:r>
            <w:r w:rsidRPr="00975E6B">
              <w:t xml:space="preserve">mergency, </w:t>
            </w:r>
            <w:r w:rsidR="004C34CE" w:rsidRPr="00975E6B">
              <w:t>s</w:t>
            </w:r>
            <w:r w:rsidR="002A25A7" w:rsidRPr="00975E6B">
              <w:t>ubacute</w:t>
            </w:r>
            <w:r w:rsidRPr="00975E6B">
              <w:t xml:space="preserve">, </w:t>
            </w:r>
            <w:r w:rsidR="004C34CE" w:rsidRPr="00975E6B">
              <w:t>o</w:t>
            </w:r>
            <w:r w:rsidRPr="00975E6B">
              <w:t xml:space="preserve">ther, </w:t>
            </w:r>
            <w:r w:rsidR="004C34CE" w:rsidRPr="00975E6B">
              <w:t>r</w:t>
            </w:r>
            <w:r w:rsidRPr="00975E6B">
              <w:t xml:space="preserve">esearch and </w:t>
            </w:r>
            <w:r w:rsidR="004C34CE" w:rsidRPr="00975E6B">
              <w:t xml:space="preserve">teaching </w:t>
            </w:r>
            <w:r w:rsidRPr="00975E6B">
              <w:t xml:space="preserve">and </w:t>
            </w:r>
            <w:r w:rsidR="004C34CE" w:rsidRPr="00975E6B">
              <w:t xml:space="preserve">training </w:t>
            </w:r>
            <w:r w:rsidRPr="00975E6B">
              <w:t>costed products. A variance of $2.8 million was identified between costs allocated to patients and costs submitted to the jurisdiction. This variance represented 0.13</w:t>
            </w:r>
            <w:r w:rsidR="00625C35" w:rsidRPr="00975E6B">
              <w:t> percent</w:t>
            </w:r>
            <w:r w:rsidRPr="00975E6B">
              <w:t xml:space="preserve"> of the GL and relates to financial information timing issues due to some of the information being derived from revised PPM2 datasets recreated approximately 18 months after the initial data submission.</w:t>
            </w:r>
          </w:p>
        </w:tc>
      </w:tr>
      <w:tr w:rsidR="00B5276F" w:rsidRPr="00975E6B" w:rsidTr="00AF6CC3">
        <w:trPr>
          <w:trHeight w:val="285"/>
        </w:trPr>
        <w:tc>
          <w:tcPr>
            <w:tcW w:w="414" w:type="pct"/>
            <w:tcBorders>
              <w:right w:val="single" w:sz="4" w:space="0" w:color="548DD4" w:themeColor="text2" w:themeTint="99"/>
            </w:tcBorders>
            <w:noWrap/>
          </w:tcPr>
          <w:p w:rsidR="00B5276F" w:rsidRPr="00975E6B" w:rsidRDefault="00B5276F" w:rsidP="00AF6CC3">
            <w:pPr>
              <w:pStyle w:val="BodyText"/>
            </w:pPr>
            <w:r w:rsidRPr="00975E6B">
              <w:t>F</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Costed Products received by jurisdiction</w:t>
            </w:r>
          </w:p>
        </w:tc>
        <w:tc>
          <w:tcPr>
            <w:tcW w:w="3083" w:type="pct"/>
            <w:tcBorders>
              <w:left w:val="single" w:sz="4" w:space="0" w:color="548DD4" w:themeColor="text2" w:themeTint="99"/>
            </w:tcBorders>
          </w:tcPr>
          <w:p w:rsidR="00B5276F" w:rsidRPr="00975E6B" w:rsidRDefault="00B5276F" w:rsidP="00AF6CC3">
            <w:pPr>
              <w:pStyle w:val="BodyText"/>
            </w:pPr>
            <w:r w:rsidRPr="00975E6B">
              <w:t>No variance was noted between Items E and F.</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t>G</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Final Adjustments</w:t>
            </w:r>
          </w:p>
        </w:tc>
        <w:tc>
          <w:tcPr>
            <w:tcW w:w="3083" w:type="pct"/>
            <w:tcBorders>
              <w:left w:val="single" w:sz="4" w:space="0" w:color="548DD4" w:themeColor="text2" w:themeTint="99"/>
            </w:tcBorders>
          </w:tcPr>
          <w:p w:rsidR="00B5276F" w:rsidRPr="00975E6B" w:rsidRDefault="00B5276F" w:rsidP="00AF6CC3">
            <w:pPr>
              <w:pStyle w:val="BodyText"/>
            </w:pPr>
            <w:r w:rsidRPr="00975E6B">
              <w:t>The jurisdiction makes adjustments to the cost data prior to submission to IHPA. These adjustments relate to the inclusion of WIP (no escalation factor included), and exclusion of activity data and associated costs. The breakdown of adjustment items include:</w:t>
            </w:r>
          </w:p>
          <w:p w:rsidR="00B5276F" w:rsidRPr="00975E6B" w:rsidRDefault="00B5276F" w:rsidP="00F26328">
            <w:pPr>
              <w:pStyle w:val="BodyText"/>
              <w:numPr>
                <w:ilvl w:val="0"/>
                <w:numId w:val="45"/>
              </w:numPr>
            </w:pPr>
            <w:r w:rsidRPr="00975E6B">
              <w:t xml:space="preserve">WIP costs of $3 million from the prior year (2012/13) included. </w:t>
            </w:r>
          </w:p>
          <w:p w:rsidR="00B5276F" w:rsidRPr="00975E6B" w:rsidRDefault="00B5276F" w:rsidP="00F26328">
            <w:pPr>
              <w:pStyle w:val="BodyText"/>
              <w:numPr>
                <w:ilvl w:val="0"/>
                <w:numId w:val="45"/>
              </w:numPr>
            </w:pPr>
            <w:r w:rsidRPr="00975E6B">
              <w:t>Removal of dummy records - $1.9 million.</w:t>
            </w:r>
          </w:p>
          <w:p w:rsidR="00B5276F" w:rsidRPr="00975E6B" w:rsidRDefault="00B5276F" w:rsidP="00F26328">
            <w:pPr>
              <w:pStyle w:val="BodyText"/>
              <w:numPr>
                <w:ilvl w:val="0"/>
                <w:numId w:val="45"/>
              </w:numPr>
            </w:pPr>
            <w:r w:rsidRPr="00975E6B">
              <w:t>Removal of current WIP - $3.1 million.</w:t>
            </w:r>
          </w:p>
          <w:p w:rsidR="00B5276F" w:rsidRPr="00975E6B" w:rsidRDefault="00B5276F" w:rsidP="00F26328">
            <w:pPr>
              <w:pStyle w:val="BodyText"/>
              <w:numPr>
                <w:ilvl w:val="0"/>
                <w:numId w:val="45"/>
              </w:numPr>
            </w:pPr>
            <w:r w:rsidRPr="00975E6B">
              <w:t>Removed unmatched costed records - $1.3 million.</w:t>
            </w:r>
          </w:p>
          <w:p w:rsidR="00B5276F" w:rsidRPr="00975E6B" w:rsidRDefault="00B5276F" w:rsidP="00F26328">
            <w:pPr>
              <w:pStyle w:val="BodyText"/>
              <w:numPr>
                <w:ilvl w:val="0"/>
                <w:numId w:val="45"/>
              </w:numPr>
            </w:pPr>
            <w:r w:rsidRPr="00975E6B">
              <w:t>Removed TTR - $9.2 million.</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t>H</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Costed Products submitted to IHPA</w:t>
            </w:r>
          </w:p>
        </w:tc>
        <w:tc>
          <w:tcPr>
            <w:tcW w:w="3083" w:type="pct"/>
            <w:tcBorders>
              <w:left w:val="single" w:sz="4" w:space="0" w:color="548DD4" w:themeColor="text2" w:themeTint="99"/>
            </w:tcBorders>
          </w:tcPr>
          <w:p w:rsidR="00B5276F" w:rsidRPr="00975E6B" w:rsidRDefault="00B5276F" w:rsidP="004C34CE">
            <w:pPr>
              <w:pStyle w:val="BodyText"/>
            </w:pPr>
            <w:r w:rsidRPr="00975E6B">
              <w:t xml:space="preserve">Costs derived by the jurisdiction and reported at product level reconcile to $168.8 million. </w:t>
            </w:r>
            <w:r w:rsidR="00DF3D31" w:rsidRPr="00975E6B">
              <w:t>WA Health</w:t>
            </w:r>
            <w:r w:rsidRPr="00975E6B">
              <w:t xml:space="preserve"> submitted </w:t>
            </w:r>
            <w:r w:rsidR="004C34CE" w:rsidRPr="00975E6B">
              <w:t>acute</w:t>
            </w:r>
            <w:r w:rsidRPr="00975E6B">
              <w:t xml:space="preserve">, </w:t>
            </w:r>
            <w:r w:rsidR="00FC6E55" w:rsidRPr="00975E6B">
              <w:t>non-admitted</w:t>
            </w:r>
            <w:r w:rsidRPr="00975E6B">
              <w:t xml:space="preserve">, </w:t>
            </w:r>
            <w:r w:rsidR="004C34CE" w:rsidRPr="00975E6B">
              <w:t>e</w:t>
            </w:r>
            <w:r w:rsidRPr="00975E6B">
              <w:t xml:space="preserve">mergency, </w:t>
            </w:r>
            <w:r w:rsidR="002A25A7" w:rsidRPr="00975E6B">
              <w:t>subacute</w:t>
            </w:r>
            <w:r w:rsidRPr="00975E6B">
              <w:t xml:space="preserve"> and </w:t>
            </w:r>
            <w:r w:rsidR="004C34CE" w:rsidRPr="00975E6B">
              <w:t>o</w:t>
            </w:r>
            <w:r w:rsidRPr="00975E6B">
              <w:t xml:space="preserve">ther costed products. </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lastRenderedPageBreak/>
              <w:t>I</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Total Products received by IHPA</w:t>
            </w:r>
          </w:p>
        </w:tc>
        <w:tc>
          <w:tcPr>
            <w:tcW w:w="3083" w:type="pct"/>
            <w:tcBorders>
              <w:left w:val="single" w:sz="4" w:space="0" w:color="548DD4" w:themeColor="text2" w:themeTint="99"/>
            </w:tcBorders>
          </w:tcPr>
          <w:p w:rsidR="00B5276F" w:rsidRPr="00975E6B" w:rsidRDefault="00B5276F" w:rsidP="00AF6CC3">
            <w:pPr>
              <w:pStyle w:val="BodyText"/>
            </w:pPr>
            <w:r w:rsidRPr="00975E6B">
              <w:t xml:space="preserve">Total Costs received by IHPA totalled $168.8 million. </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t>J</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IHPA Adjustments</w:t>
            </w:r>
          </w:p>
        </w:tc>
        <w:tc>
          <w:tcPr>
            <w:tcW w:w="3083" w:type="pct"/>
            <w:tcBorders>
              <w:left w:val="single" w:sz="4" w:space="0" w:color="548DD4" w:themeColor="text2" w:themeTint="99"/>
            </w:tcBorders>
          </w:tcPr>
          <w:p w:rsidR="00B5276F" w:rsidRPr="00975E6B" w:rsidRDefault="00B5276F" w:rsidP="00AF6CC3">
            <w:pPr>
              <w:pStyle w:val="BodyText"/>
              <w:rPr>
                <w:i/>
              </w:rPr>
            </w:pPr>
            <w:r w:rsidRPr="00975E6B">
              <w:rPr>
                <w:i/>
              </w:rPr>
              <w:t>Unqualified Baby Adjustment</w:t>
            </w:r>
          </w:p>
          <w:p w:rsidR="00B5276F" w:rsidRPr="00975E6B" w:rsidRDefault="00B5276F" w:rsidP="00AF6CC3">
            <w:pPr>
              <w:pStyle w:val="BodyText"/>
            </w:pPr>
            <w:r w:rsidRPr="00975E6B">
              <w:t xml:space="preserve">Upon receipt of cost data, IHPA redistributes the unqualified baby cost to the mother DRG to provide a complete delivery DRG cost. Within IHPA’s reconciliation this </w:t>
            </w:r>
            <w:r w:rsidR="0074117C" w:rsidRPr="00975E6B">
              <w:t xml:space="preserve">was </w:t>
            </w:r>
            <w:r w:rsidRPr="00975E6B">
              <w:t xml:space="preserve">not an additional cost but a movement between patients. </w:t>
            </w:r>
          </w:p>
          <w:p w:rsidR="00B5276F" w:rsidRPr="00975E6B" w:rsidRDefault="00B5276F" w:rsidP="00AF6CC3">
            <w:pPr>
              <w:pStyle w:val="BodyText"/>
              <w:rPr>
                <w:i/>
              </w:rPr>
            </w:pPr>
            <w:r w:rsidRPr="00975E6B">
              <w:rPr>
                <w:i/>
              </w:rPr>
              <w:t>Virtual Patients</w:t>
            </w:r>
          </w:p>
          <w:p w:rsidR="00B5276F" w:rsidRPr="00975E6B" w:rsidRDefault="00B5276F">
            <w:pPr>
              <w:pStyle w:val="BodyText"/>
            </w:pPr>
            <w:r w:rsidRPr="00975E6B">
              <w:t xml:space="preserve">For most WA hospitals, the admitted </w:t>
            </w:r>
            <w:r w:rsidR="00E80193" w:rsidRPr="00975E6B">
              <w:t>emergency</w:t>
            </w:r>
            <w:r w:rsidRPr="00975E6B">
              <w:t xml:space="preserve"> presentation is not captured separately within the PAS and is included with the admitted episode. To maintain the NHCDC classification streams, IHPA (with the consent of WA) duplicated the emergency costs and created virtual patients to be in line with the admitted emergency stream. For </w:t>
            </w:r>
            <w:r w:rsidR="00C15673" w:rsidRPr="00975E6B">
              <w:t>Rockingham General</w:t>
            </w:r>
            <w:r w:rsidRPr="00975E6B">
              <w:t xml:space="preserve"> this amounted to $7 million.</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t>K</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Final NHCDC Costed Outputs</w:t>
            </w:r>
          </w:p>
        </w:tc>
        <w:tc>
          <w:tcPr>
            <w:tcW w:w="3083" w:type="pct"/>
            <w:tcBorders>
              <w:left w:val="single" w:sz="4" w:space="0" w:color="548DD4" w:themeColor="text2" w:themeTint="99"/>
            </w:tcBorders>
          </w:tcPr>
          <w:p w:rsidR="00B5276F" w:rsidRPr="00975E6B" w:rsidRDefault="00B5276F">
            <w:pPr>
              <w:pStyle w:val="BodyText"/>
            </w:pPr>
            <w:r w:rsidRPr="00975E6B">
              <w:t xml:space="preserve">The final NHCDC costed data for </w:t>
            </w:r>
            <w:r w:rsidR="00C15673" w:rsidRPr="00975E6B">
              <w:t>Rockingham General</w:t>
            </w:r>
            <w:r w:rsidRPr="00975E6B">
              <w:t xml:space="preserve"> that was loaded into the National Round 18 cost data set </w:t>
            </w:r>
            <w:r w:rsidR="0074117C" w:rsidRPr="00975E6B">
              <w:t xml:space="preserve">was </w:t>
            </w:r>
            <w:r w:rsidRPr="00975E6B">
              <w:t>$175.8 million which includes the virtual patients cost of $7 million.</w:t>
            </w:r>
          </w:p>
        </w:tc>
      </w:tr>
    </w:tbl>
    <w:p w:rsidR="00B5276F" w:rsidRPr="00975E6B" w:rsidRDefault="00F10945" w:rsidP="00B5276F">
      <w:pPr>
        <w:pStyle w:val="FootnoteText"/>
        <w:rPr>
          <w:bCs/>
          <w:i/>
          <w:sz w:val="16"/>
          <w:szCs w:val="16"/>
        </w:rPr>
      </w:pPr>
      <w:r w:rsidRPr="00975E6B">
        <w:rPr>
          <w:bCs/>
          <w:i/>
          <w:sz w:val="16"/>
          <w:szCs w:val="16"/>
        </w:rPr>
        <w:t>Source: KPMG, based on Rockingham General templates and review discussions</w:t>
      </w:r>
      <w:r w:rsidRPr="00975E6B" w:rsidDel="00F10945">
        <w:rPr>
          <w:bCs/>
          <w:i/>
          <w:sz w:val="16"/>
          <w:szCs w:val="16"/>
        </w:rPr>
        <w:t xml:space="preserve"> </w:t>
      </w:r>
      <w:r w:rsidR="00B5276F" w:rsidRPr="00975E6B">
        <w:rPr>
          <w:bCs/>
          <w:i/>
          <w:sz w:val="16"/>
          <w:szCs w:val="16"/>
        </w:rPr>
        <w:t xml:space="preserve"> </w:t>
      </w:r>
    </w:p>
    <w:p w:rsidR="00B5276F" w:rsidRPr="00975E6B" w:rsidRDefault="00B5276F" w:rsidP="00A952FC">
      <w:pPr>
        <w:pStyle w:val="Heading3"/>
        <w:numPr>
          <w:ilvl w:val="2"/>
          <w:numId w:val="77"/>
        </w:numPr>
      </w:pPr>
      <w:r w:rsidRPr="00A952FC">
        <w:t>Activity</w:t>
      </w:r>
      <w:r w:rsidRPr="00975E6B">
        <w:t xml:space="preserve"> data</w:t>
      </w:r>
    </w:p>
    <w:p w:rsidR="00B5276F" w:rsidRPr="00975E6B" w:rsidRDefault="00C77C25" w:rsidP="00B5276F">
      <w:pPr>
        <w:pStyle w:val="BodyText"/>
      </w:pPr>
      <w:r>
        <w:fldChar w:fldCharType="begin"/>
      </w:r>
      <w:r>
        <w:instrText xml:space="preserve"> REF _Ref444518981 \h </w:instrText>
      </w:r>
      <w:r>
        <w:fldChar w:fldCharType="separate"/>
      </w:r>
      <w:r w:rsidR="00154CF7" w:rsidRPr="005D3CB2">
        <w:t xml:space="preserve">Table </w:t>
      </w:r>
      <w:r w:rsidR="00154CF7">
        <w:rPr>
          <w:bCs/>
          <w:noProof/>
        </w:rPr>
        <w:t>96</w:t>
      </w:r>
      <w:r>
        <w:fldChar w:fldCharType="end"/>
      </w:r>
      <w:r>
        <w:t xml:space="preserve"> </w:t>
      </w:r>
      <w:r w:rsidR="00B5276F" w:rsidRPr="00975E6B">
        <w:t xml:space="preserve">presents feeder data for </w:t>
      </w:r>
      <w:r w:rsidR="00C15673" w:rsidRPr="00975E6B">
        <w:t>Rockingham General</w:t>
      </w:r>
      <w:r w:rsidR="00B5276F" w:rsidRPr="00975E6B">
        <w:t>.</w:t>
      </w:r>
    </w:p>
    <w:p w:rsidR="00596BA7" w:rsidRPr="005D3CB2" w:rsidRDefault="00B5276F" w:rsidP="00C77C25">
      <w:pPr>
        <w:pStyle w:val="Caption"/>
        <w:pageBreakBefore/>
        <w:rPr>
          <w:sz w:val="16"/>
          <w:szCs w:val="16"/>
        </w:rPr>
      </w:pPr>
      <w:bookmarkStart w:id="835" w:name="_Ref433308089"/>
      <w:bookmarkStart w:id="836" w:name="_Ref444518981"/>
      <w:bookmarkStart w:id="837" w:name="_Ref441232835"/>
      <w:r w:rsidRPr="005D3CB2">
        <w:lastRenderedPageBreak/>
        <w:t xml:space="preserve">Table </w:t>
      </w:r>
      <w:r w:rsidR="00DF43A9" w:rsidRPr="005D3CB2">
        <w:rPr>
          <w:bCs w:val="0"/>
        </w:rPr>
        <w:fldChar w:fldCharType="begin"/>
      </w:r>
      <w:r w:rsidR="00DF43A9" w:rsidRPr="005D3CB2">
        <w:rPr>
          <w:bCs w:val="0"/>
        </w:rPr>
        <w:instrText xml:space="preserve"> SEQ Table \* ARABIC </w:instrText>
      </w:r>
      <w:r w:rsidR="00DF43A9" w:rsidRPr="005D3CB2">
        <w:rPr>
          <w:bCs w:val="0"/>
        </w:rPr>
        <w:fldChar w:fldCharType="separate"/>
      </w:r>
      <w:r w:rsidR="00154CF7">
        <w:rPr>
          <w:bCs w:val="0"/>
          <w:noProof/>
        </w:rPr>
        <w:t>96</w:t>
      </w:r>
      <w:r w:rsidR="00DF43A9" w:rsidRPr="005D3CB2">
        <w:rPr>
          <w:bCs w:val="0"/>
          <w:noProof/>
        </w:rPr>
        <w:fldChar w:fldCharType="end"/>
      </w:r>
      <w:bookmarkEnd w:id="835"/>
      <w:bookmarkEnd w:id="836"/>
      <w:r w:rsidR="00BA3F4B" w:rsidRPr="005D3CB2">
        <w:rPr>
          <w:bCs w:val="0"/>
        </w:rPr>
        <w:t xml:space="preserve"> </w:t>
      </w:r>
      <w:r w:rsidRPr="005D3CB2">
        <w:rPr>
          <w:bCs w:val="0"/>
        </w:rPr>
        <w:t>– Activity data – Rockingham General Hospital</w:t>
      </w:r>
      <w:bookmarkEnd w:id="837"/>
      <w:r w:rsidRPr="005D3CB2">
        <w:rPr>
          <w:bCs w:val="0"/>
        </w:rPr>
        <w:t xml:space="preserve"> </w:t>
      </w:r>
    </w:p>
    <w:tbl>
      <w:tblPr>
        <w:tblW w:w="5003" w:type="pct"/>
        <w:tblLayout w:type="fixed"/>
        <w:tblLook w:val="04A0" w:firstRow="1" w:lastRow="0" w:firstColumn="1" w:lastColumn="0" w:noHBand="0" w:noVBand="1"/>
        <w:tblCaption w:val="Table 96 - Activity data - Rockingham General Hospital"/>
        <w:tblDescription w:val="This table presents activity and feeder data for Rockingham General Hospital.  There are 11 columns.  Column 1 is the Data source, Column 2 is the number of records from source, Column 3 is the number of records in costing system, Column 4 is the variance between Column 2 and 3, Column 5 is the number of records linked to acute, column 6 is the number of records linked to emergency, Column 7 is the number of records linked to non-admitted, column 8 is the total linked records, column 9 is the number linked to other, column 10 is the number of unlinked records and column 11 is the % of linked to source."/>
      </w:tblPr>
      <w:tblGrid>
        <w:gridCol w:w="1162"/>
        <w:gridCol w:w="874"/>
        <w:gridCol w:w="874"/>
        <w:gridCol w:w="726"/>
        <w:gridCol w:w="688"/>
        <w:gridCol w:w="688"/>
        <w:gridCol w:w="806"/>
        <w:gridCol w:w="873"/>
        <w:gridCol w:w="677"/>
        <w:gridCol w:w="775"/>
        <w:gridCol w:w="583"/>
      </w:tblGrid>
      <w:tr w:rsidR="00CA7B4E" w:rsidRPr="00596BA7" w:rsidTr="00E14378">
        <w:trPr>
          <w:trHeight w:val="720"/>
        </w:trPr>
        <w:tc>
          <w:tcPr>
            <w:tcW w:w="666" w:type="pct"/>
            <w:tcBorders>
              <w:top w:val="single" w:sz="4" w:space="0" w:color="5B9BD5"/>
              <w:left w:val="single" w:sz="4" w:space="0" w:color="5B9BD5"/>
              <w:bottom w:val="nil"/>
              <w:right w:val="nil"/>
            </w:tcBorders>
            <w:shd w:val="clear" w:color="auto" w:fill="002060"/>
            <w:vAlign w:val="bottom"/>
            <w:hideMark/>
          </w:tcPr>
          <w:p w:rsidR="00596BA7" w:rsidRPr="00CD1518" w:rsidRDefault="00596BA7" w:rsidP="00596BA7">
            <w:pPr>
              <w:spacing w:line="240" w:lineRule="auto"/>
              <w:rPr>
                <w:b/>
                <w:bCs/>
                <w:color w:val="FFFFFF"/>
                <w:sz w:val="12"/>
                <w:szCs w:val="12"/>
                <w:lang w:eastAsia="en-AU"/>
              </w:rPr>
            </w:pPr>
            <w:r w:rsidRPr="00CD1518">
              <w:rPr>
                <w:b/>
                <w:bCs/>
                <w:color w:val="FFFFFF"/>
                <w:sz w:val="12"/>
                <w:szCs w:val="12"/>
                <w:lang w:eastAsia="en-AU"/>
              </w:rPr>
              <w:t>Data</w:t>
            </w:r>
          </w:p>
        </w:tc>
        <w:tc>
          <w:tcPr>
            <w:tcW w:w="501" w:type="pct"/>
            <w:tcBorders>
              <w:top w:val="single" w:sz="4" w:space="0" w:color="5B9BD5"/>
              <w:left w:val="single" w:sz="4" w:space="0" w:color="5B9BD5"/>
              <w:bottom w:val="nil"/>
              <w:right w:val="single" w:sz="4" w:space="0" w:color="5B9BD5"/>
            </w:tcBorders>
            <w:shd w:val="clear" w:color="auto" w:fill="002060"/>
            <w:vAlign w:val="bottom"/>
            <w:hideMark/>
          </w:tcPr>
          <w:p w:rsidR="00596BA7" w:rsidRPr="00CD1518" w:rsidRDefault="00596BA7" w:rsidP="00596BA7">
            <w:pPr>
              <w:spacing w:line="240" w:lineRule="auto"/>
              <w:jc w:val="center"/>
              <w:rPr>
                <w:b/>
                <w:bCs/>
                <w:color w:val="FFFFFF"/>
                <w:sz w:val="11"/>
                <w:szCs w:val="11"/>
                <w:lang w:eastAsia="en-AU"/>
              </w:rPr>
            </w:pPr>
            <w:r w:rsidRPr="00CD1518">
              <w:rPr>
                <w:b/>
                <w:bCs/>
                <w:color w:val="FFFFFF"/>
                <w:sz w:val="11"/>
                <w:szCs w:val="11"/>
                <w:lang w:eastAsia="en-AU"/>
              </w:rPr>
              <w:t># Records from Source</w:t>
            </w:r>
          </w:p>
        </w:tc>
        <w:tc>
          <w:tcPr>
            <w:tcW w:w="501" w:type="pct"/>
            <w:tcBorders>
              <w:top w:val="single" w:sz="4" w:space="0" w:color="5B9BD5"/>
              <w:left w:val="nil"/>
              <w:bottom w:val="nil"/>
              <w:right w:val="nil"/>
            </w:tcBorders>
            <w:shd w:val="clear" w:color="auto" w:fill="002060"/>
            <w:vAlign w:val="bottom"/>
            <w:hideMark/>
          </w:tcPr>
          <w:p w:rsidR="00596BA7" w:rsidRPr="00CD1518" w:rsidRDefault="00596BA7" w:rsidP="00596BA7">
            <w:pPr>
              <w:spacing w:line="240" w:lineRule="auto"/>
              <w:jc w:val="center"/>
              <w:rPr>
                <w:b/>
                <w:bCs/>
                <w:color w:val="FFFFFF"/>
                <w:sz w:val="11"/>
                <w:szCs w:val="11"/>
                <w:lang w:eastAsia="en-AU"/>
              </w:rPr>
            </w:pPr>
            <w:r w:rsidRPr="00CD1518">
              <w:rPr>
                <w:b/>
                <w:bCs/>
                <w:color w:val="FFFFFF"/>
                <w:sz w:val="11"/>
                <w:szCs w:val="11"/>
                <w:lang w:eastAsia="en-AU"/>
              </w:rPr>
              <w:t># Records in costing system</w:t>
            </w:r>
          </w:p>
        </w:tc>
        <w:tc>
          <w:tcPr>
            <w:tcW w:w="416" w:type="pct"/>
            <w:tcBorders>
              <w:top w:val="single" w:sz="4" w:space="0" w:color="5B9BD5"/>
              <w:left w:val="single" w:sz="4" w:space="0" w:color="5B9BD5"/>
              <w:bottom w:val="nil"/>
              <w:right w:val="single" w:sz="4" w:space="0" w:color="5B9BD5"/>
            </w:tcBorders>
            <w:shd w:val="clear" w:color="auto" w:fill="002060"/>
            <w:vAlign w:val="bottom"/>
            <w:hideMark/>
          </w:tcPr>
          <w:p w:rsidR="00596BA7" w:rsidRPr="00CD1518" w:rsidRDefault="00596BA7" w:rsidP="00596BA7">
            <w:pPr>
              <w:spacing w:line="240" w:lineRule="auto"/>
              <w:jc w:val="center"/>
              <w:rPr>
                <w:b/>
                <w:bCs/>
                <w:color w:val="FFFFFF"/>
                <w:sz w:val="11"/>
                <w:szCs w:val="11"/>
                <w:lang w:eastAsia="en-AU"/>
              </w:rPr>
            </w:pPr>
            <w:r w:rsidRPr="00CD1518">
              <w:rPr>
                <w:b/>
                <w:bCs/>
                <w:color w:val="FFFFFF"/>
                <w:sz w:val="11"/>
                <w:szCs w:val="11"/>
                <w:lang w:eastAsia="en-AU"/>
              </w:rPr>
              <w:t>Variance</w:t>
            </w:r>
          </w:p>
        </w:tc>
        <w:tc>
          <w:tcPr>
            <w:tcW w:w="394" w:type="pct"/>
            <w:tcBorders>
              <w:top w:val="single" w:sz="4" w:space="0" w:color="5B9BD5"/>
              <w:left w:val="nil"/>
              <w:bottom w:val="nil"/>
              <w:right w:val="nil"/>
            </w:tcBorders>
            <w:shd w:val="clear" w:color="auto" w:fill="002060"/>
            <w:vAlign w:val="bottom"/>
            <w:hideMark/>
          </w:tcPr>
          <w:p w:rsidR="00596BA7" w:rsidRPr="00CD1518" w:rsidRDefault="00596BA7" w:rsidP="00596BA7">
            <w:pPr>
              <w:spacing w:line="240" w:lineRule="auto"/>
              <w:jc w:val="center"/>
              <w:rPr>
                <w:b/>
                <w:bCs/>
                <w:color w:val="FFFFFF"/>
                <w:sz w:val="11"/>
                <w:szCs w:val="11"/>
                <w:lang w:eastAsia="en-AU"/>
              </w:rPr>
            </w:pPr>
            <w:r w:rsidRPr="00CD1518">
              <w:rPr>
                <w:b/>
                <w:bCs/>
                <w:color w:val="FFFFFF"/>
                <w:sz w:val="11"/>
                <w:szCs w:val="11"/>
                <w:lang w:eastAsia="en-AU"/>
              </w:rPr>
              <w:t># Records linked to Acute</w:t>
            </w:r>
          </w:p>
        </w:tc>
        <w:tc>
          <w:tcPr>
            <w:tcW w:w="394" w:type="pct"/>
            <w:tcBorders>
              <w:top w:val="single" w:sz="4" w:space="0" w:color="5B9BD5"/>
              <w:left w:val="single" w:sz="4" w:space="0" w:color="5B9BD5"/>
              <w:bottom w:val="nil"/>
              <w:right w:val="single" w:sz="4" w:space="0" w:color="5B9BD5"/>
            </w:tcBorders>
            <w:shd w:val="clear" w:color="auto" w:fill="002060"/>
            <w:vAlign w:val="bottom"/>
            <w:hideMark/>
          </w:tcPr>
          <w:p w:rsidR="00596BA7" w:rsidRPr="00CD1518" w:rsidRDefault="00596BA7">
            <w:pPr>
              <w:spacing w:line="240" w:lineRule="auto"/>
              <w:jc w:val="center"/>
              <w:rPr>
                <w:b/>
                <w:bCs/>
                <w:color w:val="FFFFFF"/>
                <w:sz w:val="11"/>
                <w:szCs w:val="11"/>
                <w:lang w:eastAsia="en-AU"/>
              </w:rPr>
            </w:pPr>
            <w:r w:rsidRPr="00CD1518">
              <w:rPr>
                <w:b/>
                <w:bCs/>
                <w:color w:val="FFFFFF"/>
                <w:sz w:val="11"/>
                <w:szCs w:val="11"/>
                <w:lang w:eastAsia="en-AU"/>
              </w:rPr>
              <w:t xml:space="preserve"># Records linked to </w:t>
            </w:r>
            <w:proofErr w:type="spellStart"/>
            <w:r w:rsidRPr="00CD1518">
              <w:rPr>
                <w:b/>
                <w:bCs/>
                <w:color w:val="FFFFFF"/>
                <w:sz w:val="11"/>
                <w:szCs w:val="11"/>
                <w:lang w:eastAsia="en-AU"/>
              </w:rPr>
              <w:t>Emerg</w:t>
            </w:r>
            <w:proofErr w:type="spellEnd"/>
            <w:r w:rsidRPr="00CD1518">
              <w:rPr>
                <w:b/>
                <w:bCs/>
                <w:color w:val="FFFFFF"/>
                <w:sz w:val="11"/>
                <w:szCs w:val="11"/>
                <w:lang w:eastAsia="en-AU"/>
              </w:rPr>
              <w:t>.</w:t>
            </w:r>
          </w:p>
        </w:tc>
        <w:tc>
          <w:tcPr>
            <w:tcW w:w="462" w:type="pct"/>
            <w:tcBorders>
              <w:top w:val="single" w:sz="4" w:space="0" w:color="5B9BD5"/>
              <w:left w:val="nil"/>
              <w:bottom w:val="nil"/>
              <w:right w:val="single" w:sz="4" w:space="0" w:color="5B9BD5"/>
            </w:tcBorders>
            <w:shd w:val="clear" w:color="auto" w:fill="002060"/>
            <w:vAlign w:val="bottom"/>
            <w:hideMark/>
          </w:tcPr>
          <w:p w:rsidR="00596BA7" w:rsidRPr="00CD1518" w:rsidRDefault="00596BA7" w:rsidP="00596BA7">
            <w:pPr>
              <w:spacing w:line="240" w:lineRule="auto"/>
              <w:jc w:val="center"/>
              <w:rPr>
                <w:b/>
                <w:bCs/>
                <w:color w:val="FFFFFF"/>
                <w:sz w:val="11"/>
                <w:szCs w:val="11"/>
                <w:lang w:eastAsia="en-AU"/>
              </w:rPr>
            </w:pPr>
            <w:r w:rsidRPr="00CD1518">
              <w:rPr>
                <w:b/>
                <w:bCs/>
                <w:color w:val="FFFFFF"/>
                <w:sz w:val="11"/>
                <w:szCs w:val="11"/>
                <w:lang w:eastAsia="en-AU"/>
              </w:rPr>
              <w:t># Records linked to Non-admitted</w:t>
            </w:r>
          </w:p>
        </w:tc>
        <w:tc>
          <w:tcPr>
            <w:tcW w:w="500" w:type="pct"/>
            <w:tcBorders>
              <w:top w:val="single" w:sz="4" w:space="0" w:color="5B9BD5"/>
              <w:left w:val="nil"/>
              <w:bottom w:val="nil"/>
              <w:right w:val="single" w:sz="4" w:space="0" w:color="5B9BD5"/>
            </w:tcBorders>
            <w:shd w:val="clear" w:color="auto" w:fill="002060"/>
            <w:vAlign w:val="bottom"/>
            <w:hideMark/>
          </w:tcPr>
          <w:p w:rsidR="00596BA7" w:rsidRPr="00CD1518" w:rsidRDefault="00596BA7" w:rsidP="00596BA7">
            <w:pPr>
              <w:spacing w:line="240" w:lineRule="auto"/>
              <w:jc w:val="center"/>
              <w:rPr>
                <w:b/>
                <w:bCs/>
                <w:color w:val="FFFFFF"/>
                <w:sz w:val="11"/>
                <w:szCs w:val="11"/>
                <w:lang w:eastAsia="en-AU"/>
              </w:rPr>
            </w:pPr>
            <w:r w:rsidRPr="00CD1518">
              <w:rPr>
                <w:b/>
                <w:bCs/>
                <w:color w:val="FFFFFF"/>
                <w:sz w:val="11"/>
                <w:szCs w:val="11"/>
                <w:lang w:eastAsia="en-AU"/>
              </w:rPr>
              <w:t>Total Linking Process</w:t>
            </w:r>
          </w:p>
        </w:tc>
        <w:tc>
          <w:tcPr>
            <w:tcW w:w="388" w:type="pct"/>
            <w:tcBorders>
              <w:top w:val="single" w:sz="4" w:space="0" w:color="5B9BD5"/>
              <w:left w:val="nil"/>
              <w:bottom w:val="nil"/>
              <w:right w:val="nil"/>
            </w:tcBorders>
            <w:shd w:val="clear" w:color="auto" w:fill="002060"/>
            <w:vAlign w:val="bottom"/>
            <w:hideMark/>
          </w:tcPr>
          <w:p w:rsidR="00596BA7" w:rsidRPr="00CD1518" w:rsidRDefault="00596BA7" w:rsidP="00596BA7">
            <w:pPr>
              <w:spacing w:line="240" w:lineRule="auto"/>
              <w:jc w:val="center"/>
              <w:rPr>
                <w:b/>
                <w:bCs/>
                <w:color w:val="FFFFFF"/>
                <w:sz w:val="11"/>
                <w:szCs w:val="11"/>
                <w:lang w:eastAsia="en-AU"/>
              </w:rPr>
            </w:pPr>
            <w:r w:rsidRPr="00CD1518">
              <w:rPr>
                <w:b/>
                <w:bCs/>
                <w:color w:val="FFFFFF"/>
                <w:sz w:val="11"/>
                <w:szCs w:val="11"/>
                <w:lang w:eastAsia="en-AU"/>
              </w:rPr>
              <w:t># Records linked to Other</w:t>
            </w:r>
          </w:p>
        </w:tc>
        <w:tc>
          <w:tcPr>
            <w:tcW w:w="444" w:type="pct"/>
            <w:tcBorders>
              <w:top w:val="single" w:sz="4" w:space="0" w:color="5B9BD5"/>
              <w:left w:val="single" w:sz="4" w:space="0" w:color="5B9BD5"/>
              <w:bottom w:val="nil"/>
              <w:right w:val="single" w:sz="4" w:space="0" w:color="5B9BD5"/>
            </w:tcBorders>
            <w:shd w:val="clear" w:color="auto" w:fill="002060"/>
            <w:vAlign w:val="bottom"/>
            <w:hideMark/>
          </w:tcPr>
          <w:p w:rsidR="00596BA7" w:rsidRPr="00CD1518" w:rsidRDefault="00596BA7" w:rsidP="00596BA7">
            <w:pPr>
              <w:spacing w:line="240" w:lineRule="auto"/>
              <w:jc w:val="center"/>
              <w:rPr>
                <w:b/>
                <w:bCs/>
                <w:color w:val="FFFFFF"/>
                <w:sz w:val="11"/>
                <w:szCs w:val="11"/>
                <w:lang w:eastAsia="en-AU"/>
              </w:rPr>
            </w:pPr>
            <w:r w:rsidRPr="00CD1518">
              <w:rPr>
                <w:b/>
                <w:bCs/>
                <w:color w:val="FFFFFF"/>
                <w:sz w:val="11"/>
                <w:szCs w:val="11"/>
                <w:lang w:eastAsia="en-AU"/>
              </w:rPr>
              <w:t># Unlinked records</w:t>
            </w:r>
          </w:p>
        </w:tc>
        <w:tc>
          <w:tcPr>
            <w:tcW w:w="334" w:type="pct"/>
            <w:tcBorders>
              <w:top w:val="single" w:sz="4" w:space="0" w:color="5B9BD5"/>
              <w:left w:val="nil"/>
              <w:bottom w:val="nil"/>
              <w:right w:val="single" w:sz="4" w:space="0" w:color="5B9BD5"/>
            </w:tcBorders>
            <w:shd w:val="clear" w:color="auto" w:fill="002060"/>
            <w:vAlign w:val="bottom"/>
            <w:hideMark/>
          </w:tcPr>
          <w:p w:rsidR="00596BA7" w:rsidRPr="00CD1518" w:rsidRDefault="00596BA7" w:rsidP="00596BA7">
            <w:pPr>
              <w:spacing w:line="240" w:lineRule="auto"/>
              <w:jc w:val="center"/>
              <w:rPr>
                <w:b/>
                <w:bCs/>
                <w:color w:val="FFFFFF"/>
                <w:sz w:val="11"/>
                <w:szCs w:val="11"/>
                <w:lang w:eastAsia="en-AU"/>
              </w:rPr>
            </w:pPr>
            <w:r w:rsidRPr="00CD1518">
              <w:rPr>
                <w:b/>
                <w:bCs/>
                <w:color w:val="FFFFFF"/>
                <w:sz w:val="11"/>
                <w:szCs w:val="11"/>
                <w:lang w:eastAsia="en-AU"/>
              </w:rPr>
              <w:t>% Linked</w:t>
            </w:r>
          </w:p>
        </w:tc>
      </w:tr>
      <w:tr w:rsidR="00CA7B4E" w:rsidRPr="00596BA7" w:rsidTr="00596BA7">
        <w:trPr>
          <w:trHeight w:val="260"/>
        </w:trPr>
        <w:tc>
          <w:tcPr>
            <w:tcW w:w="666" w:type="pct"/>
            <w:tcBorders>
              <w:top w:val="nil"/>
              <w:left w:val="single" w:sz="4" w:space="0" w:color="5B9BD5"/>
              <w:bottom w:val="nil"/>
              <w:right w:val="nil"/>
            </w:tcBorders>
            <w:shd w:val="clear" w:color="000000" w:fill="D0CECE"/>
            <w:noWrap/>
            <w:vAlign w:val="bottom"/>
            <w:hideMark/>
          </w:tcPr>
          <w:p w:rsidR="00596BA7" w:rsidRPr="00CD1518" w:rsidRDefault="00596BA7" w:rsidP="00596BA7">
            <w:pPr>
              <w:spacing w:line="240" w:lineRule="auto"/>
              <w:rPr>
                <w:b/>
                <w:bCs/>
                <w:color w:val="000000"/>
                <w:sz w:val="12"/>
                <w:szCs w:val="12"/>
                <w:lang w:eastAsia="en-AU"/>
              </w:rPr>
            </w:pPr>
            <w:r w:rsidRPr="00CD1518">
              <w:rPr>
                <w:b/>
                <w:bCs/>
                <w:color w:val="000000"/>
                <w:sz w:val="12"/>
                <w:szCs w:val="12"/>
                <w:lang w:eastAsia="en-AU"/>
              </w:rPr>
              <w:t>Activity Data</w:t>
            </w:r>
          </w:p>
        </w:tc>
        <w:tc>
          <w:tcPr>
            <w:tcW w:w="501" w:type="pct"/>
            <w:tcBorders>
              <w:top w:val="nil"/>
              <w:left w:val="single" w:sz="4" w:space="0" w:color="5B9BD5"/>
              <w:bottom w:val="nil"/>
              <w:right w:val="single" w:sz="4" w:space="0" w:color="5B9BD5"/>
            </w:tcBorders>
            <w:shd w:val="clear" w:color="000000" w:fill="D0CECE"/>
            <w:noWrap/>
            <w:vAlign w:val="bottom"/>
            <w:hideMark/>
          </w:tcPr>
          <w:p w:rsidR="00596BA7" w:rsidRPr="00CD1518" w:rsidRDefault="00596BA7" w:rsidP="00596BA7">
            <w:pPr>
              <w:spacing w:line="240" w:lineRule="auto"/>
              <w:rPr>
                <w:b/>
                <w:bCs/>
                <w:color w:val="000000"/>
                <w:sz w:val="12"/>
                <w:szCs w:val="12"/>
                <w:lang w:eastAsia="en-AU"/>
              </w:rPr>
            </w:pPr>
            <w:r w:rsidRPr="00CD1518">
              <w:rPr>
                <w:b/>
                <w:bCs/>
                <w:color w:val="000000"/>
                <w:sz w:val="12"/>
                <w:szCs w:val="12"/>
                <w:lang w:eastAsia="en-AU"/>
              </w:rPr>
              <w:t> </w:t>
            </w:r>
          </w:p>
        </w:tc>
        <w:tc>
          <w:tcPr>
            <w:tcW w:w="501" w:type="pct"/>
            <w:tcBorders>
              <w:top w:val="nil"/>
              <w:left w:val="nil"/>
              <w:bottom w:val="nil"/>
              <w:right w:val="nil"/>
            </w:tcBorders>
            <w:shd w:val="clear" w:color="000000" w:fill="D0CECE"/>
            <w:noWrap/>
            <w:vAlign w:val="bottom"/>
            <w:hideMark/>
          </w:tcPr>
          <w:p w:rsidR="00596BA7" w:rsidRPr="00CD1518" w:rsidRDefault="00596BA7" w:rsidP="00596BA7">
            <w:pPr>
              <w:spacing w:line="240" w:lineRule="auto"/>
              <w:rPr>
                <w:b/>
                <w:bCs/>
                <w:color w:val="000000"/>
                <w:sz w:val="12"/>
                <w:szCs w:val="12"/>
                <w:lang w:eastAsia="en-AU"/>
              </w:rPr>
            </w:pPr>
            <w:r w:rsidRPr="00CD1518">
              <w:rPr>
                <w:b/>
                <w:bCs/>
                <w:color w:val="000000"/>
                <w:sz w:val="12"/>
                <w:szCs w:val="12"/>
                <w:lang w:eastAsia="en-AU"/>
              </w:rPr>
              <w:t> </w:t>
            </w:r>
          </w:p>
        </w:tc>
        <w:tc>
          <w:tcPr>
            <w:tcW w:w="416" w:type="pct"/>
            <w:tcBorders>
              <w:top w:val="nil"/>
              <w:left w:val="single" w:sz="4" w:space="0" w:color="5B9BD5"/>
              <w:bottom w:val="nil"/>
              <w:right w:val="single" w:sz="4" w:space="0" w:color="5B9BD5"/>
            </w:tcBorders>
            <w:shd w:val="clear" w:color="000000" w:fill="D0CECE"/>
            <w:noWrap/>
            <w:vAlign w:val="bottom"/>
            <w:hideMark/>
          </w:tcPr>
          <w:p w:rsidR="00596BA7" w:rsidRPr="00CD1518" w:rsidRDefault="00596BA7" w:rsidP="00596BA7">
            <w:pPr>
              <w:spacing w:line="240" w:lineRule="auto"/>
              <w:rPr>
                <w:b/>
                <w:bCs/>
                <w:color w:val="000000"/>
                <w:sz w:val="12"/>
                <w:szCs w:val="12"/>
                <w:lang w:eastAsia="en-AU"/>
              </w:rPr>
            </w:pPr>
            <w:r w:rsidRPr="00CD1518">
              <w:rPr>
                <w:b/>
                <w:bCs/>
                <w:color w:val="000000"/>
                <w:sz w:val="12"/>
                <w:szCs w:val="12"/>
                <w:lang w:eastAsia="en-AU"/>
              </w:rPr>
              <w:t> </w:t>
            </w:r>
          </w:p>
        </w:tc>
        <w:tc>
          <w:tcPr>
            <w:tcW w:w="394" w:type="pct"/>
            <w:tcBorders>
              <w:top w:val="nil"/>
              <w:left w:val="nil"/>
              <w:bottom w:val="nil"/>
              <w:right w:val="nil"/>
            </w:tcBorders>
            <w:shd w:val="clear" w:color="000000" w:fill="D0CECE"/>
            <w:noWrap/>
            <w:vAlign w:val="bottom"/>
            <w:hideMark/>
          </w:tcPr>
          <w:p w:rsidR="00596BA7" w:rsidRPr="00CD1518" w:rsidRDefault="00596BA7" w:rsidP="00596BA7">
            <w:pPr>
              <w:spacing w:line="240" w:lineRule="auto"/>
              <w:rPr>
                <w:b/>
                <w:bCs/>
                <w:color w:val="000000"/>
                <w:sz w:val="12"/>
                <w:szCs w:val="12"/>
                <w:lang w:eastAsia="en-AU"/>
              </w:rPr>
            </w:pPr>
            <w:r w:rsidRPr="00CD1518">
              <w:rPr>
                <w:b/>
                <w:bCs/>
                <w:color w:val="000000"/>
                <w:sz w:val="12"/>
                <w:szCs w:val="12"/>
                <w:lang w:eastAsia="en-AU"/>
              </w:rPr>
              <w:t> </w:t>
            </w:r>
          </w:p>
        </w:tc>
        <w:tc>
          <w:tcPr>
            <w:tcW w:w="394" w:type="pct"/>
            <w:tcBorders>
              <w:top w:val="nil"/>
              <w:left w:val="single" w:sz="4" w:space="0" w:color="5B9BD5"/>
              <w:bottom w:val="nil"/>
              <w:right w:val="single" w:sz="4" w:space="0" w:color="5B9BD5"/>
            </w:tcBorders>
            <w:shd w:val="clear" w:color="000000" w:fill="D0CECE"/>
            <w:noWrap/>
            <w:vAlign w:val="bottom"/>
            <w:hideMark/>
          </w:tcPr>
          <w:p w:rsidR="00596BA7" w:rsidRPr="00CD1518" w:rsidRDefault="00596BA7" w:rsidP="00596BA7">
            <w:pPr>
              <w:spacing w:line="240" w:lineRule="auto"/>
              <w:rPr>
                <w:b/>
                <w:bCs/>
                <w:color w:val="000000"/>
                <w:sz w:val="12"/>
                <w:szCs w:val="12"/>
                <w:lang w:eastAsia="en-AU"/>
              </w:rPr>
            </w:pPr>
            <w:r w:rsidRPr="00CD1518">
              <w:rPr>
                <w:b/>
                <w:bCs/>
                <w:color w:val="000000"/>
                <w:sz w:val="12"/>
                <w:szCs w:val="12"/>
                <w:lang w:eastAsia="en-AU"/>
              </w:rPr>
              <w:t> </w:t>
            </w:r>
          </w:p>
        </w:tc>
        <w:tc>
          <w:tcPr>
            <w:tcW w:w="462" w:type="pct"/>
            <w:tcBorders>
              <w:top w:val="nil"/>
              <w:left w:val="nil"/>
              <w:bottom w:val="nil"/>
              <w:right w:val="single" w:sz="4" w:space="0" w:color="5B9BD5"/>
            </w:tcBorders>
            <w:shd w:val="clear" w:color="000000" w:fill="D0CECE"/>
            <w:noWrap/>
            <w:vAlign w:val="bottom"/>
            <w:hideMark/>
          </w:tcPr>
          <w:p w:rsidR="00596BA7" w:rsidRPr="00CD1518" w:rsidRDefault="00596BA7" w:rsidP="00596BA7">
            <w:pPr>
              <w:spacing w:line="240" w:lineRule="auto"/>
              <w:rPr>
                <w:b/>
                <w:bCs/>
                <w:color w:val="000000"/>
                <w:sz w:val="12"/>
                <w:szCs w:val="12"/>
                <w:lang w:eastAsia="en-AU"/>
              </w:rPr>
            </w:pPr>
            <w:r w:rsidRPr="00CD1518">
              <w:rPr>
                <w:b/>
                <w:bCs/>
                <w:color w:val="000000"/>
                <w:sz w:val="12"/>
                <w:szCs w:val="12"/>
                <w:lang w:eastAsia="en-AU"/>
              </w:rPr>
              <w:t> </w:t>
            </w:r>
          </w:p>
        </w:tc>
        <w:tc>
          <w:tcPr>
            <w:tcW w:w="500" w:type="pct"/>
            <w:tcBorders>
              <w:top w:val="nil"/>
              <w:left w:val="nil"/>
              <w:bottom w:val="nil"/>
              <w:right w:val="single" w:sz="4" w:space="0" w:color="5B9BD5"/>
            </w:tcBorders>
            <w:shd w:val="clear" w:color="000000" w:fill="D0CECE"/>
            <w:noWrap/>
            <w:vAlign w:val="bottom"/>
            <w:hideMark/>
          </w:tcPr>
          <w:p w:rsidR="00596BA7" w:rsidRPr="00CD1518" w:rsidRDefault="00596BA7" w:rsidP="00596BA7">
            <w:pPr>
              <w:spacing w:line="240" w:lineRule="auto"/>
              <w:rPr>
                <w:b/>
                <w:bCs/>
                <w:color w:val="000000"/>
                <w:sz w:val="12"/>
                <w:szCs w:val="12"/>
                <w:lang w:eastAsia="en-AU"/>
              </w:rPr>
            </w:pPr>
            <w:r w:rsidRPr="00CD1518">
              <w:rPr>
                <w:b/>
                <w:bCs/>
                <w:color w:val="000000"/>
                <w:sz w:val="12"/>
                <w:szCs w:val="12"/>
                <w:lang w:eastAsia="en-AU"/>
              </w:rPr>
              <w:t> </w:t>
            </w:r>
          </w:p>
        </w:tc>
        <w:tc>
          <w:tcPr>
            <w:tcW w:w="388" w:type="pct"/>
            <w:tcBorders>
              <w:top w:val="nil"/>
              <w:left w:val="nil"/>
              <w:bottom w:val="nil"/>
              <w:right w:val="nil"/>
            </w:tcBorders>
            <w:shd w:val="clear" w:color="000000" w:fill="D0CECE"/>
            <w:noWrap/>
            <w:vAlign w:val="bottom"/>
            <w:hideMark/>
          </w:tcPr>
          <w:p w:rsidR="00596BA7" w:rsidRPr="00CD1518" w:rsidRDefault="00596BA7" w:rsidP="00596BA7">
            <w:pPr>
              <w:spacing w:line="240" w:lineRule="auto"/>
              <w:rPr>
                <w:b/>
                <w:bCs/>
                <w:color w:val="000000"/>
                <w:sz w:val="12"/>
                <w:szCs w:val="12"/>
                <w:lang w:eastAsia="en-AU"/>
              </w:rPr>
            </w:pPr>
            <w:r w:rsidRPr="00CD1518">
              <w:rPr>
                <w:b/>
                <w:bCs/>
                <w:color w:val="000000"/>
                <w:sz w:val="12"/>
                <w:szCs w:val="12"/>
                <w:lang w:eastAsia="en-AU"/>
              </w:rPr>
              <w:t> </w:t>
            </w:r>
          </w:p>
        </w:tc>
        <w:tc>
          <w:tcPr>
            <w:tcW w:w="444" w:type="pct"/>
            <w:tcBorders>
              <w:top w:val="nil"/>
              <w:left w:val="single" w:sz="4" w:space="0" w:color="5B9BD5"/>
              <w:bottom w:val="nil"/>
              <w:right w:val="single" w:sz="4" w:space="0" w:color="5B9BD5"/>
            </w:tcBorders>
            <w:shd w:val="clear" w:color="000000" w:fill="D0CECE"/>
            <w:noWrap/>
            <w:vAlign w:val="bottom"/>
            <w:hideMark/>
          </w:tcPr>
          <w:p w:rsidR="00596BA7" w:rsidRPr="00CD1518" w:rsidRDefault="00596BA7" w:rsidP="00596BA7">
            <w:pPr>
              <w:spacing w:line="240" w:lineRule="auto"/>
              <w:rPr>
                <w:b/>
                <w:bCs/>
                <w:color w:val="000000"/>
                <w:sz w:val="12"/>
                <w:szCs w:val="12"/>
                <w:lang w:eastAsia="en-AU"/>
              </w:rPr>
            </w:pPr>
            <w:r w:rsidRPr="00CD1518">
              <w:rPr>
                <w:b/>
                <w:bCs/>
                <w:color w:val="000000"/>
                <w:sz w:val="12"/>
                <w:szCs w:val="12"/>
                <w:lang w:eastAsia="en-AU"/>
              </w:rPr>
              <w:t> </w:t>
            </w:r>
          </w:p>
        </w:tc>
        <w:tc>
          <w:tcPr>
            <w:tcW w:w="334" w:type="pct"/>
            <w:tcBorders>
              <w:top w:val="nil"/>
              <w:left w:val="nil"/>
              <w:bottom w:val="nil"/>
              <w:right w:val="single" w:sz="4" w:space="0" w:color="5B9BD5"/>
            </w:tcBorders>
            <w:shd w:val="clear" w:color="000000" w:fill="D0CECE"/>
            <w:noWrap/>
            <w:vAlign w:val="bottom"/>
            <w:hideMark/>
          </w:tcPr>
          <w:p w:rsidR="00596BA7" w:rsidRPr="00CD1518" w:rsidRDefault="00596BA7" w:rsidP="00596BA7">
            <w:pPr>
              <w:spacing w:line="240" w:lineRule="auto"/>
              <w:rPr>
                <w:b/>
                <w:bCs/>
                <w:color w:val="000000"/>
                <w:sz w:val="12"/>
                <w:szCs w:val="12"/>
                <w:lang w:eastAsia="en-AU"/>
              </w:rPr>
            </w:pPr>
            <w:r w:rsidRPr="00CD1518">
              <w:rPr>
                <w:b/>
                <w:bCs/>
                <w:color w:val="000000"/>
                <w:sz w:val="12"/>
                <w:szCs w:val="12"/>
                <w:lang w:eastAsia="en-AU"/>
              </w:rPr>
              <w:t> </w:t>
            </w:r>
          </w:p>
        </w:tc>
      </w:tr>
      <w:tr w:rsidR="003A1695" w:rsidRPr="00596BA7" w:rsidTr="00596BA7">
        <w:trPr>
          <w:trHeight w:val="260"/>
        </w:trPr>
        <w:tc>
          <w:tcPr>
            <w:tcW w:w="666" w:type="pct"/>
            <w:tcBorders>
              <w:top w:val="nil"/>
              <w:left w:val="single" w:sz="4" w:space="0" w:color="5B9BD5"/>
              <w:bottom w:val="nil"/>
              <w:right w:val="nil"/>
            </w:tcBorders>
            <w:shd w:val="clear" w:color="000000" w:fill="FFFFFF"/>
            <w:noWrap/>
            <w:vAlign w:val="bottom"/>
            <w:hideMark/>
          </w:tcPr>
          <w:p w:rsidR="00596BA7" w:rsidRPr="00CD1518" w:rsidRDefault="00596BA7" w:rsidP="00596BA7">
            <w:pPr>
              <w:spacing w:line="240" w:lineRule="auto"/>
              <w:rPr>
                <w:color w:val="000000"/>
                <w:sz w:val="12"/>
                <w:szCs w:val="12"/>
                <w:lang w:eastAsia="en-AU"/>
              </w:rPr>
            </w:pPr>
            <w:r w:rsidRPr="00CD1518">
              <w:rPr>
                <w:color w:val="000000"/>
                <w:sz w:val="12"/>
                <w:szCs w:val="12"/>
                <w:lang w:eastAsia="en-AU"/>
              </w:rPr>
              <w:t>PAS</w:t>
            </w:r>
          </w:p>
        </w:tc>
        <w:tc>
          <w:tcPr>
            <w:tcW w:w="501" w:type="pct"/>
            <w:tcBorders>
              <w:top w:val="nil"/>
              <w:left w:val="single" w:sz="4" w:space="0" w:color="5B9BD5"/>
              <w:bottom w:val="nil"/>
              <w:right w:val="single" w:sz="4" w:space="0" w:color="5B9BD5"/>
            </w:tcBorders>
            <w:shd w:val="clear" w:color="000000" w:fill="FFFFFF"/>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28,443</w:t>
            </w:r>
          </w:p>
        </w:tc>
        <w:tc>
          <w:tcPr>
            <w:tcW w:w="501" w:type="pct"/>
            <w:tcBorders>
              <w:top w:val="nil"/>
              <w:left w:val="nil"/>
              <w:bottom w:val="nil"/>
              <w:right w:val="single" w:sz="4" w:space="0" w:color="5B9BD5"/>
            </w:tcBorders>
            <w:shd w:val="clear" w:color="000000" w:fill="FFFFFF"/>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28,443</w:t>
            </w:r>
          </w:p>
        </w:tc>
        <w:tc>
          <w:tcPr>
            <w:tcW w:w="416"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94" w:type="pct"/>
            <w:tcBorders>
              <w:top w:val="nil"/>
              <w:left w:val="nil"/>
              <w:bottom w:val="nil"/>
              <w:right w:val="single" w:sz="4" w:space="0" w:color="5B9BD5"/>
            </w:tcBorders>
            <w:shd w:val="clear" w:color="000000" w:fill="FFFFFF"/>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94" w:type="pct"/>
            <w:tcBorders>
              <w:top w:val="nil"/>
              <w:left w:val="nil"/>
              <w:bottom w:val="nil"/>
              <w:right w:val="single" w:sz="4" w:space="0" w:color="5B9BD5"/>
            </w:tcBorders>
            <w:shd w:val="clear" w:color="000000" w:fill="FFFFFF"/>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462" w:type="pct"/>
            <w:tcBorders>
              <w:top w:val="nil"/>
              <w:left w:val="nil"/>
              <w:bottom w:val="nil"/>
              <w:right w:val="single" w:sz="4" w:space="0" w:color="5B9BD5"/>
            </w:tcBorders>
            <w:shd w:val="clear" w:color="000000" w:fill="FFFFFF"/>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500"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88" w:type="pct"/>
            <w:tcBorders>
              <w:top w:val="nil"/>
              <w:left w:val="nil"/>
              <w:bottom w:val="nil"/>
              <w:right w:val="single" w:sz="4" w:space="0" w:color="5B9BD5"/>
            </w:tcBorders>
            <w:shd w:val="clear" w:color="000000" w:fill="FFFFFF"/>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444" w:type="pct"/>
            <w:tcBorders>
              <w:top w:val="nil"/>
              <w:left w:val="nil"/>
              <w:bottom w:val="nil"/>
              <w:right w:val="single" w:sz="4" w:space="0" w:color="5B9BD5"/>
            </w:tcBorders>
            <w:shd w:val="clear" w:color="000000" w:fill="FFFFFF"/>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34" w:type="pct"/>
            <w:tcBorders>
              <w:top w:val="nil"/>
              <w:left w:val="nil"/>
              <w:bottom w:val="nil"/>
              <w:right w:val="single" w:sz="4" w:space="0" w:color="5B9BD5"/>
            </w:tcBorders>
            <w:shd w:val="clear" w:color="000000" w:fill="FFFFFF"/>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r>
      <w:tr w:rsidR="00CA7B4E" w:rsidRPr="00596BA7" w:rsidTr="00596BA7">
        <w:trPr>
          <w:trHeight w:val="260"/>
        </w:trPr>
        <w:tc>
          <w:tcPr>
            <w:tcW w:w="666" w:type="pct"/>
            <w:tcBorders>
              <w:top w:val="nil"/>
              <w:left w:val="single" w:sz="4" w:space="0" w:color="5B9BD5"/>
              <w:bottom w:val="nil"/>
              <w:right w:val="nil"/>
            </w:tcBorders>
            <w:shd w:val="clear" w:color="000000" w:fill="DDEBF7"/>
            <w:noWrap/>
            <w:vAlign w:val="bottom"/>
            <w:hideMark/>
          </w:tcPr>
          <w:p w:rsidR="00596BA7" w:rsidRPr="00CD1518" w:rsidRDefault="00596BA7" w:rsidP="00596BA7">
            <w:pPr>
              <w:spacing w:line="240" w:lineRule="auto"/>
              <w:rPr>
                <w:sz w:val="12"/>
                <w:szCs w:val="12"/>
                <w:lang w:eastAsia="en-AU"/>
              </w:rPr>
            </w:pPr>
            <w:r w:rsidRPr="00CD1518">
              <w:rPr>
                <w:sz w:val="12"/>
                <w:szCs w:val="12"/>
                <w:lang w:eastAsia="en-AU"/>
              </w:rPr>
              <w:t xml:space="preserve">Emergency </w:t>
            </w:r>
          </w:p>
        </w:tc>
        <w:tc>
          <w:tcPr>
            <w:tcW w:w="501" w:type="pct"/>
            <w:tcBorders>
              <w:top w:val="nil"/>
              <w:left w:val="single" w:sz="4" w:space="0" w:color="5B9BD5"/>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43,591</w:t>
            </w:r>
          </w:p>
        </w:tc>
        <w:tc>
          <w:tcPr>
            <w:tcW w:w="501"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43,591</w:t>
            </w:r>
          </w:p>
        </w:tc>
        <w:tc>
          <w:tcPr>
            <w:tcW w:w="416"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94" w:type="pct"/>
            <w:tcBorders>
              <w:top w:val="nil"/>
              <w:left w:val="nil"/>
              <w:bottom w:val="nil"/>
              <w:right w:val="nil"/>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394" w:type="pct"/>
            <w:tcBorders>
              <w:top w:val="nil"/>
              <w:left w:val="single" w:sz="4" w:space="0" w:color="5B9BD5"/>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462"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500"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88" w:type="pct"/>
            <w:tcBorders>
              <w:top w:val="nil"/>
              <w:left w:val="nil"/>
              <w:bottom w:val="nil"/>
              <w:right w:val="nil"/>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444" w:type="pct"/>
            <w:tcBorders>
              <w:top w:val="nil"/>
              <w:left w:val="single" w:sz="4" w:space="0" w:color="5B9BD5"/>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334"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r>
      <w:tr w:rsidR="003A1695" w:rsidRPr="00596BA7" w:rsidTr="00596BA7">
        <w:trPr>
          <w:trHeight w:val="260"/>
        </w:trPr>
        <w:tc>
          <w:tcPr>
            <w:tcW w:w="666" w:type="pct"/>
            <w:tcBorders>
              <w:top w:val="nil"/>
              <w:left w:val="single" w:sz="4" w:space="0" w:color="5B9BD5"/>
              <w:bottom w:val="nil"/>
              <w:right w:val="nil"/>
            </w:tcBorders>
            <w:shd w:val="clear" w:color="000000" w:fill="FFFFFF"/>
            <w:noWrap/>
            <w:vAlign w:val="bottom"/>
            <w:hideMark/>
          </w:tcPr>
          <w:p w:rsidR="00596BA7" w:rsidRPr="00CD1518" w:rsidRDefault="00596BA7" w:rsidP="00596BA7">
            <w:pPr>
              <w:spacing w:line="240" w:lineRule="auto"/>
              <w:rPr>
                <w:color w:val="000000"/>
                <w:sz w:val="12"/>
                <w:szCs w:val="12"/>
                <w:lang w:eastAsia="en-AU"/>
              </w:rPr>
            </w:pPr>
            <w:r w:rsidRPr="00CD1518">
              <w:rPr>
                <w:color w:val="000000"/>
                <w:sz w:val="12"/>
                <w:szCs w:val="12"/>
                <w:lang w:eastAsia="en-AU"/>
              </w:rPr>
              <w:t>Non-admitted</w:t>
            </w:r>
          </w:p>
        </w:tc>
        <w:tc>
          <w:tcPr>
            <w:tcW w:w="501" w:type="pct"/>
            <w:tcBorders>
              <w:top w:val="nil"/>
              <w:left w:val="single" w:sz="4" w:space="0" w:color="5B9BD5"/>
              <w:bottom w:val="nil"/>
              <w:right w:val="single" w:sz="4" w:space="0" w:color="5B9BD5"/>
            </w:tcBorders>
            <w:shd w:val="clear" w:color="000000" w:fill="FFFFFF"/>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103,725</w:t>
            </w:r>
          </w:p>
        </w:tc>
        <w:tc>
          <w:tcPr>
            <w:tcW w:w="501" w:type="pct"/>
            <w:tcBorders>
              <w:top w:val="nil"/>
              <w:left w:val="nil"/>
              <w:bottom w:val="nil"/>
              <w:right w:val="single" w:sz="4" w:space="0" w:color="5B9BD5"/>
            </w:tcBorders>
            <w:shd w:val="clear" w:color="000000" w:fill="FFFFFF"/>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103,725</w:t>
            </w:r>
          </w:p>
        </w:tc>
        <w:tc>
          <w:tcPr>
            <w:tcW w:w="416"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94" w:type="pct"/>
            <w:tcBorders>
              <w:top w:val="nil"/>
              <w:left w:val="nil"/>
              <w:bottom w:val="nil"/>
              <w:right w:val="single" w:sz="4" w:space="0" w:color="5B9BD5"/>
            </w:tcBorders>
            <w:shd w:val="clear" w:color="000000" w:fill="FFFFFF"/>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94" w:type="pct"/>
            <w:tcBorders>
              <w:top w:val="nil"/>
              <w:left w:val="nil"/>
              <w:bottom w:val="nil"/>
              <w:right w:val="single" w:sz="4" w:space="0" w:color="5B9BD5"/>
            </w:tcBorders>
            <w:shd w:val="clear" w:color="000000" w:fill="FFFFFF"/>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462" w:type="pct"/>
            <w:tcBorders>
              <w:top w:val="nil"/>
              <w:left w:val="nil"/>
              <w:bottom w:val="nil"/>
              <w:right w:val="single" w:sz="4" w:space="0" w:color="5B9BD5"/>
            </w:tcBorders>
            <w:shd w:val="clear" w:color="000000" w:fill="FFFFFF"/>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500"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88" w:type="pct"/>
            <w:tcBorders>
              <w:top w:val="nil"/>
              <w:left w:val="nil"/>
              <w:bottom w:val="nil"/>
              <w:right w:val="single" w:sz="4" w:space="0" w:color="5B9BD5"/>
            </w:tcBorders>
            <w:shd w:val="clear" w:color="000000" w:fill="FFFFFF"/>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444" w:type="pct"/>
            <w:tcBorders>
              <w:top w:val="nil"/>
              <w:left w:val="nil"/>
              <w:bottom w:val="nil"/>
              <w:right w:val="single" w:sz="4" w:space="0" w:color="5B9BD5"/>
            </w:tcBorders>
            <w:shd w:val="clear" w:color="000000" w:fill="FFFFFF"/>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34" w:type="pct"/>
            <w:tcBorders>
              <w:top w:val="nil"/>
              <w:left w:val="nil"/>
              <w:bottom w:val="nil"/>
              <w:right w:val="single" w:sz="4" w:space="0" w:color="5B9BD5"/>
            </w:tcBorders>
            <w:shd w:val="clear" w:color="000000" w:fill="FFFFFF"/>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r>
      <w:tr w:rsidR="00CA7B4E" w:rsidRPr="00596BA7" w:rsidTr="00596BA7">
        <w:trPr>
          <w:trHeight w:val="260"/>
        </w:trPr>
        <w:tc>
          <w:tcPr>
            <w:tcW w:w="666" w:type="pct"/>
            <w:tcBorders>
              <w:top w:val="nil"/>
              <w:left w:val="single" w:sz="4" w:space="0" w:color="5B9BD5"/>
              <w:bottom w:val="single" w:sz="4" w:space="0" w:color="5B9BD5"/>
              <w:right w:val="nil"/>
            </w:tcBorders>
            <w:shd w:val="clear" w:color="000000" w:fill="DDEBF7"/>
            <w:noWrap/>
            <w:vAlign w:val="bottom"/>
            <w:hideMark/>
          </w:tcPr>
          <w:p w:rsidR="00596BA7" w:rsidRPr="00CD1518" w:rsidRDefault="00596BA7" w:rsidP="00596BA7">
            <w:pPr>
              <w:spacing w:line="240" w:lineRule="auto"/>
              <w:rPr>
                <w:sz w:val="12"/>
                <w:szCs w:val="12"/>
                <w:lang w:eastAsia="en-AU"/>
              </w:rPr>
            </w:pPr>
            <w:r w:rsidRPr="00CD1518">
              <w:rPr>
                <w:sz w:val="12"/>
                <w:szCs w:val="12"/>
                <w:lang w:eastAsia="en-AU"/>
              </w:rPr>
              <w:t>Dummy records</w:t>
            </w:r>
          </w:p>
        </w:tc>
        <w:tc>
          <w:tcPr>
            <w:tcW w:w="501" w:type="pct"/>
            <w:tcBorders>
              <w:top w:val="nil"/>
              <w:left w:val="single" w:sz="4" w:space="0" w:color="5B9BD5"/>
              <w:bottom w:val="single" w:sz="4" w:space="0" w:color="5B9BD5"/>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16,663</w:t>
            </w:r>
          </w:p>
        </w:tc>
        <w:tc>
          <w:tcPr>
            <w:tcW w:w="501" w:type="pct"/>
            <w:tcBorders>
              <w:top w:val="nil"/>
              <w:left w:val="nil"/>
              <w:bottom w:val="single" w:sz="4" w:space="0" w:color="5B9BD5"/>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Pr>
                <w:sz w:val="12"/>
                <w:szCs w:val="12"/>
                <w:lang w:eastAsia="en-AU"/>
              </w:rPr>
              <w:t>16,663</w:t>
            </w:r>
          </w:p>
        </w:tc>
        <w:tc>
          <w:tcPr>
            <w:tcW w:w="416" w:type="pct"/>
            <w:tcBorders>
              <w:top w:val="nil"/>
              <w:left w:val="nil"/>
              <w:bottom w:val="single" w:sz="4" w:space="0" w:color="5B9BD5"/>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3613F6">
              <w:rPr>
                <w:color w:val="000000"/>
                <w:sz w:val="12"/>
                <w:szCs w:val="12"/>
                <w:lang w:eastAsia="en-AU"/>
              </w:rPr>
              <w:t>-</w:t>
            </w:r>
          </w:p>
        </w:tc>
        <w:tc>
          <w:tcPr>
            <w:tcW w:w="394" w:type="pct"/>
            <w:tcBorders>
              <w:top w:val="nil"/>
              <w:left w:val="nil"/>
              <w:bottom w:val="single" w:sz="4" w:space="0" w:color="5B9BD5"/>
              <w:right w:val="nil"/>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394" w:type="pct"/>
            <w:tcBorders>
              <w:top w:val="nil"/>
              <w:left w:val="single" w:sz="4" w:space="0" w:color="5B9BD5"/>
              <w:bottom w:val="single" w:sz="4" w:space="0" w:color="5B9BD5"/>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462" w:type="pct"/>
            <w:tcBorders>
              <w:top w:val="nil"/>
              <w:left w:val="nil"/>
              <w:bottom w:val="single" w:sz="4" w:space="0" w:color="5B9BD5"/>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500" w:type="pct"/>
            <w:tcBorders>
              <w:top w:val="nil"/>
              <w:left w:val="nil"/>
              <w:bottom w:val="single" w:sz="4" w:space="0" w:color="5B9BD5"/>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88" w:type="pct"/>
            <w:tcBorders>
              <w:top w:val="nil"/>
              <w:left w:val="nil"/>
              <w:bottom w:val="single" w:sz="4" w:space="0" w:color="5B9BD5"/>
              <w:right w:val="nil"/>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444" w:type="pct"/>
            <w:tcBorders>
              <w:top w:val="nil"/>
              <w:left w:val="single" w:sz="4" w:space="0" w:color="5B9BD5"/>
              <w:bottom w:val="single" w:sz="4" w:space="0" w:color="5B9BD5"/>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334" w:type="pct"/>
            <w:tcBorders>
              <w:top w:val="nil"/>
              <w:left w:val="nil"/>
              <w:bottom w:val="single" w:sz="4" w:space="0" w:color="5B9BD5"/>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r>
      <w:tr w:rsidR="003A1695" w:rsidRPr="00596BA7" w:rsidTr="00596BA7">
        <w:trPr>
          <w:trHeight w:val="260"/>
        </w:trPr>
        <w:tc>
          <w:tcPr>
            <w:tcW w:w="666" w:type="pct"/>
            <w:tcBorders>
              <w:top w:val="nil"/>
              <w:left w:val="single" w:sz="4" w:space="0" w:color="5B9BD5"/>
              <w:bottom w:val="nil"/>
              <w:right w:val="nil"/>
            </w:tcBorders>
            <w:shd w:val="clear" w:color="000000" w:fill="DDEBF7"/>
            <w:noWrap/>
            <w:vAlign w:val="bottom"/>
            <w:hideMark/>
          </w:tcPr>
          <w:p w:rsidR="00596BA7" w:rsidRPr="00CD1518" w:rsidRDefault="00596BA7" w:rsidP="00596BA7">
            <w:pPr>
              <w:spacing w:line="240" w:lineRule="auto"/>
              <w:rPr>
                <w:b/>
                <w:bCs/>
                <w:color w:val="000000"/>
                <w:sz w:val="12"/>
                <w:szCs w:val="12"/>
                <w:lang w:eastAsia="en-AU"/>
              </w:rPr>
            </w:pPr>
            <w:r w:rsidRPr="00CD1518">
              <w:rPr>
                <w:b/>
                <w:bCs/>
                <w:color w:val="000000"/>
                <w:sz w:val="12"/>
                <w:szCs w:val="12"/>
                <w:lang w:eastAsia="en-AU"/>
              </w:rPr>
              <w:t>TOTAL</w:t>
            </w:r>
          </w:p>
        </w:tc>
        <w:tc>
          <w:tcPr>
            <w:tcW w:w="501" w:type="pct"/>
            <w:tcBorders>
              <w:top w:val="nil"/>
              <w:left w:val="single" w:sz="4" w:space="0" w:color="5B9BD5"/>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b/>
                <w:bCs/>
                <w:color w:val="000000"/>
                <w:sz w:val="12"/>
                <w:szCs w:val="12"/>
                <w:lang w:eastAsia="en-AU"/>
              </w:rPr>
            </w:pPr>
            <w:r w:rsidRPr="00CD1518">
              <w:rPr>
                <w:b/>
                <w:bCs/>
                <w:color w:val="000000"/>
                <w:sz w:val="12"/>
                <w:szCs w:val="12"/>
                <w:lang w:eastAsia="en-AU"/>
              </w:rPr>
              <w:t>192,422</w:t>
            </w:r>
          </w:p>
        </w:tc>
        <w:tc>
          <w:tcPr>
            <w:tcW w:w="501"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b/>
                <w:bCs/>
                <w:color w:val="000000"/>
                <w:sz w:val="12"/>
                <w:szCs w:val="12"/>
                <w:lang w:eastAsia="en-AU"/>
              </w:rPr>
            </w:pPr>
            <w:r>
              <w:rPr>
                <w:b/>
                <w:bCs/>
                <w:color w:val="000000"/>
                <w:sz w:val="12"/>
                <w:szCs w:val="12"/>
                <w:lang w:eastAsia="en-AU"/>
              </w:rPr>
              <w:t>192,422</w:t>
            </w:r>
          </w:p>
        </w:tc>
        <w:tc>
          <w:tcPr>
            <w:tcW w:w="416"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b/>
                <w:bCs/>
                <w:color w:val="000000"/>
                <w:sz w:val="12"/>
                <w:szCs w:val="12"/>
                <w:lang w:eastAsia="en-AU"/>
              </w:rPr>
            </w:pPr>
            <w:r>
              <w:rPr>
                <w:b/>
                <w:bCs/>
                <w:color w:val="000000"/>
                <w:sz w:val="12"/>
                <w:szCs w:val="12"/>
                <w:lang w:eastAsia="en-AU"/>
              </w:rPr>
              <w:t>-</w:t>
            </w:r>
          </w:p>
        </w:tc>
        <w:tc>
          <w:tcPr>
            <w:tcW w:w="394"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394"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462"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500"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388"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444"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b/>
                <w:bCs/>
                <w:color w:val="000000"/>
                <w:sz w:val="12"/>
                <w:szCs w:val="12"/>
                <w:lang w:eastAsia="en-AU"/>
              </w:rPr>
            </w:pPr>
            <w:r w:rsidRPr="00CD1518">
              <w:rPr>
                <w:b/>
                <w:bCs/>
                <w:color w:val="000000"/>
                <w:sz w:val="12"/>
                <w:szCs w:val="12"/>
                <w:lang w:eastAsia="en-AU"/>
              </w:rPr>
              <w:t>-</w:t>
            </w:r>
          </w:p>
        </w:tc>
        <w:tc>
          <w:tcPr>
            <w:tcW w:w="334"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b/>
                <w:bCs/>
                <w:color w:val="000000"/>
                <w:sz w:val="12"/>
                <w:szCs w:val="12"/>
                <w:lang w:eastAsia="en-AU"/>
              </w:rPr>
            </w:pPr>
            <w:r w:rsidRPr="00CD1518">
              <w:rPr>
                <w:b/>
                <w:bCs/>
                <w:color w:val="000000"/>
                <w:sz w:val="12"/>
                <w:szCs w:val="12"/>
                <w:lang w:eastAsia="en-AU"/>
              </w:rPr>
              <w:t>-</w:t>
            </w:r>
          </w:p>
        </w:tc>
      </w:tr>
      <w:tr w:rsidR="00CA7B4E" w:rsidRPr="00596BA7" w:rsidTr="00596BA7">
        <w:trPr>
          <w:trHeight w:val="260"/>
        </w:trPr>
        <w:tc>
          <w:tcPr>
            <w:tcW w:w="666" w:type="pct"/>
            <w:tcBorders>
              <w:top w:val="nil"/>
              <w:left w:val="single" w:sz="4" w:space="0" w:color="5B9BD5"/>
              <w:bottom w:val="nil"/>
              <w:right w:val="nil"/>
            </w:tcBorders>
            <w:shd w:val="clear" w:color="000000" w:fill="D0CECE"/>
            <w:noWrap/>
            <w:vAlign w:val="bottom"/>
            <w:hideMark/>
          </w:tcPr>
          <w:p w:rsidR="00596BA7" w:rsidRPr="00CD1518" w:rsidRDefault="00596BA7" w:rsidP="00596BA7">
            <w:pPr>
              <w:spacing w:line="240" w:lineRule="auto"/>
              <w:rPr>
                <w:b/>
                <w:bCs/>
                <w:color w:val="000000"/>
                <w:sz w:val="12"/>
                <w:szCs w:val="12"/>
                <w:lang w:eastAsia="en-AU"/>
              </w:rPr>
            </w:pPr>
            <w:r w:rsidRPr="00CD1518">
              <w:rPr>
                <w:b/>
                <w:bCs/>
                <w:color w:val="000000"/>
                <w:sz w:val="12"/>
                <w:szCs w:val="12"/>
                <w:lang w:eastAsia="en-AU"/>
              </w:rPr>
              <w:t>Feeder Data</w:t>
            </w:r>
          </w:p>
        </w:tc>
        <w:tc>
          <w:tcPr>
            <w:tcW w:w="501" w:type="pct"/>
            <w:tcBorders>
              <w:top w:val="nil"/>
              <w:left w:val="single" w:sz="4" w:space="0" w:color="5B9BD5"/>
              <w:bottom w:val="nil"/>
              <w:right w:val="single" w:sz="4" w:space="0" w:color="5B9BD5"/>
            </w:tcBorders>
            <w:shd w:val="clear" w:color="000000" w:fill="D0CECE"/>
            <w:noWrap/>
            <w:vAlign w:val="center"/>
            <w:hideMark/>
          </w:tcPr>
          <w:p w:rsidR="00596BA7" w:rsidRPr="00CD1518" w:rsidRDefault="00596BA7" w:rsidP="00CD1518">
            <w:pPr>
              <w:spacing w:line="240" w:lineRule="auto"/>
              <w:jc w:val="right"/>
              <w:rPr>
                <w:b/>
                <w:bCs/>
                <w:color w:val="000000"/>
                <w:sz w:val="12"/>
                <w:szCs w:val="12"/>
                <w:lang w:eastAsia="en-AU"/>
              </w:rPr>
            </w:pPr>
          </w:p>
        </w:tc>
        <w:tc>
          <w:tcPr>
            <w:tcW w:w="501" w:type="pct"/>
            <w:tcBorders>
              <w:top w:val="nil"/>
              <w:left w:val="nil"/>
              <w:bottom w:val="nil"/>
              <w:right w:val="nil"/>
            </w:tcBorders>
            <w:shd w:val="clear" w:color="000000" w:fill="D0CECE"/>
            <w:noWrap/>
            <w:vAlign w:val="center"/>
            <w:hideMark/>
          </w:tcPr>
          <w:p w:rsidR="00596BA7" w:rsidRPr="00CD1518" w:rsidRDefault="00596BA7" w:rsidP="00CD1518">
            <w:pPr>
              <w:spacing w:line="240" w:lineRule="auto"/>
              <w:jc w:val="right"/>
              <w:rPr>
                <w:b/>
                <w:bCs/>
                <w:color w:val="000000"/>
                <w:sz w:val="12"/>
                <w:szCs w:val="12"/>
                <w:lang w:eastAsia="en-AU"/>
              </w:rPr>
            </w:pPr>
          </w:p>
        </w:tc>
        <w:tc>
          <w:tcPr>
            <w:tcW w:w="416" w:type="pct"/>
            <w:tcBorders>
              <w:top w:val="nil"/>
              <w:left w:val="single" w:sz="4" w:space="0" w:color="5B9BD5"/>
              <w:bottom w:val="nil"/>
              <w:right w:val="single" w:sz="4" w:space="0" w:color="5B9BD5"/>
            </w:tcBorders>
            <w:shd w:val="clear" w:color="000000" w:fill="D0CECE"/>
            <w:noWrap/>
            <w:vAlign w:val="center"/>
            <w:hideMark/>
          </w:tcPr>
          <w:p w:rsidR="00596BA7" w:rsidRPr="00CD1518" w:rsidRDefault="00596BA7" w:rsidP="00CD1518">
            <w:pPr>
              <w:spacing w:line="240" w:lineRule="auto"/>
              <w:jc w:val="right"/>
              <w:rPr>
                <w:b/>
                <w:bCs/>
                <w:color w:val="000000"/>
                <w:sz w:val="12"/>
                <w:szCs w:val="12"/>
                <w:lang w:eastAsia="en-AU"/>
              </w:rPr>
            </w:pPr>
          </w:p>
        </w:tc>
        <w:tc>
          <w:tcPr>
            <w:tcW w:w="394" w:type="pct"/>
            <w:tcBorders>
              <w:top w:val="nil"/>
              <w:left w:val="nil"/>
              <w:bottom w:val="nil"/>
              <w:right w:val="nil"/>
            </w:tcBorders>
            <w:shd w:val="clear" w:color="000000" w:fill="D0CECE"/>
            <w:noWrap/>
            <w:vAlign w:val="center"/>
            <w:hideMark/>
          </w:tcPr>
          <w:p w:rsidR="00596BA7" w:rsidRPr="00CD1518" w:rsidRDefault="00596BA7" w:rsidP="00CD1518">
            <w:pPr>
              <w:spacing w:line="240" w:lineRule="auto"/>
              <w:jc w:val="right"/>
              <w:rPr>
                <w:b/>
                <w:bCs/>
                <w:color w:val="000000"/>
                <w:sz w:val="12"/>
                <w:szCs w:val="12"/>
                <w:lang w:eastAsia="en-AU"/>
              </w:rPr>
            </w:pPr>
          </w:p>
        </w:tc>
        <w:tc>
          <w:tcPr>
            <w:tcW w:w="394" w:type="pct"/>
            <w:tcBorders>
              <w:top w:val="nil"/>
              <w:left w:val="single" w:sz="4" w:space="0" w:color="5B9BD5"/>
              <w:bottom w:val="nil"/>
              <w:right w:val="single" w:sz="4" w:space="0" w:color="5B9BD5"/>
            </w:tcBorders>
            <w:shd w:val="clear" w:color="000000" w:fill="D0CECE"/>
            <w:noWrap/>
            <w:vAlign w:val="center"/>
            <w:hideMark/>
          </w:tcPr>
          <w:p w:rsidR="00596BA7" w:rsidRPr="00CD1518" w:rsidRDefault="00596BA7" w:rsidP="00CD1518">
            <w:pPr>
              <w:spacing w:line="240" w:lineRule="auto"/>
              <w:jc w:val="right"/>
              <w:rPr>
                <w:b/>
                <w:bCs/>
                <w:color w:val="000000"/>
                <w:sz w:val="12"/>
                <w:szCs w:val="12"/>
                <w:lang w:eastAsia="en-AU"/>
              </w:rPr>
            </w:pPr>
          </w:p>
        </w:tc>
        <w:tc>
          <w:tcPr>
            <w:tcW w:w="462" w:type="pct"/>
            <w:tcBorders>
              <w:top w:val="nil"/>
              <w:left w:val="nil"/>
              <w:bottom w:val="nil"/>
              <w:right w:val="single" w:sz="4" w:space="0" w:color="5B9BD5"/>
            </w:tcBorders>
            <w:shd w:val="clear" w:color="000000" w:fill="D0CECE"/>
            <w:noWrap/>
            <w:vAlign w:val="center"/>
            <w:hideMark/>
          </w:tcPr>
          <w:p w:rsidR="00596BA7" w:rsidRPr="00CD1518" w:rsidRDefault="00596BA7" w:rsidP="00CD1518">
            <w:pPr>
              <w:spacing w:line="240" w:lineRule="auto"/>
              <w:jc w:val="right"/>
              <w:rPr>
                <w:b/>
                <w:bCs/>
                <w:color w:val="000000"/>
                <w:sz w:val="12"/>
                <w:szCs w:val="12"/>
                <w:lang w:eastAsia="en-AU"/>
              </w:rPr>
            </w:pPr>
          </w:p>
        </w:tc>
        <w:tc>
          <w:tcPr>
            <w:tcW w:w="500" w:type="pct"/>
            <w:tcBorders>
              <w:top w:val="nil"/>
              <w:left w:val="nil"/>
              <w:bottom w:val="nil"/>
              <w:right w:val="single" w:sz="4" w:space="0" w:color="5B9BD5"/>
            </w:tcBorders>
            <w:shd w:val="clear" w:color="000000" w:fill="D0CECE"/>
            <w:noWrap/>
            <w:vAlign w:val="center"/>
            <w:hideMark/>
          </w:tcPr>
          <w:p w:rsidR="00596BA7" w:rsidRPr="00CD1518" w:rsidRDefault="00596BA7" w:rsidP="00CD1518">
            <w:pPr>
              <w:spacing w:line="240" w:lineRule="auto"/>
              <w:jc w:val="right"/>
              <w:rPr>
                <w:b/>
                <w:bCs/>
                <w:color w:val="000000"/>
                <w:sz w:val="12"/>
                <w:szCs w:val="12"/>
                <w:lang w:eastAsia="en-AU"/>
              </w:rPr>
            </w:pPr>
          </w:p>
        </w:tc>
        <w:tc>
          <w:tcPr>
            <w:tcW w:w="388" w:type="pct"/>
            <w:tcBorders>
              <w:top w:val="nil"/>
              <w:left w:val="nil"/>
              <w:bottom w:val="nil"/>
              <w:right w:val="nil"/>
            </w:tcBorders>
            <w:shd w:val="clear" w:color="000000" w:fill="D0CECE"/>
            <w:noWrap/>
            <w:vAlign w:val="center"/>
            <w:hideMark/>
          </w:tcPr>
          <w:p w:rsidR="00596BA7" w:rsidRPr="00CD1518" w:rsidRDefault="00596BA7" w:rsidP="00CD1518">
            <w:pPr>
              <w:spacing w:line="240" w:lineRule="auto"/>
              <w:jc w:val="right"/>
              <w:rPr>
                <w:b/>
                <w:bCs/>
                <w:color w:val="000000"/>
                <w:sz w:val="12"/>
                <w:szCs w:val="12"/>
                <w:lang w:eastAsia="en-AU"/>
              </w:rPr>
            </w:pPr>
          </w:p>
        </w:tc>
        <w:tc>
          <w:tcPr>
            <w:tcW w:w="444" w:type="pct"/>
            <w:tcBorders>
              <w:top w:val="nil"/>
              <w:left w:val="single" w:sz="4" w:space="0" w:color="5B9BD5"/>
              <w:bottom w:val="nil"/>
              <w:right w:val="single" w:sz="4" w:space="0" w:color="5B9BD5"/>
            </w:tcBorders>
            <w:shd w:val="clear" w:color="000000" w:fill="D0CECE"/>
            <w:noWrap/>
            <w:vAlign w:val="center"/>
            <w:hideMark/>
          </w:tcPr>
          <w:p w:rsidR="00596BA7" w:rsidRPr="00CD1518" w:rsidRDefault="00596BA7" w:rsidP="00CD1518">
            <w:pPr>
              <w:spacing w:line="240" w:lineRule="auto"/>
              <w:jc w:val="right"/>
              <w:rPr>
                <w:b/>
                <w:bCs/>
                <w:color w:val="000000"/>
                <w:sz w:val="12"/>
                <w:szCs w:val="12"/>
                <w:lang w:eastAsia="en-AU"/>
              </w:rPr>
            </w:pPr>
          </w:p>
        </w:tc>
        <w:tc>
          <w:tcPr>
            <w:tcW w:w="334" w:type="pct"/>
            <w:tcBorders>
              <w:top w:val="nil"/>
              <w:left w:val="nil"/>
              <w:bottom w:val="nil"/>
              <w:right w:val="single" w:sz="4" w:space="0" w:color="5B9BD5"/>
            </w:tcBorders>
            <w:shd w:val="clear" w:color="000000" w:fill="D0CECE"/>
            <w:noWrap/>
            <w:vAlign w:val="center"/>
            <w:hideMark/>
          </w:tcPr>
          <w:p w:rsidR="00596BA7" w:rsidRPr="00CD1518" w:rsidRDefault="00596BA7" w:rsidP="00CD1518">
            <w:pPr>
              <w:spacing w:line="240" w:lineRule="auto"/>
              <w:jc w:val="right"/>
              <w:rPr>
                <w:b/>
                <w:bCs/>
                <w:color w:val="000000"/>
                <w:sz w:val="12"/>
                <w:szCs w:val="12"/>
                <w:lang w:eastAsia="en-AU"/>
              </w:rPr>
            </w:pPr>
          </w:p>
        </w:tc>
      </w:tr>
      <w:tr w:rsidR="00CA7B4E" w:rsidRPr="00596BA7" w:rsidTr="00596BA7">
        <w:trPr>
          <w:trHeight w:val="260"/>
        </w:trPr>
        <w:tc>
          <w:tcPr>
            <w:tcW w:w="666" w:type="pct"/>
            <w:tcBorders>
              <w:top w:val="nil"/>
              <w:left w:val="single" w:sz="4" w:space="0" w:color="5B9BD5"/>
              <w:bottom w:val="nil"/>
              <w:right w:val="nil"/>
            </w:tcBorders>
            <w:shd w:val="clear" w:color="000000" w:fill="DDEBF7"/>
            <w:noWrap/>
            <w:vAlign w:val="bottom"/>
            <w:hideMark/>
          </w:tcPr>
          <w:p w:rsidR="00596BA7" w:rsidRPr="00CD1518" w:rsidRDefault="00596BA7" w:rsidP="00596BA7">
            <w:pPr>
              <w:spacing w:line="240" w:lineRule="auto"/>
              <w:rPr>
                <w:sz w:val="12"/>
                <w:szCs w:val="12"/>
                <w:lang w:eastAsia="en-AU"/>
              </w:rPr>
            </w:pPr>
            <w:r w:rsidRPr="00CD1518">
              <w:rPr>
                <w:sz w:val="12"/>
                <w:szCs w:val="12"/>
                <w:lang w:eastAsia="en-AU"/>
              </w:rPr>
              <w:t>Transfers</w:t>
            </w:r>
          </w:p>
        </w:tc>
        <w:tc>
          <w:tcPr>
            <w:tcW w:w="501" w:type="pct"/>
            <w:tcBorders>
              <w:top w:val="nil"/>
              <w:left w:val="single" w:sz="4" w:space="0" w:color="5B9BD5"/>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1,266,500</w:t>
            </w:r>
          </w:p>
        </w:tc>
        <w:tc>
          <w:tcPr>
            <w:tcW w:w="501"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1,266,500</w:t>
            </w:r>
          </w:p>
        </w:tc>
        <w:tc>
          <w:tcPr>
            <w:tcW w:w="416"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94" w:type="pct"/>
            <w:tcBorders>
              <w:top w:val="nil"/>
              <w:left w:val="nil"/>
              <w:bottom w:val="nil"/>
              <w:right w:val="nil"/>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394" w:type="pct"/>
            <w:tcBorders>
              <w:top w:val="nil"/>
              <w:left w:val="single" w:sz="4" w:space="0" w:color="5B9BD5"/>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462"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500"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1,266,500</w:t>
            </w:r>
          </w:p>
        </w:tc>
        <w:tc>
          <w:tcPr>
            <w:tcW w:w="388" w:type="pct"/>
            <w:tcBorders>
              <w:top w:val="nil"/>
              <w:left w:val="nil"/>
              <w:bottom w:val="nil"/>
              <w:right w:val="nil"/>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444" w:type="pct"/>
            <w:tcBorders>
              <w:top w:val="nil"/>
              <w:left w:val="single" w:sz="4" w:space="0" w:color="5B9BD5"/>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334" w:type="pct"/>
            <w:tcBorders>
              <w:top w:val="nil"/>
              <w:left w:val="nil"/>
              <w:bottom w:val="nil"/>
              <w:right w:val="single" w:sz="4" w:space="0" w:color="5B9BD5"/>
            </w:tcBorders>
            <w:shd w:val="clear" w:color="000000" w:fill="DDEBF7"/>
            <w:noWrap/>
            <w:vAlign w:val="center"/>
            <w:hideMark/>
          </w:tcPr>
          <w:p w:rsidR="00596BA7" w:rsidRPr="00CD1518" w:rsidRDefault="00596BA7">
            <w:pPr>
              <w:spacing w:line="240" w:lineRule="auto"/>
              <w:jc w:val="right"/>
              <w:rPr>
                <w:sz w:val="12"/>
                <w:szCs w:val="12"/>
                <w:lang w:eastAsia="en-AU"/>
              </w:rPr>
            </w:pPr>
            <w:r w:rsidRPr="00CD1518">
              <w:rPr>
                <w:sz w:val="12"/>
                <w:szCs w:val="12"/>
                <w:lang w:eastAsia="en-AU"/>
              </w:rPr>
              <w:t>100%</w:t>
            </w:r>
          </w:p>
        </w:tc>
      </w:tr>
      <w:tr w:rsidR="00596BA7" w:rsidRPr="00596BA7" w:rsidTr="00596BA7">
        <w:trPr>
          <w:trHeight w:val="260"/>
        </w:trPr>
        <w:tc>
          <w:tcPr>
            <w:tcW w:w="666" w:type="pct"/>
            <w:tcBorders>
              <w:top w:val="nil"/>
              <w:left w:val="single" w:sz="4" w:space="0" w:color="5B9BD5"/>
              <w:bottom w:val="nil"/>
              <w:right w:val="nil"/>
            </w:tcBorders>
            <w:shd w:val="clear" w:color="auto" w:fill="auto"/>
            <w:noWrap/>
            <w:vAlign w:val="bottom"/>
            <w:hideMark/>
          </w:tcPr>
          <w:p w:rsidR="00596BA7" w:rsidRPr="00CD1518" w:rsidRDefault="00596BA7" w:rsidP="00596BA7">
            <w:pPr>
              <w:spacing w:line="240" w:lineRule="auto"/>
              <w:rPr>
                <w:color w:val="000000"/>
                <w:sz w:val="12"/>
                <w:szCs w:val="12"/>
                <w:lang w:eastAsia="en-AU"/>
              </w:rPr>
            </w:pPr>
            <w:r w:rsidRPr="00CD1518">
              <w:rPr>
                <w:color w:val="000000"/>
                <w:sz w:val="12"/>
                <w:szCs w:val="12"/>
                <w:lang w:eastAsia="en-AU"/>
              </w:rPr>
              <w:t>Emergency</w:t>
            </w:r>
          </w:p>
        </w:tc>
        <w:tc>
          <w:tcPr>
            <w:tcW w:w="501" w:type="pct"/>
            <w:tcBorders>
              <w:top w:val="nil"/>
              <w:left w:val="single" w:sz="4" w:space="0" w:color="5B9BD5"/>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51,968</w:t>
            </w:r>
          </w:p>
        </w:tc>
        <w:tc>
          <w:tcPr>
            <w:tcW w:w="501"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51,968</w:t>
            </w:r>
          </w:p>
        </w:tc>
        <w:tc>
          <w:tcPr>
            <w:tcW w:w="416"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94"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94"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462"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500"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51,968</w:t>
            </w:r>
          </w:p>
        </w:tc>
        <w:tc>
          <w:tcPr>
            <w:tcW w:w="388"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444"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34" w:type="pct"/>
            <w:tcBorders>
              <w:top w:val="nil"/>
              <w:left w:val="nil"/>
              <w:bottom w:val="nil"/>
              <w:right w:val="single" w:sz="4" w:space="0" w:color="5B9BD5"/>
            </w:tcBorders>
            <w:shd w:val="clear" w:color="auto" w:fill="auto"/>
            <w:noWrap/>
            <w:vAlign w:val="center"/>
            <w:hideMark/>
          </w:tcPr>
          <w:p w:rsidR="00596BA7" w:rsidRPr="00CD1518" w:rsidRDefault="00596BA7">
            <w:pPr>
              <w:spacing w:line="240" w:lineRule="auto"/>
              <w:jc w:val="right"/>
              <w:rPr>
                <w:color w:val="000000"/>
                <w:sz w:val="12"/>
                <w:szCs w:val="12"/>
                <w:lang w:eastAsia="en-AU"/>
              </w:rPr>
            </w:pPr>
            <w:r w:rsidRPr="00CD1518">
              <w:rPr>
                <w:color w:val="000000"/>
                <w:sz w:val="12"/>
                <w:szCs w:val="12"/>
                <w:lang w:eastAsia="en-AU"/>
              </w:rPr>
              <w:t>100%</w:t>
            </w:r>
          </w:p>
        </w:tc>
      </w:tr>
      <w:tr w:rsidR="00CA7B4E" w:rsidRPr="00596BA7" w:rsidTr="00596BA7">
        <w:trPr>
          <w:trHeight w:val="260"/>
        </w:trPr>
        <w:tc>
          <w:tcPr>
            <w:tcW w:w="666" w:type="pct"/>
            <w:tcBorders>
              <w:top w:val="nil"/>
              <w:left w:val="single" w:sz="4" w:space="0" w:color="5B9BD5"/>
              <w:bottom w:val="nil"/>
              <w:right w:val="nil"/>
            </w:tcBorders>
            <w:shd w:val="clear" w:color="000000" w:fill="DDEBF7"/>
            <w:noWrap/>
            <w:vAlign w:val="bottom"/>
            <w:hideMark/>
          </w:tcPr>
          <w:p w:rsidR="00596BA7" w:rsidRPr="00CD1518" w:rsidRDefault="00596BA7" w:rsidP="00596BA7">
            <w:pPr>
              <w:spacing w:line="240" w:lineRule="auto"/>
              <w:rPr>
                <w:sz w:val="12"/>
                <w:szCs w:val="12"/>
                <w:lang w:eastAsia="en-AU"/>
              </w:rPr>
            </w:pPr>
            <w:r w:rsidRPr="00CD1518">
              <w:rPr>
                <w:sz w:val="12"/>
                <w:szCs w:val="12"/>
                <w:lang w:eastAsia="en-AU"/>
              </w:rPr>
              <w:t>Radiology</w:t>
            </w:r>
          </w:p>
        </w:tc>
        <w:tc>
          <w:tcPr>
            <w:tcW w:w="501" w:type="pct"/>
            <w:tcBorders>
              <w:top w:val="nil"/>
              <w:left w:val="single" w:sz="4" w:space="0" w:color="5B9BD5"/>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60,412</w:t>
            </w:r>
          </w:p>
        </w:tc>
        <w:tc>
          <w:tcPr>
            <w:tcW w:w="501"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60,412</w:t>
            </w:r>
          </w:p>
        </w:tc>
        <w:tc>
          <w:tcPr>
            <w:tcW w:w="416"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94" w:type="pct"/>
            <w:tcBorders>
              <w:top w:val="nil"/>
              <w:left w:val="nil"/>
              <w:bottom w:val="nil"/>
              <w:right w:val="nil"/>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394" w:type="pct"/>
            <w:tcBorders>
              <w:top w:val="nil"/>
              <w:left w:val="single" w:sz="4" w:space="0" w:color="5B9BD5"/>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462"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500"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60,412</w:t>
            </w:r>
          </w:p>
        </w:tc>
        <w:tc>
          <w:tcPr>
            <w:tcW w:w="388" w:type="pct"/>
            <w:tcBorders>
              <w:top w:val="nil"/>
              <w:left w:val="nil"/>
              <w:bottom w:val="nil"/>
              <w:right w:val="nil"/>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444" w:type="pct"/>
            <w:tcBorders>
              <w:top w:val="nil"/>
              <w:left w:val="single" w:sz="4" w:space="0" w:color="5B9BD5"/>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334" w:type="pct"/>
            <w:tcBorders>
              <w:top w:val="nil"/>
              <w:left w:val="nil"/>
              <w:bottom w:val="nil"/>
              <w:right w:val="single" w:sz="4" w:space="0" w:color="5B9BD5"/>
            </w:tcBorders>
            <w:shd w:val="clear" w:color="000000" w:fill="DDEBF7"/>
            <w:noWrap/>
            <w:vAlign w:val="center"/>
            <w:hideMark/>
          </w:tcPr>
          <w:p w:rsidR="00596BA7" w:rsidRPr="00CD1518" w:rsidRDefault="00596BA7">
            <w:pPr>
              <w:spacing w:line="240" w:lineRule="auto"/>
              <w:jc w:val="right"/>
              <w:rPr>
                <w:sz w:val="12"/>
                <w:szCs w:val="12"/>
                <w:lang w:eastAsia="en-AU"/>
              </w:rPr>
            </w:pPr>
            <w:r w:rsidRPr="00CD1518">
              <w:rPr>
                <w:sz w:val="12"/>
                <w:szCs w:val="12"/>
                <w:lang w:eastAsia="en-AU"/>
              </w:rPr>
              <w:t>100%</w:t>
            </w:r>
          </w:p>
        </w:tc>
      </w:tr>
      <w:tr w:rsidR="00596BA7" w:rsidRPr="00596BA7" w:rsidTr="00596BA7">
        <w:trPr>
          <w:trHeight w:val="260"/>
        </w:trPr>
        <w:tc>
          <w:tcPr>
            <w:tcW w:w="666" w:type="pct"/>
            <w:tcBorders>
              <w:top w:val="nil"/>
              <w:left w:val="single" w:sz="4" w:space="0" w:color="5B9BD5"/>
              <w:bottom w:val="nil"/>
              <w:right w:val="nil"/>
            </w:tcBorders>
            <w:shd w:val="clear" w:color="auto" w:fill="auto"/>
            <w:noWrap/>
            <w:vAlign w:val="bottom"/>
            <w:hideMark/>
          </w:tcPr>
          <w:p w:rsidR="00596BA7" w:rsidRPr="00CD1518" w:rsidRDefault="00596BA7" w:rsidP="00596BA7">
            <w:pPr>
              <w:spacing w:line="240" w:lineRule="auto"/>
              <w:rPr>
                <w:color w:val="000000"/>
                <w:sz w:val="12"/>
                <w:szCs w:val="12"/>
                <w:lang w:eastAsia="en-AU"/>
              </w:rPr>
            </w:pPr>
            <w:r w:rsidRPr="00CD1518">
              <w:rPr>
                <w:color w:val="000000"/>
                <w:sz w:val="12"/>
                <w:szCs w:val="12"/>
                <w:lang w:eastAsia="en-AU"/>
              </w:rPr>
              <w:t>Pharmacy data</w:t>
            </w:r>
          </w:p>
        </w:tc>
        <w:tc>
          <w:tcPr>
            <w:tcW w:w="501" w:type="pct"/>
            <w:tcBorders>
              <w:top w:val="nil"/>
              <w:left w:val="single" w:sz="4" w:space="0" w:color="5B9BD5"/>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8,757,832</w:t>
            </w:r>
          </w:p>
        </w:tc>
        <w:tc>
          <w:tcPr>
            <w:tcW w:w="501"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8,757,832</w:t>
            </w:r>
          </w:p>
        </w:tc>
        <w:tc>
          <w:tcPr>
            <w:tcW w:w="416"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94"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94"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462"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500"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8,757,832</w:t>
            </w:r>
          </w:p>
        </w:tc>
        <w:tc>
          <w:tcPr>
            <w:tcW w:w="388"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444"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34" w:type="pct"/>
            <w:tcBorders>
              <w:top w:val="nil"/>
              <w:left w:val="nil"/>
              <w:bottom w:val="nil"/>
              <w:right w:val="single" w:sz="4" w:space="0" w:color="5B9BD5"/>
            </w:tcBorders>
            <w:shd w:val="clear" w:color="auto" w:fill="auto"/>
            <w:noWrap/>
            <w:vAlign w:val="center"/>
            <w:hideMark/>
          </w:tcPr>
          <w:p w:rsidR="00596BA7" w:rsidRPr="00CD1518" w:rsidRDefault="00596BA7">
            <w:pPr>
              <w:spacing w:line="240" w:lineRule="auto"/>
              <w:jc w:val="right"/>
              <w:rPr>
                <w:color w:val="000000"/>
                <w:sz w:val="12"/>
                <w:szCs w:val="12"/>
                <w:lang w:eastAsia="en-AU"/>
              </w:rPr>
            </w:pPr>
            <w:r w:rsidRPr="00CD1518">
              <w:rPr>
                <w:color w:val="000000"/>
                <w:sz w:val="12"/>
                <w:szCs w:val="12"/>
                <w:lang w:eastAsia="en-AU"/>
              </w:rPr>
              <w:t>100%</w:t>
            </w:r>
          </w:p>
        </w:tc>
      </w:tr>
      <w:tr w:rsidR="00CA7B4E" w:rsidRPr="00596BA7" w:rsidTr="00596BA7">
        <w:trPr>
          <w:trHeight w:val="260"/>
        </w:trPr>
        <w:tc>
          <w:tcPr>
            <w:tcW w:w="666" w:type="pct"/>
            <w:tcBorders>
              <w:top w:val="nil"/>
              <w:left w:val="single" w:sz="4" w:space="0" w:color="5B9BD5"/>
              <w:bottom w:val="nil"/>
              <w:right w:val="nil"/>
            </w:tcBorders>
            <w:shd w:val="clear" w:color="000000" w:fill="DDEBF7"/>
            <w:noWrap/>
            <w:vAlign w:val="bottom"/>
            <w:hideMark/>
          </w:tcPr>
          <w:p w:rsidR="00596BA7" w:rsidRPr="00CD1518" w:rsidRDefault="00596BA7" w:rsidP="00596BA7">
            <w:pPr>
              <w:spacing w:line="240" w:lineRule="auto"/>
              <w:rPr>
                <w:sz w:val="12"/>
                <w:szCs w:val="12"/>
                <w:lang w:eastAsia="en-AU"/>
              </w:rPr>
            </w:pPr>
            <w:r w:rsidRPr="00CD1518">
              <w:rPr>
                <w:sz w:val="12"/>
                <w:szCs w:val="12"/>
                <w:lang w:eastAsia="en-AU"/>
              </w:rPr>
              <w:t>Pathology</w:t>
            </w:r>
          </w:p>
        </w:tc>
        <w:tc>
          <w:tcPr>
            <w:tcW w:w="501" w:type="pct"/>
            <w:tcBorders>
              <w:top w:val="nil"/>
              <w:left w:val="single" w:sz="4" w:space="0" w:color="5B9BD5"/>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144,864</w:t>
            </w:r>
          </w:p>
        </w:tc>
        <w:tc>
          <w:tcPr>
            <w:tcW w:w="501"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144,864</w:t>
            </w:r>
          </w:p>
        </w:tc>
        <w:tc>
          <w:tcPr>
            <w:tcW w:w="416"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94" w:type="pct"/>
            <w:tcBorders>
              <w:top w:val="nil"/>
              <w:left w:val="nil"/>
              <w:bottom w:val="nil"/>
              <w:right w:val="nil"/>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394" w:type="pct"/>
            <w:tcBorders>
              <w:top w:val="nil"/>
              <w:left w:val="single" w:sz="4" w:space="0" w:color="5B9BD5"/>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462"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500"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144,864</w:t>
            </w:r>
          </w:p>
        </w:tc>
        <w:tc>
          <w:tcPr>
            <w:tcW w:w="388" w:type="pct"/>
            <w:tcBorders>
              <w:top w:val="nil"/>
              <w:left w:val="nil"/>
              <w:bottom w:val="nil"/>
              <w:right w:val="nil"/>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444" w:type="pct"/>
            <w:tcBorders>
              <w:top w:val="nil"/>
              <w:left w:val="single" w:sz="4" w:space="0" w:color="5B9BD5"/>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334" w:type="pct"/>
            <w:tcBorders>
              <w:top w:val="nil"/>
              <w:left w:val="nil"/>
              <w:bottom w:val="nil"/>
              <w:right w:val="single" w:sz="4" w:space="0" w:color="5B9BD5"/>
            </w:tcBorders>
            <w:shd w:val="clear" w:color="000000" w:fill="DDEBF7"/>
            <w:noWrap/>
            <w:vAlign w:val="center"/>
            <w:hideMark/>
          </w:tcPr>
          <w:p w:rsidR="00596BA7" w:rsidRPr="00CD1518" w:rsidRDefault="00596BA7">
            <w:pPr>
              <w:spacing w:line="240" w:lineRule="auto"/>
              <w:jc w:val="right"/>
              <w:rPr>
                <w:sz w:val="12"/>
                <w:szCs w:val="12"/>
                <w:lang w:eastAsia="en-AU"/>
              </w:rPr>
            </w:pPr>
            <w:r w:rsidRPr="00CD1518">
              <w:rPr>
                <w:sz w:val="12"/>
                <w:szCs w:val="12"/>
                <w:lang w:eastAsia="en-AU"/>
              </w:rPr>
              <w:t>100%</w:t>
            </w:r>
          </w:p>
        </w:tc>
      </w:tr>
      <w:tr w:rsidR="00596BA7" w:rsidRPr="00596BA7" w:rsidTr="00596BA7">
        <w:trPr>
          <w:trHeight w:val="260"/>
        </w:trPr>
        <w:tc>
          <w:tcPr>
            <w:tcW w:w="666" w:type="pct"/>
            <w:tcBorders>
              <w:top w:val="nil"/>
              <w:left w:val="single" w:sz="4" w:space="0" w:color="5B9BD5"/>
              <w:bottom w:val="nil"/>
              <w:right w:val="nil"/>
            </w:tcBorders>
            <w:shd w:val="clear" w:color="auto" w:fill="auto"/>
            <w:noWrap/>
            <w:vAlign w:val="bottom"/>
            <w:hideMark/>
          </w:tcPr>
          <w:p w:rsidR="00596BA7" w:rsidRPr="00CD1518" w:rsidRDefault="00596BA7" w:rsidP="00596BA7">
            <w:pPr>
              <w:spacing w:line="240" w:lineRule="auto"/>
              <w:rPr>
                <w:color w:val="000000"/>
                <w:sz w:val="12"/>
                <w:szCs w:val="12"/>
                <w:lang w:eastAsia="en-AU"/>
              </w:rPr>
            </w:pPr>
            <w:r w:rsidRPr="00CD1518">
              <w:rPr>
                <w:color w:val="000000"/>
                <w:sz w:val="12"/>
                <w:szCs w:val="12"/>
                <w:lang w:eastAsia="en-AU"/>
              </w:rPr>
              <w:t>Allied Health</w:t>
            </w:r>
          </w:p>
        </w:tc>
        <w:tc>
          <w:tcPr>
            <w:tcW w:w="501" w:type="pct"/>
            <w:tcBorders>
              <w:top w:val="nil"/>
              <w:left w:val="single" w:sz="4" w:space="0" w:color="5B9BD5"/>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3,687,690</w:t>
            </w:r>
          </w:p>
        </w:tc>
        <w:tc>
          <w:tcPr>
            <w:tcW w:w="501"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3,687,690</w:t>
            </w:r>
          </w:p>
        </w:tc>
        <w:tc>
          <w:tcPr>
            <w:tcW w:w="416"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94"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94"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462"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500"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3,687,690</w:t>
            </w:r>
          </w:p>
        </w:tc>
        <w:tc>
          <w:tcPr>
            <w:tcW w:w="388"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444"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34" w:type="pct"/>
            <w:tcBorders>
              <w:top w:val="nil"/>
              <w:left w:val="nil"/>
              <w:bottom w:val="nil"/>
              <w:right w:val="single" w:sz="4" w:space="0" w:color="5B9BD5"/>
            </w:tcBorders>
            <w:shd w:val="clear" w:color="auto" w:fill="auto"/>
            <w:noWrap/>
            <w:vAlign w:val="center"/>
            <w:hideMark/>
          </w:tcPr>
          <w:p w:rsidR="00596BA7" w:rsidRPr="00CD1518" w:rsidRDefault="00596BA7">
            <w:pPr>
              <w:spacing w:line="240" w:lineRule="auto"/>
              <w:jc w:val="right"/>
              <w:rPr>
                <w:color w:val="000000"/>
                <w:sz w:val="12"/>
                <w:szCs w:val="12"/>
                <w:lang w:eastAsia="en-AU"/>
              </w:rPr>
            </w:pPr>
            <w:r w:rsidRPr="00CD1518">
              <w:rPr>
                <w:color w:val="000000"/>
                <w:sz w:val="12"/>
                <w:szCs w:val="12"/>
                <w:lang w:eastAsia="en-AU"/>
              </w:rPr>
              <w:t>100%</w:t>
            </w:r>
          </w:p>
        </w:tc>
      </w:tr>
      <w:tr w:rsidR="00CA7B4E" w:rsidRPr="00596BA7" w:rsidTr="00596BA7">
        <w:trPr>
          <w:trHeight w:val="260"/>
        </w:trPr>
        <w:tc>
          <w:tcPr>
            <w:tcW w:w="666" w:type="pct"/>
            <w:tcBorders>
              <w:top w:val="nil"/>
              <w:left w:val="single" w:sz="4" w:space="0" w:color="5B9BD5"/>
              <w:bottom w:val="nil"/>
              <w:right w:val="nil"/>
            </w:tcBorders>
            <w:shd w:val="clear" w:color="000000" w:fill="DDEBF7"/>
            <w:noWrap/>
            <w:vAlign w:val="bottom"/>
            <w:hideMark/>
          </w:tcPr>
          <w:p w:rsidR="00596BA7" w:rsidRPr="00CD1518" w:rsidRDefault="00596BA7" w:rsidP="00596BA7">
            <w:pPr>
              <w:spacing w:line="240" w:lineRule="auto"/>
              <w:rPr>
                <w:sz w:val="12"/>
                <w:szCs w:val="12"/>
                <w:lang w:eastAsia="en-AU"/>
              </w:rPr>
            </w:pPr>
            <w:r w:rsidRPr="00CD1518">
              <w:rPr>
                <w:sz w:val="12"/>
                <w:szCs w:val="12"/>
                <w:lang w:eastAsia="en-AU"/>
              </w:rPr>
              <w:t>Visiting Medical Officers</w:t>
            </w:r>
          </w:p>
        </w:tc>
        <w:tc>
          <w:tcPr>
            <w:tcW w:w="501" w:type="pct"/>
            <w:tcBorders>
              <w:top w:val="nil"/>
              <w:left w:val="single" w:sz="4" w:space="0" w:color="5B9BD5"/>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6,993</w:t>
            </w:r>
          </w:p>
        </w:tc>
        <w:tc>
          <w:tcPr>
            <w:tcW w:w="501"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6,993</w:t>
            </w:r>
          </w:p>
        </w:tc>
        <w:tc>
          <w:tcPr>
            <w:tcW w:w="416"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94" w:type="pct"/>
            <w:tcBorders>
              <w:top w:val="nil"/>
              <w:left w:val="nil"/>
              <w:bottom w:val="nil"/>
              <w:right w:val="nil"/>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394" w:type="pct"/>
            <w:tcBorders>
              <w:top w:val="nil"/>
              <w:left w:val="single" w:sz="4" w:space="0" w:color="5B9BD5"/>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462"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500"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6,993</w:t>
            </w:r>
          </w:p>
        </w:tc>
        <w:tc>
          <w:tcPr>
            <w:tcW w:w="388" w:type="pct"/>
            <w:tcBorders>
              <w:top w:val="nil"/>
              <w:left w:val="nil"/>
              <w:bottom w:val="nil"/>
              <w:right w:val="nil"/>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444" w:type="pct"/>
            <w:tcBorders>
              <w:top w:val="nil"/>
              <w:left w:val="single" w:sz="4" w:space="0" w:color="5B9BD5"/>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334" w:type="pct"/>
            <w:tcBorders>
              <w:top w:val="nil"/>
              <w:left w:val="nil"/>
              <w:bottom w:val="nil"/>
              <w:right w:val="single" w:sz="4" w:space="0" w:color="5B9BD5"/>
            </w:tcBorders>
            <w:shd w:val="clear" w:color="000000" w:fill="DDEBF7"/>
            <w:noWrap/>
            <w:vAlign w:val="center"/>
            <w:hideMark/>
          </w:tcPr>
          <w:p w:rsidR="00596BA7" w:rsidRPr="00CD1518" w:rsidRDefault="00596BA7">
            <w:pPr>
              <w:spacing w:line="240" w:lineRule="auto"/>
              <w:jc w:val="right"/>
              <w:rPr>
                <w:sz w:val="12"/>
                <w:szCs w:val="12"/>
                <w:lang w:eastAsia="en-AU"/>
              </w:rPr>
            </w:pPr>
            <w:r w:rsidRPr="00CD1518">
              <w:rPr>
                <w:sz w:val="12"/>
                <w:szCs w:val="12"/>
                <w:lang w:eastAsia="en-AU"/>
              </w:rPr>
              <w:t>100%</w:t>
            </w:r>
          </w:p>
        </w:tc>
      </w:tr>
      <w:tr w:rsidR="00596BA7" w:rsidRPr="00596BA7" w:rsidTr="00596BA7">
        <w:trPr>
          <w:trHeight w:val="260"/>
        </w:trPr>
        <w:tc>
          <w:tcPr>
            <w:tcW w:w="666" w:type="pct"/>
            <w:tcBorders>
              <w:top w:val="nil"/>
              <w:left w:val="single" w:sz="4" w:space="0" w:color="5B9BD5"/>
              <w:bottom w:val="nil"/>
              <w:right w:val="nil"/>
            </w:tcBorders>
            <w:shd w:val="clear" w:color="auto" w:fill="auto"/>
            <w:noWrap/>
            <w:vAlign w:val="bottom"/>
            <w:hideMark/>
          </w:tcPr>
          <w:p w:rsidR="00596BA7" w:rsidRPr="00CD1518" w:rsidRDefault="00596BA7" w:rsidP="00596BA7">
            <w:pPr>
              <w:spacing w:line="240" w:lineRule="auto"/>
              <w:rPr>
                <w:color w:val="000000"/>
                <w:sz w:val="12"/>
                <w:szCs w:val="12"/>
                <w:lang w:eastAsia="en-AU"/>
              </w:rPr>
            </w:pPr>
            <w:r w:rsidRPr="00CD1518">
              <w:rPr>
                <w:color w:val="000000"/>
                <w:sz w:val="12"/>
                <w:szCs w:val="12"/>
                <w:lang w:eastAsia="en-AU"/>
              </w:rPr>
              <w:t>Theatre</w:t>
            </w:r>
          </w:p>
        </w:tc>
        <w:tc>
          <w:tcPr>
            <w:tcW w:w="501" w:type="pct"/>
            <w:tcBorders>
              <w:top w:val="nil"/>
              <w:left w:val="single" w:sz="4" w:space="0" w:color="5B9BD5"/>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13,189</w:t>
            </w:r>
          </w:p>
        </w:tc>
        <w:tc>
          <w:tcPr>
            <w:tcW w:w="501"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13,189</w:t>
            </w:r>
          </w:p>
        </w:tc>
        <w:tc>
          <w:tcPr>
            <w:tcW w:w="416"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94"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94"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462"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500" w:type="pct"/>
            <w:tcBorders>
              <w:top w:val="nil"/>
              <w:left w:val="nil"/>
              <w:bottom w:val="nil"/>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13,189</w:t>
            </w:r>
          </w:p>
        </w:tc>
        <w:tc>
          <w:tcPr>
            <w:tcW w:w="388"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444" w:type="pct"/>
            <w:tcBorders>
              <w:top w:val="nil"/>
              <w:left w:val="nil"/>
              <w:bottom w:val="nil"/>
              <w:right w:val="single" w:sz="4" w:space="0" w:color="5B9BD5"/>
            </w:tcBorders>
            <w:shd w:val="clear" w:color="auto" w:fill="auto"/>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34" w:type="pct"/>
            <w:tcBorders>
              <w:top w:val="nil"/>
              <w:left w:val="nil"/>
              <w:bottom w:val="nil"/>
              <w:right w:val="single" w:sz="4" w:space="0" w:color="5B9BD5"/>
            </w:tcBorders>
            <w:shd w:val="clear" w:color="auto" w:fill="auto"/>
            <w:noWrap/>
            <w:vAlign w:val="center"/>
            <w:hideMark/>
          </w:tcPr>
          <w:p w:rsidR="00596BA7" w:rsidRPr="00CD1518" w:rsidRDefault="00596BA7">
            <w:pPr>
              <w:spacing w:line="240" w:lineRule="auto"/>
              <w:jc w:val="right"/>
              <w:rPr>
                <w:color w:val="000000"/>
                <w:sz w:val="12"/>
                <w:szCs w:val="12"/>
                <w:lang w:eastAsia="en-AU"/>
              </w:rPr>
            </w:pPr>
            <w:r w:rsidRPr="00CD1518">
              <w:rPr>
                <w:color w:val="000000"/>
                <w:sz w:val="12"/>
                <w:szCs w:val="12"/>
                <w:lang w:eastAsia="en-AU"/>
              </w:rPr>
              <w:t>100%</w:t>
            </w:r>
          </w:p>
        </w:tc>
      </w:tr>
      <w:tr w:rsidR="00CA7B4E" w:rsidRPr="00596BA7" w:rsidTr="00596BA7">
        <w:trPr>
          <w:trHeight w:val="260"/>
        </w:trPr>
        <w:tc>
          <w:tcPr>
            <w:tcW w:w="666" w:type="pct"/>
            <w:tcBorders>
              <w:top w:val="nil"/>
              <w:left w:val="single" w:sz="4" w:space="0" w:color="5B9BD5"/>
              <w:bottom w:val="single" w:sz="4" w:space="0" w:color="5B9BD5"/>
              <w:right w:val="nil"/>
            </w:tcBorders>
            <w:shd w:val="clear" w:color="000000" w:fill="DDEBF7"/>
            <w:noWrap/>
            <w:vAlign w:val="bottom"/>
            <w:hideMark/>
          </w:tcPr>
          <w:p w:rsidR="00596BA7" w:rsidRPr="00CD1518" w:rsidRDefault="00596BA7" w:rsidP="00596BA7">
            <w:pPr>
              <w:spacing w:line="240" w:lineRule="auto"/>
              <w:rPr>
                <w:sz w:val="12"/>
                <w:szCs w:val="12"/>
                <w:lang w:eastAsia="en-AU"/>
              </w:rPr>
            </w:pPr>
            <w:r w:rsidRPr="00CD1518">
              <w:rPr>
                <w:sz w:val="12"/>
                <w:szCs w:val="12"/>
                <w:lang w:eastAsia="en-AU"/>
              </w:rPr>
              <w:t>Prosthetics</w:t>
            </w:r>
          </w:p>
        </w:tc>
        <w:tc>
          <w:tcPr>
            <w:tcW w:w="501" w:type="pct"/>
            <w:tcBorders>
              <w:top w:val="nil"/>
              <w:left w:val="single" w:sz="4" w:space="0" w:color="5B9BD5"/>
              <w:bottom w:val="single" w:sz="4" w:space="0" w:color="5B9BD5"/>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3,254</w:t>
            </w:r>
          </w:p>
        </w:tc>
        <w:tc>
          <w:tcPr>
            <w:tcW w:w="501" w:type="pct"/>
            <w:tcBorders>
              <w:top w:val="nil"/>
              <w:left w:val="nil"/>
              <w:bottom w:val="single" w:sz="4" w:space="0" w:color="5B9BD5"/>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3,254</w:t>
            </w:r>
          </w:p>
        </w:tc>
        <w:tc>
          <w:tcPr>
            <w:tcW w:w="416" w:type="pct"/>
            <w:tcBorders>
              <w:top w:val="nil"/>
              <w:left w:val="nil"/>
              <w:bottom w:val="single" w:sz="4" w:space="0" w:color="5B9BD5"/>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w:t>
            </w:r>
          </w:p>
        </w:tc>
        <w:tc>
          <w:tcPr>
            <w:tcW w:w="394" w:type="pct"/>
            <w:tcBorders>
              <w:top w:val="nil"/>
              <w:left w:val="nil"/>
              <w:bottom w:val="single" w:sz="4" w:space="0" w:color="5B9BD5"/>
              <w:right w:val="nil"/>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394" w:type="pct"/>
            <w:tcBorders>
              <w:top w:val="nil"/>
              <w:left w:val="single" w:sz="4" w:space="0" w:color="5B9BD5"/>
              <w:bottom w:val="single" w:sz="4" w:space="0" w:color="5B9BD5"/>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462" w:type="pct"/>
            <w:tcBorders>
              <w:top w:val="nil"/>
              <w:left w:val="nil"/>
              <w:bottom w:val="single" w:sz="4" w:space="0" w:color="5B9BD5"/>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500" w:type="pct"/>
            <w:tcBorders>
              <w:top w:val="nil"/>
              <w:left w:val="nil"/>
              <w:bottom w:val="single" w:sz="4" w:space="0" w:color="5B9BD5"/>
              <w:right w:val="single" w:sz="4" w:space="0" w:color="5B9BD5"/>
            </w:tcBorders>
            <w:shd w:val="clear" w:color="000000" w:fill="DDEBF7"/>
            <w:noWrap/>
            <w:vAlign w:val="center"/>
            <w:hideMark/>
          </w:tcPr>
          <w:p w:rsidR="00596BA7" w:rsidRPr="00CD1518" w:rsidRDefault="00596BA7" w:rsidP="00CD1518">
            <w:pPr>
              <w:spacing w:line="240" w:lineRule="auto"/>
              <w:jc w:val="right"/>
              <w:rPr>
                <w:color w:val="000000"/>
                <w:sz w:val="12"/>
                <w:szCs w:val="12"/>
                <w:lang w:eastAsia="en-AU"/>
              </w:rPr>
            </w:pPr>
            <w:r w:rsidRPr="00CD1518">
              <w:rPr>
                <w:color w:val="000000"/>
                <w:sz w:val="12"/>
                <w:szCs w:val="12"/>
                <w:lang w:eastAsia="en-AU"/>
              </w:rPr>
              <w:t>3,254</w:t>
            </w:r>
          </w:p>
        </w:tc>
        <w:tc>
          <w:tcPr>
            <w:tcW w:w="388" w:type="pct"/>
            <w:tcBorders>
              <w:top w:val="nil"/>
              <w:left w:val="nil"/>
              <w:bottom w:val="single" w:sz="4" w:space="0" w:color="5B9BD5"/>
              <w:right w:val="nil"/>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444" w:type="pct"/>
            <w:tcBorders>
              <w:top w:val="nil"/>
              <w:left w:val="single" w:sz="4" w:space="0" w:color="5B9BD5"/>
              <w:bottom w:val="single" w:sz="4" w:space="0" w:color="5B9BD5"/>
              <w:right w:val="single" w:sz="4" w:space="0" w:color="5B9BD5"/>
            </w:tcBorders>
            <w:shd w:val="clear" w:color="000000" w:fill="DDEBF7"/>
            <w:noWrap/>
            <w:vAlign w:val="center"/>
            <w:hideMark/>
          </w:tcPr>
          <w:p w:rsidR="00596BA7" w:rsidRPr="00CD1518" w:rsidRDefault="00596BA7" w:rsidP="00CD1518">
            <w:pPr>
              <w:spacing w:line="240" w:lineRule="auto"/>
              <w:jc w:val="right"/>
              <w:rPr>
                <w:sz w:val="12"/>
                <w:szCs w:val="12"/>
                <w:lang w:eastAsia="en-AU"/>
              </w:rPr>
            </w:pPr>
            <w:r w:rsidRPr="00CD1518">
              <w:rPr>
                <w:sz w:val="12"/>
                <w:szCs w:val="12"/>
                <w:lang w:eastAsia="en-AU"/>
              </w:rPr>
              <w:t>-</w:t>
            </w:r>
          </w:p>
        </w:tc>
        <w:tc>
          <w:tcPr>
            <w:tcW w:w="334" w:type="pct"/>
            <w:tcBorders>
              <w:top w:val="nil"/>
              <w:left w:val="nil"/>
              <w:bottom w:val="single" w:sz="4" w:space="0" w:color="5B9BD5"/>
              <w:right w:val="single" w:sz="4" w:space="0" w:color="5B9BD5"/>
            </w:tcBorders>
            <w:shd w:val="clear" w:color="000000" w:fill="DDEBF7"/>
            <w:noWrap/>
            <w:vAlign w:val="center"/>
            <w:hideMark/>
          </w:tcPr>
          <w:p w:rsidR="00596BA7" w:rsidRPr="00CD1518" w:rsidRDefault="00596BA7">
            <w:pPr>
              <w:spacing w:line="240" w:lineRule="auto"/>
              <w:jc w:val="right"/>
              <w:rPr>
                <w:sz w:val="12"/>
                <w:szCs w:val="12"/>
                <w:lang w:eastAsia="en-AU"/>
              </w:rPr>
            </w:pPr>
            <w:r w:rsidRPr="00CD1518">
              <w:rPr>
                <w:sz w:val="12"/>
                <w:szCs w:val="12"/>
                <w:lang w:eastAsia="en-AU"/>
              </w:rPr>
              <w:t>100%</w:t>
            </w:r>
          </w:p>
        </w:tc>
      </w:tr>
    </w:tbl>
    <w:p w:rsidR="00B5276F" w:rsidRPr="00975E6B" w:rsidRDefault="00B5276F" w:rsidP="00B5276F">
      <w:pPr>
        <w:rPr>
          <w:bCs/>
          <w:i/>
          <w:sz w:val="16"/>
          <w:szCs w:val="16"/>
        </w:rPr>
      </w:pPr>
      <w:r w:rsidRPr="00975E6B">
        <w:rPr>
          <w:bCs/>
          <w:i/>
          <w:sz w:val="16"/>
          <w:szCs w:val="16"/>
        </w:rPr>
        <w:t xml:space="preserve">Source: KPMG based on </w:t>
      </w:r>
      <w:r w:rsidR="00C15673" w:rsidRPr="00975E6B">
        <w:rPr>
          <w:bCs/>
          <w:i/>
          <w:sz w:val="16"/>
          <w:szCs w:val="16"/>
        </w:rPr>
        <w:t>Rockingham General</w:t>
      </w:r>
      <w:r w:rsidRPr="00975E6B">
        <w:rPr>
          <w:bCs/>
          <w:i/>
          <w:sz w:val="16"/>
          <w:szCs w:val="16"/>
        </w:rPr>
        <w:t xml:space="preserve"> IFR templates</w:t>
      </w:r>
    </w:p>
    <w:p w:rsidR="00596BA7" w:rsidRDefault="00B5276F" w:rsidP="00CD1518">
      <w:pPr>
        <w:pStyle w:val="BodyText"/>
      </w:pPr>
      <w:r w:rsidRPr="00975E6B">
        <w:t xml:space="preserve">The following should be noted about the feeder data for </w:t>
      </w:r>
      <w:r w:rsidR="00C15673" w:rsidRPr="00975E6B">
        <w:t>Rockingham General</w:t>
      </w:r>
      <w:r w:rsidRPr="00975E6B">
        <w:t>.</w:t>
      </w:r>
    </w:p>
    <w:p w:rsidR="00B5276F" w:rsidRPr="00975E6B" w:rsidRDefault="00B5276F" w:rsidP="00F26328">
      <w:pPr>
        <w:pStyle w:val="BodyText"/>
        <w:numPr>
          <w:ilvl w:val="0"/>
          <w:numId w:val="35"/>
        </w:numPr>
      </w:pPr>
      <w:r w:rsidRPr="00975E6B">
        <w:t>There are ten feeders reported from hospital source systems</w:t>
      </w:r>
      <w:r w:rsidR="004C2A99" w:rsidRPr="00975E6B">
        <w:t xml:space="preserve"> </w:t>
      </w:r>
      <w:r w:rsidR="007155A1" w:rsidRPr="00975E6B">
        <w:t>and they appear to represent major hospital departments providing resource activity</w:t>
      </w:r>
      <w:r w:rsidR="004C2A99" w:rsidRPr="00975E6B">
        <w:t>.</w:t>
      </w:r>
      <w:r w:rsidR="009540B1">
        <w:t xml:space="preserve"> The split of records between acute, emergency and non-admitted was not provided. </w:t>
      </w:r>
    </w:p>
    <w:p w:rsidR="00B5276F" w:rsidRDefault="00B5276F" w:rsidP="00F26328">
      <w:pPr>
        <w:pStyle w:val="BodyText"/>
        <w:numPr>
          <w:ilvl w:val="0"/>
          <w:numId w:val="35"/>
        </w:numPr>
      </w:pPr>
      <w:r w:rsidRPr="00975E6B">
        <w:t xml:space="preserve">The feeder data supplied by </w:t>
      </w:r>
      <w:r w:rsidR="00C15673" w:rsidRPr="00975E6B">
        <w:t>Rockingham General</w:t>
      </w:r>
      <w:r w:rsidRPr="00975E6B">
        <w:t xml:space="preserve"> in the templates indicated a 100</w:t>
      </w:r>
      <w:r w:rsidR="00625C35" w:rsidRPr="00975E6B">
        <w:t> percent</w:t>
      </w:r>
      <w:r w:rsidRPr="00975E6B">
        <w:t xml:space="preserve"> linking ratio for all ten feeders.</w:t>
      </w:r>
      <w:r w:rsidR="004C2A99" w:rsidRPr="00975E6B">
        <w:t xml:space="preserve"> This suggests that there is robustness in the level of feeder activity reported back to episodes.</w:t>
      </w:r>
    </w:p>
    <w:p w:rsidR="00B5276F" w:rsidRPr="00975E6B" w:rsidRDefault="00B5276F" w:rsidP="00B5276F">
      <w:pPr>
        <w:pStyle w:val="BodyText"/>
      </w:pPr>
      <w:r w:rsidRPr="00975E6B">
        <w:fldChar w:fldCharType="begin"/>
      </w:r>
      <w:r w:rsidRPr="00975E6B">
        <w:instrText xml:space="preserve"> REF _Ref433233862 \h </w:instrText>
      </w:r>
      <w:r w:rsidR="00975E6B">
        <w:instrText xml:space="preserve"> \* MERGEFORMAT </w:instrText>
      </w:r>
      <w:r w:rsidRPr="00975E6B">
        <w:fldChar w:fldCharType="separate"/>
      </w:r>
      <w:r w:rsidR="00154CF7" w:rsidRPr="00975E6B">
        <w:t xml:space="preserve">Table </w:t>
      </w:r>
      <w:r w:rsidR="00154CF7" w:rsidRPr="00154CF7">
        <w:t>97</w:t>
      </w:r>
      <w:r w:rsidRPr="00975E6B">
        <w:fldChar w:fldCharType="end"/>
      </w:r>
      <w:r w:rsidRPr="00975E6B">
        <w:t xml:space="preserve"> highlights the transfer of activity data from </w:t>
      </w:r>
      <w:r w:rsidR="00C15673" w:rsidRPr="00975E6B">
        <w:t>Rockingham General</w:t>
      </w:r>
      <w:r w:rsidRPr="00975E6B">
        <w:t xml:space="preserve"> to </w:t>
      </w:r>
      <w:r w:rsidR="00DF3D31" w:rsidRPr="00975E6B">
        <w:t>WA Health</w:t>
      </w:r>
      <w:r w:rsidRPr="00975E6B">
        <w:t xml:space="preserve"> and then through to IHPA submission and finalisation.</w:t>
      </w:r>
    </w:p>
    <w:p w:rsidR="00033361" w:rsidRPr="00975E6B" w:rsidRDefault="00B5276F" w:rsidP="00CD1518">
      <w:pPr>
        <w:pStyle w:val="Caption"/>
        <w:rPr>
          <w:sz w:val="16"/>
          <w:szCs w:val="16"/>
        </w:rPr>
      </w:pPr>
      <w:bookmarkStart w:id="838" w:name="_Ref433233862"/>
      <w:r w:rsidRPr="00975E6B">
        <w:t xml:space="preserve">Table </w:t>
      </w:r>
      <w:r w:rsidR="00705BE8">
        <w:fldChar w:fldCharType="begin"/>
      </w:r>
      <w:r w:rsidR="00705BE8">
        <w:rPr>
          <w:bCs w:val="0"/>
          <w:i w:val="0"/>
        </w:rPr>
        <w:instrText xml:space="preserve"> SEQ Table \* ARABIC </w:instrText>
      </w:r>
      <w:r w:rsidR="00705BE8">
        <w:fldChar w:fldCharType="separate"/>
      </w:r>
      <w:r w:rsidR="00154CF7">
        <w:rPr>
          <w:bCs w:val="0"/>
          <w:i w:val="0"/>
          <w:noProof/>
        </w:rPr>
        <w:t>97</w:t>
      </w:r>
      <w:r w:rsidR="00705BE8">
        <w:rPr>
          <w:noProof/>
        </w:rPr>
        <w:fldChar w:fldCharType="end"/>
      </w:r>
      <w:bookmarkEnd w:id="838"/>
      <w:r w:rsidR="00BA3F4B" w:rsidRPr="00975E6B">
        <w:t xml:space="preserve"> </w:t>
      </w:r>
      <w:r w:rsidRPr="00975E6B">
        <w:t>– Activity data submission – Rockingham General Hospital</w:t>
      </w:r>
    </w:p>
    <w:tbl>
      <w:tblPr>
        <w:tblW w:w="5000" w:type="pct"/>
        <w:tblLayout w:type="fixed"/>
        <w:tblLook w:val="04A0" w:firstRow="1" w:lastRow="0" w:firstColumn="1" w:lastColumn="0" w:noHBand="0" w:noVBand="1"/>
        <w:tblCaption w:val="Table 97 - Activity submission - Rockingham General Hospital"/>
        <w:tblDescription w:val="This table highlights the transfer of activity data from Rockingham General Hospital to WA Health and then through to IHPA submission and finalisation. There are 8 columns. Column 1 is the NHCDC product type, Column 2 is the activity related to 2013-14 costs, column 3 is the adjustments to Column 2, column 4 is the activity submitted to the jurisdiction, column 5 is the adjustments to column 4, column 6 is the activity submitted to IHPA, column 7 is the adjustments to column 6 and column 8 is the total activity submitted for the Round 18 NHCDC.&#10;"/>
      </w:tblPr>
      <w:tblGrid>
        <w:gridCol w:w="1668"/>
        <w:gridCol w:w="1007"/>
        <w:gridCol w:w="1009"/>
        <w:gridCol w:w="1007"/>
        <w:gridCol w:w="1008"/>
        <w:gridCol w:w="1006"/>
        <w:gridCol w:w="1008"/>
        <w:gridCol w:w="1008"/>
      </w:tblGrid>
      <w:tr w:rsidR="00033361" w:rsidRPr="00033361" w:rsidTr="00E14378">
        <w:trPr>
          <w:trHeight w:val="1040"/>
        </w:trPr>
        <w:tc>
          <w:tcPr>
            <w:tcW w:w="956"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033361" w:rsidRPr="00CD1518" w:rsidRDefault="00033361" w:rsidP="00033361">
            <w:pPr>
              <w:spacing w:line="240" w:lineRule="auto"/>
              <w:rPr>
                <w:b/>
                <w:bCs/>
                <w:color w:val="FFFFFF"/>
                <w:sz w:val="14"/>
                <w:szCs w:val="14"/>
                <w:lang w:eastAsia="en-AU"/>
              </w:rPr>
            </w:pPr>
            <w:r w:rsidRPr="00CD1518">
              <w:rPr>
                <w:b/>
                <w:bCs/>
                <w:color w:val="FFFFFF"/>
                <w:sz w:val="14"/>
                <w:szCs w:val="14"/>
                <w:lang w:eastAsia="en-AU"/>
              </w:rPr>
              <w:t>Product</w:t>
            </w:r>
          </w:p>
        </w:tc>
        <w:tc>
          <w:tcPr>
            <w:tcW w:w="577" w:type="pct"/>
            <w:tcBorders>
              <w:top w:val="single" w:sz="4" w:space="0" w:color="5B9BD5"/>
              <w:left w:val="nil"/>
              <w:bottom w:val="single" w:sz="4" w:space="0" w:color="5B9BD5"/>
              <w:right w:val="single" w:sz="4" w:space="0" w:color="5B9BD5"/>
            </w:tcBorders>
            <w:shd w:val="clear" w:color="auto" w:fill="002060"/>
            <w:vAlign w:val="bottom"/>
            <w:hideMark/>
          </w:tcPr>
          <w:p w:rsidR="00033361" w:rsidRPr="00CD1518" w:rsidRDefault="00033361" w:rsidP="00033361">
            <w:pPr>
              <w:spacing w:line="240" w:lineRule="auto"/>
              <w:jc w:val="center"/>
              <w:rPr>
                <w:b/>
                <w:bCs/>
                <w:color w:val="FFFFFF"/>
                <w:sz w:val="14"/>
                <w:szCs w:val="14"/>
                <w:lang w:eastAsia="en-AU"/>
              </w:rPr>
            </w:pPr>
            <w:r w:rsidRPr="00CD1518">
              <w:rPr>
                <w:b/>
                <w:bCs/>
                <w:color w:val="FFFFFF"/>
                <w:sz w:val="14"/>
                <w:szCs w:val="14"/>
                <w:lang w:eastAsia="en-AU"/>
              </w:rPr>
              <w:t>Activity related to 2013-14 Costs</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033361" w:rsidRPr="00CD1518" w:rsidRDefault="00033361" w:rsidP="00033361">
            <w:pPr>
              <w:spacing w:line="240" w:lineRule="auto"/>
              <w:jc w:val="center"/>
              <w:rPr>
                <w:b/>
                <w:bCs/>
                <w:color w:val="FFFFFF"/>
                <w:sz w:val="13"/>
                <w:szCs w:val="13"/>
                <w:lang w:eastAsia="en-AU"/>
              </w:rPr>
            </w:pPr>
            <w:r w:rsidRPr="00CD1518">
              <w:rPr>
                <w:b/>
                <w:bCs/>
                <w:color w:val="FFFFFF"/>
                <w:sz w:val="13"/>
                <w:szCs w:val="13"/>
                <w:lang w:eastAsia="en-AU"/>
              </w:rPr>
              <w:t>Adjustment</w:t>
            </w:r>
          </w:p>
        </w:tc>
        <w:tc>
          <w:tcPr>
            <w:tcW w:w="577" w:type="pct"/>
            <w:tcBorders>
              <w:top w:val="single" w:sz="4" w:space="0" w:color="5B9BD5"/>
              <w:left w:val="nil"/>
              <w:bottom w:val="single" w:sz="4" w:space="0" w:color="5B9BD5"/>
              <w:right w:val="single" w:sz="4" w:space="0" w:color="5B9BD5"/>
            </w:tcBorders>
            <w:shd w:val="clear" w:color="auto" w:fill="002060"/>
            <w:vAlign w:val="bottom"/>
            <w:hideMark/>
          </w:tcPr>
          <w:p w:rsidR="00033361" w:rsidRPr="00CD1518" w:rsidRDefault="00033361" w:rsidP="00033361">
            <w:pPr>
              <w:spacing w:line="240" w:lineRule="auto"/>
              <w:jc w:val="center"/>
              <w:rPr>
                <w:b/>
                <w:bCs/>
                <w:color w:val="FFFFFF"/>
                <w:sz w:val="14"/>
                <w:szCs w:val="14"/>
                <w:lang w:eastAsia="en-AU"/>
              </w:rPr>
            </w:pPr>
            <w:r w:rsidRPr="00CD1518">
              <w:rPr>
                <w:b/>
                <w:bCs/>
                <w:color w:val="FFFFFF"/>
                <w:sz w:val="14"/>
                <w:szCs w:val="14"/>
                <w:lang w:eastAsia="en-AU"/>
              </w:rPr>
              <w:t>Activity submitted to jurisdiction</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033361" w:rsidRPr="00CD1518" w:rsidRDefault="00033361" w:rsidP="00033361">
            <w:pPr>
              <w:spacing w:line="240" w:lineRule="auto"/>
              <w:jc w:val="center"/>
              <w:rPr>
                <w:b/>
                <w:bCs/>
                <w:color w:val="FFFFFF"/>
                <w:sz w:val="13"/>
                <w:szCs w:val="13"/>
                <w:lang w:eastAsia="en-AU"/>
              </w:rPr>
            </w:pPr>
            <w:r w:rsidRPr="00CD1518">
              <w:rPr>
                <w:b/>
                <w:bCs/>
                <w:color w:val="FFFFFF"/>
                <w:sz w:val="13"/>
                <w:szCs w:val="13"/>
                <w:lang w:eastAsia="en-AU"/>
              </w:rPr>
              <w:t>Adjustment</w:t>
            </w:r>
          </w:p>
        </w:tc>
        <w:tc>
          <w:tcPr>
            <w:tcW w:w="577" w:type="pct"/>
            <w:tcBorders>
              <w:top w:val="single" w:sz="4" w:space="0" w:color="5B9BD5"/>
              <w:left w:val="nil"/>
              <w:bottom w:val="single" w:sz="4" w:space="0" w:color="5B9BD5"/>
              <w:right w:val="single" w:sz="4" w:space="0" w:color="5B9BD5"/>
            </w:tcBorders>
            <w:shd w:val="clear" w:color="auto" w:fill="002060"/>
            <w:vAlign w:val="bottom"/>
            <w:hideMark/>
          </w:tcPr>
          <w:p w:rsidR="00033361" w:rsidRPr="00CD1518" w:rsidRDefault="00033361" w:rsidP="00033361">
            <w:pPr>
              <w:spacing w:line="240" w:lineRule="auto"/>
              <w:jc w:val="center"/>
              <w:rPr>
                <w:b/>
                <w:bCs/>
                <w:color w:val="FFFFFF"/>
                <w:sz w:val="14"/>
                <w:szCs w:val="14"/>
                <w:lang w:eastAsia="en-AU"/>
              </w:rPr>
            </w:pPr>
            <w:r w:rsidRPr="00CD1518">
              <w:rPr>
                <w:b/>
                <w:bCs/>
                <w:color w:val="FFFFFF"/>
                <w:sz w:val="14"/>
                <w:szCs w:val="14"/>
                <w:lang w:eastAsia="en-AU"/>
              </w:rPr>
              <w:t>Activity received by IHPA</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033361" w:rsidRPr="00CD1518" w:rsidRDefault="00033361" w:rsidP="00033361">
            <w:pPr>
              <w:spacing w:line="240" w:lineRule="auto"/>
              <w:jc w:val="center"/>
              <w:rPr>
                <w:b/>
                <w:bCs/>
                <w:color w:val="FFFFFF"/>
                <w:sz w:val="13"/>
                <w:szCs w:val="13"/>
                <w:lang w:eastAsia="en-AU"/>
              </w:rPr>
            </w:pPr>
            <w:r w:rsidRPr="00CD1518">
              <w:rPr>
                <w:b/>
                <w:bCs/>
                <w:color w:val="FFFFFF"/>
                <w:sz w:val="13"/>
                <w:szCs w:val="13"/>
                <w:lang w:eastAsia="en-AU"/>
              </w:rPr>
              <w:t>Adjustment</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033361" w:rsidRPr="00CD1518" w:rsidRDefault="00033361" w:rsidP="00033361">
            <w:pPr>
              <w:spacing w:line="240" w:lineRule="auto"/>
              <w:jc w:val="center"/>
              <w:rPr>
                <w:b/>
                <w:bCs/>
                <w:color w:val="FFFFFF"/>
                <w:sz w:val="14"/>
                <w:szCs w:val="14"/>
                <w:lang w:eastAsia="en-AU"/>
              </w:rPr>
            </w:pPr>
            <w:r w:rsidRPr="00CD1518">
              <w:rPr>
                <w:b/>
                <w:bCs/>
                <w:color w:val="FFFFFF"/>
                <w:sz w:val="14"/>
                <w:szCs w:val="14"/>
                <w:lang w:eastAsia="en-AU"/>
              </w:rPr>
              <w:t>Total Activity submitted for Round 18 NHCDC</w:t>
            </w:r>
          </w:p>
        </w:tc>
      </w:tr>
      <w:tr w:rsidR="00033361" w:rsidRPr="00033361" w:rsidTr="00CD1518">
        <w:trPr>
          <w:trHeight w:val="26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033361" w:rsidRPr="00CD1518" w:rsidRDefault="00033361" w:rsidP="009550C2">
            <w:pPr>
              <w:spacing w:line="240" w:lineRule="auto"/>
              <w:rPr>
                <w:color w:val="000000"/>
                <w:sz w:val="14"/>
                <w:szCs w:val="14"/>
                <w:lang w:eastAsia="en-AU"/>
              </w:rPr>
            </w:pPr>
            <w:r w:rsidRPr="00CD1518">
              <w:rPr>
                <w:color w:val="000000"/>
                <w:sz w:val="14"/>
                <w:szCs w:val="14"/>
                <w:lang w:eastAsia="en-AU"/>
              </w:rPr>
              <w:t>Acute</w:t>
            </w:r>
          </w:p>
        </w:tc>
        <w:tc>
          <w:tcPr>
            <w:tcW w:w="577" w:type="pct"/>
            <w:tcBorders>
              <w:top w:val="nil"/>
              <w:left w:val="nil"/>
              <w:bottom w:val="single" w:sz="4" w:space="0" w:color="5B9BD5"/>
              <w:right w:val="single" w:sz="4" w:space="0" w:color="5B9BD5"/>
            </w:tcBorders>
            <w:shd w:val="clear" w:color="000000" w:fill="FFFFFF"/>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23,898</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23,898</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(135)</w:t>
            </w:r>
          </w:p>
        </w:tc>
        <w:tc>
          <w:tcPr>
            <w:tcW w:w="577" w:type="pct"/>
            <w:tcBorders>
              <w:top w:val="nil"/>
              <w:left w:val="nil"/>
              <w:bottom w:val="single" w:sz="4" w:space="0" w:color="5B9BD5"/>
              <w:right w:val="single" w:sz="4" w:space="0" w:color="5B9BD5"/>
            </w:tcBorders>
            <w:shd w:val="clear" w:color="000000" w:fill="FFFFFF"/>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23,763</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p>
        </w:tc>
        <w:tc>
          <w:tcPr>
            <w:tcW w:w="578" w:type="pct"/>
            <w:tcBorders>
              <w:top w:val="nil"/>
              <w:left w:val="nil"/>
              <w:bottom w:val="single" w:sz="4" w:space="0" w:color="5B9BD5"/>
              <w:right w:val="single" w:sz="4" w:space="0" w:color="5B9BD5"/>
            </w:tcBorders>
            <w:shd w:val="clear" w:color="000000" w:fill="FFFFFF"/>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23,763</w:t>
            </w:r>
          </w:p>
        </w:tc>
      </w:tr>
      <w:tr w:rsidR="00033361" w:rsidRPr="00033361" w:rsidTr="00CD1518">
        <w:trPr>
          <w:trHeight w:val="26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033361" w:rsidRPr="00CD1518" w:rsidRDefault="00033361" w:rsidP="009550C2">
            <w:pPr>
              <w:spacing w:line="240" w:lineRule="auto"/>
              <w:rPr>
                <w:color w:val="000000"/>
                <w:sz w:val="14"/>
                <w:szCs w:val="14"/>
                <w:lang w:eastAsia="en-AU"/>
              </w:rPr>
            </w:pPr>
            <w:r w:rsidRPr="00CD1518">
              <w:rPr>
                <w:color w:val="000000"/>
                <w:sz w:val="14"/>
                <w:szCs w:val="14"/>
                <w:lang w:eastAsia="en-AU"/>
              </w:rPr>
              <w:t>Non-admitted</w:t>
            </w:r>
          </w:p>
        </w:tc>
        <w:tc>
          <w:tcPr>
            <w:tcW w:w="577"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103,703</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103,703</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(23,068)</w:t>
            </w:r>
          </w:p>
        </w:tc>
        <w:tc>
          <w:tcPr>
            <w:tcW w:w="577"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80,635</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80,635</w:t>
            </w:r>
          </w:p>
        </w:tc>
      </w:tr>
      <w:tr w:rsidR="00033361" w:rsidRPr="00033361" w:rsidTr="00CD1518">
        <w:trPr>
          <w:trHeight w:val="26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033361" w:rsidRPr="00CD1518" w:rsidRDefault="00033361" w:rsidP="009550C2">
            <w:pPr>
              <w:spacing w:line="240" w:lineRule="auto"/>
              <w:rPr>
                <w:color w:val="000000"/>
                <w:sz w:val="14"/>
                <w:szCs w:val="14"/>
                <w:lang w:eastAsia="en-AU"/>
              </w:rPr>
            </w:pPr>
            <w:r w:rsidRPr="00CD1518">
              <w:rPr>
                <w:color w:val="000000"/>
                <w:sz w:val="14"/>
                <w:szCs w:val="14"/>
                <w:lang w:eastAsia="en-AU"/>
              </w:rPr>
              <w:t>Emergency</w:t>
            </w:r>
          </w:p>
        </w:tc>
        <w:tc>
          <w:tcPr>
            <w:tcW w:w="577" w:type="pct"/>
            <w:tcBorders>
              <w:top w:val="nil"/>
              <w:left w:val="nil"/>
              <w:bottom w:val="single" w:sz="4" w:space="0" w:color="5B9BD5"/>
              <w:right w:val="single" w:sz="4" w:space="0" w:color="5B9BD5"/>
            </w:tcBorders>
            <w:shd w:val="clear" w:color="000000" w:fill="FFFFFF"/>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43,588</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43,588</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(34)</w:t>
            </w:r>
          </w:p>
        </w:tc>
        <w:tc>
          <w:tcPr>
            <w:tcW w:w="577" w:type="pct"/>
            <w:tcBorders>
              <w:top w:val="nil"/>
              <w:left w:val="nil"/>
              <w:bottom w:val="single" w:sz="4" w:space="0" w:color="5B9BD5"/>
              <w:right w:val="single" w:sz="4" w:space="0" w:color="5B9BD5"/>
            </w:tcBorders>
            <w:shd w:val="clear" w:color="000000" w:fill="FFFFFF"/>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43,554</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8,815</w:t>
            </w:r>
          </w:p>
        </w:tc>
        <w:tc>
          <w:tcPr>
            <w:tcW w:w="578" w:type="pct"/>
            <w:tcBorders>
              <w:top w:val="nil"/>
              <w:left w:val="nil"/>
              <w:bottom w:val="single" w:sz="4" w:space="0" w:color="5B9BD5"/>
              <w:right w:val="single" w:sz="4" w:space="0" w:color="5B9BD5"/>
            </w:tcBorders>
            <w:shd w:val="clear" w:color="000000" w:fill="FFFFFF"/>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52,369</w:t>
            </w:r>
          </w:p>
        </w:tc>
      </w:tr>
      <w:tr w:rsidR="00033361" w:rsidRPr="00033361" w:rsidTr="00CD1518">
        <w:trPr>
          <w:trHeight w:val="26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033361" w:rsidRPr="00CD1518" w:rsidRDefault="00033361" w:rsidP="009550C2">
            <w:pPr>
              <w:spacing w:line="240" w:lineRule="auto"/>
              <w:rPr>
                <w:color w:val="000000"/>
                <w:sz w:val="14"/>
                <w:szCs w:val="14"/>
                <w:lang w:eastAsia="en-AU"/>
              </w:rPr>
            </w:pPr>
            <w:proofErr w:type="spellStart"/>
            <w:r w:rsidRPr="00CD1518">
              <w:rPr>
                <w:color w:val="000000"/>
                <w:sz w:val="14"/>
                <w:szCs w:val="14"/>
                <w:lang w:eastAsia="en-AU"/>
              </w:rPr>
              <w:t>Sub Acute</w:t>
            </w:r>
            <w:proofErr w:type="spellEnd"/>
          </w:p>
        </w:tc>
        <w:tc>
          <w:tcPr>
            <w:tcW w:w="577"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708</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708</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(22)</w:t>
            </w:r>
          </w:p>
        </w:tc>
        <w:tc>
          <w:tcPr>
            <w:tcW w:w="577"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686</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686</w:t>
            </w:r>
          </w:p>
        </w:tc>
      </w:tr>
      <w:tr w:rsidR="00033361" w:rsidRPr="00033361" w:rsidTr="00CD1518">
        <w:trPr>
          <w:trHeight w:val="26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033361" w:rsidRPr="00CD1518" w:rsidRDefault="00033361" w:rsidP="009550C2">
            <w:pPr>
              <w:spacing w:line="240" w:lineRule="auto"/>
              <w:rPr>
                <w:color w:val="000000"/>
                <w:sz w:val="14"/>
                <w:szCs w:val="14"/>
                <w:lang w:eastAsia="en-AU"/>
              </w:rPr>
            </w:pPr>
            <w:r w:rsidRPr="00CD1518">
              <w:rPr>
                <w:color w:val="000000"/>
                <w:sz w:val="14"/>
                <w:szCs w:val="14"/>
                <w:lang w:eastAsia="en-AU"/>
              </w:rPr>
              <w:t>Mental Health</w:t>
            </w:r>
          </w:p>
        </w:tc>
        <w:tc>
          <w:tcPr>
            <w:tcW w:w="577" w:type="pct"/>
            <w:tcBorders>
              <w:top w:val="nil"/>
              <w:left w:val="nil"/>
              <w:bottom w:val="single" w:sz="4" w:space="0" w:color="5B9BD5"/>
              <w:right w:val="single" w:sz="4" w:space="0" w:color="5B9BD5"/>
            </w:tcBorders>
            <w:shd w:val="clear" w:color="000000" w:fill="FFFFFF"/>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r>
      <w:tr w:rsidR="00033361" w:rsidRPr="00033361" w:rsidTr="00CD1518">
        <w:trPr>
          <w:trHeight w:val="26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033361" w:rsidRPr="00CD1518" w:rsidRDefault="00033361" w:rsidP="009550C2">
            <w:pPr>
              <w:spacing w:line="240" w:lineRule="auto"/>
              <w:rPr>
                <w:color w:val="000000"/>
                <w:sz w:val="14"/>
                <w:szCs w:val="14"/>
                <w:lang w:eastAsia="en-AU"/>
              </w:rPr>
            </w:pPr>
            <w:r w:rsidRPr="00CD1518">
              <w:rPr>
                <w:color w:val="000000"/>
                <w:sz w:val="14"/>
                <w:szCs w:val="14"/>
                <w:lang w:eastAsia="en-AU"/>
              </w:rPr>
              <w:t>Other</w:t>
            </w:r>
          </w:p>
        </w:tc>
        <w:tc>
          <w:tcPr>
            <w:tcW w:w="577"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2,166</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2,166</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(22)</w:t>
            </w:r>
          </w:p>
        </w:tc>
        <w:tc>
          <w:tcPr>
            <w:tcW w:w="577"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2,144</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(833)</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1,311</w:t>
            </w:r>
          </w:p>
        </w:tc>
      </w:tr>
      <w:tr w:rsidR="00033361" w:rsidRPr="00033361" w:rsidTr="00CD1518">
        <w:trPr>
          <w:trHeight w:val="26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033361" w:rsidRPr="00CD1518" w:rsidRDefault="00033361" w:rsidP="009550C2">
            <w:pPr>
              <w:spacing w:line="240" w:lineRule="auto"/>
              <w:rPr>
                <w:color w:val="000000"/>
                <w:sz w:val="14"/>
                <w:szCs w:val="14"/>
                <w:lang w:eastAsia="en-AU"/>
              </w:rPr>
            </w:pPr>
            <w:r w:rsidRPr="00CD1518">
              <w:rPr>
                <w:color w:val="000000"/>
                <w:sz w:val="14"/>
                <w:szCs w:val="14"/>
                <w:lang w:eastAsia="en-AU"/>
              </w:rPr>
              <w:t>Research</w:t>
            </w:r>
          </w:p>
        </w:tc>
        <w:tc>
          <w:tcPr>
            <w:tcW w:w="577" w:type="pct"/>
            <w:tcBorders>
              <w:top w:val="nil"/>
              <w:left w:val="nil"/>
              <w:bottom w:val="single" w:sz="4" w:space="0" w:color="5B9BD5"/>
              <w:right w:val="single" w:sz="4" w:space="0" w:color="5B9BD5"/>
            </w:tcBorders>
            <w:shd w:val="clear" w:color="000000" w:fill="FFFFFF"/>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r>
      <w:tr w:rsidR="00033361" w:rsidRPr="00033361" w:rsidTr="00CD1518">
        <w:trPr>
          <w:trHeight w:val="26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033361" w:rsidRPr="00CD1518" w:rsidRDefault="00033361" w:rsidP="009550C2">
            <w:pPr>
              <w:spacing w:line="240" w:lineRule="auto"/>
              <w:rPr>
                <w:color w:val="000000"/>
                <w:sz w:val="14"/>
                <w:szCs w:val="14"/>
                <w:lang w:eastAsia="en-AU"/>
              </w:rPr>
            </w:pPr>
            <w:r w:rsidRPr="00CD1518">
              <w:rPr>
                <w:color w:val="000000"/>
                <w:sz w:val="14"/>
                <w:szCs w:val="14"/>
                <w:lang w:eastAsia="en-AU"/>
              </w:rPr>
              <w:t>Teaching and Training</w:t>
            </w:r>
          </w:p>
        </w:tc>
        <w:tc>
          <w:tcPr>
            <w:tcW w:w="577"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033361" w:rsidRPr="00CD1518" w:rsidRDefault="00033361" w:rsidP="00CD1518">
            <w:pPr>
              <w:spacing w:line="240" w:lineRule="auto"/>
              <w:jc w:val="right"/>
              <w:rPr>
                <w:color w:val="000000"/>
                <w:sz w:val="14"/>
                <w:szCs w:val="14"/>
                <w:lang w:eastAsia="en-AU"/>
              </w:rPr>
            </w:pPr>
            <w:r w:rsidRPr="00CD1518">
              <w:rPr>
                <w:color w:val="000000"/>
                <w:sz w:val="14"/>
                <w:szCs w:val="14"/>
                <w:lang w:eastAsia="en-AU"/>
              </w:rPr>
              <w:t>-</w:t>
            </w:r>
          </w:p>
        </w:tc>
      </w:tr>
      <w:tr w:rsidR="00033361" w:rsidRPr="00033361" w:rsidTr="00CD1518">
        <w:trPr>
          <w:trHeight w:val="260"/>
        </w:trPr>
        <w:tc>
          <w:tcPr>
            <w:tcW w:w="956" w:type="pct"/>
            <w:tcBorders>
              <w:top w:val="nil"/>
              <w:left w:val="single" w:sz="4" w:space="0" w:color="5B9BD5"/>
              <w:bottom w:val="single" w:sz="4" w:space="0" w:color="5B9BD5"/>
              <w:right w:val="single" w:sz="4" w:space="0" w:color="5B9BD5"/>
            </w:tcBorders>
            <w:shd w:val="clear" w:color="000000" w:fill="D0CECE"/>
            <w:noWrap/>
            <w:vAlign w:val="center"/>
            <w:hideMark/>
          </w:tcPr>
          <w:p w:rsidR="00033361" w:rsidRPr="00CD1518" w:rsidRDefault="00033361" w:rsidP="009550C2">
            <w:pPr>
              <w:spacing w:line="240" w:lineRule="auto"/>
              <w:rPr>
                <w:b/>
                <w:bCs/>
                <w:color w:val="000000"/>
                <w:sz w:val="14"/>
                <w:szCs w:val="14"/>
                <w:lang w:eastAsia="en-AU"/>
              </w:rPr>
            </w:pPr>
            <w:r w:rsidRPr="00CD1518">
              <w:rPr>
                <w:b/>
                <w:bCs/>
                <w:color w:val="000000"/>
                <w:sz w:val="14"/>
                <w:szCs w:val="14"/>
                <w:lang w:eastAsia="en-AU"/>
              </w:rPr>
              <w:t>Total</w:t>
            </w:r>
          </w:p>
        </w:tc>
        <w:tc>
          <w:tcPr>
            <w:tcW w:w="577" w:type="pct"/>
            <w:tcBorders>
              <w:top w:val="nil"/>
              <w:left w:val="nil"/>
              <w:bottom w:val="single" w:sz="4" w:space="0" w:color="5B9BD5"/>
              <w:right w:val="single" w:sz="4" w:space="0" w:color="5B9BD5"/>
            </w:tcBorders>
            <w:shd w:val="clear" w:color="000000" w:fill="D0CECE"/>
            <w:noWrap/>
            <w:vAlign w:val="center"/>
            <w:hideMark/>
          </w:tcPr>
          <w:p w:rsidR="00033361" w:rsidRPr="00CD1518" w:rsidRDefault="00033361" w:rsidP="00CD1518">
            <w:pPr>
              <w:spacing w:line="240" w:lineRule="auto"/>
              <w:jc w:val="right"/>
              <w:rPr>
                <w:b/>
                <w:bCs/>
                <w:color w:val="000000"/>
                <w:sz w:val="14"/>
                <w:szCs w:val="14"/>
                <w:lang w:eastAsia="en-AU"/>
              </w:rPr>
            </w:pPr>
            <w:r w:rsidRPr="00CD1518">
              <w:rPr>
                <w:b/>
                <w:bCs/>
                <w:color w:val="000000"/>
                <w:sz w:val="14"/>
                <w:szCs w:val="14"/>
                <w:lang w:eastAsia="en-AU"/>
              </w:rPr>
              <w:t>174,063</w:t>
            </w:r>
          </w:p>
        </w:tc>
        <w:tc>
          <w:tcPr>
            <w:tcW w:w="578" w:type="pct"/>
            <w:tcBorders>
              <w:top w:val="nil"/>
              <w:left w:val="nil"/>
              <w:bottom w:val="single" w:sz="4" w:space="0" w:color="5B9BD5"/>
              <w:right w:val="single" w:sz="4" w:space="0" w:color="5B9BD5"/>
            </w:tcBorders>
            <w:shd w:val="clear" w:color="000000" w:fill="D0CECE"/>
            <w:noWrap/>
            <w:vAlign w:val="center"/>
            <w:hideMark/>
          </w:tcPr>
          <w:p w:rsidR="00033361" w:rsidRPr="00CD1518" w:rsidRDefault="00033361" w:rsidP="00CD1518">
            <w:pPr>
              <w:spacing w:line="240" w:lineRule="auto"/>
              <w:jc w:val="right"/>
              <w:rPr>
                <w:b/>
                <w:bCs/>
                <w:color w:val="000000"/>
                <w:sz w:val="14"/>
                <w:szCs w:val="14"/>
                <w:lang w:eastAsia="en-AU"/>
              </w:rPr>
            </w:pPr>
            <w:r w:rsidRPr="00CD1518">
              <w:rPr>
                <w:b/>
                <w:bCs/>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0CECE"/>
            <w:noWrap/>
            <w:vAlign w:val="center"/>
            <w:hideMark/>
          </w:tcPr>
          <w:p w:rsidR="00033361" w:rsidRPr="00CD1518" w:rsidRDefault="00033361" w:rsidP="00CD1518">
            <w:pPr>
              <w:spacing w:line="240" w:lineRule="auto"/>
              <w:jc w:val="right"/>
              <w:rPr>
                <w:b/>
                <w:bCs/>
                <w:color w:val="000000"/>
                <w:sz w:val="14"/>
                <w:szCs w:val="14"/>
                <w:lang w:eastAsia="en-AU"/>
              </w:rPr>
            </w:pPr>
            <w:r w:rsidRPr="00CD1518">
              <w:rPr>
                <w:b/>
                <w:bCs/>
                <w:color w:val="000000"/>
                <w:sz w:val="14"/>
                <w:szCs w:val="14"/>
                <w:lang w:eastAsia="en-AU"/>
              </w:rPr>
              <w:t>174,063</w:t>
            </w:r>
          </w:p>
        </w:tc>
        <w:tc>
          <w:tcPr>
            <w:tcW w:w="578" w:type="pct"/>
            <w:tcBorders>
              <w:top w:val="nil"/>
              <w:left w:val="nil"/>
              <w:bottom w:val="single" w:sz="4" w:space="0" w:color="5B9BD5"/>
              <w:right w:val="single" w:sz="4" w:space="0" w:color="5B9BD5"/>
            </w:tcBorders>
            <w:shd w:val="clear" w:color="000000" w:fill="D0CECE"/>
            <w:noWrap/>
            <w:vAlign w:val="center"/>
            <w:hideMark/>
          </w:tcPr>
          <w:p w:rsidR="00033361" w:rsidRPr="00CD1518" w:rsidRDefault="00033361" w:rsidP="00CD1518">
            <w:pPr>
              <w:spacing w:line="240" w:lineRule="auto"/>
              <w:jc w:val="right"/>
              <w:rPr>
                <w:b/>
                <w:bCs/>
                <w:color w:val="000000"/>
                <w:sz w:val="14"/>
                <w:szCs w:val="14"/>
                <w:lang w:eastAsia="en-AU"/>
              </w:rPr>
            </w:pPr>
            <w:r w:rsidRPr="00CD1518">
              <w:rPr>
                <w:b/>
                <w:bCs/>
                <w:color w:val="000000"/>
                <w:sz w:val="14"/>
                <w:szCs w:val="14"/>
                <w:lang w:eastAsia="en-AU"/>
              </w:rPr>
              <w:t>(23,281)</w:t>
            </w:r>
          </w:p>
        </w:tc>
        <w:tc>
          <w:tcPr>
            <w:tcW w:w="577" w:type="pct"/>
            <w:tcBorders>
              <w:top w:val="nil"/>
              <w:left w:val="nil"/>
              <w:bottom w:val="single" w:sz="4" w:space="0" w:color="5B9BD5"/>
              <w:right w:val="single" w:sz="4" w:space="0" w:color="5B9BD5"/>
            </w:tcBorders>
            <w:shd w:val="clear" w:color="000000" w:fill="D0CECE"/>
            <w:noWrap/>
            <w:vAlign w:val="center"/>
            <w:hideMark/>
          </w:tcPr>
          <w:p w:rsidR="00033361" w:rsidRPr="00CD1518" w:rsidRDefault="00033361" w:rsidP="00CD1518">
            <w:pPr>
              <w:spacing w:line="240" w:lineRule="auto"/>
              <w:jc w:val="right"/>
              <w:rPr>
                <w:b/>
                <w:bCs/>
                <w:color w:val="000000"/>
                <w:sz w:val="14"/>
                <w:szCs w:val="14"/>
                <w:lang w:eastAsia="en-AU"/>
              </w:rPr>
            </w:pPr>
            <w:r w:rsidRPr="00CD1518">
              <w:rPr>
                <w:b/>
                <w:bCs/>
                <w:color w:val="000000"/>
                <w:sz w:val="14"/>
                <w:szCs w:val="14"/>
                <w:lang w:eastAsia="en-AU"/>
              </w:rPr>
              <w:t>150,782</w:t>
            </w:r>
          </w:p>
        </w:tc>
        <w:tc>
          <w:tcPr>
            <w:tcW w:w="578" w:type="pct"/>
            <w:tcBorders>
              <w:top w:val="nil"/>
              <w:left w:val="nil"/>
              <w:bottom w:val="single" w:sz="4" w:space="0" w:color="5B9BD5"/>
              <w:right w:val="single" w:sz="4" w:space="0" w:color="5B9BD5"/>
            </w:tcBorders>
            <w:shd w:val="clear" w:color="000000" w:fill="D0CECE"/>
            <w:noWrap/>
            <w:vAlign w:val="center"/>
            <w:hideMark/>
          </w:tcPr>
          <w:p w:rsidR="00033361" w:rsidRPr="00CD1518" w:rsidRDefault="00033361" w:rsidP="00CD1518">
            <w:pPr>
              <w:spacing w:line="240" w:lineRule="auto"/>
              <w:jc w:val="right"/>
              <w:rPr>
                <w:b/>
                <w:bCs/>
                <w:color w:val="000000"/>
                <w:sz w:val="14"/>
                <w:szCs w:val="14"/>
                <w:lang w:eastAsia="en-AU"/>
              </w:rPr>
            </w:pPr>
            <w:r w:rsidRPr="00CD1518">
              <w:rPr>
                <w:b/>
                <w:bCs/>
                <w:color w:val="000000"/>
                <w:sz w:val="14"/>
                <w:szCs w:val="14"/>
                <w:lang w:eastAsia="en-AU"/>
              </w:rPr>
              <w:t>7,982</w:t>
            </w:r>
          </w:p>
        </w:tc>
        <w:tc>
          <w:tcPr>
            <w:tcW w:w="578" w:type="pct"/>
            <w:tcBorders>
              <w:top w:val="nil"/>
              <w:left w:val="nil"/>
              <w:bottom w:val="single" w:sz="4" w:space="0" w:color="5B9BD5"/>
              <w:right w:val="single" w:sz="4" w:space="0" w:color="5B9BD5"/>
            </w:tcBorders>
            <w:shd w:val="clear" w:color="000000" w:fill="D0CECE"/>
            <w:noWrap/>
            <w:vAlign w:val="center"/>
            <w:hideMark/>
          </w:tcPr>
          <w:p w:rsidR="00033361" w:rsidRPr="00CD1518" w:rsidRDefault="00033361" w:rsidP="00CD1518">
            <w:pPr>
              <w:spacing w:line="240" w:lineRule="auto"/>
              <w:jc w:val="right"/>
              <w:rPr>
                <w:b/>
                <w:bCs/>
                <w:color w:val="000000"/>
                <w:sz w:val="14"/>
                <w:szCs w:val="14"/>
                <w:lang w:eastAsia="en-AU"/>
              </w:rPr>
            </w:pPr>
            <w:r w:rsidRPr="00CD1518">
              <w:rPr>
                <w:b/>
                <w:bCs/>
                <w:color w:val="000000"/>
                <w:sz w:val="14"/>
                <w:szCs w:val="14"/>
                <w:lang w:eastAsia="en-AU"/>
              </w:rPr>
              <w:t>158,764</w:t>
            </w:r>
          </w:p>
        </w:tc>
      </w:tr>
    </w:tbl>
    <w:p w:rsidR="00B5276F" w:rsidRPr="00975E6B" w:rsidRDefault="00B5276F" w:rsidP="00CD1518">
      <w:pPr>
        <w:rPr>
          <w:bCs/>
          <w:i/>
          <w:sz w:val="16"/>
          <w:szCs w:val="16"/>
        </w:rPr>
      </w:pPr>
      <w:r w:rsidRPr="00975E6B">
        <w:rPr>
          <w:bCs/>
          <w:i/>
          <w:sz w:val="16"/>
          <w:szCs w:val="16"/>
        </w:rPr>
        <w:t xml:space="preserve">Source: KPMG based on data supplied by </w:t>
      </w:r>
      <w:r w:rsidR="00C15673" w:rsidRPr="00975E6B">
        <w:rPr>
          <w:bCs/>
          <w:i/>
          <w:sz w:val="16"/>
          <w:szCs w:val="16"/>
        </w:rPr>
        <w:t>Rockingham General</w:t>
      </w:r>
      <w:r w:rsidRPr="00975E6B">
        <w:rPr>
          <w:bCs/>
          <w:i/>
          <w:sz w:val="16"/>
          <w:szCs w:val="16"/>
        </w:rPr>
        <w:t xml:space="preserve">, </w:t>
      </w:r>
      <w:r w:rsidR="00DF3D31" w:rsidRPr="00975E6B">
        <w:rPr>
          <w:bCs/>
          <w:i/>
          <w:sz w:val="16"/>
          <w:szCs w:val="16"/>
        </w:rPr>
        <w:t>WA Health</w:t>
      </w:r>
      <w:r w:rsidRPr="00975E6B">
        <w:rPr>
          <w:bCs/>
          <w:i/>
          <w:sz w:val="16"/>
          <w:szCs w:val="16"/>
        </w:rPr>
        <w:t xml:space="preserve"> and IHPA </w:t>
      </w:r>
    </w:p>
    <w:p w:rsidR="00B5276F" w:rsidRPr="00975E6B" w:rsidRDefault="00B5276F" w:rsidP="00B5276F">
      <w:pPr>
        <w:pStyle w:val="BodyText"/>
      </w:pPr>
      <w:r w:rsidRPr="00975E6B">
        <w:lastRenderedPageBreak/>
        <w:t xml:space="preserve">The </w:t>
      </w:r>
      <w:r w:rsidRPr="000B16CA">
        <w:t xml:space="preserve">following should be noted about the transfer of activity data for </w:t>
      </w:r>
      <w:r w:rsidR="00C15673" w:rsidRPr="000B16CA">
        <w:t>Rockingham General</w:t>
      </w:r>
      <w:r w:rsidRPr="00975E6B">
        <w:t>:</w:t>
      </w:r>
    </w:p>
    <w:p w:rsidR="00596BA7" w:rsidRPr="00B464CA" w:rsidRDefault="00596BA7" w:rsidP="00800DAB">
      <w:pPr>
        <w:pStyle w:val="BodyText"/>
        <w:numPr>
          <w:ilvl w:val="0"/>
          <w:numId w:val="39"/>
        </w:numPr>
      </w:pPr>
      <w:r>
        <w:t xml:space="preserve">The variance between records from source detailed in </w:t>
      </w:r>
      <w:r w:rsidR="00C77C25">
        <w:fldChar w:fldCharType="begin"/>
      </w:r>
      <w:r w:rsidR="00C77C25">
        <w:instrText xml:space="preserve"> REF _Ref433308089 \h </w:instrText>
      </w:r>
      <w:r w:rsidR="00C77C25">
        <w:fldChar w:fldCharType="separate"/>
      </w:r>
      <w:r w:rsidR="00154CF7" w:rsidRPr="005D3CB2">
        <w:t xml:space="preserve">Table </w:t>
      </w:r>
      <w:r w:rsidR="00154CF7">
        <w:rPr>
          <w:bCs/>
          <w:noProof/>
        </w:rPr>
        <w:t>96</w:t>
      </w:r>
      <w:r w:rsidR="00C77C25">
        <w:fldChar w:fldCharType="end"/>
      </w:r>
      <w:r w:rsidR="00C77C25">
        <w:t xml:space="preserve"> </w:t>
      </w:r>
      <w:r>
        <w:t xml:space="preserve">(192,422 records) and activity related to 2013-14 costs by NHCDC product in </w:t>
      </w:r>
      <w:r w:rsidR="00B464CA">
        <w:fldChar w:fldCharType="begin"/>
      </w:r>
      <w:r w:rsidR="00B464CA">
        <w:instrText xml:space="preserve"> REF _Ref433233862 \h  \* MERGEFORMAT </w:instrText>
      </w:r>
      <w:r w:rsidR="00B464CA">
        <w:fldChar w:fldCharType="separate"/>
      </w:r>
      <w:r w:rsidR="00154CF7" w:rsidRPr="00975E6B">
        <w:t xml:space="preserve">Table </w:t>
      </w:r>
      <w:r w:rsidR="00154CF7" w:rsidRPr="00154CF7">
        <w:t>97</w:t>
      </w:r>
      <w:r w:rsidR="00B464CA">
        <w:fldChar w:fldCharType="end"/>
      </w:r>
      <w:r w:rsidR="00B464CA">
        <w:t xml:space="preserve"> </w:t>
      </w:r>
      <w:r>
        <w:t xml:space="preserve">(174,063 records) </w:t>
      </w:r>
      <w:r w:rsidRPr="00C264CF">
        <w:t>w</w:t>
      </w:r>
      <w:r>
        <w:t>as attributable</w:t>
      </w:r>
      <w:r w:rsidR="000B16CA">
        <w:t xml:space="preserve"> to</w:t>
      </w:r>
      <w:r>
        <w:t xml:space="preserve"> dummy records that </w:t>
      </w:r>
      <w:r w:rsidR="000B16CA">
        <w:t xml:space="preserve">could not </w:t>
      </w:r>
      <w:r>
        <w:t>be linked back to an acute, emergency or non-admitted episode</w:t>
      </w:r>
      <w:r w:rsidR="000B16CA">
        <w:t>.</w:t>
      </w:r>
    </w:p>
    <w:p w:rsidR="00B5276F" w:rsidRPr="00975E6B" w:rsidRDefault="00B5276F" w:rsidP="00F26328">
      <w:pPr>
        <w:pStyle w:val="BodyText"/>
        <w:numPr>
          <w:ilvl w:val="0"/>
          <w:numId w:val="39"/>
        </w:numPr>
      </w:pPr>
      <w:r w:rsidRPr="00975E6B">
        <w:t xml:space="preserve">Adjustments made by the jurisdiction relate to </w:t>
      </w:r>
      <w:r w:rsidR="00D52AA9" w:rsidRPr="00975E6B">
        <w:t xml:space="preserve">the </w:t>
      </w:r>
      <w:r w:rsidR="00D52AA9">
        <w:t>activity associated with the</w:t>
      </w:r>
      <w:r w:rsidR="00D52AA9" w:rsidRPr="00975E6B" w:rsidDel="00D52AA9">
        <w:t xml:space="preserve"> </w:t>
      </w:r>
      <w:r w:rsidRPr="00975E6B">
        <w:t xml:space="preserve">excluded </w:t>
      </w:r>
      <w:r w:rsidR="00906893" w:rsidRPr="00975E6B">
        <w:t>costs (at Item G of the financial reconciliation) such as dummy, current WIP and unmatched records</w:t>
      </w:r>
      <w:r w:rsidRPr="00975E6B">
        <w:t>.</w:t>
      </w:r>
    </w:p>
    <w:p w:rsidR="00B5276F" w:rsidRPr="00975E6B" w:rsidRDefault="00B5276F" w:rsidP="00F26328">
      <w:pPr>
        <w:pStyle w:val="BodyText"/>
        <w:numPr>
          <w:ilvl w:val="0"/>
          <w:numId w:val="39"/>
        </w:numPr>
      </w:pPr>
      <w:r w:rsidRPr="00975E6B">
        <w:t>Adjustments made by IHPA relate to the reallocation of patients for the unqualified baby adjustment and virtual patients</w:t>
      </w:r>
      <w:r w:rsidR="00906893" w:rsidRPr="00975E6B">
        <w:t xml:space="preserve"> (as discussed in Item J of the explanation of reconciliation items)</w:t>
      </w:r>
      <w:r w:rsidRPr="00975E6B">
        <w:t>.</w:t>
      </w:r>
    </w:p>
    <w:p w:rsidR="00B5276F" w:rsidRPr="00975E6B" w:rsidRDefault="00B5276F" w:rsidP="00A952FC">
      <w:pPr>
        <w:pStyle w:val="Heading3"/>
        <w:numPr>
          <w:ilvl w:val="2"/>
          <w:numId w:val="77"/>
        </w:numPr>
      </w:pPr>
      <w:r w:rsidRPr="00A952FC">
        <w:t>Treatment</w:t>
      </w:r>
      <w:r w:rsidRPr="00975E6B">
        <w:t xml:space="preserve"> of </w:t>
      </w:r>
      <w:r w:rsidR="00865FF8" w:rsidRPr="00975E6B">
        <w:t>WIP</w:t>
      </w:r>
    </w:p>
    <w:p w:rsidR="00B5276F" w:rsidRPr="00975E6B" w:rsidRDefault="00914D23" w:rsidP="00B5276F">
      <w:pPr>
        <w:pStyle w:val="BodyText"/>
      </w:pPr>
      <w:r w:rsidRPr="00975E6B">
        <w:fldChar w:fldCharType="begin"/>
      </w:r>
      <w:r w:rsidRPr="00975E6B">
        <w:instrText xml:space="preserve"> REF _Ref434265642 \h </w:instrText>
      </w:r>
      <w:r w:rsidR="00975E6B">
        <w:instrText xml:space="preserve"> \* MERGEFORMAT </w:instrText>
      </w:r>
      <w:r w:rsidRPr="00975E6B">
        <w:fldChar w:fldCharType="separate"/>
      </w:r>
      <w:r w:rsidR="00154CF7" w:rsidRPr="00975E6B">
        <w:t xml:space="preserve">Table </w:t>
      </w:r>
      <w:r w:rsidR="00154CF7">
        <w:t>98</w:t>
      </w:r>
      <w:r w:rsidRPr="00975E6B">
        <w:fldChar w:fldCharType="end"/>
      </w:r>
      <w:r w:rsidRPr="00975E6B">
        <w:t xml:space="preserve"> </w:t>
      </w:r>
      <w:r w:rsidR="00B5276F" w:rsidRPr="00975E6B">
        <w:t xml:space="preserve">demonstrates models for WIP and what was included in the </w:t>
      </w:r>
      <w:r w:rsidR="00C15673" w:rsidRPr="00975E6B">
        <w:t>Rockingham General</w:t>
      </w:r>
      <w:r w:rsidR="00B5276F" w:rsidRPr="00975E6B">
        <w:t xml:space="preserve"> Round 18 NHCDC submission.</w:t>
      </w:r>
    </w:p>
    <w:p w:rsidR="00B5276F" w:rsidRPr="00975E6B" w:rsidRDefault="00B5276F" w:rsidP="00B5276F">
      <w:pPr>
        <w:pStyle w:val="Caption"/>
      </w:pPr>
      <w:bookmarkStart w:id="839" w:name="_Ref434265642"/>
      <w:r w:rsidRPr="00975E6B">
        <w:t xml:space="preserve">Table </w:t>
      </w:r>
      <w:fldSimple w:instr=" SEQ Table \* ARABIC ">
        <w:r w:rsidR="00154CF7">
          <w:rPr>
            <w:noProof/>
          </w:rPr>
          <w:t>98</w:t>
        </w:r>
      </w:fldSimple>
      <w:bookmarkEnd w:id="839"/>
      <w:r w:rsidRPr="00975E6B">
        <w:t xml:space="preserve"> – </w:t>
      </w:r>
      <w:r w:rsidR="00865FF8" w:rsidRPr="00975E6B">
        <w:t>WIP</w:t>
      </w:r>
      <w:r w:rsidRPr="00975E6B">
        <w:t xml:space="preserve"> – Rockingham General Hospital</w:t>
      </w:r>
    </w:p>
    <w:tbl>
      <w:tblPr>
        <w:tblStyle w:val="ListTable4-Accent11"/>
        <w:tblW w:w="5000" w:type="pct"/>
        <w:tblLayout w:type="fixed"/>
        <w:tblLook w:val="0620" w:firstRow="1" w:lastRow="0" w:firstColumn="0" w:lastColumn="0" w:noHBand="1" w:noVBand="1"/>
        <w:tblCaption w:val="Table 98 - Models for Work In Progress - Rockingham General Hospital"/>
        <w:tblDescription w:val="This table describes the models for Work In Progress and how that applied to Rockingham General Hospital.  The first column is the model number, the second column is the description and the third column is how that model was applied for the relevant hospital.&#10;"/>
      </w:tblPr>
      <w:tblGrid>
        <w:gridCol w:w="870"/>
        <w:gridCol w:w="3928"/>
        <w:gridCol w:w="3923"/>
      </w:tblGrid>
      <w:tr w:rsidR="00B5276F"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99" w:type="pct"/>
            <w:tcBorders>
              <w:right w:val="single" w:sz="4" w:space="0" w:color="548DD4" w:themeColor="text2" w:themeTint="99"/>
            </w:tcBorders>
            <w:shd w:val="clear" w:color="auto" w:fill="002060"/>
            <w:noWrap/>
          </w:tcPr>
          <w:p w:rsidR="00B5276F" w:rsidRPr="00975E6B" w:rsidRDefault="00B5276F" w:rsidP="00AF6CC3">
            <w:r w:rsidRPr="00975E6B">
              <w:t>Model</w:t>
            </w:r>
          </w:p>
        </w:tc>
        <w:tc>
          <w:tcPr>
            <w:tcW w:w="2252" w:type="pct"/>
            <w:tcBorders>
              <w:left w:val="single" w:sz="4" w:space="0" w:color="548DD4" w:themeColor="text2" w:themeTint="99"/>
            </w:tcBorders>
            <w:shd w:val="clear" w:color="auto" w:fill="002060"/>
          </w:tcPr>
          <w:p w:rsidR="00B5276F" w:rsidRPr="00975E6B" w:rsidRDefault="00B5276F" w:rsidP="00AF6CC3">
            <w:r w:rsidRPr="00975E6B">
              <w:t>Description</w:t>
            </w:r>
          </w:p>
        </w:tc>
        <w:tc>
          <w:tcPr>
            <w:tcW w:w="2249" w:type="pct"/>
            <w:tcBorders>
              <w:left w:val="single" w:sz="4" w:space="0" w:color="548DD4" w:themeColor="text2" w:themeTint="99"/>
            </w:tcBorders>
            <w:shd w:val="clear" w:color="auto" w:fill="002060"/>
          </w:tcPr>
          <w:p w:rsidR="00B5276F" w:rsidRPr="00975E6B" w:rsidRDefault="00B5276F" w:rsidP="00AF6CC3">
            <w:pPr>
              <w:jc w:val="center"/>
            </w:pPr>
            <w:r w:rsidRPr="00975E6B">
              <w:t>Submitted to Round 18 NHCDC</w:t>
            </w:r>
          </w:p>
        </w:tc>
      </w:tr>
      <w:tr w:rsidR="00B5276F" w:rsidRPr="00975E6B" w:rsidTr="00AF6CC3">
        <w:tc>
          <w:tcPr>
            <w:tcW w:w="499" w:type="pct"/>
            <w:tcBorders>
              <w:right w:val="single" w:sz="4" w:space="0" w:color="548DD4" w:themeColor="text2" w:themeTint="99"/>
            </w:tcBorders>
            <w:noWrap/>
          </w:tcPr>
          <w:p w:rsidR="00B5276F" w:rsidRPr="00975E6B" w:rsidRDefault="00B5276F" w:rsidP="00AF6CC3">
            <w:r w:rsidRPr="00975E6B">
              <w:t>1</w:t>
            </w:r>
          </w:p>
        </w:tc>
        <w:tc>
          <w:tcPr>
            <w:tcW w:w="2252" w:type="pct"/>
            <w:tcBorders>
              <w:left w:val="single" w:sz="4" w:space="0" w:color="548DD4" w:themeColor="text2" w:themeTint="99"/>
            </w:tcBorders>
          </w:tcPr>
          <w:p w:rsidR="00B5276F" w:rsidRPr="00975E6B" w:rsidRDefault="00B5276F" w:rsidP="00AF6CC3">
            <w:r w:rsidRPr="00975E6B">
              <w:t>Admitted and Discharged Patients in 2013/14 only</w:t>
            </w:r>
          </w:p>
        </w:tc>
        <w:tc>
          <w:tcPr>
            <w:tcW w:w="2249" w:type="pct"/>
            <w:tcBorders>
              <w:left w:val="single" w:sz="4" w:space="0" w:color="548DD4" w:themeColor="text2" w:themeTint="99"/>
            </w:tcBorders>
          </w:tcPr>
          <w:p w:rsidR="00B5276F" w:rsidRPr="00975E6B" w:rsidRDefault="00B5276F" w:rsidP="00AF6CC3">
            <w:pPr>
              <w:jc w:val="center"/>
            </w:pPr>
            <w:r w:rsidRPr="00975E6B">
              <w:t>Submitted to Round 18 of the NHCDC</w:t>
            </w:r>
          </w:p>
        </w:tc>
      </w:tr>
      <w:tr w:rsidR="00B5276F" w:rsidRPr="00975E6B" w:rsidTr="00AF6CC3">
        <w:tc>
          <w:tcPr>
            <w:tcW w:w="499" w:type="pct"/>
            <w:tcBorders>
              <w:right w:val="single" w:sz="4" w:space="0" w:color="548DD4" w:themeColor="text2" w:themeTint="99"/>
            </w:tcBorders>
            <w:noWrap/>
          </w:tcPr>
          <w:p w:rsidR="00B5276F" w:rsidRPr="00975E6B" w:rsidRDefault="00B5276F" w:rsidP="00AF6CC3">
            <w:r w:rsidRPr="00975E6B">
              <w:t>2</w:t>
            </w:r>
          </w:p>
        </w:tc>
        <w:tc>
          <w:tcPr>
            <w:tcW w:w="2252" w:type="pct"/>
            <w:tcBorders>
              <w:left w:val="single" w:sz="4" w:space="0" w:color="548DD4" w:themeColor="text2" w:themeTint="99"/>
            </w:tcBorders>
          </w:tcPr>
          <w:p w:rsidR="00B5276F" w:rsidRPr="00975E6B" w:rsidRDefault="00B5276F" w:rsidP="00AF6CC3">
            <w:r w:rsidRPr="00975E6B">
              <w:t>Costs for patients discharged in 2013/14 but incurred prior to 2013/14</w:t>
            </w:r>
          </w:p>
        </w:tc>
        <w:tc>
          <w:tcPr>
            <w:tcW w:w="2249" w:type="pct"/>
            <w:tcBorders>
              <w:left w:val="single" w:sz="4" w:space="0" w:color="548DD4" w:themeColor="text2" w:themeTint="99"/>
            </w:tcBorders>
          </w:tcPr>
          <w:p w:rsidR="00B5276F" w:rsidRPr="00975E6B" w:rsidRDefault="00B5276F" w:rsidP="00AF6CC3">
            <w:pPr>
              <w:jc w:val="center"/>
            </w:pPr>
            <w:r w:rsidRPr="00975E6B">
              <w:t>Submitted to Round 18 of the NHCDC</w:t>
            </w:r>
          </w:p>
        </w:tc>
      </w:tr>
      <w:tr w:rsidR="00B5276F" w:rsidRPr="00975E6B" w:rsidTr="00AF6CC3">
        <w:tc>
          <w:tcPr>
            <w:tcW w:w="499" w:type="pct"/>
            <w:tcBorders>
              <w:right w:val="single" w:sz="4" w:space="0" w:color="548DD4" w:themeColor="text2" w:themeTint="99"/>
            </w:tcBorders>
            <w:noWrap/>
          </w:tcPr>
          <w:p w:rsidR="00B5276F" w:rsidRPr="00975E6B" w:rsidRDefault="00B5276F" w:rsidP="00AF6CC3">
            <w:r w:rsidRPr="00975E6B">
              <w:t>3</w:t>
            </w:r>
          </w:p>
        </w:tc>
        <w:tc>
          <w:tcPr>
            <w:tcW w:w="2252" w:type="pct"/>
            <w:tcBorders>
              <w:left w:val="single" w:sz="4" w:space="0" w:color="548DD4" w:themeColor="text2" w:themeTint="99"/>
            </w:tcBorders>
          </w:tcPr>
          <w:p w:rsidR="00B5276F" w:rsidRPr="00975E6B" w:rsidRDefault="00B5276F" w:rsidP="00AF6CC3">
            <w:r w:rsidRPr="00975E6B">
              <w:t>Costs for patients admitted in 2013/14 and still admitted at 30/06/2014</w:t>
            </w:r>
          </w:p>
        </w:tc>
        <w:tc>
          <w:tcPr>
            <w:tcW w:w="2249" w:type="pct"/>
            <w:tcBorders>
              <w:left w:val="single" w:sz="4" w:space="0" w:color="548DD4" w:themeColor="text2" w:themeTint="99"/>
            </w:tcBorders>
          </w:tcPr>
          <w:p w:rsidR="00B5276F" w:rsidRPr="00975E6B" w:rsidRDefault="00B5276F" w:rsidP="00AF6CC3">
            <w:pPr>
              <w:jc w:val="center"/>
            </w:pPr>
            <w:r w:rsidRPr="00975E6B">
              <w:t>Not submitted to Round 18 of the NHCDC</w:t>
            </w:r>
          </w:p>
        </w:tc>
      </w:tr>
      <w:tr w:rsidR="00B5276F" w:rsidRPr="00975E6B" w:rsidTr="00AF6CC3">
        <w:tc>
          <w:tcPr>
            <w:tcW w:w="499" w:type="pct"/>
            <w:tcBorders>
              <w:right w:val="single" w:sz="4" w:space="0" w:color="548DD4" w:themeColor="text2" w:themeTint="99"/>
            </w:tcBorders>
            <w:noWrap/>
          </w:tcPr>
          <w:p w:rsidR="00B5276F" w:rsidRPr="00975E6B" w:rsidRDefault="00B5276F" w:rsidP="00AF6CC3">
            <w:r w:rsidRPr="00975E6B">
              <w:t>4</w:t>
            </w:r>
          </w:p>
        </w:tc>
        <w:tc>
          <w:tcPr>
            <w:tcW w:w="2252" w:type="pct"/>
            <w:tcBorders>
              <w:left w:val="single" w:sz="4" w:space="0" w:color="548DD4" w:themeColor="text2" w:themeTint="99"/>
            </w:tcBorders>
          </w:tcPr>
          <w:p w:rsidR="00B5276F" w:rsidRPr="00975E6B" w:rsidRDefault="00B5276F" w:rsidP="00AF6CC3">
            <w:r w:rsidRPr="00975E6B">
              <w:t>Costs for patients admitted prior to 2013/14 and still admitted at 30/06/2014</w:t>
            </w:r>
          </w:p>
        </w:tc>
        <w:tc>
          <w:tcPr>
            <w:tcW w:w="2249" w:type="pct"/>
            <w:tcBorders>
              <w:left w:val="single" w:sz="4" w:space="0" w:color="548DD4" w:themeColor="text2" w:themeTint="99"/>
            </w:tcBorders>
          </w:tcPr>
          <w:p w:rsidR="00B5276F" w:rsidRPr="00975E6B" w:rsidRDefault="00B5276F" w:rsidP="00AF6CC3">
            <w:pPr>
              <w:jc w:val="center"/>
            </w:pPr>
            <w:r w:rsidRPr="00975E6B">
              <w:t>Not submitted to Round 18 of the NHCDC</w:t>
            </w:r>
          </w:p>
        </w:tc>
      </w:tr>
    </w:tbl>
    <w:p w:rsidR="00B5276F" w:rsidRPr="00975E6B" w:rsidRDefault="00B5276F" w:rsidP="00B5276F">
      <w:pPr>
        <w:pStyle w:val="FootnoteText"/>
        <w:rPr>
          <w:bCs/>
          <w:i/>
          <w:sz w:val="16"/>
          <w:szCs w:val="16"/>
        </w:rPr>
      </w:pPr>
      <w:r w:rsidRPr="00975E6B">
        <w:rPr>
          <w:bCs/>
          <w:i/>
          <w:sz w:val="16"/>
          <w:szCs w:val="16"/>
        </w:rPr>
        <w:t xml:space="preserve">Source: KPMG, based on </w:t>
      </w:r>
      <w:r w:rsidR="00C15673" w:rsidRPr="00975E6B">
        <w:rPr>
          <w:bCs/>
          <w:i/>
          <w:sz w:val="16"/>
          <w:szCs w:val="16"/>
        </w:rPr>
        <w:t>Rockingham General</w:t>
      </w:r>
      <w:r w:rsidRPr="00975E6B">
        <w:rPr>
          <w:bCs/>
          <w:i/>
          <w:sz w:val="16"/>
          <w:szCs w:val="16"/>
        </w:rPr>
        <w:t xml:space="preserve"> templates and review discussions</w:t>
      </w:r>
    </w:p>
    <w:p w:rsidR="00B5276F" w:rsidRPr="00975E6B" w:rsidRDefault="00B5276F" w:rsidP="00B5276F">
      <w:pPr>
        <w:pStyle w:val="BodyText"/>
      </w:pPr>
      <w:r w:rsidRPr="00975E6B">
        <w:t xml:space="preserve">In summary, </w:t>
      </w:r>
      <w:r w:rsidR="00C15673" w:rsidRPr="00975E6B">
        <w:t>Rockingham General</w:t>
      </w:r>
      <w:r w:rsidRPr="00975E6B">
        <w:t xml:space="preserve"> submitted </w:t>
      </w:r>
      <w:r w:rsidR="00B7080E" w:rsidRPr="00975E6B">
        <w:t xml:space="preserve">WIP </w:t>
      </w:r>
      <w:r w:rsidRPr="00975E6B">
        <w:t xml:space="preserve">costs for admitted and discharged patients in 2013/14 and the 2012/13 </w:t>
      </w:r>
      <w:r w:rsidR="00B7080E" w:rsidRPr="00975E6B">
        <w:t xml:space="preserve">WIP </w:t>
      </w:r>
      <w:r w:rsidRPr="00975E6B">
        <w:t>costs incurred for patients admitted prior to, but discharged, in 2013/14. Round 17 was the first year of WIP data in PPM2 (first year of PPM2), as such there are no</w:t>
      </w:r>
      <w:r w:rsidR="00B7080E" w:rsidRPr="00975E6B">
        <w:t xml:space="preserve"> WIP</w:t>
      </w:r>
      <w:r w:rsidRPr="00975E6B">
        <w:t xml:space="preserve"> costs prior to 2012/13.</w:t>
      </w:r>
    </w:p>
    <w:p w:rsidR="00B5276F" w:rsidRPr="00975E6B" w:rsidRDefault="00B5276F" w:rsidP="00A952FC">
      <w:pPr>
        <w:pStyle w:val="Heading4"/>
        <w:numPr>
          <w:ilvl w:val="0"/>
          <w:numId w:val="0"/>
        </w:numPr>
        <w:ind w:left="720" w:hanging="720"/>
      </w:pPr>
      <w:r w:rsidRPr="00975E6B">
        <w:t>Escalation factor</w:t>
      </w:r>
    </w:p>
    <w:p w:rsidR="00B5276F" w:rsidRPr="00975E6B" w:rsidRDefault="00B5276F" w:rsidP="00B5276F">
      <w:pPr>
        <w:pStyle w:val="BodyText"/>
      </w:pPr>
      <w:r w:rsidRPr="00975E6B">
        <w:t xml:space="preserve">No escalation factor to costs incurred prior to 2013/14 was applied to the </w:t>
      </w:r>
      <w:r w:rsidR="00C15673" w:rsidRPr="00975E6B">
        <w:t>Rockingham General</w:t>
      </w:r>
      <w:r w:rsidRPr="00975E6B">
        <w:t xml:space="preserve"> Round 18 submission to the NHCDC.</w:t>
      </w:r>
    </w:p>
    <w:p w:rsidR="00B5276F" w:rsidRPr="00975E6B" w:rsidRDefault="00B5276F" w:rsidP="00A952FC">
      <w:pPr>
        <w:pStyle w:val="Heading3"/>
        <w:numPr>
          <w:ilvl w:val="2"/>
          <w:numId w:val="77"/>
        </w:numPr>
      </w:pPr>
      <w:r w:rsidRPr="00A952FC">
        <w:t>Treatment</w:t>
      </w:r>
      <w:r w:rsidRPr="00975E6B">
        <w:t xml:space="preserve"> of other specific cost items</w:t>
      </w:r>
    </w:p>
    <w:p w:rsidR="00B5276F" w:rsidRPr="00975E6B" w:rsidRDefault="00EB4E48" w:rsidP="00B5276F">
      <w:r w:rsidRPr="00975E6B">
        <w:t>The following items were discussed during the reviews to understand their treatment in the costing process. The cost data is used to inform the NEP and specific funding model adjustments for particular patient cohorts</w:t>
      </w:r>
      <w:r w:rsidR="00B5276F" w:rsidRPr="00975E6B">
        <w:t xml:space="preserve">. </w:t>
      </w:r>
      <w:r w:rsidR="00C15673" w:rsidRPr="00975E6B">
        <w:t>Rockingham General</w:t>
      </w:r>
      <w:r w:rsidR="00B5276F" w:rsidRPr="00975E6B">
        <w:t>’s treatment of each of the items is summarised in</w:t>
      </w:r>
      <w:r w:rsidR="00C77C25">
        <w:t xml:space="preserve"> </w:t>
      </w:r>
      <w:r w:rsidR="00C77C25">
        <w:fldChar w:fldCharType="begin"/>
      </w:r>
      <w:r w:rsidR="00C77C25">
        <w:instrText xml:space="preserve"> REF _Ref444519035 \h </w:instrText>
      </w:r>
      <w:r w:rsidR="00C77C25">
        <w:fldChar w:fldCharType="separate"/>
      </w:r>
      <w:r w:rsidR="00154CF7" w:rsidRPr="00975E6B">
        <w:t xml:space="preserve">Table </w:t>
      </w:r>
      <w:r w:rsidR="00154CF7">
        <w:rPr>
          <w:noProof/>
        </w:rPr>
        <w:t>99</w:t>
      </w:r>
      <w:r w:rsidR="00C77C25">
        <w:fldChar w:fldCharType="end"/>
      </w:r>
      <w:r w:rsidR="00B5276F" w:rsidRPr="00975E6B">
        <w:t>.</w:t>
      </w:r>
    </w:p>
    <w:p w:rsidR="00B5276F" w:rsidRPr="00975E6B" w:rsidRDefault="00B5276F" w:rsidP="00C77C25">
      <w:pPr>
        <w:pStyle w:val="Caption"/>
        <w:pageBreakBefore/>
      </w:pPr>
      <w:bookmarkStart w:id="840" w:name="_Ref434265657"/>
      <w:bookmarkStart w:id="841" w:name="_Ref444519035"/>
      <w:r w:rsidRPr="00975E6B">
        <w:lastRenderedPageBreak/>
        <w:t xml:space="preserve">Table </w:t>
      </w:r>
      <w:fldSimple w:instr=" SEQ Table \* ARABIC ">
        <w:r w:rsidR="00154CF7">
          <w:rPr>
            <w:noProof/>
          </w:rPr>
          <w:t>99</w:t>
        </w:r>
      </w:fldSimple>
      <w:bookmarkEnd w:id="840"/>
      <w:bookmarkEnd w:id="841"/>
      <w:r w:rsidRPr="00975E6B">
        <w:t xml:space="preserve"> – Treatment of other specific cost items – Rockingham General Hospital</w:t>
      </w:r>
    </w:p>
    <w:tbl>
      <w:tblPr>
        <w:tblStyle w:val="ListTable4-Accent11"/>
        <w:tblW w:w="5000" w:type="pct"/>
        <w:tblLayout w:type="fixed"/>
        <w:tblLook w:val="0620" w:firstRow="1" w:lastRow="0" w:firstColumn="0" w:lastColumn="0" w:noHBand="1" w:noVBand="1"/>
        <w:tblCaption w:val="Table 99 - Treatment of specific items - Rockingham General Hospital"/>
        <w:tblDescription w:val="This table describes how Rockingham General Hospital treated specific items in their Round 18 NHCDC Submission.  The first column is the item and the second column is the description of the treatment.&#10;"/>
      </w:tblPr>
      <w:tblGrid>
        <w:gridCol w:w="3342"/>
        <w:gridCol w:w="5379"/>
      </w:tblGrid>
      <w:tr w:rsidR="00B5276F" w:rsidRPr="00975E6B" w:rsidTr="00E14378">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tcPr>
          <w:p w:rsidR="00B5276F" w:rsidRPr="00975E6B" w:rsidRDefault="00B5276F" w:rsidP="00AF6CC3">
            <w:r w:rsidRPr="00975E6B">
              <w:t>Item</w:t>
            </w:r>
          </w:p>
        </w:tc>
        <w:tc>
          <w:tcPr>
            <w:tcW w:w="3084" w:type="pct"/>
            <w:tcBorders>
              <w:left w:val="single" w:sz="4" w:space="0" w:color="548DD4" w:themeColor="text2" w:themeTint="99"/>
            </w:tcBorders>
            <w:shd w:val="clear" w:color="auto" w:fill="002060"/>
          </w:tcPr>
          <w:p w:rsidR="00B5276F" w:rsidRPr="00975E6B" w:rsidRDefault="00B5276F" w:rsidP="00AF6CC3">
            <w:r w:rsidRPr="00975E6B">
              <w:t>Treatment</w:t>
            </w:r>
          </w:p>
        </w:tc>
      </w:tr>
      <w:tr w:rsidR="00B5276F" w:rsidRPr="00975E6B" w:rsidTr="00AF6CC3">
        <w:tc>
          <w:tcPr>
            <w:tcW w:w="1916" w:type="pct"/>
            <w:tcBorders>
              <w:right w:val="single" w:sz="4" w:space="0" w:color="548DD4" w:themeColor="text2" w:themeTint="99"/>
            </w:tcBorders>
            <w:noWrap/>
          </w:tcPr>
          <w:p w:rsidR="00B5276F" w:rsidRPr="00975E6B" w:rsidRDefault="00B5276F" w:rsidP="00AF6CC3">
            <w:pPr>
              <w:pStyle w:val="BodyText"/>
              <w:jc w:val="left"/>
            </w:pPr>
            <w:r w:rsidRPr="00975E6B">
              <w:t>Teaching, Training and Research</w:t>
            </w:r>
          </w:p>
        </w:tc>
        <w:tc>
          <w:tcPr>
            <w:tcW w:w="3084" w:type="pct"/>
            <w:tcBorders>
              <w:left w:val="single" w:sz="4" w:space="0" w:color="548DD4" w:themeColor="text2" w:themeTint="99"/>
            </w:tcBorders>
          </w:tcPr>
          <w:p w:rsidR="00B5276F" w:rsidRPr="00975E6B" w:rsidRDefault="00140C9F" w:rsidP="00AF6CC3">
            <w:pPr>
              <w:pStyle w:val="BodyText"/>
              <w:jc w:val="left"/>
            </w:pPr>
            <w:r w:rsidRPr="00975E6B">
              <w:t>TTR</w:t>
            </w:r>
            <w:r w:rsidR="00B5276F" w:rsidRPr="00975E6B">
              <w:t xml:space="preserve"> costs are not excluded from the costing system and are submitted to the jurisdiction by the health service. These costs are then removed by the jurisdiction for submission to IHPA.</w:t>
            </w:r>
          </w:p>
        </w:tc>
      </w:tr>
      <w:tr w:rsidR="00B5276F" w:rsidRPr="00975E6B" w:rsidTr="00AF6CC3">
        <w:tc>
          <w:tcPr>
            <w:tcW w:w="1916" w:type="pct"/>
            <w:tcBorders>
              <w:right w:val="single" w:sz="4" w:space="0" w:color="548DD4" w:themeColor="text2" w:themeTint="99"/>
            </w:tcBorders>
            <w:noWrap/>
          </w:tcPr>
          <w:p w:rsidR="00B5276F" w:rsidRPr="00975E6B" w:rsidRDefault="00B5276F" w:rsidP="00AF6CC3">
            <w:pPr>
              <w:pStyle w:val="BodyText"/>
              <w:jc w:val="left"/>
            </w:pPr>
            <w:r w:rsidRPr="00975E6B">
              <w:t>Shared/other commercial entities</w:t>
            </w:r>
          </w:p>
        </w:tc>
        <w:tc>
          <w:tcPr>
            <w:tcW w:w="3084" w:type="pct"/>
            <w:tcBorders>
              <w:left w:val="single" w:sz="4" w:space="0" w:color="548DD4" w:themeColor="text2" w:themeTint="99"/>
            </w:tcBorders>
          </w:tcPr>
          <w:p w:rsidR="00B5276F" w:rsidRPr="00975E6B" w:rsidRDefault="00B5276F" w:rsidP="00AF6CC3">
            <w:pPr>
              <w:pStyle w:val="BodyText"/>
              <w:jc w:val="left"/>
            </w:pPr>
            <w:r w:rsidRPr="00975E6B">
              <w:t>Expenditure is excluded by the health service.</w:t>
            </w:r>
          </w:p>
        </w:tc>
      </w:tr>
      <w:tr w:rsidR="00901115" w:rsidRPr="00975E6B" w:rsidTr="00AF6CC3">
        <w:tc>
          <w:tcPr>
            <w:tcW w:w="1916" w:type="pct"/>
            <w:tcBorders>
              <w:right w:val="single" w:sz="4" w:space="0" w:color="548DD4" w:themeColor="text2" w:themeTint="99"/>
            </w:tcBorders>
            <w:noWrap/>
          </w:tcPr>
          <w:p w:rsidR="00901115" w:rsidRPr="00975E6B" w:rsidRDefault="00901115" w:rsidP="00901115">
            <w:pPr>
              <w:pStyle w:val="BodyText"/>
              <w:jc w:val="left"/>
            </w:pPr>
            <w:r w:rsidRPr="00975E6B">
              <w:t xml:space="preserve">Intensive Care Unit </w:t>
            </w:r>
          </w:p>
        </w:tc>
        <w:tc>
          <w:tcPr>
            <w:tcW w:w="3084" w:type="pct"/>
            <w:tcBorders>
              <w:left w:val="single" w:sz="4" w:space="0" w:color="548DD4" w:themeColor="text2" w:themeTint="99"/>
            </w:tcBorders>
          </w:tcPr>
          <w:p w:rsidR="00901115" w:rsidRPr="00975E6B" w:rsidRDefault="00901115" w:rsidP="00901115">
            <w:pPr>
              <w:pStyle w:val="BodyText"/>
              <w:jc w:val="left"/>
            </w:pPr>
            <w:r w:rsidRPr="00975E6B">
              <w:t>ICU costs are allocated from the GL. No additional costs are allocated.</w:t>
            </w:r>
          </w:p>
        </w:tc>
      </w:tr>
      <w:tr w:rsidR="00901115" w:rsidRPr="00975E6B" w:rsidTr="00AF6CC3">
        <w:tc>
          <w:tcPr>
            <w:tcW w:w="1916" w:type="pct"/>
            <w:tcBorders>
              <w:right w:val="single" w:sz="4" w:space="0" w:color="548DD4" w:themeColor="text2" w:themeTint="99"/>
            </w:tcBorders>
            <w:noWrap/>
          </w:tcPr>
          <w:p w:rsidR="00901115" w:rsidRPr="00975E6B" w:rsidRDefault="00EE5E5B" w:rsidP="00901115">
            <w:pPr>
              <w:pStyle w:val="BodyText"/>
              <w:jc w:val="left"/>
            </w:pPr>
            <w:r w:rsidRPr="00975E6B">
              <w:t>Aboriginal and Torres Strait Islander</w:t>
            </w:r>
            <w:r w:rsidR="00901115" w:rsidRPr="00975E6B">
              <w:t xml:space="preserve"> patients</w:t>
            </w:r>
          </w:p>
        </w:tc>
        <w:tc>
          <w:tcPr>
            <w:tcW w:w="3084" w:type="pct"/>
            <w:tcBorders>
              <w:left w:val="single" w:sz="4" w:space="0" w:color="548DD4" w:themeColor="text2" w:themeTint="99"/>
            </w:tcBorders>
          </w:tcPr>
          <w:p w:rsidR="00901115" w:rsidRPr="00975E6B" w:rsidRDefault="00901115" w:rsidP="00901115">
            <w:pPr>
              <w:pStyle w:val="BodyText"/>
              <w:jc w:val="left"/>
            </w:pPr>
            <w:r w:rsidRPr="00975E6B">
              <w:t>No change to the costing methodology. No ATSI weights or adjustments are made. Costs are based on any purchased liaison service then allocated to wards.</w:t>
            </w:r>
          </w:p>
        </w:tc>
      </w:tr>
      <w:tr w:rsidR="00901115" w:rsidRPr="00975E6B" w:rsidTr="00AF6CC3">
        <w:trPr>
          <w:trHeight w:val="516"/>
        </w:trPr>
        <w:tc>
          <w:tcPr>
            <w:tcW w:w="1916" w:type="pct"/>
            <w:tcBorders>
              <w:right w:val="single" w:sz="4" w:space="0" w:color="548DD4" w:themeColor="text2" w:themeTint="99"/>
            </w:tcBorders>
            <w:noWrap/>
          </w:tcPr>
          <w:p w:rsidR="00901115" w:rsidRPr="00975E6B" w:rsidRDefault="00901115" w:rsidP="00901115">
            <w:pPr>
              <w:pStyle w:val="BodyText"/>
              <w:jc w:val="left"/>
            </w:pPr>
            <w:r w:rsidRPr="00975E6B">
              <w:t xml:space="preserve">Private Patients </w:t>
            </w:r>
          </w:p>
        </w:tc>
        <w:tc>
          <w:tcPr>
            <w:tcW w:w="3084" w:type="pct"/>
            <w:tcBorders>
              <w:left w:val="single" w:sz="4" w:space="0" w:color="548DD4" w:themeColor="text2" w:themeTint="99"/>
            </w:tcBorders>
          </w:tcPr>
          <w:p w:rsidR="00901115" w:rsidRPr="00975E6B" w:rsidRDefault="00901115" w:rsidP="00901115">
            <w:pPr>
              <w:pStyle w:val="BodyText"/>
              <w:jc w:val="left"/>
            </w:pPr>
            <w:r w:rsidRPr="00975E6B">
              <w:t>No change to the costing methodology. No private patient weights or adjustments made.</w:t>
            </w:r>
          </w:p>
        </w:tc>
      </w:tr>
      <w:tr w:rsidR="00901115" w:rsidRPr="00975E6B" w:rsidTr="00AF6CC3">
        <w:tc>
          <w:tcPr>
            <w:tcW w:w="1916" w:type="pct"/>
            <w:tcBorders>
              <w:right w:val="single" w:sz="4" w:space="0" w:color="548DD4" w:themeColor="text2" w:themeTint="99"/>
            </w:tcBorders>
            <w:noWrap/>
          </w:tcPr>
          <w:p w:rsidR="00901115" w:rsidRPr="00975E6B" w:rsidRDefault="00901115" w:rsidP="00901115">
            <w:pPr>
              <w:pStyle w:val="BodyText"/>
              <w:jc w:val="left"/>
            </w:pPr>
            <w:r w:rsidRPr="00975E6B">
              <w:t>PBS drugs</w:t>
            </w:r>
          </w:p>
        </w:tc>
        <w:tc>
          <w:tcPr>
            <w:tcW w:w="3084" w:type="pct"/>
            <w:tcBorders>
              <w:left w:val="single" w:sz="4" w:space="0" w:color="548DD4" w:themeColor="text2" w:themeTint="99"/>
            </w:tcBorders>
          </w:tcPr>
          <w:p w:rsidR="00901115" w:rsidRPr="00975E6B" w:rsidRDefault="00901115" w:rsidP="00901115">
            <w:pPr>
              <w:pStyle w:val="BodyText"/>
              <w:jc w:val="left"/>
            </w:pPr>
            <w:r w:rsidRPr="00975E6B">
              <w:t xml:space="preserve">Within the </w:t>
            </w:r>
            <w:proofErr w:type="spellStart"/>
            <w:r w:rsidRPr="00975E6B">
              <w:t>iPharmacy</w:t>
            </w:r>
            <w:proofErr w:type="spellEnd"/>
            <w:r w:rsidRPr="00975E6B">
              <w:t xml:space="preserve"> feeder, the PBS flag is identified to obtain a percentage split of drug expenditure. Ward </w:t>
            </w:r>
            <w:proofErr w:type="spellStart"/>
            <w:r w:rsidRPr="00975E6B">
              <w:t>imprest</w:t>
            </w:r>
            <w:proofErr w:type="spellEnd"/>
            <w:r w:rsidRPr="00975E6B">
              <w:t xml:space="preserve"> (stock on hand for use in the ward as opposed to items dispensed to individuals) costs are allocated to the ward and are calculated as ward costs. Some reclass rules exist for pharmacy whereby the </w:t>
            </w:r>
            <w:proofErr w:type="spellStart"/>
            <w:r w:rsidRPr="00975E6B">
              <w:t>iPharmacy</w:t>
            </w:r>
            <w:proofErr w:type="spellEnd"/>
            <w:r w:rsidRPr="00975E6B">
              <w:t xml:space="preserve"> data is posted back to the department it was dispensed to.</w:t>
            </w:r>
          </w:p>
        </w:tc>
      </w:tr>
    </w:tbl>
    <w:p w:rsidR="00B5276F" w:rsidRPr="00975E6B" w:rsidRDefault="00B5276F" w:rsidP="00B5276F">
      <w:pPr>
        <w:pStyle w:val="FootnoteText"/>
        <w:rPr>
          <w:bCs/>
          <w:i/>
          <w:sz w:val="16"/>
          <w:szCs w:val="16"/>
        </w:rPr>
      </w:pPr>
      <w:r w:rsidRPr="00975E6B">
        <w:rPr>
          <w:bCs/>
          <w:i/>
          <w:sz w:val="16"/>
          <w:szCs w:val="16"/>
        </w:rPr>
        <w:t>Source: KPMG</w:t>
      </w:r>
    </w:p>
    <w:p w:rsidR="00B5276F" w:rsidRPr="00975E6B" w:rsidRDefault="00B5276F" w:rsidP="00A952FC">
      <w:pPr>
        <w:pStyle w:val="Heading3"/>
        <w:numPr>
          <w:ilvl w:val="2"/>
          <w:numId w:val="77"/>
        </w:numPr>
      </w:pPr>
      <w:r w:rsidRPr="00975E6B">
        <w:t>Sample patient data</w:t>
      </w:r>
    </w:p>
    <w:p w:rsidR="00B5276F" w:rsidRPr="00975E6B" w:rsidRDefault="00B5276F" w:rsidP="00B5276F">
      <w:pPr>
        <w:pStyle w:val="BodyText"/>
      </w:pPr>
      <w:r w:rsidRPr="00975E6B">
        <w:t xml:space="preserve">IHPA selected a sample of five patients from </w:t>
      </w:r>
      <w:r w:rsidR="00C15673" w:rsidRPr="00975E6B">
        <w:t>Rockingham General</w:t>
      </w:r>
      <w:r w:rsidRPr="00975E6B">
        <w:t xml:space="preserve"> for the purposes of testing the data flow from jurisdictions to IHPA at the patient level. </w:t>
      </w:r>
      <w:r w:rsidR="00DF3D31" w:rsidRPr="00975E6B">
        <w:t>WA Health</w:t>
      </w:r>
      <w:r w:rsidRPr="00975E6B">
        <w:t xml:space="preserve"> provided the patient level costs for all five patients and these reconciled to IHPA records. The results are summarised in</w:t>
      </w:r>
      <w:r w:rsidR="00D043DD" w:rsidRPr="00975E6B">
        <w:t xml:space="preserve"> </w:t>
      </w:r>
      <w:r w:rsidR="00914D23" w:rsidRPr="00975E6B">
        <w:fldChar w:fldCharType="begin"/>
      </w:r>
      <w:r w:rsidR="00914D23" w:rsidRPr="00975E6B">
        <w:instrText xml:space="preserve"> REF _Ref434265673 \h </w:instrText>
      </w:r>
      <w:r w:rsidR="00975E6B">
        <w:instrText xml:space="preserve"> \* MERGEFORMAT </w:instrText>
      </w:r>
      <w:r w:rsidR="00914D23" w:rsidRPr="00975E6B">
        <w:fldChar w:fldCharType="separate"/>
      </w:r>
      <w:r w:rsidR="00154CF7" w:rsidRPr="00975E6B">
        <w:t xml:space="preserve">Table </w:t>
      </w:r>
      <w:r w:rsidR="00154CF7" w:rsidRPr="00154CF7">
        <w:rPr>
          <w:noProof/>
        </w:rPr>
        <w:t>100</w:t>
      </w:r>
      <w:r w:rsidR="00914D23" w:rsidRPr="00975E6B">
        <w:fldChar w:fldCharType="end"/>
      </w:r>
      <w:r w:rsidRPr="00975E6B">
        <w:t>.</w:t>
      </w:r>
    </w:p>
    <w:p w:rsidR="004C5945" w:rsidRPr="00975E6B" w:rsidRDefault="00B5276F" w:rsidP="00CD1518">
      <w:pPr>
        <w:pStyle w:val="Caption"/>
      </w:pPr>
      <w:bookmarkStart w:id="842" w:name="_Ref434265673"/>
      <w:r w:rsidRPr="00975E6B">
        <w:t xml:space="preserve">Table </w:t>
      </w:r>
      <w:r w:rsidR="00705BE8" w:rsidRPr="00C77C25">
        <w:fldChar w:fldCharType="begin"/>
      </w:r>
      <w:r w:rsidR="00705BE8" w:rsidRPr="00C77C25">
        <w:rPr>
          <w:bCs w:val="0"/>
        </w:rPr>
        <w:instrText xml:space="preserve"> SEQ Table \* ARABIC </w:instrText>
      </w:r>
      <w:r w:rsidR="00705BE8" w:rsidRPr="00C77C25">
        <w:fldChar w:fldCharType="separate"/>
      </w:r>
      <w:r w:rsidR="00154CF7">
        <w:rPr>
          <w:bCs w:val="0"/>
          <w:noProof/>
        </w:rPr>
        <w:t>100</w:t>
      </w:r>
      <w:r w:rsidR="00705BE8" w:rsidRPr="00C77C25">
        <w:rPr>
          <w:noProof/>
        </w:rPr>
        <w:fldChar w:fldCharType="end"/>
      </w:r>
      <w:bookmarkEnd w:id="842"/>
      <w:r w:rsidRPr="00975E6B">
        <w:t xml:space="preserve"> – Sample patients – Rockingham General Hospital</w:t>
      </w:r>
    </w:p>
    <w:tbl>
      <w:tblPr>
        <w:tblW w:w="5000" w:type="pct"/>
        <w:tblLook w:val="04A0" w:firstRow="1" w:lastRow="0" w:firstColumn="1" w:lastColumn="0" w:noHBand="0" w:noVBand="1"/>
        <w:tblCaption w:val="Table 100 - Sample patients - Rockingham General Hospital"/>
        <w:tblDescription w:val="This table presents the results of the 5 sample patients tested for the data flow from jurisdictions to IHPA at the patient level for Rockingham General Hospital. There are 5 columns.  Column 1 is the sample number, Column 2 is the product type, column 3 is the amount in  jurisdiction records, Column 4 is the amount received by IHPA and Column 5 is the variance between jurisdiction and IHPA.&#10;"/>
      </w:tblPr>
      <w:tblGrid>
        <w:gridCol w:w="509"/>
        <w:gridCol w:w="2274"/>
        <w:gridCol w:w="2274"/>
        <w:gridCol w:w="2274"/>
        <w:gridCol w:w="1390"/>
      </w:tblGrid>
      <w:tr w:rsidR="004C5945" w:rsidRPr="004C5945" w:rsidTr="00E14378">
        <w:trPr>
          <w:trHeight w:val="260"/>
        </w:trPr>
        <w:tc>
          <w:tcPr>
            <w:tcW w:w="291"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4C5945" w:rsidRPr="004C5945" w:rsidRDefault="004C5945" w:rsidP="004C5945">
            <w:pPr>
              <w:spacing w:line="240" w:lineRule="auto"/>
              <w:jc w:val="center"/>
              <w:rPr>
                <w:b/>
                <w:bCs/>
                <w:color w:val="FFFFFF"/>
                <w:lang w:eastAsia="en-AU"/>
              </w:rPr>
            </w:pPr>
            <w:r w:rsidRPr="004C5945">
              <w:rPr>
                <w:b/>
                <w:bCs/>
                <w:color w:val="FFFFFF"/>
                <w:lang w:eastAsia="en-AU"/>
              </w:rPr>
              <w: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4C5945" w:rsidRPr="004C5945" w:rsidRDefault="004C5945" w:rsidP="004C5945">
            <w:pPr>
              <w:spacing w:line="240" w:lineRule="auto"/>
              <w:rPr>
                <w:b/>
                <w:bCs/>
                <w:color w:val="FFFFFF"/>
                <w:lang w:eastAsia="en-AU"/>
              </w:rPr>
            </w:pPr>
            <w:r w:rsidRPr="004C5945">
              <w:rPr>
                <w:b/>
                <w:bCs/>
                <w:color w:val="FFFFFF"/>
                <w:lang w:eastAsia="en-AU"/>
              </w:rPr>
              <w:t>Product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4C5945" w:rsidRPr="004C5945" w:rsidRDefault="004C5945" w:rsidP="004C5945">
            <w:pPr>
              <w:spacing w:line="240" w:lineRule="auto"/>
              <w:jc w:val="center"/>
              <w:rPr>
                <w:b/>
                <w:bCs/>
                <w:color w:val="FFFFFF"/>
                <w:lang w:eastAsia="en-AU"/>
              </w:rPr>
            </w:pPr>
            <w:r w:rsidRPr="004C5945">
              <w:rPr>
                <w:b/>
                <w:bCs/>
                <w:color w:val="FFFFFF"/>
                <w:lang w:eastAsia="en-AU"/>
              </w:rPr>
              <w:t>Jurisdiction records</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4C5945" w:rsidRPr="004C5945" w:rsidRDefault="004C5945" w:rsidP="004C5945">
            <w:pPr>
              <w:spacing w:line="240" w:lineRule="auto"/>
              <w:jc w:val="center"/>
              <w:rPr>
                <w:b/>
                <w:bCs/>
                <w:color w:val="FFFFFF"/>
                <w:lang w:eastAsia="en-AU"/>
              </w:rPr>
            </w:pPr>
            <w:r w:rsidRPr="004C5945">
              <w:rPr>
                <w:b/>
                <w:bCs/>
                <w:color w:val="FFFFFF"/>
                <w:lang w:eastAsia="en-AU"/>
              </w:rPr>
              <w:t>Received by IHPA</w:t>
            </w:r>
          </w:p>
        </w:tc>
        <w:tc>
          <w:tcPr>
            <w:tcW w:w="797" w:type="pct"/>
            <w:tcBorders>
              <w:top w:val="nil"/>
              <w:left w:val="nil"/>
              <w:bottom w:val="nil"/>
              <w:right w:val="single" w:sz="4" w:space="0" w:color="5B9BD5"/>
            </w:tcBorders>
            <w:shd w:val="clear" w:color="auto" w:fill="002060"/>
            <w:vAlign w:val="bottom"/>
            <w:hideMark/>
          </w:tcPr>
          <w:p w:rsidR="004C5945" w:rsidRPr="004C5945" w:rsidRDefault="004C5945" w:rsidP="004C5945">
            <w:pPr>
              <w:spacing w:line="240" w:lineRule="auto"/>
              <w:jc w:val="center"/>
              <w:rPr>
                <w:b/>
                <w:bCs/>
                <w:color w:val="FFFFFF"/>
                <w:lang w:eastAsia="en-AU"/>
              </w:rPr>
            </w:pPr>
            <w:r w:rsidRPr="004C5945">
              <w:rPr>
                <w:b/>
                <w:bCs/>
                <w:color w:val="FFFFFF"/>
                <w:lang w:eastAsia="en-AU"/>
              </w:rPr>
              <w:t>Variance</w:t>
            </w:r>
          </w:p>
        </w:tc>
      </w:tr>
      <w:tr w:rsidR="009C3210" w:rsidRPr="004C5945"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4C5945" w:rsidRDefault="009C3210" w:rsidP="009C3210">
            <w:pPr>
              <w:spacing w:line="240" w:lineRule="auto"/>
              <w:jc w:val="center"/>
              <w:rPr>
                <w:color w:val="000000"/>
                <w:lang w:eastAsia="en-AU"/>
              </w:rPr>
            </w:pPr>
            <w:r w:rsidRPr="004C5945">
              <w:rPr>
                <w:color w:val="000000"/>
                <w:lang w:eastAsia="en-AU"/>
              </w:rPr>
              <w:t>1</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4C5945" w:rsidRDefault="009C3210" w:rsidP="009C3210">
            <w:pPr>
              <w:spacing w:line="240" w:lineRule="auto"/>
              <w:rPr>
                <w:color w:val="000000"/>
                <w:lang w:eastAsia="en-AU"/>
              </w:rPr>
            </w:pPr>
            <w:r w:rsidRPr="004C5945">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4C5945" w:rsidRDefault="009C3210" w:rsidP="00CD1518">
            <w:pPr>
              <w:spacing w:line="240" w:lineRule="auto"/>
              <w:jc w:val="right"/>
              <w:rPr>
                <w:color w:val="000000"/>
                <w:lang w:eastAsia="en-AU"/>
              </w:rPr>
            </w:pPr>
            <w:r w:rsidRPr="004C5945">
              <w:rPr>
                <w:color w:val="000000"/>
                <w:lang w:eastAsia="en-AU"/>
              </w:rPr>
              <w:t xml:space="preserve"> $63,200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4C5945" w:rsidRDefault="009C3210" w:rsidP="00CD1518">
            <w:pPr>
              <w:spacing w:line="240" w:lineRule="auto"/>
              <w:jc w:val="right"/>
              <w:rPr>
                <w:color w:val="000000"/>
                <w:lang w:eastAsia="en-AU"/>
              </w:rPr>
            </w:pPr>
            <w:r w:rsidRPr="004C5945">
              <w:rPr>
                <w:color w:val="000000"/>
                <w:lang w:eastAsia="en-AU"/>
              </w:rPr>
              <w:t xml:space="preserve"> $63,200 </w:t>
            </w:r>
          </w:p>
        </w:tc>
        <w:tc>
          <w:tcPr>
            <w:tcW w:w="797" w:type="pct"/>
            <w:tcBorders>
              <w:top w:val="single" w:sz="4" w:space="0" w:color="5B9BD5"/>
              <w:left w:val="nil"/>
              <w:bottom w:val="single" w:sz="4" w:space="0" w:color="5B9BD5"/>
              <w:right w:val="single" w:sz="4" w:space="0" w:color="5B9BD5"/>
            </w:tcBorders>
            <w:shd w:val="clear" w:color="000000" w:fill="FFFFFF"/>
            <w:noWrap/>
            <w:vAlign w:val="bottom"/>
            <w:hideMark/>
          </w:tcPr>
          <w:p w:rsidR="009C3210" w:rsidRPr="004C5945" w:rsidRDefault="009C3210" w:rsidP="00CD1518">
            <w:pPr>
              <w:spacing w:line="240" w:lineRule="auto"/>
              <w:jc w:val="right"/>
              <w:rPr>
                <w:color w:val="000000"/>
                <w:lang w:eastAsia="en-AU"/>
              </w:rPr>
            </w:pPr>
            <w:r w:rsidRPr="004C5945">
              <w:rPr>
                <w:color w:val="000000"/>
                <w:lang w:eastAsia="en-AU"/>
              </w:rPr>
              <w:t xml:space="preserve"> $-   </w:t>
            </w:r>
          </w:p>
        </w:tc>
      </w:tr>
      <w:tr w:rsidR="009C3210" w:rsidRPr="004C5945" w:rsidTr="00CD1518">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4C5945" w:rsidRDefault="009C3210" w:rsidP="009C3210">
            <w:pPr>
              <w:spacing w:line="240" w:lineRule="auto"/>
              <w:jc w:val="center"/>
              <w:rPr>
                <w:color w:val="000000"/>
                <w:lang w:eastAsia="en-AU"/>
              </w:rPr>
            </w:pPr>
            <w:r w:rsidRPr="004C5945">
              <w:rPr>
                <w:color w:val="000000"/>
                <w:lang w:eastAsia="en-AU"/>
              </w:rPr>
              <w:t>2</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4C5945" w:rsidRDefault="009C3210" w:rsidP="009C3210">
            <w:pPr>
              <w:spacing w:line="240" w:lineRule="auto"/>
              <w:rPr>
                <w:color w:val="000000"/>
                <w:lang w:eastAsia="en-AU"/>
              </w:rPr>
            </w:pPr>
            <w:r w:rsidRPr="004C5945">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4C5945" w:rsidRDefault="009C3210" w:rsidP="00CD1518">
            <w:pPr>
              <w:spacing w:line="240" w:lineRule="auto"/>
              <w:jc w:val="right"/>
              <w:rPr>
                <w:color w:val="000000"/>
                <w:lang w:eastAsia="en-AU"/>
              </w:rPr>
            </w:pPr>
            <w:r>
              <w:rPr>
                <w:color w:val="000000"/>
                <w:lang w:eastAsia="en-AU"/>
              </w:rPr>
              <w:t xml:space="preserve"> $</w:t>
            </w:r>
            <w:r w:rsidRPr="004C5945">
              <w:rPr>
                <w:color w:val="000000"/>
                <w:lang w:eastAsia="en-AU"/>
              </w:rPr>
              <w:t xml:space="preserve">19,807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4C5945" w:rsidRDefault="009C3210" w:rsidP="00CD1518">
            <w:pPr>
              <w:spacing w:line="240" w:lineRule="auto"/>
              <w:jc w:val="right"/>
              <w:rPr>
                <w:color w:val="000000"/>
                <w:lang w:eastAsia="en-AU"/>
              </w:rPr>
            </w:pPr>
            <w:r>
              <w:rPr>
                <w:color w:val="000000"/>
                <w:lang w:eastAsia="en-AU"/>
              </w:rPr>
              <w:t xml:space="preserve"> $</w:t>
            </w:r>
            <w:r w:rsidRPr="004C5945">
              <w:rPr>
                <w:color w:val="000000"/>
                <w:lang w:eastAsia="en-AU"/>
              </w:rPr>
              <w:t xml:space="preserve">19,807 </w:t>
            </w:r>
          </w:p>
        </w:tc>
        <w:tc>
          <w:tcPr>
            <w:tcW w:w="797" w:type="pct"/>
            <w:tcBorders>
              <w:top w:val="nil"/>
              <w:left w:val="nil"/>
              <w:bottom w:val="single" w:sz="4" w:space="0" w:color="5B9BD5"/>
              <w:right w:val="single" w:sz="4" w:space="0" w:color="5B9BD5"/>
            </w:tcBorders>
            <w:shd w:val="clear" w:color="000000" w:fill="DDEBF7"/>
            <w:noWrap/>
            <w:vAlign w:val="bottom"/>
            <w:hideMark/>
          </w:tcPr>
          <w:p w:rsidR="009C3210" w:rsidRPr="004C5945" w:rsidRDefault="009C3210" w:rsidP="00CD1518">
            <w:pPr>
              <w:spacing w:line="240" w:lineRule="auto"/>
              <w:jc w:val="right"/>
              <w:rPr>
                <w:color w:val="000000"/>
                <w:lang w:eastAsia="en-AU"/>
              </w:rPr>
            </w:pPr>
            <w:r w:rsidRPr="004C5945">
              <w:rPr>
                <w:color w:val="000000"/>
                <w:lang w:eastAsia="en-AU"/>
              </w:rPr>
              <w:t xml:space="preserve"> $-   </w:t>
            </w:r>
          </w:p>
        </w:tc>
      </w:tr>
      <w:tr w:rsidR="009C3210" w:rsidRPr="004C5945"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4C5945" w:rsidRDefault="009C3210" w:rsidP="009C3210">
            <w:pPr>
              <w:spacing w:line="240" w:lineRule="auto"/>
              <w:jc w:val="center"/>
              <w:rPr>
                <w:color w:val="000000"/>
                <w:lang w:eastAsia="en-AU"/>
              </w:rPr>
            </w:pPr>
            <w:r w:rsidRPr="004C5945">
              <w:rPr>
                <w:color w:val="000000"/>
                <w:lang w:eastAsia="en-AU"/>
              </w:rPr>
              <w:t>3</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4C5945" w:rsidRDefault="009C3210" w:rsidP="009C3210">
            <w:pPr>
              <w:spacing w:line="240" w:lineRule="auto"/>
              <w:rPr>
                <w:color w:val="000000"/>
                <w:lang w:eastAsia="en-AU"/>
              </w:rPr>
            </w:pPr>
            <w:r w:rsidRPr="004C5945">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4C5945" w:rsidRDefault="009C3210" w:rsidP="00CD1518">
            <w:pPr>
              <w:spacing w:line="240" w:lineRule="auto"/>
              <w:jc w:val="right"/>
              <w:rPr>
                <w:color w:val="000000"/>
                <w:lang w:eastAsia="en-AU"/>
              </w:rPr>
            </w:pPr>
            <w:r w:rsidRPr="004C5945">
              <w:rPr>
                <w:color w:val="000000"/>
                <w:lang w:eastAsia="en-AU"/>
              </w:rPr>
              <w:t xml:space="preserve"> $1,109,591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4C5945" w:rsidRDefault="009C3210" w:rsidP="00CD1518">
            <w:pPr>
              <w:spacing w:line="240" w:lineRule="auto"/>
              <w:jc w:val="right"/>
              <w:rPr>
                <w:color w:val="000000"/>
                <w:lang w:eastAsia="en-AU"/>
              </w:rPr>
            </w:pPr>
            <w:r w:rsidRPr="004C5945">
              <w:rPr>
                <w:color w:val="000000"/>
                <w:lang w:eastAsia="en-AU"/>
              </w:rPr>
              <w:t xml:space="preserve"> $1,109,591 </w:t>
            </w:r>
          </w:p>
        </w:tc>
        <w:tc>
          <w:tcPr>
            <w:tcW w:w="797" w:type="pct"/>
            <w:tcBorders>
              <w:top w:val="nil"/>
              <w:left w:val="nil"/>
              <w:bottom w:val="single" w:sz="4" w:space="0" w:color="5B9BD5"/>
              <w:right w:val="single" w:sz="4" w:space="0" w:color="5B9BD5"/>
            </w:tcBorders>
            <w:shd w:val="clear" w:color="000000" w:fill="FFFFFF"/>
            <w:noWrap/>
            <w:vAlign w:val="bottom"/>
            <w:hideMark/>
          </w:tcPr>
          <w:p w:rsidR="009C3210" w:rsidRPr="004C5945" w:rsidRDefault="009C3210" w:rsidP="00CD1518">
            <w:pPr>
              <w:spacing w:line="240" w:lineRule="auto"/>
              <w:jc w:val="right"/>
              <w:rPr>
                <w:color w:val="000000"/>
                <w:lang w:eastAsia="en-AU"/>
              </w:rPr>
            </w:pPr>
            <w:r w:rsidRPr="004C5945">
              <w:rPr>
                <w:color w:val="000000"/>
                <w:lang w:eastAsia="en-AU"/>
              </w:rPr>
              <w:t xml:space="preserve"> $-   </w:t>
            </w:r>
          </w:p>
        </w:tc>
      </w:tr>
      <w:tr w:rsidR="009C3210" w:rsidRPr="004C5945" w:rsidTr="00CD1518">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4C5945" w:rsidRDefault="009C3210" w:rsidP="009C3210">
            <w:pPr>
              <w:spacing w:line="240" w:lineRule="auto"/>
              <w:jc w:val="center"/>
              <w:rPr>
                <w:color w:val="000000"/>
                <w:lang w:eastAsia="en-AU"/>
              </w:rPr>
            </w:pPr>
            <w:r w:rsidRPr="004C5945">
              <w:rPr>
                <w:color w:val="000000"/>
                <w:lang w:eastAsia="en-AU"/>
              </w:rPr>
              <w:t>4</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4C5945" w:rsidRDefault="009C3210" w:rsidP="009C3210">
            <w:pPr>
              <w:spacing w:line="240" w:lineRule="auto"/>
              <w:rPr>
                <w:color w:val="000000"/>
                <w:lang w:eastAsia="en-AU"/>
              </w:rPr>
            </w:pPr>
            <w:r w:rsidRPr="004C5945">
              <w:rPr>
                <w:color w:val="000000"/>
                <w:lang w:eastAsia="en-AU"/>
              </w:rPr>
              <w:t xml:space="preserve"> Non-Admitted ED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4C5945" w:rsidRDefault="009C3210" w:rsidP="00CD1518">
            <w:pPr>
              <w:spacing w:line="240" w:lineRule="auto"/>
              <w:jc w:val="right"/>
              <w:rPr>
                <w:color w:val="000000"/>
                <w:lang w:eastAsia="en-AU"/>
              </w:rPr>
            </w:pPr>
            <w:r w:rsidRPr="004C5945">
              <w:rPr>
                <w:color w:val="000000"/>
                <w:lang w:eastAsia="en-AU"/>
              </w:rPr>
              <w:t xml:space="preserve"> $732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4C5945" w:rsidRDefault="009C3210" w:rsidP="00CD1518">
            <w:pPr>
              <w:spacing w:line="240" w:lineRule="auto"/>
              <w:jc w:val="right"/>
              <w:rPr>
                <w:color w:val="000000"/>
                <w:lang w:eastAsia="en-AU"/>
              </w:rPr>
            </w:pPr>
            <w:r w:rsidRPr="004C5945">
              <w:rPr>
                <w:color w:val="000000"/>
                <w:lang w:eastAsia="en-AU"/>
              </w:rPr>
              <w:t xml:space="preserve"> $732 </w:t>
            </w:r>
          </w:p>
        </w:tc>
        <w:tc>
          <w:tcPr>
            <w:tcW w:w="797" w:type="pct"/>
            <w:tcBorders>
              <w:top w:val="nil"/>
              <w:left w:val="nil"/>
              <w:bottom w:val="single" w:sz="4" w:space="0" w:color="5B9BD5"/>
              <w:right w:val="single" w:sz="4" w:space="0" w:color="5B9BD5"/>
            </w:tcBorders>
            <w:shd w:val="clear" w:color="000000" w:fill="DDEBF7"/>
            <w:noWrap/>
            <w:vAlign w:val="bottom"/>
            <w:hideMark/>
          </w:tcPr>
          <w:p w:rsidR="009C3210" w:rsidRPr="004C5945" w:rsidRDefault="009C3210" w:rsidP="00CD1518">
            <w:pPr>
              <w:spacing w:line="240" w:lineRule="auto"/>
              <w:jc w:val="right"/>
              <w:rPr>
                <w:color w:val="000000"/>
                <w:lang w:eastAsia="en-AU"/>
              </w:rPr>
            </w:pPr>
            <w:r w:rsidRPr="004C5945">
              <w:rPr>
                <w:color w:val="000000"/>
                <w:lang w:eastAsia="en-AU"/>
              </w:rPr>
              <w:t xml:space="preserve"> $-   </w:t>
            </w:r>
          </w:p>
        </w:tc>
      </w:tr>
      <w:tr w:rsidR="009C3210" w:rsidRPr="004C5945"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4C5945" w:rsidRDefault="009C3210" w:rsidP="009C3210">
            <w:pPr>
              <w:spacing w:line="240" w:lineRule="auto"/>
              <w:jc w:val="center"/>
              <w:rPr>
                <w:color w:val="000000"/>
                <w:lang w:eastAsia="en-AU"/>
              </w:rPr>
            </w:pPr>
            <w:r w:rsidRPr="004C5945">
              <w:rPr>
                <w:color w:val="000000"/>
                <w:lang w:eastAsia="en-AU"/>
              </w:rPr>
              <w:t>5</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4C5945" w:rsidRDefault="009C3210" w:rsidP="009C3210">
            <w:pPr>
              <w:spacing w:line="240" w:lineRule="auto"/>
              <w:rPr>
                <w:color w:val="000000"/>
                <w:lang w:eastAsia="en-AU"/>
              </w:rPr>
            </w:pPr>
            <w:r w:rsidRPr="004C5945">
              <w:rPr>
                <w:color w:val="000000"/>
                <w:lang w:eastAsia="en-AU"/>
              </w:rPr>
              <w:t xml:space="preserve"> Non-admitted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4C5945" w:rsidRDefault="009C3210" w:rsidP="00CD1518">
            <w:pPr>
              <w:spacing w:line="240" w:lineRule="auto"/>
              <w:jc w:val="right"/>
              <w:rPr>
                <w:color w:val="000000"/>
                <w:lang w:eastAsia="en-AU"/>
              </w:rPr>
            </w:pPr>
            <w:r w:rsidRPr="004C5945">
              <w:rPr>
                <w:color w:val="000000"/>
                <w:lang w:eastAsia="en-AU"/>
              </w:rPr>
              <w:t xml:space="preserve"> $28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4C5945" w:rsidRDefault="009C3210" w:rsidP="00CD1518">
            <w:pPr>
              <w:spacing w:line="240" w:lineRule="auto"/>
              <w:jc w:val="right"/>
              <w:rPr>
                <w:color w:val="000000"/>
                <w:lang w:eastAsia="en-AU"/>
              </w:rPr>
            </w:pPr>
            <w:r w:rsidRPr="004C5945">
              <w:rPr>
                <w:color w:val="000000"/>
                <w:lang w:eastAsia="en-AU"/>
              </w:rPr>
              <w:t xml:space="preserve"> $28 </w:t>
            </w:r>
          </w:p>
        </w:tc>
        <w:tc>
          <w:tcPr>
            <w:tcW w:w="797" w:type="pct"/>
            <w:tcBorders>
              <w:top w:val="nil"/>
              <w:left w:val="nil"/>
              <w:bottom w:val="single" w:sz="4" w:space="0" w:color="5B9BD5"/>
              <w:right w:val="single" w:sz="4" w:space="0" w:color="5B9BD5"/>
            </w:tcBorders>
            <w:shd w:val="clear" w:color="000000" w:fill="FFFFFF"/>
            <w:noWrap/>
            <w:vAlign w:val="bottom"/>
            <w:hideMark/>
          </w:tcPr>
          <w:p w:rsidR="009C3210" w:rsidRPr="004C5945" w:rsidRDefault="009C3210" w:rsidP="00CD1518">
            <w:pPr>
              <w:spacing w:line="240" w:lineRule="auto"/>
              <w:jc w:val="right"/>
              <w:rPr>
                <w:color w:val="000000"/>
                <w:lang w:eastAsia="en-AU"/>
              </w:rPr>
            </w:pPr>
            <w:r w:rsidRPr="004C5945">
              <w:rPr>
                <w:color w:val="000000"/>
                <w:lang w:eastAsia="en-AU"/>
              </w:rPr>
              <w:t xml:space="preserve"> $-   </w:t>
            </w:r>
          </w:p>
        </w:tc>
      </w:tr>
    </w:tbl>
    <w:p w:rsidR="00B5276F" w:rsidRPr="00975E6B" w:rsidRDefault="00B5276F" w:rsidP="00B5276F">
      <w:pPr>
        <w:pStyle w:val="FootnoteText"/>
        <w:rPr>
          <w:bCs/>
          <w:i/>
          <w:sz w:val="16"/>
          <w:szCs w:val="16"/>
        </w:rPr>
      </w:pPr>
      <w:r w:rsidRPr="00975E6B">
        <w:rPr>
          <w:bCs/>
          <w:i/>
          <w:sz w:val="16"/>
          <w:szCs w:val="16"/>
        </w:rPr>
        <w:t xml:space="preserve">Source: KPMG, based on </w:t>
      </w:r>
      <w:r w:rsidR="00C15673" w:rsidRPr="00975E6B">
        <w:rPr>
          <w:bCs/>
          <w:i/>
          <w:sz w:val="16"/>
          <w:szCs w:val="16"/>
        </w:rPr>
        <w:t>Rockingham General</w:t>
      </w:r>
      <w:r w:rsidRPr="00975E6B">
        <w:rPr>
          <w:bCs/>
          <w:i/>
          <w:sz w:val="16"/>
          <w:szCs w:val="16"/>
        </w:rPr>
        <w:t xml:space="preserve"> and IHPA data</w:t>
      </w:r>
    </w:p>
    <w:p w:rsidR="00711600" w:rsidRPr="00975E6B" w:rsidRDefault="00711600">
      <w:pPr>
        <w:spacing w:line="240" w:lineRule="auto"/>
        <w:rPr>
          <w:b/>
          <w:bCs/>
          <w:color w:val="1F497D" w:themeColor="text2"/>
          <w:sz w:val="28"/>
          <w:szCs w:val="24"/>
        </w:rPr>
      </w:pPr>
      <w:r w:rsidRPr="00975E6B">
        <w:br w:type="page"/>
      </w:r>
    </w:p>
    <w:p w:rsidR="00B5276F" w:rsidRPr="00975E6B" w:rsidRDefault="00B5276F" w:rsidP="00A952FC">
      <w:pPr>
        <w:pStyle w:val="Heading2"/>
        <w:numPr>
          <w:ilvl w:val="1"/>
          <w:numId w:val="77"/>
        </w:numPr>
      </w:pPr>
      <w:bookmarkStart w:id="843" w:name="_Toc444523688"/>
      <w:r w:rsidRPr="00A952FC">
        <w:lastRenderedPageBreak/>
        <w:t>Princess</w:t>
      </w:r>
      <w:r w:rsidRPr="00975E6B">
        <w:t xml:space="preserve"> Margaret Hospital</w:t>
      </w:r>
      <w:bookmarkEnd w:id="843"/>
    </w:p>
    <w:p w:rsidR="00B5276F" w:rsidRPr="00975E6B" w:rsidRDefault="00B5276F" w:rsidP="00A952FC">
      <w:pPr>
        <w:pStyle w:val="Heading3"/>
        <w:numPr>
          <w:ilvl w:val="2"/>
          <w:numId w:val="77"/>
        </w:numPr>
      </w:pPr>
      <w:r w:rsidRPr="00A952FC">
        <w:t>Overview</w:t>
      </w:r>
    </w:p>
    <w:p w:rsidR="00B5276F" w:rsidRPr="00975E6B" w:rsidRDefault="003F167A" w:rsidP="00B5276F">
      <w:pPr>
        <w:pStyle w:val="BodyText"/>
      </w:pPr>
      <w:r w:rsidRPr="00975E6B">
        <w:t xml:space="preserve">Princess Margaret Hospital (Princess Margaret) </w:t>
      </w:r>
      <w:r w:rsidR="00B5276F" w:rsidRPr="00975E6B">
        <w:t xml:space="preserve">is a 220 bed, internationally recognised paediatric facility that treats children and adolescents aged 15 years and younger from WA with approximately 250,000 patient visits (inpatient and </w:t>
      </w:r>
      <w:r w:rsidR="00FC6E55" w:rsidRPr="00975E6B">
        <w:t>non-admitted</w:t>
      </w:r>
      <w:r w:rsidR="00B5276F" w:rsidRPr="00975E6B">
        <w:t xml:space="preserve">) each year. It is located in Subiaco, Perth. </w:t>
      </w:r>
    </w:p>
    <w:p w:rsidR="00B5276F" w:rsidRPr="00975E6B" w:rsidRDefault="003F167A" w:rsidP="00B5276F">
      <w:pPr>
        <w:pStyle w:val="BodyText"/>
      </w:pPr>
      <w:r w:rsidRPr="00975E6B">
        <w:t>Princess Margaret</w:t>
      </w:r>
      <w:r w:rsidR="00B5276F" w:rsidRPr="00975E6B">
        <w:t xml:space="preserve"> is part of the Child and Adolescent Health Service (CAHS), which also incorporates the Child and Adolescent Mental Health Service, Child and Adolescent Community Health and the Perth Children's Hospital Project. The health service is committed to programs that promote lifelong health in children and adolescents.</w:t>
      </w:r>
      <w:r w:rsidR="00F452C7">
        <w:rPr>
          <w:rStyle w:val="FootnoteReference"/>
        </w:rPr>
        <w:footnoteReference w:id="16"/>
      </w:r>
    </w:p>
    <w:p w:rsidR="00B5276F" w:rsidRPr="00975E6B" w:rsidRDefault="00B5276F" w:rsidP="00A952FC">
      <w:pPr>
        <w:pStyle w:val="Heading3"/>
        <w:numPr>
          <w:ilvl w:val="2"/>
          <w:numId w:val="77"/>
        </w:numPr>
      </w:pPr>
      <w:r w:rsidRPr="00975E6B">
        <w:t>Financial data</w:t>
      </w:r>
    </w:p>
    <w:p w:rsidR="00B5276F" w:rsidRPr="00975E6B" w:rsidRDefault="00B5276F" w:rsidP="00B5276F">
      <w:pPr>
        <w:pStyle w:val="BodyText"/>
      </w:pPr>
      <w:r w:rsidRPr="00975E6B">
        <w:t xml:space="preserve">For the Round 18 IFR, CAHS and </w:t>
      </w:r>
      <w:r w:rsidR="00DF3D31" w:rsidRPr="00975E6B">
        <w:t>WA Health</w:t>
      </w:r>
      <w:r w:rsidRPr="00975E6B">
        <w:t xml:space="preserve"> representatives completed the relevant IFR templates and participated in consultations during the review.</w:t>
      </w:r>
    </w:p>
    <w:p w:rsidR="00B5276F" w:rsidRPr="00975E6B" w:rsidRDefault="00B5276F" w:rsidP="00B5276F">
      <w:pPr>
        <w:pStyle w:val="BodyText"/>
      </w:pPr>
      <w:r w:rsidRPr="00975E6B">
        <w:fldChar w:fldCharType="begin"/>
      </w:r>
      <w:r w:rsidRPr="00975E6B">
        <w:instrText xml:space="preserve"> REF _Ref433235276 \h </w:instrText>
      </w:r>
      <w:r w:rsidR="00975E6B">
        <w:instrText xml:space="preserve"> \* MERGEFORMAT </w:instrText>
      </w:r>
      <w:r w:rsidRPr="00975E6B">
        <w:fldChar w:fldCharType="separate"/>
      </w:r>
      <w:r w:rsidR="00154CF7" w:rsidRPr="00975E6B">
        <w:t xml:space="preserve">Table </w:t>
      </w:r>
      <w:r w:rsidR="00154CF7">
        <w:rPr>
          <w:noProof/>
        </w:rPr>
        <w:t>101</w:t>
      </w:r>
      <w:r w:rsidRPr="00975E6B">
        <w:fldChar w:fldCharType="end"/>
      </w:r>
      <w:r w:rsidRPr="00975E6B">
        <w:t xml:space="preserve"> presents an overview of the template results for expenditures used for costing (at the hospital level), the jurisdictional process for cost data received and the IHPA process for cost data received.</w:t>
      </w:r>
    </w:p>
    <w:p w:rsidR="00B5276F" w:rsidRPr="00975E6B" w:rsidRDefault="00B5276F" w:rsidP="00B5276F">
      <w:pPr>
        <w:pStyle w:val="Caption"/>
        <w:sectPr w:rsidR="00B5276F" w:rsidRPr="00975E6B" w:rsidSect="00835E8A">
          <w:endnotePr>
            <w:numFmt w:val="decimal"/>
          </w:endnotePr>
          <w:pgSz w:w="11907" w:h="16840" w:code="9"/>
          <w:pgMar w:top="1964" w:right="1474" w:bottom="1588" w:left="1474" w:header="958" w:footer="737" w:gutter="454"/>
          <w:cols w:space="720"/>
          <w:docGrid w:linePitch="272"/>
        </w:sectPr>
      </w:pPr>
    </w:p>
    <w:p w:rsidR="00B5276F" w:rsidRPr="00975E6B" w:rsidRDefault="00B5276F" w:rsidP="00B5276F">
      <w:pPr>
        <w:pStyle w:val="Caption"/>
      </w:pPr>
      <w:bookmarkStart w:id="844" w:name="_Ref433235276"/>
      <w:r w:rsidRPr="00975E6B">
        <w:lastRenderedPageBreak/>
        <w:t xml:space="preserve">Table </w:t>
      </w:r>
      <w:fldSimple w:instr=" SEQ Table \* ARABIC ">
        <w:r w:rsidR="00154CF7">
          <w:rPr>
            <w:noProof/>
          </w:rPr>
          <w:t>101</w:t>
        </w:r>
      </w:fldSimple>
      <w:bookmarkEnd w:id="844"/>
      <w:r w:rsidRPr="00975E6B">
        <w:t xml:space="preserve"> – </w:t>
      </w:r>
      <w:proofErr w:type="gramStart"/>
      <w:r w:rsidRPr="00975E6B">
        <w:t>Round 18 NHCDC Reconciliation – Princess Margaret Hospital</w:t>
      </w:r>
      <w:proofErr w:type="gramEnd"/>
    </w:p>
    <w:p w:rsidR="00B5276F" w:rsidRPr="00975E6B" w:rsidRDefault="007939A0" w:rsidP="00B5276F">
      <w:r>
        <w:rPr>
          <w:noProof/>
          <w:lang w:eastAsia="en-AU"/>
        </w:rPr>
        <w:drawing>
          <wp:inline distT="0" distB="0" distL="0" distR="0" wp14:anchorId="544B8D52" wp14:editId="71797594">
            <wp:extent cx="8486775" cy="3295650"/>
            <wp:effectExtent l="0" t="0" r="9525" b="0"/>
            <wp:docPr id="47" name="Picture 47" descr="This table presents the financial reconciliation of hospital expenditure for Round 18 for Princess Margaret Hospital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10;" title="Table 101 - Round 18 NHCDC Reconciliation - Princess Margaret Hospi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This table presents the financial reconciliation of hospital expenditure for Round 18 and the transformation of this expenditure by the jurisdiction and IHPA for NHCDC submission.  There are 11 items of reconciliation in the table.  These items are labelled A to K.  Items A to E relate to the expenditure submitted by the hospital/LHN, Items F to H relate to the costs submitted by the jurisdiction and Items I to K relate to the transformation of costs by IHPA. The following table explains each item in more detail.&#10;"/>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8486775" cy="3295650"/>
                    </a:xfrm>
                    <a:prstGeom prst="rect">
                      <a:avLst/>
                    </a:prstGeom>
                    <a:noFill/>
                    <a:ln>
                      <a:noFill/>
                    </a:ln>
                  </pic:spPr>
                </pic:pic>
              </a:graphicData>
            </a:graphic>
          </wp:inline>
        </w:drawing>
      </w:r>
    </w:p>
    <w:p w:rsidR="00B5276F" w:rsidRPr="00975E6B" w:rsidRDefault="00B5276F" w:rsidP="00B5276F">
      <w:pPr>
        <w:rPr>
          <w:bCs/>
          <w:i/>
          <w:sz w:val="16"/>
          <w:szCs w:val="16"/>
        </w:rPr>
      </w:pPr>
      <w:r w:rsidRPr="00975E6B">
        <w:rPr>
          <w:bCs/>
          <w:i/>
          <w:sz w:val="16"/>
          <w:szCs w:val="16"/>
        </w:rPr>
        <w:t xml:space="preserve">Source: KPMG based on </w:t>
      </w:r>
      <w:r w:rsidR="003F167A" w:rsidRPr="00975E6B">
        <w:rPr>
          <w:bCs/>
          <w:i/>
          <w:sz w:val="16"/>
          <w:szCs w:val="16"/>
        </w:rPr>
        <w:t>Princess Margaret</w:t>
      </w:r>
      <w:r w:rsidRPr="00975E6B">
        <w:rPr>
          <w:bCs/>
          <w:i/>
          <w:sz w:val="16"/>
          <w:szCs w:val="16"/>
        </w:rPr>
        <w:t xml:space="preserve"> IFR templates</w:t>
      </w:r>
    </w:p>
    <w:p w:rsidR="00B5276F" w:rsidRPr="00975E6B" w:rsidRDefault="00B5276F" w:rsidP="00B5276F">
      <w:pPr>
        <w:rPr>
          <w:bCs/>
          <w:i/>
          <w:sz w:val="16"/>
          <w:szCs w:val="16"/>
        </w:rPr>
      </w:pPr>
      <w:r w:rsidRPr="00975E6B">
        <w:rPr>
          <w:bCs/>
          <w:i/>
          <w:sz w:val="16"/>
          <w:szCs w:val="16"/>
        </w:rPr>
        <w:t xml:space="preserve">* This amount includes virtual admitted emergency costs </w:t>
      </w:r>
    </w:p>
    <w:p w:rsidR="00B5276F" w:rsidRPr="00975E6B" w:rsidRDefault="00B5276F" w:rsidP="00F26328">
      <w:pPr>
        <w:pStyle w:val="Heading4"/>
        <w:numPr>
          <w:ilvl w:val="3"/>
          <w:numId w:val="63"/>
        </w:numPr>
        <w:sectPr w:rsidR="00B5276F" w:rsidRPr="00975E6B" w:rsidSect="00835E8A">
          <w:endnotePr>
            <w:numFmt w:val="decimal"/>
          </w:endnotePr>
          <w:pgSz w:w="16840" w:h="11907" w:orient="landscape" w:code="9"/>
          <w:pgMar w:top="1474" w:right="1964" w:bottom="1474" w:left="1588" w:header="958" w:footer="737" w:gutter="454"/>
          <w:cols w:space="720"/>
          <w:docGrid w:linePitch="272"/>
        </w:sectPr>
      </w:pPr>
    </w:p>
    <w:p w:rsidR="00B5276F" w:rsidRPr="00975E6B" w:rsidRDefault="00B5276F" w:rsidP="00A952FC">
      <w:pPr>
        <w:pStyle w:val="Heading4"/>
        <w:numPr>
          <w:ilvl w:val="0"/>
          <w:numId w:val="0"/>
        </w:numPr>
      </w:pPr>
      <w:r w:rsidRPr="00975E6B">
        <w:lastRenderedPageBreak/>
        <w:t>Explanation of reconciliation items</w:t>
      </w:r>
    </w:p>
    <w:p w:rsidR="00B5276F" w:rsidRPr="00975E6B" w:rsidRDefault="00B5276F" w:rsidP="00B5276F">
      <w:pPr>
        <w:pStyle w:val="BodyText"/>
      </w:pPr>
      <w:r w:rsidRPr="00975E6B">
        <w:fldChar w:fldCharType="begin"/>
      </w:r>
      <w:r w:rsidRPr="00975E6B">
        <w:instrText xml:space="preserve"> REF _Ref433235291 \h </w:instrText>
      </w:r>
      <w:r w:rsidR="00975E6B">
        <w:instrText xml:space="preserve"> \* MERGEFORMAT </w:instrText>
      </w:r>
      <w:r w:rsidRPr="00975E6B">
        <w:fldChar w:fldCharType="separate"/>
      </w:r>
      <w:r w:rsidR="00154CF7" w:rsidRPr="00975E6B">
        <w:t xml:space="preserve">Table </w:t>
      </w:r>
      <w:r w:rsidR="00154CF7">
        <w:rPr>
          <w:noProof/>
        </w:rPr>
        <w:t>102</w:t>
      </w:r>
      <w:r w:rsidRPr="00975E6B">
        <w:fldChar w:fldCharType="end"/>
      </w:r>
      <w:r w:rsidRPr="00975E6B">
        <w:t xml:space="preserve"> discusses each of the reconciliation items, including adjustments, inclusions and exclusions to the </w:t>
      </w:r>
      <w:r w:rsidR="004C34CE" w:rsidRPr="00975E6B">
        <w:t>GL</w:t>
      </w:r>
      <w:r w:rsidRPr="00975E6B">
        <w:t>.</w:t>
      </w:r>
    </w:p>
    <w:p w:rsidR="00B5276F" w:rsidRPr="00975E6B" w:rsidRDefault="00B5276F" w:rsidP="00B5276F">
      <w:pPr>
        <w:pStyle w:val="Caption"/>
      </w:pPr>
      <w:bookmarkStart w:id="845" w:name="_Ref433235291"/>
      <w:r w:rsidRPr="00975E6B">
        <w:t xml:space="preserve">Table </w:t>
      </w:r>
      <w:fldSimple w:instr=" SEQ Table \* ARABIC ">
        <w:r w:rsidR="00154CF7">
          <w:rPr>
            <w:noProof/>
          </w:rPr>
          <w:t>102</w:t>
        </w:r>
      </w:fldSimple>
      <w:bookmarkEnd w:id="845"/>
      <w:r w:rsidRPr="00975E6B">
        <w:t xml:space="preserve"> – </w:t>
      </w:r>
      <w:r w:rsidR="00704A46" w:rsidRPr="00975E6B">
        <w:t>Financial Reconciliation, explanation of items</w:t>
      </w:r>
      <w:r w:rsidRPr="00975E6B">
        <w:t xml:space="preserve"> – Princess Margaret Hospital</w:t>
      </w:r>
    </w:p>
    <w:tbl>
      <w:tblPr>
        <w:tblStyle w:val="ListTable4-Accent11"/>
        <w:tblW w:w="5000" w:type="pct"/>
        <w:tblLayout w:type="fixed"/>
        <w:tblLook w:val="0620" w:firstRow="1" w:lastRow="0" w:firstColumn="0" w:lastColumn="0" w:noHBand="1" w:noVBand="1"/>
        <w:tblCaption w:val="Table 102 – Financial Reconciliation, explanation of items – Princess Margaret Hospital"/>
        <w:tblDescription w:val="This table discusses each of the reconciliation items, including adjustments, inclusions and exclusions to the GL."/>
      </w:tblPr>
      <w:tblGrid>
        <w:gridCol w:w="722"/>
        <w:gridCol w:w="2622"/>
        <w:gridCol w:w="5377"/>
      </w:tblGrid>
      <w:tr w:rsidR="00B5276F"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14" w:type="pct"/>
            <w:tcBorders>
              <w:right w:val="single" w:sz="4" w:space="0" w:color="548DD4" w:themeColor="text2" w:themeTint="99"/>
            </w:tcBorders>
            <w:shd w:val="clear" w:color="auto" w:fill="002060"/>
            <w:noWrap/>
          </w:tcPr>
          <w:p w:rsidR="00B5276F" w:rsidRPr="00975E6B" w:rsidRDefault="00B5276F" w:rsidP="00AF6CC3">
            <w:r w:rsidRPr="00975E6B">
              <w:t>Item</w:t>
            </w:r>
          </w:p>
        </w:tc>
        <w:tc>
          <w:tcPr>
            <w:tcW w:w="1503" w:type="pct"/>
            <w:tcBorders>
              <w:left w:val="single" w:sz="4" w:space="0" w:color="548DD4" w:themeColor="text2" w:themeTint="99"/>
            </w:tcBorders>
            <w:shd w:val="clear" w:color="auto" w:fill="002060"/>
          </w:tcPr>
          <w:p w:rsidR="00B5276F" w:rsidRPr="00975E6B" w:rsidRDefault="00B5276F" w:rsidP="00AF6CC3">
            <w:r w:rsidRPr="00975E6B">
              <w:t>Heading</w:t>
            </w:r>
          </w:p>
        </w:tc>
        <w:tc>
          <w:tcPr>
            <w:tcW w:w="3083" w:type="pct"/>
            <w:tcBorders>
              <w:left w:val="single" w:sz="4" w:space="0" w:color="548DD4" w:themeColor="text2" w:themeTint="99"/>
            </w:tcBorders>
            <w:shd w:val="clear" w:color="auto" w:fill="002060"/>
          </w:tcPr>
          <w:p w:rsidR="00B5276F" w:rsidRPr="00975E6B" w:rsidRDefault="00B5276F" w:rsidP="00AF6CC3">
            <w:r w:rsidRPr="00975E6B">
              <w:t>Discussion</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t>A</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General Ledger</w:t>
            </w:r>
          </w:p>
        </w:tc>
        <w:tc>
          <w:tcPr>
            <w:tcW w:w="3083" w:type="pct"/>
            <w:tcBorders>
              <w:left w:val="single" w:sz="4" w:space="0" w:color="548DD4" w:themeColor="text2" w:themeTint="99"/>
            </w:tcBorders>
          </w:tcPr>
          <w:p w:rsidR="00B5276F" w:rsidRPr="00975E6B" w:rsidRDefault="00B5276F">
            <w:pPr>
              <w:pStyle w:val="BodyText"/>
            </w:pPr>
            <w:r w:rsidRPr="00975E6B">
              <w:t xml:space="preserve">The final </w:t>
            </w:r>
            <w:r w:rsidR="004C34CE" w:rsidRPr="00975E6B">
              <w:t>GL</w:t>
            </w:r>
            <w:r w:rsidRPr="00975E6B">
              <w:t xml:space="preserve"> amount extracted indicates expenditure of $498.9</w:t>
            </w:r>
            <w:r w:rsidR="004C34CE" w:rsidRPr="00975E6B">
              <w:t xml:space="preserve"> </w:t>
            </w:r>
            <w:r w:rsidRPr="00975E6B">
              <w:t>m</w:t>
            </w:r>
            <w:r w:rsidR="004C34CE" w:rsidRPr="00975E6B">
              <w:t>illion</w:t>
            </w:r>
            <w:r w:rsidRPr="00975E6B">
              <w:t xml:space="preserve">. It should be noted that this </w:t>
            </w:r>
            <w:r w:rsidR="0074117C" w:rsidRPr="00975E6B">
              <w:t xml:space="preserve">was </w:t>
            </w:r>
            <w:r w:rsidRPr="00975E6B">
              <w:t xml:space="preserve">the total for CAHS of which </w:t>
            </w:r>
            <w:r w:rsidR="003F167A" w:rsidRPr="00975E6B">
              <w:t>Princess Margaret</w:t>
            </w:r>
            <w:r w:rsidRPr="00975E6B">
              <w:t xml:space="preserve"> </w:t>
            </w:r>
            <w:r w:rsidR="0074117C" w:rsidRPr="00975E6B">
              <w:t xml:space="preserve">was </w:t>
            </w:r>
            <w:r w:rsidRPr="00975E6B">
              <w:t>a part.</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t>B</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Adjustments to the GL</w:t>
            </w:r>
          </w:p>
        </w:tc>
        <w:tc>
          <w:tcPr>
            <w:tcW w:w="3083" w:type="pct"/>
            <w:tcBorders>
              <w:left w:val="single" w:sz="4" w:space="0" w:color="548DD4" w:themeColor="text2" w:themeTint="99"/>
            </w:tcBorders>
          </w:tcPr>
          <w:p w:rsidR="00B5276F" w:rsidRPr="00975E6B" w:rsidRDefault="00B5276F" w:rsidP="00AF6CC3">
            <w:pPr>
              <w:pStyle w:val="BodyText"/>
            </w:pPr>
            <w:r w:rsidRPr="00975E6B">
              <w:t xml:space="preserve">A number of adjustments are made to the GL. Expenditure items excluded totals $118.4 million and relates to special purpose accounts, community health and capital costs. </w:t>
            </w:r>
          </w:p>
          <w:p w:rsidR="00B5276F" w:rsidRPr="00975E6B" w:rsidRDefault="00B5276F" w:rsidP="00AF6CC3">
            <w:pPr>
              <w:pStyle w:val="BodyText"/>
            </w:pPr>
            <w:r w:rsidRPr="00975E6B">
              <w:t xml:space="preserve">Expenditures included relates to King Edward Neonate, North Metro Parking, </w:t>
            </w:r>
            <w:r w:rsidR="004C34CE" w:rsidRPr="00975E6B">
              <w:t>s</w:t>
            </w:r>
            <w:r w:rsidRPr="00975E6B">
              <w:t>tate</w:t>
            </w:r>
            <w:r w:rsidR="004C2A99" w:rsidRPr="00975E6B">
              <w:t>-</w:t>
            </w:r>
            <w:r w:rsidRPr="00975E6B">
              <w:t>wide overheads and internal/external recoups. Expenditure included total</w:t>
            </w:r>
            <w:r w:rsidR="008E29F7" w:rsidRPr="00975E6B">
              <w:t>led</w:t>
            </w:r>
            <w:r w:rsidRPr="00975E6B">
              <w:t xml:space="preserve"> $9.4 million.</w:t>
            </w:r>
          </w:p>
          <w:p w:rsidR="00B5276F" w:rsidRPr="00975E6B" w:rsidRDefault="00B5276F" w:rsidP="00AF6CC3">
            <w:pPr>
              <w:pStyle w:val="BodyText"/>
            </w:pPr>
            <w:r w:rsidRPr="00975E6B">
              <w:t xml:space="preserve">These adjustments established an expenditure base for costing of $389.9 million for </w:t>
            </w:r>
            <w:r w:rsidR="003F167A" w:rsidRPr="00975E6B">
              <w:t>Princess Margaret</w:t>
            </w:r>
            <w:r w:rsidRPr="00975E6B">
              <w:t>. This was approximately 78</w:t>
            </w:r>
            <w:r w:rsidR="00625C35" w:rsidRPr="00975E6B">
              <w:t> percent</w:t>
            </w:r>
            <w:r w:rsidRPr="00975E6B">
              <w:t xml:space="preserve"> of total expenditure reported in the CAHS GL.</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t>C</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Allocation of Costs</w:t>
            </w:r>
          </w:p>
        </w:tc>
        <w:tc>
          <w:tcPr>
            <w:tcW w:w="3083" w:type="pct"/>
            <w:tcBorders>
              <w:left w:val="single" w:sz="4" w:space="0" w:color="548DD4" w:themeColor="text2" w:themeTint="99"/>
            </w:tcBorders>
          </w:tcPr>
          <w:p w:rsidR="00B5276F" w:rsidRPr="00975E6B" w:rsidRDefault="00B5276F" w:rsidP="00AF6CC3">
            <w:pPr>
              <w:pStyle w:val="BodyText"/>
            </w:pPr>
            <w:r w:rsidRPr="00975E6B">
              <w:t>The health service undertakes a process of reclass/transfers etc. between direct cost centres. Reclass/transfer is based on a set of pre-determined rules.</w:t>
            </w:r>
          </w:p>
          <w:p w:rsidR="00B5276F" w:rsidRPr="00975E6B" w:rsidRDefault="00B5276F" w:rsidP="00F26328">
            <w:pPr>
              <w:pStyle w:val="BodyText"/>
              <w:numPr>
                <w:ilvl w:val="0"/>
                <w:numId w:val="38"/>
              </w:numPr>
            </w:pPr>
            <w:r w:rsidRPr="00975E6B">
              <w:t>It was observed through the template that the total of all direct cost centres of $277.7</w:t>
            </w:r>
            <w:r w:rsidR="004C34CE" w:rsidRPr="00975E6B">
              <w:t xml:space="preserve"> </w:t>
            </w:r>
            <w:r w:rsidRPr="00975E6B">
              <w:t>m</w:t>
            </w:r>
            <w:r w:rsidR="004C34CE" w:rsidRPr="00975E6B">
              <w:t>illion</w:t>
            </w:r>
            <w:r w:rsidRPr="00975E6B">
              <w:t xml:space="preserve"> was allocated post allocation.</w:t>
            </w:r>
          </w:p>
          <w:p w:rsidR="00B5276F" w:rsidRPr="00975E6B" w:rsidRDefault="00B5276F" w:rsidP="00F26328">
            <w:pPr>
              <w:pStyle w:val="BodyText"/>
              <w:numPr>
                <w:ilvl w:val="0"/>
                <w:numId w:val="38"/>
              </w:numPr>
            </w:pPr>
            <w:r w:rsidRPr="00975E6B">
              <w:t>It was observed through the template that overheads of $112.2</w:t>
            </w:r>
            <w:r w:rsidR="004C34CE" w:rsidRPr="00975E6B">
              <w:t xml:space="preserve"> </w:t>
            </w:r>
            <w:r w:rsidRPr="00975E6B">
              <w:t>m</w:t>
            </w:r>
            <w:r w:rsidR="004C34CE" w:rsidRPr="00975E6B">
              <w:t>illion</w:t>
            </w:r>
            <w:r w:rsidRPr="00975E6B">
              <w:t xml:space="preserve"> were allocated down to direct cost centres, post allocation.</w:t>
            </w:r>
          </w:p>
          <w:p w:rsidR="00B5276F" w:rsidRPr="00975E6B" w:rsidRDefault="00B5276F" w:rsidP="00AF6CC3">
            <w:pPr>
              <w:pStyle w:val="BodyText"/>
            </w:pPr>
            <w:r w:rsidRPr="00975E6B">
              <w:t xml:space="preserve">These amounts are the </w:t>
            </w:r>
            <w:r w:rsidR="003F167A" w:rsidRPr="00975E6B">
              <w:t>Princess Margaret</w:t>
            </w:r>
            <w:r w:rsidRPr="00975E6B">
              <w:t xml:space="preserve"> component of the total CAHS GL in Item A. </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t>D</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Post Allocation Adjustments</w:t>
            </w:r>
          </w:p>
        </w:tc>
        <w:tc>
          <w:tcPr>
            <w:tcW w:w="3083" w:type="pct"/>
            <w:tcBorders>
              <w:left w:val="single" w:sz="4" w:space="0" w:color="548DD4" w:themeColor="text2" w:themeTint="99"/>
            </w:tcBorders>
          </w:tcPr>
          <w:p w:rsidR="00B5276F" w:rsidRPr="00975E6B" w:rsidRDefault="00B5276F" w:rsidP="00AF6CC3">
            <w:pPr>
              <w:pStyle w:val="BodyText"/>
            </w:pPr>
            <w:r w:rsidRPr="00975E6B">
              <w:t>No post allocation adjustments were made.</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t>E</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Costed Products Submitted to jurisdiction</w:t>
            </w:r>
          </w:p>
        </w:tc>
        <w:tc>
          <w:tcPr>
            <w:tcW w:w="3083" w:type="pct"/>
            <w:tcBorders>
              <w:left w:val="single" w:sz="4" w:space="0" w:color="548DD4" w:themeColor="text2" w:themeTint="99"/>
            </w:tcBorders>
          </w:tcPr>
          <w:p w:rsidR="00B5276F" w:rsidRPr="00975E6B" w:rsidRDefault="00B5276F">
            <w:pPr>
              <w:pStyle w:val="BodyText"/>
            </w:pPr>
            <w:r w:rsidRPr="00975E6B">
              <w:t xml:space="preserve">Costs derived by the health service/hospital and reported at product level equal to $389.9 million. </w:t>
            </w:r>
            <w:r w:rsidR="003F167A" w:rsidRPr="00975E6B">
              <w:t>Princess Margaret</w:t>
            </w:r>
            <w:r w:rsidRPr="00975E6B">
              <w:t xml:space="preserve"> submitted </w:t>
            </w:r>
            <w:r w:rsidR="004C34CE" w:rsidRPr="00975E6B">
              <w:t>acute</w:t>
            </w:r>
            <w:r w:rsidRPr="00975E6B">
              <w:t xml:space="preserve">, </w:t>
            </w:r>
            <w:r w:rsidR="00366F39" w:rsidRPr="00975E6B">
              <w:t>non-admitted</w:t>
            </w:r>
            <w:r w:rsidRPr="00975E6B">
              <w:t xml:space="preserve">, </w:t>
            </w:r>
            <w:r w:rsidR="004C34CE" w:rsidRPr="00975E6B">
              <w:t>e</w:t>
            </w:r>
            <w:r w:rsidRPr="00975E6B">
              <w:t xml:space="preserve">mergency, </w:t>
            </w:r>
            <w:r w:rsidR="002A25A7" w:rsidRPr="00975E6B">
              <w:t>subacute</w:t>
            </w:r>
            <w:r w:rsidRPr="00975E6B">
              <w:t xml:space="preserve">, </w:t>
            </w:r>
            <w:r w:rsidR="004C34CE" w:rsidRPr="00975E6B">
              <w:t>other</w:t>
            </w:r>
            <w:r w:rsidRPr="00975E6B">
              <w:t xml:space="preserve">, </w:t>
            </w:r>
            <w:r w:rsidR="004C34CE" w:rsidRPr="00975E6B">
              <w:t xml:space="preserve">research </w:t>
            </w:r>
            <w:r w:rsidRPr="00975E6B">
              <w:t xml:space="preserve">and </w:t>
            </w:r>
            <w:r w:rsidR="004C34CE" w:rsidRPr="00975E6B">
              <w:t xml:space="preserve">teaching </w:t>
            </w:r>
            <w:r w:rsidRPr="00975E6B">
              <w:t xml:space="preserve">and </w:t>
            </w:r>
            <w:r w:rsidR="004C34CE" w:rsidRPr="00975E6B">
              <w:t xml:space="preserve">training </w:t>
            </w:r>
            <w:r w:rsidRPr="00975E6B">
              <w:t xml:space="preserve">costed products. A minimal variance of $40 between Item D and </w:t>
            </w:r>
            <w:r w:rsidRPr="00975E6B">
              <w:lastRenderedPageBreak/>
              <w:t>Item E was noted.</w:t>
            </w:r>
          </w:p>
        </w:tc>
      </w:tr>
      <w:tr w:rsidR="00B5276F" w:rsidRPr="00975E6B" w:rsidTr="00AF6CC3">
        <w:trPr>
          <w:trHeight w:val="285"/>
        </w:trPr>
        <w:tc>
          <w:tcPr>
            <w:tcW w:w="414" w:type="pct"/>
            <w:tcBorders>
              <w:right w:val="single" w:sz="4" w:space="0" w:color="548DD4" w:themeColor="text2" w:themeTint="99"/>
            </w:tcBorders>
            <w:noWrap/>
          </w:tcPr>
          <w:p w:rsidR="00B5276F" w:rsidRPr="00975E6B" w:rsidRDefault="00B5276F" w:rsidP="00AF6CC3">
            <w:pPr>
              <w:pStyle w:val="BodyText"/>
            </w:pPr>
            <w:r w:rsidRPr="00975E6B">
              <w:lastRenderedPageBreak/>
              <w:t>F</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Costed Products received by jurisdiction</w:t>
            </w:r>
          </w:p>
        </w:tc>
        <w:tc>
          <w:tcPr>
            <w:tcW w:w="3083" w:type="pct"/>
            <w:tcBorders>
              <w:left w:val="single" w:sz="4" w:space="0" w:color="548DD4" w:themeColor="text2" w:themeTint="99"/>
            </w:tcBorders>
          </w:tcPr>
          <w:p w:rsidR="00B5276F" w:rsidRPr="00975E6B" w:rsidRDefault="00B5276F" w:rsidP="00AF6CC3">
            <w:pPr>
              <w:pStyle w:val="BodyText"/>
            </w:pPr>
            <w:r w:rsidRPr="00975E6B">
              <w:t>No variance was noted between Items E and F.</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t>G</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Final Adjustments</w:t>
            </w:r>
          </w:p>
        </w:tc>
        <w:tc>
          <w:tcPr>
            <w:tcW w:w="3083" w:type="pct"/>
            <w:tcBorders>
              <w:left w:val="single" w:sz="4" w:space="0" w:color="548DD4" w:themeColor="text2" w:themeTint="99"/>
            </w:tcBorders>
          </w:tcPr>
          <w:p w:rsidR="00B5276F" w:rsidRPr="00975E6B" w:rsidRDefault="00B5276F" w:rsidP="00AF6CC3">
            <w:pPr>
              <w:pStyle w:val="BodyText"/>
            </w:pPr>
            <w:r w:rsidRPr="00975E6B">
              <w:t>The jurisdiction makes adjustments to the cost data prior to submission to IHPA. These adjustments relate to the inclusion of WIP (no escalation factor included), and exclusions of activity data and associated costs. The breakdown of adjustment items include:</w:t>
            </w:r>
          </w:p>
          <w:p w:rsidR="00B5276F" w:rsidRPr="00975E6B" w:rsidRDefault="00B5276F" w:rsidP="00F26328">
            <w:pPr>
              <w:pStyle w:val="BodyText"/>
              <w:numPr>
                <w:ilvl w:val="0"/>
                <w:numId w:val="45"/>
              </w:numPr>
            </w:pPr>
            <w:r w:rsidRPr="00975E6B">
              <w:t xml:space="preserve">Removal of aggregate level </w:t>
            </w:r>
            <w:r w:rsidR="00366F39" w:rsidRPr="00975E6B">
              <w:t>non-admitted patient</w:t>
            </w:r>
            <w:r w:rsidRPr="00975E6B">
              <w:t>s $42.6 million.</w:t>
            </w:r>
          </w:p>
          <w:p w:rsidR="00B5276F" w:rsidRPr="00975E6B" w:rsidRDefault="00B5276F" w:rsidP="00F26328">
            <w:pPr>
              <w:pStyle w:val="BodyText"/>
              <w:numPr>
                <w:ilvl w:val="0"/>
                <w:numId w:val="45"/>
              </w:numPr>
            </w:pPr>
            <w:r w:rsidRPr="00975E6B">
              <w:t xml:space="preserve">WIP costs of $6.4 million from the prior year (2012/13) included. </w:t>
            </w:r>
          </w:p>
          <w:p w:rsidR="00B5276F" w:rsidRPr="00975E6B" w:rsidRDefault="00B5276F" w:rsidP="00F26328">
            <w:pPr>
              <w:pStyle w:val="BodyText"/>
              <w:numPr>
                <w:ilvl w:val="0"/>
                <w:numId w:val="45"/>
              </w:numPr>
            </w:pPr>
            <w:r w:rsidRPr="00975E6B">
              <w:t>Removal of dummy records - $2.1 million.</w:t>
            </w:r>
          </w:p>
          <w:p w:rsidR="00B5276F" w:rsidRPr="00975E6B" w:rsidRDefault="00B5276F" w:rsidP="00F26328">
            <w:pPr>
              <w:pStyle w:val="BodyText"/>
              <w:numPr>
                <w:ilvl w:val="0"/>
                <w:numId w:val="45"/>
              </w:numPr>
            </w:pPr>
            <w:r w:rsidRPr="00975E6B">
              <w:t>Removal of current WIP - $9.3 million.</w:t>
            </w:r>
          </w:p>
          <w:p w:rsidR="00B5276F" w:rsidRPr="00975E6B" w:rsidRDefault="00B5276F" w:rsidP="00F26328">
            <w:pPr>
              <w:pStyle w:val="BodyText"/>
              <w:numPr>
                <w:ilvl w:val="0"/>
                <w:numId w:val="45"/>
              </w:numPr>
            </w:pPr>
            <w:r w:rsidRPr="00975E6B">
              <w:t>Removed unmatched costed records - $7.5 million.</w:t>
            </w:r>
          </w:p>
          <w:p w:rsidR="00B5276F" w:rsidRPr="00975E6B" w:rsidRDefault="00B5276F" w:rsidP="00F26328">
            <w:pPr>
              <w:pStyle w:val="BodyText"/>
              <w:numPr>
                <w:ilvl w:val="0"/>
                <w:numId w:val="45"/>
              </w:numPr>
            </w:pPr>
            <w:r w:rsidRPr="00975E6B">
              <w:t>Removed TTR - $18.6 million.</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t>H</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Costed Products submitted to IHPA</w:t>
            </w:r>
          </w:p>
        </w:tc>
        <w:tc>
          <w:tcPr>
            <w:tcW w:w="3083" w:type="pct"/>
            <w:tcBorders>
              <w:left w:val="single" w:sz="4" w:space="0" w:color="548DD4" w:themeColor="text2" w:themeTint="99"/>
            </w:tcBorders>
          </w:tcPr>
          <w:p w:rsidR="00B5276F" w:rsidRPr="00975E6B" w:rsidRDefault="00B5276F">
            <w:pPr>
              <w:pStyle w:val="BodyText"/>
            </w:pPr>
            <w:r w:rsidRPr="00975E6B">
              <w:t xml:space="preserve">Costs derived by the jurisdiction and reported at product level reconcile to $316.2 million. </w:t>
            </w:r>
            <w:r w:rsidR="00DF3D31" w:rsidRPr="00975E6B">
              <w:t>WA Health</w:t>
            </w:r>
            <w:r w:rsidRPr="00975E6B">
              <w:t xml:space="preserve"> submitted </w:t>
            </w:r>
            <w:r w:rsidR="008E6DA4" w:rsidRPr="00975E6B">
              <w:t>acute</w:t>
            </w:r>
            <w:r w:rsidRPr="00975E6B">
              <w:t xml:space="preserve">, </w:t>
            </w:r>
            <w:r w:rsidR="008E6DA4" w:rsidRPr="00975E6B">
              <w:t>non</w:t>
            </w:r>
            <w:r w:rsidR="00366F39" w:rsidRPr="00975E6B">
              <w:t>-admitted</w:t>
            </w:r>
            <w:r w:rsidRPr="00975E6B">
              <w:t xml:space="preserve">, </w:t>
            </w:r>
            <w:r w:rsidR="008E6DA4" w:rsidRPr="00975E6B">
              <w:t>emergency</w:t>
            </w:r>
            <w:r w:rsidRPr="00975E6B">
              <w:t xml:space="preserve">, </w:t>
            </w:r>
            <w:r w:rsidR="002A25A7" w:rsidRPr="00975E6B">
              <w:t>subacute</w:t>
            </w:r>
            <w:r w:rsidRPr="00975E6B">
              <w:t xml:space="preserve"> and </w:t>
            </w:r>
            <w:r w:rsidR="008E6DA4" w:rsidRPr="00975E6B">
              <w:t xml:space="preserve">other </w:t>
            </w:r>
            <w:r w:rsidRPr="00975E6B">
              <w:t xml:space="preserve">costed products. </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t>I</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Total Products received by IHPA</w:t>
            </w:r>
          </w:p>
        </w:tc>
        <w:tc>
          <w:tcPr>
            <w:tcW w:w="3083" w:type="pct"/>
            <w:tcBorders>
              <w:left w:val="single" w:sz="4" w:space="0" w:color="548DD4" w:themeColor="text2" w:themeTint="99"/>
            </w:tcBorders>
          </w:tcPr>
          <w:p w:rsidR="00B5276F" w:rsidRPr="00975E6B" w:rsidRDefault="00B5276F" w:rsidP="00AF6CC3">
            <w:pPr>
              <w:pStyle w:val="BodyText"/>
            </w:pPr>
            <w:r w:rsidRPr="00975E6B">
              <w:t xml:space="preserve">Total Costs received by IHPA totalled $316.2 million. </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t>J</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IHPA Adjustments</w:t>
            </w:r>
          </w:p>
        </w:tc>
        <w:tc>
          <w:tcPr>
            <w:tcW w:w="3083" w:type="pct"/>
            <w:tcBorders>
              <w:left w:val="single" w:sz="4" w:space="0" w:color="548DD4" w:themeColor="text2" w:themeTint="99"/>
            </w:tcBorders>
          </w:tcPr>
          <w:p w:rsidR="00B5276F" w:rsidRPr="00975E6B" w:rsidRDefault="00B5276F" w:rsidP="00AF6CC3">
            <w:pPr>
              <w:pStyle w:val="BodyText"/>
              <w:rPr>
                <w:i/>
              </w:rPr>
            </w:pPr>
            <w:r w:rsidRPr="00975E6B">
              <w:rPr>
                <w:i/>
              </w:rPr>
              <w:t>Unqualified Baby Adjustment</w:t>
            </w:r>
          </w:p>
          <w:p w:rsidR="00B5276F" w:rsidRPr="00975E6B" w:rsidRDefault="00B5276F" w:rsidP="00AF6CC3">
            <w:pPr>
              <w:pStyle w:val="BodyText"/>
            </w:pPr>
            <w:r w:rsidRPr="00975E6B">
              <w:t xml:space="preserve">Upon receipt of cost data, IHPA redistributes the unqualified baby (UQB) cost to the mother DRG to provide a complete delivery DRG cost. The activity adjustment for UQB separations will not ordinarily have an associated impact on cost. However for </w:t>
            </w:r>
            <w:r w:rsidR="003F167A" w:rsidRPr="00975E6B">
              <w:t>Princess Margaret</w:t>
            </w:r>
            <w:r w:rsidRPr="00975E6B">
              <w:t xml:space="preserve">, the UQB adjustment </w:t>
            </w:r>
            <w:r w:rsidR="0074117C" w:rsidRPr="00975E6B">
              <w:t xml:space="preserve">was </w:t>
            </w:r>
            <w:r w:rsidRPr="00975E6B">
              <w:t xml:space="preserve">a complete removal </w:t>
            </w:r>
            <w:r w:rsidR="008E29F7" w:rsidRPr="00975E6B">
              <w:t xml:space="preserve">of activity </w:t>
            </w:r>
            <w:r w:rsidRPr="00975E6B">
              <w:t>rather than a reallocation</w:t>
            </w:r>
            <w:r w:rsidR="00C50DA9" w:rsidRPr="00975E6B">
              <w:t xml:space="preserve">. </w:t>
            </w:r>
            <w:r w:rsidR="008E29F7" w:rsidRPr="00975E6B">
              <w:t xml:space="preserve">This </w:t>
            </w:r>
            <w:r w:rsidR="0074117C" w:rsidRPr="00975E6B">
              <w:t xml:space="preserve">was </w:t>
            </w:r>
            <w:r w:rsidRPr="00975E6B">
              <w:t xml:space="preserve">due to the UQB separation linking to a prior year or future year mother separation. For </w:t>
            </w:r>
            <w:r w:rsidR="003F167A" w:rsidRPr="00975E6B">
              <w:t>Princess Margaret</w:t>
            </w:r>
            <w:r w:rsidRPr="00975E6B">
              <w:t xml:space="preserve"> this amounted to $11,552.</w:t>
            </w:r>
          </w:p>
          <w:p w:rsidR="00B5276F" w:rsidRPr="00975E6B" w:rsidRDefault="00B5276F" w:rsidP="00AF6CC3">
            <w:pPr>
              <w:pStyle w:val="BodyText"/>
              <w:rPr>
                <w:i/>
              </w:rPr>
            </w:pPr>
            <w:r w:rsidRPr="00975E6B">
              <w:rPr>
                <w:i/>
              </w:rPr>
              <w:t>Virtual Patients</w:t>
            </w:r>
          </w:p>
          <w:p w:rsidR="00B5276F" w:rsidRPr="00975E6B" w:rsidRDefault="00B5276F">
            <w:pPr>
              <w:pStyle w:val="BodyText"/>
            </w:pPr>
            <w:r w:rsidRPr="00975E6B">
              <w:t xml:space="preserve">For most WA hospitals, the admitted </w:t>
            </w:r>
            <w:r w:rsidR="00E80193" w:rsidRPr="00975E6B">
              <w:t>emergency</w:t>
            </w:r>
            <w:r w:rsidRPr="00975E6B">
              <w:t xml:space="preserve"> presentation is not captured separately within the PAS and is included with the admitted</w:t>
            </w:r>
            <w:r w:rsidR="00846982" w:rsidRPr="00975E6B">
              <w:t xml:space="preserve"> acute</w:t>
            </w:r>
            <w:r w:rsidRPr="00975E6B">
              <w:t xml:space="preserve"> episode. To </w:t>
            </w:r>
            <w:r w:rsidRPr="00975E6B">
              <w:lastRenderedPageBreak/>
              <w:t xml:space="preserve">maintain the NHCDC classification streams, IHPA (with the consent of WA) duplicated the emergency costs and created virtual patients to be in line with the admitted emergency stream. For </w:t>
            </w:r>
            <w:r w:rsidR="003F167A" w:rsidRPr="00975E6B">
              <w:t>Princess Margaret</w:t>
            </w:r>
            <w:r w:rsidRPr="00975E6B">
              <w:t xml:space="preserve"> this amounted to $10.2</w:t>
            </w:r>
            <w:r w:rsidR="004C34CE" w:rsidRPr="00975E6B">
              <w:t> </w:t>
            </w:r>
            <w:r w:rsidRPr="00975E6B">
              <w:t>million.</w:t>
            </w:r>
          </w:p>
        </w:tc>
      </w:tr>
      <w:tr w:rsidR="00B5276F" w:rsidRPr="00975E6B" w:rsidTr="00AF6CC3">
        <w:tc>
          <w:tcPr>
            <w:tcW w:w="414" w:type="pct"/>
            <w:tcBorders>
              <w:right w:val="single" w:sz="4" w:space="0" w:color="548DD4" w:themeColor="text2" w:themeTint="99"/>
            </w:tcBorders>
            <w:noWrap/>
          </w:tcPr>
          <w:p w:rsidR="00B5276F" w:rsidRPr="00975E6B" w:rsidRDefault="00B5276F" w:rsidP="00AF6CC3">
            <w:pPr>
              <w:pStyle w:val="BodyText"/>
            </w:pPr>
            <w:r w:rsidRPr="00975E6B">
              <w:lastRenderedPageBreak/>
              <w:t>K</w:t>
            </w:r>
          </w:p>
        </w:tc>
        <w:tc>
          <w:tcPr>
            <w:tcW w:w="1503" w:type="pct"/>
            <w:tcBorders>
              <w:left w:val="single" w:sz="4" w:space="0" w:color="548DD4" w:themeColor="text2" w:themeTint="99"/>
            </w:tcBorders>
          </w:tcPr>
          <w:p w:rsidR="00B5276F" w:rsidRPr="00975E6B" w:rsidRDefault="00B5276F" w:rsidP="00AF6CC3">
            <w:pPr>
              <w:pStyle w:val="BodyText"/>
              <w:jc w:val="left"/>
            </w:pPr>
            <w:r w:rsidRPr="00975E6B">
              <w:t>Final NHCDC Costed Outputs</w:t>
            </w:r>
          </w:p>
        </w:tc>
        <w:tc>
          <w:tcPr>
            <w:tcW w:w="3083" w:type="pct"/>
            <w:tcBorders>
              <w:left w:val="single" w:sz="4" w:space="0" w:color="548DD4" w:themeColor="text2" w:themeTint="99"/>
            </w:tcBorders>
          </w:tcPr>
          <w:p w:rsidR="00B5276F" w:rsidRPr="00975E6B" w:rsidRDefault="00B5276F">
            <w:pPr>
              <w:pStyle w:val="BodyText"/>
            </w:pPr>
            <w:r w:rsidRPr="00975E6B">
              <w:t xml:space="preserve">The final NHCDC costed data for </w:t>
            </w:r>
            <w:r w:rsidR="003F167A" w:rsidRPr="00975E6B">
              <w:t>Princess Margaret</w:t>
            </w:r>
            <w:r w:rsidRPr="00975E6B">
              <w:t xml:space="preserve"> that was loaded into the </w:t>
            </w:r>
            <w:r w:rsidR="004C34CE" w:rsidRPr="00975E6B">
              <w:t xml:space="preserve">NHCDC </w:t>
            </w:r>
            <w:r w:rsidRPr="00975E6B">
              <w:t xml:space="preserve">Round 18 cost data set </w:t>
            </w:r>
            <w:r w:rsidR="0074117C" w:rsidRPr="00975E6B">
              <w:t xml:space="preserve">was </w:t>
            </w:r>
            <w:r w:rsidRPr="00975E6B">
              <w:t>$175.8 million which includes the UQB adjustment of $11,552 and virtual patients cost of $10.2 million.</w:t>
            </w:r>
          </w:p>
        </w:tc>
      </w:tr>
    </w:tbl>
    <w:p w:rsidR="00B5276F" w:rsidRPr="00975E6B" w:rsidRDefault="00F10945" w:rsidP="00B5276F">
      <w:pPr>
        <w:pStyle w:val="FootnoteText"/>
        <w:rPr>
          <w:bCs/>
          <w:i/>
          <w:sz w:val="16"/>
          <w:szCs w:val="16"/>
        </w:rPr>
      </w:pPr>
      <w:r w:rsidRPr="00975E6B">
        <w:rPr>
          <w:bCs/>
          <w:i/>
          <w:sz w:val="16"/>
          <w:szCs w:val="16"/>
        </w:rPr>
        <w:t xml:space="preserve">Source: KPMG, based on </w:t>
      </w:r>
      <w:r w:rsidR="008418D2" w:rsidRPr="00975E6B">
        <w:rPr>
          <w:bCs/>
          <w:i/>
          <w:sz w:val="16"/>
          <w:szCs w:val="16"/>
        </w:rPr>
        <w:t>Princess Margaret</w:t>
      </w:r>
      <w:r w:rsidRPr="00975E6B">
        <w:rPr>
          <w:bCs/>
          <w:i/>
          <w:sz w:val="16"/>
          <w:szCs w:val="16"/>
        </w:rPr>
        <w:t xml:space="preserve"> templates and review discussions</w:t>
      </w:r>
      <w:r w:rsidRPr="00975E6B" w:rsidDel="00F10945">
        <w:rPr>
          <w:bCs/>
          <w:i/>
          <w:sz w:val="16"/>
          <w:szCs w:val="16"/>
        </w:rPr>
        <w:t xml:space="preserve"> </w:t>
      </w:r>
      <w:r w:rsidR="00B5276F" w:rsidRPr="00975E6B">
        <w:rPr>
          <w:bCs/>
          <w:i/>
          <w:sz w:val="16"/>
          <w:szCs w:val="16"/>
        </w:rPr>
        <w:t xml:space="preserve"> </w:t>
      </w:r>
    </w:p>
    <w:p w:rsidR="00B5276F" w:rsidRPr="00975E6B" w:rsidRDefault="00B5276F" w:rsidP="00A952FC">
      <w:pPr>
        <w:pStyle w:val="Heading3"/>
        <w:numPr>
          <w:ilvl w:val="2"/>
          <w:numId w:val="77"/>
        </w:numPr>
      </w:pPr>
      <w:r w:rsidRPr="00A952FC">
        <w:t>Activity</w:t>
      </w:r>
      <w:r w:rsidRPr="00975E6B">
        <w:t xml:space="preserve"> data</w:t>
      </w:r>
    </w:p>
    <w:p w:rsidR="00B5276F" w:rsidRPr="00975E6B" w:rsidRDefault="00B5276F" w:rsidP="00B5276F">
      <w:pPr>
        <w:pStyle w:val="BodyText"/>
      </w:pPr>
      <w:r w:rsidRPr="00975E6B">
        <w:fldChar w:fldCharType="begin"/>
      </w:r>
      <w:r w:rsidRPr="00975E6B">
        <w:instrText xml:space="preserve"> REF _Ref433308153 \h </w:instrText>
      </w:r>
      <w:r w:rsidR="00975E6B">
        <w:instrText xml:space="preserve"> \* MERGEFORMAT </w:instrText>
      </w:r>
      <w:r w:rsidRPr="00975E6B">
        <w:fldChar w:fldCharType="separate"/>
      </w:r>
      <w:r w:rsidR="00154CF7" w:rsidRPr="00975E6B">
        <w:t xml:space="preserve">Table </w:t>
      </w:r>
      <w:r w:rsidR="00154CF7" w:rsidRPr="00154CF7">
        <w:t>103</w:t>
      </w:r>
      <w:r w:rsidRPr="00975E6B">
        <w:fldChar w:fldCharType="end"/>
      </w:r>
      <w:r w:rsidRPr="00975E6B">
        <w:t xml:space="preserve"> presents activity and feeder data for </w:t>
      </w:r>
      <w:r w:rsidR="003F167A" w:rsidRPr="00975E6B">
        <w:t>Princess Margaret</w:t>
      </w:r>
      <w:r w:rsidRPr="00975E6B">
        <w:t>.</w:t>
      </w:r>
    </w:p>
    <w:p w:rsidR="0068301A" w:rsidRPr="00975E6B" w:rsidRDefault="00B5276F" w:rsidP="00CD1518">
      <w:pPr>
        <w:pStyle w:val="Caption"/>
      </w:pPr>
      <w:bookmarkStart w:id="846" w:name="_Ref433308153"/>
      <w:r w:rsidRPr="00975E6B">
        <w:t xml:space="preserve">Table </w:t>
      </w:r>
      <w:r w:rsidR="00705BE8" w:rsidRPr="00C77C25">
        <w:fldChar w:fldCharType="begin"/>
      </w:r>
      <w:r w:rsidR="00705BE8" w:rsidRPr="00C77C25">
        <w:rPr>
          <w:bCs w:val="0"/>
        </w:rPr>
        <w:instrText xml:space="preserve"> SEQ Table \* ARABIC </w:instrText>
      </w:r>
      <w:r w:rsidR="00705BE8" w:rsidRPr="00C77C25">
        <w:fldChar w:fldCharType="separate"/>
      </w:r>
      <w:r w:rsidR="00154CF7">
        <w:rPr>
          <w:bCs w:val="0"/>
          <w:noProof/>
        </w:rPr>
        <w:t>103</w:t>
      </w:r>
      <w:r w:rsidR="00705BE8" w:rsidRPr="00C77C25">
        <w:rPr>
          <w:noProof/>
        </w:rPr>
        <w:fldChar w:fldCharType="end"/>
      </w:r>
      <w:bookmarkEnd w:id="846"/>
      <w:r w:rsidR="00BA3F4B" w:rsidRPr="00975E6B">
        <w:t xml:space="preserve"> </w:t>
      </w:r>
      <w:r w:rsidRPr="00975E6B">
        <w:t>– Activity data – Princess Margaret Hospital</w:t>
      </w:r>
    </w:p>
    <w:tbl>
      <w:tblPr>
        <w:tblW w:w="5000" w:type="pct"/>
        <w:tblLayout w:type="fixed"/>
        <w:tblLook w:val="04A0" w:firstRow="1" w:lastRow="0" w:firstColumn="1" w:lastColumn="0" w:noHBand="0" w:noVBand="1"/>
        <w:tblCaption w:val="Table 103 - Activity data - Princess Margaret Hospital"/>
        <w:tblDescription w:val="This table presents activity and feeder data for Princess Margaret Hospital  There are 11 columns.  Column 1 is the Data source, Column 2 is the number of records from source, Column 3 is the number of records in costing system, Column 4 is the variance between Column 2 and 3, Column 5 is the number of records linked to acute, column 6 is the number of records linked to emergency, Column 7 is the number of records linked to non-admitted, column 8 is the total linked records, column 9 is the number linked to other, column 10 is the number of unlinked records and column 11 is the % of linked to source.&#10;"/>
      </w:tblPr>
      <w:tblGrid>
        <w:gridCol w:w="1105"/>
        <w:gridCol w:w="763"/>
        <w:gridCol w:w="762"/>
        <w:gridCol w:w="762"/>
        <w:gridCol w:w="762"/>
        <w:gridCol w:w="762"/>
        <w:gridCol w:w="762"/>
        <w:gridCol w:w="762"/>
        <w:gridCol w:w="762"/>
        <w:gridCol w:w="762"/>
        <w:gridCol w:w="757"/>
      </w:tblGrid>
      <w:tr w:rsidR="00192A65" w:rsidRPr="0068301A" w:rsidTr="00E14378">
        <w:trPr>
          <w:trHeight w:val="718"/>
        </w:trPr>
        <w:tc>
          <w:tcPr>
            <w:tcW w:w="633" w:type="pct"/>
            <w:tcBorders>
              <w:top w:val="single" w:sz="4" w:space="0" w:color="5B9BD5"/>
              <w:left w:val="single" w:sz="4" w:space="0" w:color="5B9BD5"/>
              <w:bottom w:val="nil"/>
              <w:right w:val="nil"/>
            </w:tcBorders>
            <w:shd w:val="clear" w:color="auto" w:fill="002060"/>
            <w:vAlign w:val="bottom"/>
            <w:hideMark/>
          </w:tcPr>
          <w:p w:rsidR="0068301A" w:rsidRPr="00CD1518" w:rsidRDefault="0068301A" w:rsidP="0068301A">
            <w:pPr>
              <w:spacing w:line="240" w:lineRule="auto"/>
              <w:rPr>
                <w:b/>
                <w:bCs/>
                <w:color w:val="FFFFFF"/>
                <w:sz w:val="12"/>
                <w:szCs w:val="12"/>
                <w:lang w:eastAsia="en-AU"/>
              </w:rPr>
            </w:pPr>
            <w:r w:rsidRPr="00CD1518">
              <w:rPr>
                <w:b/>
                <w:bCs/>
                <w:color w:val="FFFFFF"/>
                <w:sz w:val="12"/>
                <w:szCs w:val="12"/>
                <w:lang w:eastAsia="en-AU"/>
              </w:rPr>
              <w:t>Data</w:t>
            </w:r>
          </w:p>
        </w:tc>
        <w:tc>
          <w:tcPr>
            <w:tcW w:w="437" w:type="pct"/>
            <w:tcBorders>
              <w:top w:val="single" w:sz="4" w:space="0" w:color="5B9BD5"/>
              <w:left w:val="single" w:sz="4" w:space="0" w:color="5B9BD5"/>
              <w:bottom w:val="nil"/>
              <w:right w:val="single" w:sz="4" w:space="0" w:color="5B9BD5"/>
            </w:tcBorders>
            <w:shd w:val="clear" w:color="auto" w:fill="002060"/>
            <w:vAlign w:val="bottom"/>
            <w:hideMark/>
          </w:tcPr>
          <w:p w:rsidR="0068301A" w:rsidRPr="00CD1518" w:rsidRDefault="0068301A" w:rsidP="0068301A">
            <w:pPr>
              <w:spacing w:line="240" w:lineRule="auto"/>
              <w:jc w:val="center"/>
              <w:rPr>
                <w:b/>
                <w:bCs/>
                <w:color w:val="FFFFFF"/>
                <w:sz w:val="12"/>
                <w:szCs w:val="12"/>
                <w:lang w:eastAsia="en-AU"/>
              </w:rPr>
            </w:pPr>
            <w:r w:rsidRPr="00CD1518">
              <w:rPr>
                <w:b/>
                <w:bCs/>
                <w:color w:val="FFFFFF"/>
                <w:sz w:val="12"/>
                <w:szCs w:val="12"/>
                <w:lang w:eastAsia="en-AU"/>
              </w:rPr>
              <w:t># Records from Source</w:t>
            </w:r>
          </w:p>
        </w:tc>
        <w:tc>
          <w:tcPr>
            <w:tcW w:w="437" w:type="pct"/>
            <w:tcBorders>
              <w:top w:val="single" w:sz="4" w:space="0" w:color="5B9BD5"/>
              <w:left w:val="nil"/>
              <w:bottom w:val="nil"/>
              <w:right w:val="nil"/>
            </w:tcBorders>
            <w:shd w:val="clear" w:color="auto" w:fill="002060"/>
            <w:vAlign w:val="bottom"/>
            <w:hideMark/>
          </w:tcPr>
          <w:p w:rsidR="0068301A" w:rsidRPr="00CD1518" w:rsidRDefault="0068301A" w:rsidP="0068301A">
            <w:pPr>
              <w:spacing w:line="240" w:lineRule="auto"/>
              <w:jc w:val="center"/>
              <w:rPr>
                <w:b/>
                <w:bCs/>
                <w:color w:val="FFFFFF"/>
                <w:sz w:val="12"/>
                <w:szCs w:val="12"/>
                <w:lang w:eastAsia="en-AU"/>
              </w:rPr>
            </w:pPr>
            <w:r w:rsidRPr="00CD1518">
              <w:rPr>
                <w:b/>
                <w:bCs/>
                <w:color w:val="FFFFFF"/>
                <w:sz w:val="12"/>
                <w:szCs w:val="12"/>
                <w:lang w:eastAsia="en-AU"/>
              </w:rPr>
              <w:t># Records in costing system</w:t>
            </w:r>
          </w:p>
        </w:tc>
        <w:tc>
          <w:tcPr>
            <w:tcW w:w="437" w:type="pct"/>
            <w:tcBorders>
              <w:top w:val="single" w:sz="4" w:space="0" w:color="5B9BD5"/>
              <w:left w:val="single" w:sz="4" w:space="0" w:color="5B9BD5"/>
              <w:bottom w:val="nil"/>
              <w:right w:val="single" w:sz="4" w:space="0" w:color="5B9BD5"/>
            </w:tcBorders>
            <w:shd w:val="clear" w:color="auto" w:fill="002060"/>
            <w:vAlign w:val="bottom"/>
            <w:hideMark/>
          </w:tcPr>
          <w:p w:rsidR="0068301A" w:rsidRPr="00CD1518" w:rsidRDefault="0068301A" w:rsidP="0068301A">
            <w:pPr>
              <w:spacing w:line="240" w:lineRule="auto"/>
              <w:jc w:val="center"/>
              <w:rPr>
                <w:b/>
                <w:bCs/>
                <w:color w:val="FFFFFF"/>
                <w:sz w:val="12"/>
                <w:szCs w:val="12"/>
                <w:lang w:eastAsia="en-AU"/>
              </w:rPr>
            </w:pPr>
            <w:r w:rsidRPr="00CD1518">
              <w:rPr>
                <w:b/>
                <w:bCs/>
                <w:color w:val="FFFFFF"/>
                <w:sz w:val="12"/>
                <w:szCs w:val="12"/>
                <w:lang w:eastAsia="en-AU"/>
              </w:rPr>
              <w:t>Variance</w:t>
            </w:r>
          </w:p>
        </w:tc>
        <w:tc>
          <w:tcPr>
            <w:tcW w:w="437" w:type="pct"/>
            <w:tcBorders>
              <w:top w:val="single" w:sz="4" w:space="0" w:color="5B9BD5"/>
              <w:left w:val="nil"/>
              <w:bottom w:val="nil"/>
              <w:right w:val="nil"/>
            </w:tcBorders>
            <w:shd w:val="clear" w:color="auto" w:fill="002060"/>
            <w:vAlign w:val="bottom"/>
            <w:hideMark/>
          </w:tcPr>
          <w:p w:rsidR="0068301A" w:rsidRPr="00CD1518" w:rsidRDefault="0068301A" w:rsidP="0068301A">
            <w:pPr>
              <w:spacing w:line="240" w:lineRule="auto"/>
              <w:jc w:val="center"/>
              <w:rPr>
                <w:b/>
                <w:bCs/>
                <w:color w:val="FFFFFF"/>
                <w:sz w:val="12"/>
                <w:szCs w:val="12"/>
                <w:lang w:eastAsia="en-AU"/>
              </w:rPr>
            </w:pPr>
            <w:r w:rsidRPr="00CD1518">
              <w:rPr>
                <w:b/>
                <w:bCs/>
                <w:color w:val="FFFFFF"/>
                <w:sz w:val="12"/>
                <w:szCs w:val="12"/>
                <w:lang w:eastAsia="en-AU"/>
              </w:rPr>
              <w:t># Records linked to Acute</w:t>
            </w:r>
          </w:p>
        </w:tc>
        <w:tc>
          <w:tcPr>
            <w:tcW w:w="437" w:type="pct"/>
            <w:tcBorders>
              <w:top w:val="single" w:sz="4" w:space="0" w:color="5B9BD5"/>
              <w:left w:val="single" w:sz="4" w:space="0" w:color="5B9BD5"/>
              <w:bottom w:val="nil"/>
              <w:right w:val="single" w:sz="4" w:space="0" w:color="5B9BD5"/>
            </w:tcBorders>
            <w:shd w:val="clear" w:color="auto" w:fill="002060"/>
            <w:vAlign w:val="bottom"/>
            <w:hideMark/>
          </w:tcPr>
          <w:p w:rsidR="0068301A" w:rsidRPr="00CD1518" w:rsidRDefault="0068301A" w:rsidP="009550C2">
            <w:pPr>
              <w:spacing w:line="240" w:lineRule="auto"/>
              <w:jc w:val="center"/>
              <w:rPr>
                <w:b/>
                <w:bCs/>
                <w:color w:val="FFFFFF"/>
                <w:sz w:val="12"/>
                <w:szCs w:val="12"/>
                <w:lang w:eastAsia="en-AU"/>
              </w:rPr>
            </w:pPr>
            <w:r w:rsidRPr="00CD1518">
              <w:rPr>
                <w:b/>
                <w:bCs/>
                <w:color w:val="FFFFFF"/>
                <w:sz w:val="12"/>
                <w:szCs w:val="12"/>
                <w:lang w:eastAsia="en-AU"/>
              </w:rPr>
              <w:t xml:space="preserve"># Records linked to </w:t>
            </w:r>
            <w:proofErr w:type="spellStart"/>
            <w:r w:rsidRPr="00CD1518">
              <w:rPr>
                <w:b/>
                <w:bCs/>
                <w:color w:val="FFFFFF"/>
                <w:sz w:val="12"/>
                <w:szCs w:val="12"/>
                <w:lang w:eastAsia="en-AU"/>
              </w:rPr>
              <w:t>Emerg</w:t>
            </w:r>
            <w:proofErr w:type="spellEnd"/>
            <w:r>
              <w:rPr>
                <w:b/>
                <w:bCs/>
                <w:color w:val="FFFFFF"/>
                <w:sz w:val="12"/>
                <w:szCs w:val="12"/>
                <w:lang w:eastAsia="en-AU"/>
              </w:rPr>
              <w:t>.</w:t>
            </w:r>
          </w:p>
        </w:tc>
        <w:tc>
          <w:tcPr>
            <w:tcW w:w="437" w:type="pct"/>
            <w:tcBorders>
              <w:top w:val="single" w:sz="4" w:space="0" w:color="5B9BD5"/>
              <w:left w:val="nil"/>
              <w:bottom w:val="nil"/>
              <w:right w:val="single" w:sz="4" w:space="0" w:color="5B9BD5"/>
            </w:tcBorders>
            <w:shd w:val="clear" w:color="auto" w:fill="002060"/>
            <w:vAlign w:val="bottom"/>
            <w:hideMark/>
          </w:tcPr>
          <w:p w:rsidR="0068301A" w:rsidRPr="00CD1518" w:rsidRDefault="0068301A" w:rsidP="0068301A">
            <w:pPr>
              <w:spacing w:line="240" w:lineRule="auto"/>
              <w:jc w:val="center"/>
              <w:rPr>
                <w:b/>
                <w:bCs/>
                <w:color w:val="FFFFFF"/>
                <w:sz w:val="12"/>
                <w:szCs w:val="12"/>
                <w:lang w:eastAsia="en-AU"/>
              </w:rPr>
            </w:pPr>
            <w:r w:rsidRPr="00CD1518">
              <w:rPr>
                <w:b/>
                <w:bCs/>
                <w:color w:val="FFFFFF"/>
                <w:sz w:val="12"/>
                <w:szCs w:val="12"/>
                <w:lang w:eastAsia="en-AU"/>
              </w:rPr>
              <w:t># Records linked to Non-admitted</w:t>
            </w:r>
          </w:p>
        </w:tc>
        <w:tc>
          <w:tcPr>
            <w:tcW w:w="437" w:type="pct"/>
            <w:tcBorders>
              <w:top w:val="single" w:sz="4" w:space="0" w:color="5B9BD5"/>
              <w:left w:val="nil"/>
              <w:bottom w:val="nil"/>
              <w:right w:val="single" w:sz="4" w:space="0" w:color="5B9BD5"/>
            </w:tcBorders>
            <w:shd w:val="clear" w:color="auto" w:fill="002060"/>
            <w:vAlign w:val="bottom"/>
            <w:hideMark/>
          </w:tcPr>
          <w:p w:rsidR="0068301A" w:rsidRPr="00CD1518" w:rsidRDefault="0068301A" w:rsidP="0068301A">
            <w:pPr>
              <w:spacing w:line="240" w:lineRule="auto"/>
              <w:jc w:val="center"/>
              <w:rPr>
                <w:b/>
                <w:bCs/>
                <w:color w:val="FFFFFF"/>
                <w:sz w:val="12"/>
                <w:szCs w:val="12"/>
                <w:lang w:eastAsia="en-AU"/>
              </w:rPr>
            </w:pPr>
            <w:r w:rsidRPr="00CD1518">
              <w:rPr>
                <w:b/>
                <w:bCs/>
                <w:color w:val="FFFFFF"/>
                <w:sz w:val="12"/>
                <w:szCs w:val="12"/>
                <w:lang w:eastAsia="en-AU"/>
              </w:rPr>
              <w:t>Total Linking Process</w:t>
            </w:r>
          </w:p>
        </w:tc>
        <w:tc>
          <w:tcPr>
            <w:tcW w:w="437" w:type="pct"/>
            <w:tcBorders>
              <w:top w:val="single" w:sz="4" w:space="0" w:color="5B9BD5"/>
              <w:left w:val="nil"/>
              <w:bottom w:val="nil"/>
              <w:right w:val="nil"/>
            </w:tcBorders>
            <w:shd w:val="clear" w:color="auto" w:fill="002060"/>
            <w:vAlign w:val="bottom"/>
            <w:hideMark/>
          </w:tcPr>
          <w:p w:rsidR="0068301A" w:rsidRPr="00CD1518" w:rsidRDefault="0068301A" w:rsidP="0068301A">
            <w:pPr>
              <w:spacing w:line="240" w:lineRule="auto"/>
              <w:jc w:val="center"/>
              <w:rPr>
                <w:b/>
                <w:bCs/>
                <w:color w:val="FFFFFF"/>
                <w:sz w:val="12"/>
                <w:szCs w:val="12"/>
                <w:lang w:eastAsia="en-AU"/>
              </w:rPr>
            </w:pPr>
            <w:r w:rsidRPr="00CD1518">
              <w:rPr>
                <w:b/>
                <w:bCs/>
                <w:color w:val="FFFFFF"/>
                <w:sz w:val="12"/>
                <w:szCs w:val="12"/>
                <w:lang w:eastAsia="en-AU"/>
              </w:rPr>
              <w:t># Records linked to Other</w:t>
            </w:r>
          </w:p>
        </w:tc>
        <w:tc>
          <w:tcPr>
            <w:tcW w:w="437" w:type="pct"/>
            <w:tcBorders>
              <w:top w:val="single" w:sz="4" w:space="0" w:color="5B9BD5"/>
              <w:left w:val="single" w:sz="4" w:space="0" w:color="5B9BD5"/>
              <w:bottom w:val="nil"/>
              <w:right w:val="single" w:sz="4" w:space="0" w:color="5B9BD5"/>
            </w:tcBorders>
            <w:shd w:val="clear" w:color="auto" w:fill="002060"/>
            <w:vAlign w:val="bottom"/>
            <w:hideMark/>
          </w:tcPr>
          <w:p w:rsidR="0068301A" w:rsidRPr="00CD1518" w:rsidRDefault="0068301A" w:rsidP="0068301A">
            <w:pPr>
              <w:spacing w:line="240" w:lineRule="auto"/>
              <w:jc w:val="center"/>
              <w:rPr>
                <w:b/>
                <w:bCs/>
                <w:color w:val="FFFFFF"/>
                <w:sz w:val="12"/>
                <w:szCs w:val="12"/>
                <w:lang w:eastAsia="en-AU"/>
              </w:rPr>
            </w:pPr>
            <w:r w:rsidRPr="00CD1518">
              <w:rPr>
                <w:b/>
                <w:bCs/>
                <w:color w:val="FFFFFF"/>
                <w:sz w:val="12"/>
                <w:szCs w:val="12"/>
                <w:lang w:eastAsia="en-AU"/>
              </w:rPr>
              <w:t># Unlinked records</w:t>
            </w:r>
          </w:p>
        </w:tc>
        <w:tc>
          <w:tcPr>
            <w:tcW w:w="434" w:type="pct"/>
            <w:tcBorders>
              <w:top w:val="single" w:sz="4" w:space="0" w:color="5B9BD5"/>
              <w:left w:val="nil"/>
              <w:bottom w:val="nil"/>
              <w:right w:val="single" w:sz="4" w:space="0" w:color="5B9BD5"/>
            </w:tcBorders>
            <w:shd w:val="clear" w:color="auto" w:fill="002060"/>
            <w:vAlign w:val="bottom"/>
            <w:hideMark/>
          </w:tcPr>
          <w:p w:rsidR="0068301A" w:rsidRPr="00CD1518" w:rsidRDefault="0068301A" w:rsidP="0068301A">
            <w:pPr>
              <w:spacing w:line="240" w:lineRule="auto"/>
              <w:jc w:val="center"/>
              <w:rPr>
                <w:b/>
                <w:bCs/>
                <w:color w:val="FFFFFF"/>
                <w:sz w:val="12"/>
                <w:szCs w:val="12"/>
                <w:lang w:eastAsia="en-AU"/>
              </w:rPr>
            </w:pPr>
            <w:r w:rsidRPr="00CD1518">
              <w:rPr>
                <w:b/>
                <w:bCs/>
                <w:color w:val="FFFFFF"/>
                <w:sz w:val="12"/>
                <w:szCs w:val="12"/>
                <w:lang w:eastAsia="en-AU"/>
              </w:rPr>
              <w:t>% Linked</w:t>
            </w:r>
          </w:p>
        </w:tc>
      </w:tr>
      <w:tr w:rsidR="0068301A" w:rsidRPr="0068301A" w:rsidTr="0068301A">
        <w:trPr>
          <w:trHeight w:val="260"/>
        </w:trPr>
        <w:tc>
          <w:tcPr>
            <w:tcW w:w="632" w:type="pct"/>
            <w:tcBorders>
              <w:top w:val="nil"/>
              <w:left w:val="single" w:sz="4" w:space="0" w:color="5B9BD5"/>
              <w:bottom w:val="nil"/>
              <w:right w:val="nil"/>
            </w:tcBorders>
            <w:shd w:val="clear" w:color="000000" w:fill="D0CECE"/>
            <w:noWrap/>
            <w:vAlign w:val="center"/>
            <w:hideMark/>
          </w:tcPr>
          <w:p w:rsidR="0068301A" w:rsidRPr="00CD1518" w:rsidRDefault="0068301A" w:rsidP="009550C2">
            <w:pPr>
              <w:spacing w:line="240" w:lineRule="auto"/>
              <w:rPr>
                <w:b/>
                <w:bCs/>
                <w:color w:val="000000"/>
                <w:sz w:val="12"/>
                <w:szCs w:val="12"/>
                <w:lang w:eastAsia="en-AU"/>
              </w:rPr>
            </w:pPr>
            <w:r w:rsidRPr="00CD1518">
              <w:rPr>
                <w:b/>
                <w:bCs/>
                <w:color w:val="000000"/>
                <w:sz w:val="12"/>
                <w:szCs w:val="12"/>
                <w:lang w:eastAsia="en-AU"/>
              </w:rPr>
              <w:t>Activity Data</w:t>
            </w:r>
          </w:p>
        </w:tc>
        <w:tc>
          <w:tcPr>
            <w:tcW w:w="436" w:type="pct"/>
            <w:tcBorders>
              <w:top w:val="nil"/>
              <w:left w:val="single" w:sz="4" w:space="0" w:color="5B9BD5"/>
              <w:bottom w:val="nil"/>
              <w:right w:val="single" w:sz="4" w:space="0" w:color="5B9BD5"/>
            </w:tcBorders>
            <w:shd w:val="clear" w:color="000000" w:fill="D0CECE"/>
            <w:noWrap/>
            <w:vAlign w:val="center"/>
            <w:hideMark/>
          </w:tcPr>
          <w:p w:rsidR="0068301A" w:rsidRPr="00CD1518" w:rsidRDefault="0068301A" w:rsidP="00CD1518">
            <w:pPr>
              <w:spacing w:line="240" w:lineRule="auto"/>
              <w:jc w:val="right"/>
              <w:rPr>
                <w:b/>
                <w:bCs/>
                <w:color w:val="000000"/>
                <w:sz w:val="12"/>
                <w:szCs w:val="12"/>
                <w:lang w:eastAsia="en-AU"/>
              </w:rPr>
            </w:pPr>
          </w:p>
        </w:tc>
        <w:tc>
          <w:tcPr>
            <w:tcW w:w="437" w:type="pct"/>
            <w:tcBorders>
              <w:top w:val="nil"/>
              <w:left w:val="nil"/>
              <w:bottom w:val="nil"/>
              <w:right w:val="nil"/>
            </w:tcBorders>
            <w:shd w:val="clear" w:color="000000" w:fill="D0CECE"/>
            <w:noWrap/>
            <w:vAlign w:val="center"/>
            <w:hideMark/>
          </w:tcPr>
          <w:p w:rsidR="0068301A" w:rsidRPr="00CD1518" w:rsidRDefault="0068301A" w:rsidP="00CD1518">
            <w:pPr>
              <w:spacing w:line="240" w:lineRule="auto"/>
              <w:jc w:val="right"/>
              <w:rPr>
                <w:b/>
                <w:bCs/>
                <w:color w:val="000000"/>
                <w:sz w:val="12"/>
                <w:szCs w:val="12"/>
                <w:lang w:eastAsia="en-AU"/>
              </w:rPr>
            </w:pPr>
          </w:p>
        </w:tc>
        <w:tc>
          <w:tcPr>
            <w:tcW w:w="437" w:type="pct"/>
            <w:tcBorders>
              <w:top w:val="nil"/>
              <w:left w:val="single" w:sz="4" w:space="0" w:color="5B9BD5"/>
              <w:bottom w:val="nil"/>
              <w:right w:val="single" w:sz="4" w:space="0" w:color="5B9BD5"/>
            </w:tcBorders>
            <w:shd w:val="clear" w:color="000000" w:fill="D0CECE"/>
            <w:noWrap/>
            <w:vAlign w:val="center"/>
            <w:hideMark/>
          </w:tcPr>
          <w:p w:rsidR="0068301A" w:rsidRPr="00CD1518" w:rsidRDefault="0068301A" w:rsidP="00CD1518">
            <w:pPr>
              <w:spacing w:line="240" w:lineRule="auto"/>
              <w:jc w:val="right"/>
              <w:rPr>
                <w:b/>
                <w:bCs/>
                <w:color w:val="000000"/>
                <w:sz w:val="12"/>
                <w:szCs w:val="12"/>
                <w:lang w:eastAsia="en-AU"/>
              </w:rPr>
            </w:pPr>
          </w:p>
        </w:tc>
        <w:tc>
          <w:tcPr>
            <w:tcW w:w="437" w:type="pct"/>
            <w:tcBorders>
              <w:top w:val="nil"/>
              <w:left w:val="nil"/>
              <w:bottom w:val="nil"/>
              <w:right w:val="nil"/>
            </w:tcBorders>
            <w:shd w:val="clear" w:color="000000" w:fill="D0CECE"/>
            <w:noWrap/>
            <w:vAlign w:val="center"/>
            <w:hideMark/>
          </w:tcPr>
          <w:p w:rsidR="0068301A" w:rsidRPr="00CD1518" w:rsidRDefault="0068301A" w:rsidP="00CD1518">
            <w:pPr>
              <w:spacing w:line="240" w:lineRule="auto"/>
              <w:jc w:val="right"/>
              <w:rPr>
                <w:b/>
                <w:bCs/>
                <w:color w:val="000000"/>
                <w:sz w:val="12"/>
                <w:szCs w:val="12"/>
                <w:lang w:eastAsia="en-AU"/>
              </w:rPr>
            </w:pPr>
          </w:p>
        </w:tc>
        <w:tc>
          <w:tcPr>
            <w:tcW w:w="437" w:type="pct"/>
            <w:tcBorders>
              <w:top w:val="nil"/>
              <w:left w:val="single" w:sz="4" w:space="0" w:color="5B9BD5"/>
              <w:bottom w:val="nil"/>
              <w:right w:val="single" w:sz="4" w:space="0" w:color="5B9BD5"/>
            </w:tcBorders>
            <w:shd w:val="clear" w:color="000000" w:fill="D0CECE"/>
            <w:noWrap/>
            <w:vAlign w:val="center"/>
            <w:hideMark/>
          </w:tcPr>
          <w:p w:rsidR="0068301A" w:rsidRPr="00CD1518" w:rsidRDefault="0068301A" w:rsidP="00CD1518">
            <w:pPr>
              <w:spacing w:line="240" w:lineRule="auto"/>
              <w:jc w:val="right"/>
              <w:rPr>
                <w:b/>
                <w:bCs/>
                <w:color w:val="000000"/>
                <w:sz w:val="12"/>
                <w:szCs w:val="12"/>
                <w:lang w:eastAsia="en-AU"/>
              </w:rPr>
            </w:pPr>
          </w:p>
        </w:tc>
        <w:tc>
          <w:tcPr>
            <w:tcW w:w="437" w:type="pct"/>
            <w:tcBorders>
              <w:top w:val="nil"/>
              <w:left w:val="nil"/>
              <w:bottom w:val="nil"/>
              <w:right w:val="single" w:sz="4" w:space="0" w:color="5B9BD5"/>
            </w:tcBorders>
            <w:shd w:val="clear" w:color="000000" w:fill="D0CECE"/>
            <w:noWrap/>
            <w:vAlign w:val="center"/>
            <w:hideMark/>
          </w:tcPr>
          <w:p w:rsidR="0068301A" w:rsidRPr="00CD1518" w:rsidRDefault="0068301A" w:rsidP="00CD1518">
            <w:pPr>
              <w:spacing w:line="240" w:lineRule="auto"/>
              <w:jc w:val="right"/>
              <w:rPr>
                <w:b/>
                <w:bCs/>
                <w:color w:val="000000"/>
                <w:sz w:val="12"/>
                <w:szCs w:val="12"/>
                <w:lang w:eastAsia="en-AU"/>
              </w:rPr>
            </w:pPr>
          </w:p>
        </w:tc>
        <w:tc>
          <w:tcPr>
            <w:tcW w:w="437" w:type="pct"/>
            <w:tcBorders>
              <w:top w:val="nil"/>
              <w:left w:val="nil"/>
              <w:bottom w:val="nil"/>
              <w:right w:val="single" w:sz="4" w:space="0" w:color="5B9BD5"/>
            </w:tcBorders>
            <w:shd w:val="clear" w:color="000000" w:fill="D0CECE"/>
            <w:noWrap/>
            <w:vAlign w:val="center"/>
            <w:hideMark/>
          </w:tcPr>
          <w:p w:rsidR="0068301A" w:rsidRPr="00CD1518" w:rsidRDefault="0068301A" w:rsidP="00CD1518">
            <w:pPr>
              <w:spacing w:line="240" w:lineRule="auto"/>
              <w:jc w:val="right"/>
              <w:rPr>
                <w:b/>
                <w:bCs/>
                <w:color w:val="000000"/>
                <w:sz w:val="12"/>
                <w:szCs w:val="12"/>
                <w:lang w:eastAsia="en-AU"/>
              </w:rPr>
            </w:pPr>
          </w:p>
        </w:tc>
        <w:tc>
          <w:tcPr>
            <w:tcW w:w="437" w:type="pct"/>
            <w:tcBorders>
              <w:top w:val="nil"/>
              <w:left w:val="nil"/>
              <w:bottom w:val="nil"/>
              <w:right w:val="nil"/>
            </w:tcBorders>
            <w:shd w:val="clear" w:color="000000" w:fill="D0CECE"/>
            <w:noWrap/>
            <w:vAlign w:val="center"/>
            <w:hideMark/>
          </w:tcPr>
          <w:p w:rsidR="0068301A" w:rsidRPr="00CD1518" w:rsidRDefault="0068301A" w:rsidP="00CD1518">
            <w:pPr>
              <w:spacing w:line="240" w:lineRule="auto"/>
              <w:jc w:val="right"/>
              <w:rPr>
                <w:b/>
                <w:bCs/>
                <w:color w:val="000000"/>
                <w:sz w:val="12"/>
                <w:szCs w:val="12"/>
                <w:lang w:eastAsia="en-AU"/>
              </w:rPr>
            </w:pPr>
          </w:p>
        </w:tc>
        <w:tc>
          <w:tcPr>
            <w:tcW w:w="437" w:type="pct"/>
            <w:tcBorders>
              <w:top w:val="nil"/>
              <w:left w:val="single" w:sz="4" w:space="0" w:color="5B9BD5"/>
              <w:bottom w:val="nil"/>
              <w:right w:val="single" w:sz="4" w:space="0" w:color="5B9BD5"/>
            </w:tcBorders>
            <w:shd w:val="clear" w:color="000000" w:fill="D0CECE"/>
            <w:noWrap/>
            <w:vAlign w:val="center"/>
            <w:hideMark/>
          </w:tcPr>
          <w:p w:rsidR="0068301A" w:rsidRPr="00CD1518" w:rsidRDefault="0068301A" w:rsidP="00CD1518">
            <w:pPr>
              <w:spacing w:line="240" w:lineRule="auto"/>
              <w:jc w:val="right"/>
              <w:rPr>
                <w:b/>
                <w:bCs/>
                <w:color w:val="000000"/>
                <w:sz w:val="12"/>
                <w:szCs w:val="12"/>
                <w:lang w:eastAsia="en-AU"/>
              </w:rPr>
            </w:pPr>
          </w:p>
        </w:tc>
        <w:tc>
          <w:tcPr>
            <w:tcW w:w="437" w:type="pct"/>
            <w:tcBorders>
              <w:top w:val="nil"/>
              <w:left w:val="nil"/>
              <w:bottom w:val="nil"/>
              <w:right w:val="single" w:sz="4" w:space="0" w:color="5B9BD5"/>
            </w:tcBorders>
            <w:shd w:val="clear" w:color="000000" w:fill="D0CECE"/>
            <w:noWrap/>
            <w:vAlign w:val="center"/>
            <w:hideMark/>
          </w:tcPr>
          <w:p w:rsidR="0068301A" w:rsidRPr="00CD1518" w:rsidRDefault="0068301A" w:rsidP="00CD1518">
            <w:pPr>
              <w:spacing w:line="240" w:lineRule="auto"/>
              <w:jc w:val="right"/>
              <w:rPr>
                <w:b/>
                <w:bCs/>
                <w:color w:val="000000"/>
                <w:sz w:val="12"/>
                <w:szCs w:val="12"/>
                <w:lang w:eastAsia="en-AU"/>
              </w:rPr>
            </w:pPr>
          </w:p>
        </w:tc>
      </w:tr>
      <w:tr w:rsidR="003A1695" w:rsidRPr="0068301A" w:rsidTr="00192A65">
        <w:trPr>
          <w:trHeight w:val="260"/>
        </w:trPr>
        <w:tc>
          <w:tcPr>
            <w:tcW w:w="632" w:type="pct"/>
            <w:tcBorders>
              <w:top w:val="nil"/>
              <w:left w:val="single" w:sz="4" w:space="0" w:color="5B9BD5"/>
              <w:bottom w:val="nil"/>
              <w:right w:val="nil"/>
            </w:tcBorders>
            <w:shd w:val="clear" w:color="000000" w:fill="FFFFFF"/>
            <w:noWrap/>
            <w:vAlign w:val="center"/>
            <w:hideMark/>
          </w:tcPr>
          <w:p w:rsidR="009C3210" w:rsidRPr="00CD1518" w:rsidRDefault="009C3210" w:rsidP="009C3210">
            <w:pPr>
              <w:spacing w:line="240" w:lineRule="auto"/>
              <w:rPr>
                <w:color w:val="000000"/>
                <w:sz w:val="12"/>
                <w:szCs w:val="12"/>
                <w:lang w:eastAsia="en-AU"/>
              </w:rPr>
            </w:pPr>
            <w:r w:rsidRPr="00CD1518">
              <w:rPr>
                <w:color w:val="000000"/>
                <w:sz w:val="12"/>
                <w:szCs w:val="12"/>
                <w:lang w:eastAsia="en-AU"/>
              </w:rPr>
              <w:t>PAS</w:t>
            </w:r>
          </w:p>
        </w:tc>
        <w:tc>
          <w:tcPr>
            <w:tcW w:w="436" w:type="pct"/>
            <w:tcBorders>
              <w:top w:val="nil"/>
              <w:left w:val="single" w:sz="4" w:space="0" w:color="5B9BD5"/>
              <w:bottom w:val="nil"/>
              <w:right w:val="single" w:sz="4" w:space="0" w:color="5B9BD5"/>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28,920</w:t>
            </w:r>
          </w:p>
        </w:tc>
        <w:tc>
          <w:tcPr>
            <w:tcW w:w="437" w:type="pct"/>
            <w:tcBorders>
              <w:top w:val="nil"/>
              <w:left w:val="nil"/>
              <w:bottom w:val="nil"/>
              <w:right w:val="single" w:sz="4" w:space="0" w:color="5B9BD5"/>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29,205</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285</w:t>
            </w:r>
          </w:p>
        </w:tc>
        <w:tc>
          <w:tcPr>
            <w:tcW w:w="437" w:type="pct"/>
            <w:tcBorders>
              <w:top w:val="nil"/>
              <w:left w:val="nil"/>
              <w:bottom w:val="nil"/>
              <w:right w:val="single" w:sz="4" w:space="0" w:color="5B9BD5"/>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single" w:sz="4" w:space="0" w:color="5B9BD5"/>
              <w:bottom w:val="nil"/>
              <w:right w:val="single" w:sz="4" w:space="0" w:color="5B9BD5"/>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285</w:t>
            </w:r>
          </w:p>
        </w:tc>
        <w:tc>
          <w:tcPr>
            <w:tcW w:w="437" w:type="pct"/>
            <w:tcBorders>
              <w:top w:val="nil"/>
              <w:left w:val="nil"/>
              <w:bottom w:val="nil"/>
              <w:right w:val="single" w:sz="4" w:space="0" w:color="5B9BD5"/>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050F86">
              <w:rPr>
                <w:color w:val="000000"/>
                <w:sz w:val="12"/>
                <w:szCs w:val="12"/>
                <w:lang w:eastAsia="en-AU"/>
              </w:rPr>
              <w:t>-</w:t>
            </w:r>
          </w:p>
        </w:tc>
        <w:tc>
          <w:tcPr>
            <w:tcW w:w="437" w:type="pct"/>
            <w:tcBorders>
              <w:top w:val="nil"/>
              <w:left w:val="nil"/>
              <w:bottom w:val="nil"/>
              <w:right w:val="single" w:sz="4" w:space="0" w:color="5B9BD5"/>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rPr>
              <w:t>101%</w:t>
            </w:r>
          </w:p>
        </w:tc>
      </w:tr>
      <w:tr w:rsidR="009C3210" w:rsidRPr="0068301A" w:rsidTr="009C3210">
        <w:trPr>
          <w:trHeight w:val="260"/>
        </w:trPr>
        <w:tc>
          <w:tcPr>
            <w:tcW w:w="633" w:type="pct"/>
            <w:tcBorders>
              <w:top w:val="nil"/>
              <w:left w:val="single" w:sz="4" w:space="0" w:color="5B9BD5"/>
              <w:bottom w:val="nil"/>
              <w:right w:val="nil"/>
            </w:tcBorders>
            <w:shd w:val="clear" w:color="000000" w:fill="DDEBF7"/>
            <w:noWrap/>
            <w:vAlign w:val="center"/>
            <w:hideMark/>
          </w:tcPr>
          <w:p w:rsidR="009C3210" w:rsidRPr="00CD1518" w:rsidRDefault="009C3210" w:rsidP="009C3210">
            <w:pPr>
              <w:spacing w:line="240" w:lineRule="auto"/>
              <w:rPr>
                <w:sz w:val="12"/>
                <w:szCs w:val="12"/>
                <w:lang w:eastAsia="en-AU"/>
              </w:rPr>
            </w:pPr>
            <w:r w:rsidRPr="00CD1518">
              <w:rPr>
                <w:sz w:val="12"/>
                <w:szCs w:val="12"/>
                <w:lang w:eastAsia="en-AU"/>
              </w:rPr>
              <w:t>Emergency</w:t>
            </w:r>
          </w:p>
        </w:tc>
        <w:tc>
          <w:tcPr>
            <w:tcW w:w="437" w:type="pct"/>
            <w:tcBorders>
              <w:top w:val="nil"/>
              <w:left w:val="single" w:sz="4" w:space="0" w:color="5B9BD5"/>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71,385</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56,755</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(14,630)</w:t>
            </w:r>
          </w:p>
        </w:tc>
        <w:tc>
          <w:tcPr>
            <w:tcW w:w="437" w:type="pct"/>
            <w:tcBorders>
              <w:top w:val="nil"/>
              <w:left w:val="nil"/>
              <w:bottom w:val="nil"/>
              <w:right w:val="nil"/>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437" w:type="pct"/>
            <w:tcBorders>
              <w:top w:val="nil"/>
              <w:left w:val="single" w:sz="4" w:space="0" w:color="5B9BD5"/>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nil"/>
            </w:tcBorders>
            <w:shd w:val="clear" w:color="000000" w:fill="DDEBF7"/>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(14,630)</w:t>
            </w:r>
          </w:p>
        </w:tc>
        <w:tc>
          <w:tcPr>
            <w:tcW w:w="437" w:type="pct"/>
            <w:tcBorders>
              <w:top w:val="nil"/>
              <w:left w:val="single" w:sz="4" w:space="0" w:color="5B9BD5"/>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050F86">
              <w:rPr>
                <w:sz w:val="12"/>
                <w:szCs w:val="12"/>
                <w:lang w:eastAsia="en-AU"/>
              </w:rPr>
              <w:t>-</w:t>
            </w:r>
          </w:p>
        </w:tc>
        <w:tc>
          <w:tcPr>
            <w:tcW w:w="434"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rPr>
              <w:t>80%</w:t>
            </w:r>
          </w:p>
        </w:tc>
      </w:tr>
      <w:tr w:rsidR="003A1695" w:rsidRPr="0068301A" w:rsidTr="009C3210">
        <w:trPr>
          <w:trHeight w:val="260"/>
        </w:trPr>
        <w:tc>
          <w:tcPr>
            <w:tcW w:w="633" w:type="pct"/>
            <w:tcBorders>
              <w:top w:val="nil"/>
              <w:left w:val="single" w:sz="4" w:space="0" w:color="5B9BD5"/>
              <w:bottom w:val="single" w:sz="4" w:space="0" w:color="5B9BD5"/>
              <w:right w:val="nil"/>
            </w:tcBorders>
            <w:shd w:val="clear" w:color="000000" w:fill="FFFFFF"/>
            <w:noWrap/>
            <w:vAlign w:val="center"/>
            <w:hideMark/>
          </w:tcPr>
          <w:p w:rsidR="009C3210" w:rsidRPr="00CD1518" w:rsidRDefault="009C3210" w:rsidP="009C3210">
            <w:pPr>
              <w:spacing w:line="240" w:lineRule="auto"/>
              <w:rPr>
                <w:color w:val="000000"/>
                <w:sz w:val="12"/>
                <w:szCs w:val="12"/>
                <w:lang w:eastAsia="en-AU"/>
              </w:rPr>
            </w:pPr>
            <w:r w:rsidRPr="00CD1518">
              <w:rPr>
                <w:color w:val="000000"/>
                <w:sz w:val="12"/>
                <w:szCs w:val="12"/>
                <w:lang w:eastAsia="en-AU"/>
              </w:rPr>
              <w:t>Non-admitted</w:t>
            </w:r>
          </w:p>
        </w:tc>
        <w:tc>
          <w:tcPr>
            <w:tcW w:w="437" w:type="pct"/>
            <w:tcBorders>
              <w:top w:val="nil"/>
              <w:left w:val="single" w:sz="4" w:space="0" w:color="5B9BD5"/>
              <w:bottom w:val="single" w:sz="4" w:space="0" w:color="5B9BD5"/>
              <w:right w:val="single" w:sz="4" w:space="0" w:color="5B9BD5"/>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200,664</w:t>
            </w:r>
          </w:p>
        </w:tc>
        <w:tc>
          <w:tcPr>
            <w:tcW w:w="437" w:type="pct"/>
            <w:tcBorders>
              <w:top w:val="nil"/>
              <w:left w:val="nil"/>
              <w:bottom w:val="single" w:sz="4" w:space="0" w:color="5B9BD5"/>
              <w:right w:val="single" w:sz="4" w:space="0" w:color="5B9BD5"/>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201,336</w:t>
            </w:r>
          </w:p>
        </w:tc>
        <w:tc>
          <w:tcPr>
            <w:tcW w:w="437" w:type="pct"/>
            <w:tcBorders>
              <w:top w:val="nil"/>
              <w:left w:val="nil"/>
              <w:bottom w:val="single" w:sz="4" w:space="0" w:color="5B9BD5"/>
              <w:right w:val="single" w:sz="4" w:space="0" w:color="5B9BD5"/>
            </w:tcBorders>
            <w:shd w:val="clear" w:color="000000" w:fill="DDEBF7"/>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672</w:t>
            </w:r>
          </w:p>
        </w:tc>
        <w:tc>
          <w:tcPr>
            <w:tcW w:w="437" w:type="pct"/>
            <w:tcBorders>
              <w:top w:val="nil"/>
              <w:left w:val="nil"/>
              <w:bottom w:val="single" w:sz="4" w:space="0" w:color="5B9BD5"/>
              <w:right w:val="single" w:sz="4" w:space="0" w:color="5B9BD5"/>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single" w:sz="4" w:space="0" w:color="5B9BD5"/>
              <w:right w:val="single" w:sz="4" w:space="0" w:color="5B9BD5"/>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single" w:sz="4" w:space="0" w:color="5B9BD5"/>
              <w:right w:val="single" w:sz="4" w:space="0" w:color="5B9BD5"/>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single" w:sz="4" w:space="0" w:color="5B9BD5"/>
              <w:right w:val="single" w:sz="4" w:space="0" w:color="5B9BD5"/>
            </w:tcBorders>
            <w:shd w:val="clear" w:color="000000" w:fill="DDEBF7"/>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single" w:sz="4" w:space="0" w:color="5B9BD5"/>
              <w:bottom w:val="single" w:sz="4" w:space="0" w:color="5B9BD5"/>
              <w:right w:val="single" w:sz="4" w:space="0" w:color="5B9BD5"/>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672</w:t>
            </w:r>
          </w:p>
        </w:tc>
        <w:tc>
          <w:tcPr>
            <w:tcW w:w="437" w:type="pct"/>
            <w:tcBorders>
              <w:top w:val="nil"/>
              <w:left w:val="nil"/>
              <w:bottom w:val="single" w:sz="4" w:space="0" w:color="5B9BD5"/>
              <w:right w:val="single" w:sz="4" w:space="0" w:color="5B9BD5"/>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050F86">
              <w:rPr>
                <w:color w:val="000000"/>
                <w:sz w:val="12"/>
                <w:szCs w:val="12"/>
                <w:lang w:eastAsia="en-AU"/>
              </w:rPr>
              <w:t>-</w:t>
            </w:r>
          </w:p>
        </w:tc>
        <w:tc>
          <w:tcPr>
            <w:tcW w:w="434" w:type="pct"/>
            <w:tcBorders>
              <w:top w:val="nil"/>
              <w:left w:val="nil"/>
              <w:bottom w:val="single" w:sz="4" w:space="0" w:color="5B9BD5"/>
              <w:right w:val="single" w:sz="4" w:space="0" w:color="5B9BD5"/>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rPr>
              <w:t>100%</w:t>
            </w:r>
          </w:p>
        </w:tc>
      </w:tr>
      <w:tr w:rsidR="009C3210" w:rsidRPr="0068301A" w:rsidTr="009C3210">
        <w:trPr>
          <w:trHeight w:val="260"/>
        </w:trPr>
        <w:tc>
          <w:tcPr>
            <w:tcW w:w="633" w:type="pct"/>
            <w:tcBorders>
              <w:top w:val="nil"/>
              <w:left w:val="single" w:sz="4" w:space="0" w:color="5B9BD5"/>
              <w:bottom w:val="nil"/>
              <w:right w:val="nil"/>
            </w:tcBorders>
            <w:shd w:val="clear" w:color="000000" w:fill="DDEBF7"/>
            <w:noWrap/>
            <w:vAlign w:val="center"/>
            <w:hideMark/>
          </w:tcPr>
          <w:p w:rsidR="009C3210" w:rsidRPr="00CD1518" w:rsidRDefault="009C3210" w:rsidP="009C3210">
            <w:pPr>
              <w:spacing w:line="240" w:lineRule="auto"/>
              <w:rPr>
                <w:b/>
                <w:bCs/>
                <w:color w:val="000000"/>
                <w:sz w:val="12"/>
                <w:szCs w:val="12"/>
                <w:lang w:eastAsia="en-AU"/>
              </w:rPr>
            </w:pPr>
            <w:r w:rsidRPr="00CD1518">
              <w:rPr>
                <w:b/>
                <w:bCs/>
                <w:color w:val="000000"/>
                <w:sz w:val="12"/>
                <w:szCs w:val="12"/>
                <w:lang w:eastAsia="en-AU"/>
              </w:rPr>
              <w:t>TOTAL</w:t>
            </w:r>
          </w:p>
        </w:tc>
        <w:tc>
          <w:tcPr>
            <w:tcW w:w="437" w:type="pct"/>
            <w:tcBorders>
              <w:top w:val="nil"/>
              <w:left w:val="single" w:sz="4" w:space="0" w:color="5B9BD5"/>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b/>
                <w:bCs/>
                <w:color w:val="000000"/>
                <w:sz w:val="12"/>
                <w:szCs w:val="12"/>
                <w:lang w:eastAsia="en-AU"/>
              </w:rPr>
            </w:pPr>
            <w:r w:rsidRPr="00CD1518">
              <w:rPr>
                <w:b/>
                <w:bCs/>
                <w:color w:val="000000"/>
                <w:sz w:val="12"/>
                <w:szCs w:val="12"/>
                <w:lang w:eastAsia="en-AU"/>
              </w:rPr>
              <w:t>300,969</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b/>
                <w:bCs/>
                <w:color w:val="000000"/>
                <w:sz w:val="12"/>
                <w:szCs w:val="12"/>
                <w:lang w:eastAsia="en-AU"/>
              </w:rPr>
            </w:pPr>
            <w:r w:rsidRPr="00CD1518">
              <w:rPr>
                <w:b/>
                <w:bCs/>
                <w:color w:val="000000"/>
                <w:sz w:val="12"/>
                <w:szCs w:val="12"/>
                <w:lang w:eastAsia="en-AU"/>
              </w:rPr>
              <w:t>287,296</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b/>
                <w:bCs/>
                <w:color w:val="000000"/>
                <w:sz w:val="12"/>
                <w:szCs w:val="12"/>
                <w:lang w:eastAsia="en-AU"/>
              </w:rPr>
            </w:pPr>
            <w:r w:rsidRPr="00CD1518">
              <w:rPr>
                <w:b/>
                <w:bCs/>
                <w:color w:val="000000"/>
                <w:sz w:val="12"/>
                <w:szCs w:val="12"/>
                <w:lang w:eastAsia="en-AU"/>
              </w:rPr>
              <w:t>(13,673)</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b/>
                <w:bCs/>
                <w:color w:val="000000"/>
                <w:sz w:val="12"/>
                <w:szCs w:val="12"/>
                <w:lang w:eastAsia="en-AU"/>
              </w:rPr>
            </w:pP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b/>
                <w:bCs/>
                <w:color w:val="000000"/>
                <w:sz w:val="12"/>
                <w:szCs w:val="12"/>
                <w:lang w:eastAsia="en-AU"/>
              </w:rPr>
            </w:pP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b/>
                <w:bCs/>
                <w:color w:val="000000"/>
                <w:sz w:val="12"/>
                <w:szCs w:val="12"/>
                <w:lang w:eastAsia="en-AU"/>
              </w:rPr>
            </w:pP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b/>
                <w:bCs/>
                <w:color w:val="000000"/>
                <w:sz w:val="12"/>
                <w:szCs w:val="12"/>
                <w:lang w:eastAsia="en-AU"/>
              </w:rPr>
            </w:pP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b/>
                <w:bCs/>
                <w:color w:val="000000"/>
                <w:sz w:val="12"/>
                <w:szCs w:val="12"/>
                <w:lang w:eastAsia="en-AU"/>
              </w:rPr>
            </w:pP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b/>
                <w:bCs/>
                <w:color w:val="000000"/>
                <w:sz w:val="12"/>
                <w:szCs w:val="12"/>
                <w:lang w:eastAsia="en-AU"/>
              </w:rPr>
            </w:pPr>
            <w:r w:rsidRPr="00050F86">
              <w:rPr>
                <w:sz w:val="12"/>
                <w:szCs w:val="12"/>
                <w:lang w:eastAsia="en-AU"/>
              </w:rPr>
              <w:t>-</w:t>
            </w:r>
          </w:p>
        </w:tc>
        <w:tc>
          <w:tcPr>
            <w:tcW w:w="434"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b/>
                <w:bCs/>
                <w:color w:val="000000"/>
                <w:sz w:val="12"/>
                <w:szCs w:val="12"/>
                <w:lang w:eastAsia="en-AU"/>
              </w:rPr>
            </w:pPr>
          </w:p>
        </w:tc>
      </w:tr>
      <w:tr w:rsidR="009C3210" w:rsidRPr="0068301A" w:rsidTr="009C3210">
        <w:trPr>
          <w:trHeight w:val="260"/>
        </w:trPr>
        <w:tc>
          <w:tcPr>
            <w:tcW w:w="633" w:type="pct"/>
            <w:tcBorders>
              <w:top w:val="nil"/>
              <w:left w:val="single" w:sz="4" w:space="0" w:color="5B9BD5"/>
              <w:bottom w:val="nil"/>
              <w:right w:val="nil"/>
            </w:tcBorders>
            <w:shd w:val="clear" w:color="000000" w:fill="D0CECE"/>
            <w:noWrap/>
            <w:vAlign w:val="center"/>
            <w:hideMark/>
          </w:tcPr>
          <w:p w:rsidR="009C3210" w:rsidRPr="00CD1518" w:rsidRDefault="009C3210" w:rsidP="009C3210">
            <w:pPr>
              <w:spacing w:line="240" w:lineRule="auto"/>
              <w:rPr>
                <w:b/>
                <w:bCs/>
                <w:color w:val="000000"/>
                <w:sz w:val="12"/>
                <w:szCs w:val="12"/>
                <w:lang w:eastAsia="en-AU"/>
              </w:rPr>
            </w:pPr>
            <w:r w:rsidRPr="00CD1518">
              <w:rPr>
                <w:b/>
                <w:bCs/>
                <w:color w:val="000000"/>
                <w:sz w:val="12"/>
                <w:szCs w:val="12"/>
                <w:lang w:eastAsia="en-AU"/>
              </w:rPr>
              <w:t>Feeder Data</w:t>
            </w:r>
          </w:p>
        </w:tc>
        <w:tc>
          <w:tcPr>
            <w:tcW w:w="437" w:type="pct"/>
            <w:tcBorders>
              <w:top w:val="nil"/>
              <w:left w:val="single" w:sz="4" w:space="0" w:color="5B9BD5"/>
              <w:bottom w:val="nil"/>
              <w:right w:val="single" w:sz="4" w:space="0" w:color="5B9BD5"/>
            </w:tcBorders>
            <w:shd w:val="clear" w:color="000000" w:fill="D0CECE"/>
            <w:noWrap/>
            <w:vAlign w:val="center"/>
            <w:hideMark/>
          </w:tcPr>
          <w:p w:rsidR="009C3210" w:rsidRPr="00CD1518" w:rsidRDefault="009C3210" w:rsidP="00CD1518">
            <w:pPr>
              <w:spacing w:line="240" w:lineRule="auto"/>
              <w:jc w:val="right"/>
              <w:rPr>
                <w:b/>
                <w:bCs/>
                <w:color w:val="000000"/>
                <w:sz w:val="12"/>
                <w:szCs w:val="12"/>
                <w:lang w:eastAsia="en-AU"/>
              </w:rPr>
            </w:pPr>
          </w:p>
        </w:tc>
        <w:tc>
          <w:tcPr>
            <w:tcW w:w="437" w:type="pct"/>
            <w:tcBorders>
              <w:top w:val="nil"/>
              <w:left w:val="nil"/>
              <w:bottom w:val="nil"/>
              <w:right w:val="nil"/>
            </w:tcBorders>
            <w:shd w:val="clear" w:color="000000" w:fill="D0CECE"/>
            <w:noWrap/>
            <w:vAlign w:val="center"/>
            <w:hideMark/>
          </w:tcPr>
          <w:p w:rsidR="009C3210" w:rsidRPr="00CD1518" w:rsidRDefault="009C3210" w:rsidP="00CD1518">
            <w:pPr>
              <w:spacing w:line="240" w:lineRule="auto"/>
              <w:jc w:val="right"/>
              <w:rPr>
                <w:b/>
                <w:bCs/>
                <w:color w:val="000000"/>
                <w:sz w:val="12"/>
                <w:szCs w:val="12"/>
                <w:lang w:eastAsia="en-AU"/>
              </w:rPr>
            </w:pPr>
          </w:p>
        </w:tc>
        <w:tc>
          <w:tcPr>
            <w:tcW w:w="437" w:type="pct"/>
            <w:tcBorders>
              <w:top w:val="nil"/>
              <w:left w:val="single" w:sz="4" w:space="0" w:color="5B9BD5"/>
              <w:bottom w:val="nil"/>
              <w:right w:val="single" w:sz="4" w:space="0" w:color="5B9BD5"/>
            </w:tcBorders>
            <w:shd w:val="clear" w:color="000000" w:fill="D0CECE"/>
            <w:noWrap/>
            <w:vAlign w:val="center"/>
            <w:hideMark/>
          </w:tcPr>
          <w:p w:rsidR="009C3210" w:rsidRPr="00CD1518" w:rsidRDefault="009C3210" w:rsidP="00CD1518">
            <w:pPr>
              <w:spacing w:line="240" w:lineRule="auto"/>
              <w:jc w:val="right"/>
              <w:rPr>
                <w:b/>
                <w:bCs/>
                <w:color w:val="000000"/>
                <w:sz w:val="12"/>
                <w:szCs w:val="12"/>
                <w:lang w:eastAsia="en-AU"/>
              </w:rPr>
            </w:pPr>
          </w:p>
        </w:tc>
        <w:tc>
          <w:tcPr>
            <w:tcW w:w="437" w:type="pct"/>
            <w:tcBorders>
              <w:top w:val="nil"/>
              <w:left w:val="nil"/>
              <w:bottom w:val="nil"/>
              <w:right w:val="nil"/>
            </w:tcBorders>
            <w:shd w:val="clear" w:color="000000" w:fill="D0CECE"/>
            <w:noWrap/>
            <w:vAlign w:val="center"/>
            <w:hideMark/>
          </w:tcPr>
          <w:p w:rsidR="009C3210" w:rsidRPr="00CD1518" w:rsidRDefault="009C3210" w:rsidP="00CD1518">
            <w:pPr>
              <w:spacing w:line="240" w:lineRule="auto"/>
              <w:jc w:val="right"/>
              <w:rPr>
                <w:b/>
                <w:bCs/>
                <w:color w:val="000000"/>
                <w:sz w:val="12"/>
                <w:szCs w:val="12"/>
                <w:lang w:eastAsia="en-AU"/>
              </w:rPr>
            </w:pPr>
          </w:p>
        </w:tc>
        <w:tc>
          <w:tcPr>
            <w:tcW w:w="437" w:type="pct"/>
            <w:tcBorders>
              <w:top w:val="nil"/>
              <w:left w:val="single" w:sz="4" w:space="0" w:color="5B9BD5"/>
              <w:bottom w:val="nil"/>
              <w:right w:val="single" w:sz="4" w:space="0" w:color="5B9BD5"/>
            </w:tcBorders>
            <w:shd w:val="clear" w:color="000000" w:fill="D0CECE"/>
            <w:noWrap/>
            <w:vAlign w:val="center"/>
            <w:hideMark/>
          </w:tcPr>
          <w:p w:rsidR="009C3210" w:rsidRPr="00CD1518" w:rsidRDefault="009C3210" w:rsidP="00CD1518">
            <w:pPr>
              <w:spacing w:line="240" w:lineRule="auto"/>
              <w:jc w:val="right"/>
              <w:rPr>
                <w:b/>
                <w:bCs/>
                <w:color w:val="000000"/>
                <w:sz w:val="12"/>
                <w:szCs w:val="12"/>
                <w:lang w:eastAsia="en-AU"/>
              </w:rPr>
            </w:pPr>
          </w:p>
        </w:tc>
        <w:tc>
          <w:tcPr>
            <w:tcW w:w="437" w:type="pct"/>
            <w:tcBorders>
              <w:top w:val="nil"/>
              <w:left w:val="nil"/>
              <w:bottom w:val="nil"/>
              <w:right w:val="single" w:sz="4" w:space="0" w:color="5B9BD5"/>
            </w:tcBorders>
            <w:shd w:val="clear" w:color="000000" w:fill="D0CECE"/>
            <w:noWrap/>
            <w:vAlign w:val="center"/>
            <w:hideMark/>
          </w:tcPr>
          <w:p w:rsidR="009C3210" w:rsidRPr="00CD1518" w:rsidRDefault="009C3210" w:rsidP="00CD1518">
            <w:pPr>
              <w:spacing w:line="240" w:lineRule="auto"/>
              <w:jc w:val="right"/>
              <w:rPr>
                <w:b/>
                <w:bCs/>
                <w:color w:val="000000"/>
                <w:sz w:val="12"/>
                <w:szCs w:val="12"/>
                <w:lang w:eastAsia="en-AU"/>
              </w:rPr>
            </w:pPr>
          </w:p>
        </w:tc>
        <w:tc>
          <w:tcPr>
            <w:tcW w:w="437" w:type="pct"/>
            <w:tcBorders>
              <w:top w:val="nil"/>
              <w:left w:val="nil"/>
              <w:bottom w:val="nil"/>
              <w:right w:val="single" w:sz="4" w:space="0" w:color="5B9BD5"/>
            </w:tcBorders>
            <w:shd w:val="clear" w:color="000000" w:fill="D0CECE"/>
            <w:noWrap/>
            <w:vAlign w:val="center"/>
            <w:hideMark/>
          </w:tcPr>
          <w:p w:rsidR="009C3210" w:rsidRPr="00CD1518" w:rsidRDefault="009C3210" w:rsidP="00CD1518">
            <w:pPr>
              <w:spacing w:line="240" w:lineRule="auto"/>
              <w:jc w:val="right"/>
              <w:rPr>
                <w:b/>
                <w:bCs/>
                <w:color w:val="000000"/>
                <w:sz w:val="12"/>
                <w:szCs w:val="12"/>
                <w:lang w:eastAsia="en-AU"/>
              </w:rPr>
            </w:pPr>
          </w:p>
        </w:tc>
        <w:tc>
          <w:tcPr>
            <w:tcW w:w="437" w:type="pct"/>
            <w:tcBorders>
              <w:top w:val="nil"/>
              <w:left w:val="nil"/>
              <w:bottom w:val="nil"/>
              <w:right w:val="nil"/>
            </w:tcBorders>
            <w:shd w:val="clear" w:color="000000" w:fill="D0CECE"/>
            <w:noWrap/>
            <w:vAlign w:val="center"/>
            <w:hideMark/>
          </w:tcPr>
          <w:p w:rsidR="009C3210" w:rsidRPr="00CD1518" w:rsidRDefault="009C3210" w:rsidP="00CD1518">
            <w:pPr>
              <w:spacing w:line="240" w:lineRule="auto"/>
              <w:jc w:val="right"/>
              <w:rPr>
                <w:b/>
                <w:bCs/>
                <w:color w:val="000000"/>
                <w:sz w:val="12"/>
                <w:szCs w:val="12"/>
                <w:lang w:eastAsia="en-AU"/>
              </w:rPr>
            </w:pPr>
          </w:p>
        </w:tc>
        <w:tc>
          <w:tcPr>
            <w:tcW w:w="437" w:type="pct"/>
            <w:tcBorders>
              <w:top w:val="nil"/>
              <w:left w:val="single" w:sz="4" w:space="0" w:color="5B9BD5"/>
              <w:bottom w:val="nil"/>
              <w:right w:val="single" w:sz="4" w:space="0" w:color="5B9BD5"/>
            </w:tcBorders>
            <w:shd w:val="clear" w:color="000000" w:fill="D0CECE"/>
            <w:noWrap/>
            <w:vAlign w:val="center"/>
            <w:hideMark/>
          </w:tcPr>
          <w:p w:rsidR="009C3210" w:rsidRPr="00CD1518" w:rsidRDefault="009C3210" w:rsidP="00CD1518">
            <w:pPr>
              <w:spacing w:line="240" w:lineRule="auto"/>
              <w:jc w:val="right"/>
              <w:rPr>
                <w:b/>
                <w:bCs/>
                <w:color w:val="000000"/>
                <w:sz w:val="12"/>
                <w:szCs w:val="12"/>
                <w:lang w:eastAsia="en-AU"/>
              </w:rPr>
            </w:pPr>
            <w:r w:rsidRPr="00050F86">
              <w:rPr>
                <w:color w:val="000000"/>
                <w:sz w:val="12"/>
                <w:szCs w:val="12"/>
                <w:lang w:eastAsia="en-AU"/>
              </w:rPr>
              <w:t>-</w:t>
            </w:r>
          </w:p>
        </w:tc>
        <w:tc>
          <w:tcPr>
            <w:tcW w:w="434" w:type="pct"/>
            <w:tcBorders>
              <w:top w:val="nil"/>
              <w:left w:val="nil"/>
              <w:bottom w:val="nil"/>
              <w:right w:val="single" w:sz="4" w:space="0" w:color="5B9BD5"/>
            </w:tcBorders>
            <w:shd w:val="clear" w:color="000000" w:fill="D0CECE"/>
            <w:noWrap/>
            <w:vAlign w:val="center"/>
            <w:hideMark/>
          </w:tcPr>
          <w:p w:rsidR="009C3210" w:rsidRPr="00CD1518" w:rsidRDefault="009C3210" w:rsidP="00CD1518">
            <w:pPr>
              <w:spacing w:line="240" w:lineRule="auto"/>
              <w:jc w:val="right"/>
              <w:rPr>
                <w:b/>
                <w:bCs/>
                <w:color w:val="000000"/>
                <w:sz w:val="12"/>
                <w:szCs w:val="12"/>
                <w:lang w:eastAsia="en-AU"/>
              </w:rPr>
            </w:pPr>
          </w:p>
        </w:tc>
      </w:tr>
      <w:tr w:rsidR="009C3210" w:rsidRPr="0068301A" w:rsidTr="00CD1518">
        <w:trPr>
          <w:trHeight w:val="260"/>
        </w:trPr>
        <w:tc>
          <w:tcPr>
            <w:tcW w:w="633" w:type="pct"/>
            <w:tcBorders>
              <w:top w:val="nil"/>
              <w:left w:val="single" w:sz="4" w:space="0" w:color="5B9BD5"/>
              <w:bottom w:val="nil"/>
              <w:right w:val="nil"/>
            </w:tcBorders>
            <w:shd w:val="clear" w:color="auto" w:fill="auto"/>
            <w:noWrap/>
            <w:vAlign w:val="center"/>
            <w:hideMark/>
          </w:tcPr>
          <w:p w:rsidR="009C3210" w:rsidRPr="00CD1518" w:rsidRDefault="009C3210" w:rsidP="009C3210">
            <w:pPr>
              <w:spacing w:line="240" w:lineRule="auto"/>
              <w:rPr>
                <w:color w:val="000000"/>
                <w:sz w:val="12"/>
                <w:szCs w:val="12"/>
                <w:lang w:eastAsia="en-AU"/>
              </w:rPr>
            </w:pPr>
            <w:r w:rsidRPr="00CD1518">
              <w:rPr>
                <w:color w:val="000000"/>
                <w:sz w:val="12"/>
                <w:szCs w:val="12"/>
                <w:lang w:eastAsia="en-AU"/>
              </w:rPr>
              <w:t>Anaesthetics</w:t>
            </w:r>
          </w:p>
        </w:tc>
        <w:tc>
          <w:tcPr>
            <w:tcW w:w="437" w:type="pct"/>
            <w:tcBorders>
              <w:top w:val="nil"/>
              <w:left w:val="single" w:sz="4" w:space="0" w:color="5B9BD5"/>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43,972</w:t>
            </w:r>
          </w:p>
        </w:tc>
        <w:tc>
          <w:tcPr>
            <w:tcW w:w="437" w:type="pct"/>
            <w:tcBorders>
              <w:top w:val="nil"/>
              <w:left w:val="nil"/>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43,972</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43,972</w:t>
            </w:r>
          </w:p>
        </w:tc>
        <w:tc>
          <w:tcPr>
            <w:tcW w:w="437" w:type="pct"/>
            <w:tcBorders>
              <w:top w:val="nil"/>
              <w:left w:val="nil"/>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4" w:type="pct"/>
            <w:tcBorders>
              <w:top w:val="nil"/>
              <w:left w:val="nil"/>
              <w:bottom w:val="nil"/>
              <w:right w:val="single" w:sz="4" w:space="0" w:color="5B9BD5"/>
            </w:tcBorders>
            <w:shd w:val="clear" w:color="auto" w:fill="auto"/>
            <w:noWrap/>
            <w:vAlign w:val="center"/>
            <w:hideMark/>
          </w:tcPr>
          <w:p w:rsidR="009C3210" w:rsidRPr="00CD1518" w:rsidRDefault="009C3210" w:rsidP="009C3210">
            <w:pPr>
              <w:spacing w:line="240" w:lineRule="auto"/>
              <w:jc w:val="right"/>
              <w:rPr>
                <w:color w:val="000000"/>
                <w:sz w:val="12"/>
                <w:szCs w:val="12"/>
                <w:lang w:eastAsia="en-AU"/>
              </w:rPr>
            </w:pPr>
            <w:r w:rsidRPr="00CD1518">
              <w:rPr>
                <w:color w:val="000000"/>
                <w:sz w:val="12"/>
                <w:szCs w:val="12"/>
                <w:lang w:eastAsia="en-AU"/>
              </w:rPr>
              <w:t>100%</w:t>
            </w:r>
          </w:p>
        </w:tc>
      </w:tr>
      <w:tr w:rsidR="009C3210" w:rsidRPr="0068301A" w:rsidTr="009C3210">
        <w:trPr>
          <w:trHeight w:val="260"/>
        </w:trPr>
        <w:tc>
          <w:tcPr>
            <w:tcW w:w="633" w:type="pct"/>
            <w:tcBorders>
              <w:top w:val="nil"/>
              <w:left w:val="single" w:sz="4" w:space="0" w:color="5B9BD5"/>
              <w:bottom w:val="nil"/>
              <w:right w:val="nil"/>
            </w:tcBorders>
            <w:shd w:val="clear" w:color="000000" w:fill="DDEBF7"/>
            <w:noWrap/>
            <w:vAlign w:val="center"/>
            <w:hideMark/>
          </w:tcPr>
          <w:p w:rsidR="009C3210" w:rsidRPr="00CD1518" w:rsidRDefault="009C3210" w:rsidP="009C3210">
            <w:pPr>
              <w:spacing w:line="240" w:lineRule="auto"/>
              <w:rPr>
                <w:sz w:val="12"/>
                <w:szCs w:val="12"/>
                <w:lang w:eastAsia="en-AU"/>
              </w:rPr>
            </w:pPr>
            <w:r w:rsidRPr="00CD1518">
              <w:rPr>
                <w:sz w:val="12"/>
                <w:szCs w:val="12"/>
                <w:lang w:eastAsia="en-AU"/>
              </w:rPr>
              <w:t>Theatre</w:t>
            </w:r>
          </w:p>
        </w:tc>
        <w:tc>
          <w:tcPr>
            <w:tcW w:w="437" w:type="pct"/>
            <w:tcBorders>
              <w:top w:val="nil"/>
              <w:left w:val="single" w:sz="4" w:space="0" w:color="5B9BD5"/>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43,972</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43,972</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nil"/>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437" w:type="pct"/>
            <w:tcBorders>
              <w:top w:val="nil"/>
              <w:left w:val="single" w:sz="4" w:space="0" w:color="5B9BD5"/>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43,972</w:t>
            </w:r>
          </w:p>
        </w:tc>
        <w:tc>
          <w:tcPr>
            <w:tcW w:w="437" w:type="pct"/>
            <w:tcBorders>
              <w:top w:val="nil"/>
              <w:left w:val="nil"/>
              <w:bottom w:val="nil"/>
              <w:right w:val="nil"/>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437" w:type="pct"/>
            <w:tcBorders>
              <w:top w:val="nil"/>
              <w:left w:val="single" w:sz="4" w:space="0" w:color="5B9BD5"/>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434" w:type="pct"/>
            <w:tcBorders>
              <w:top w:val="nil"/>
              <w:left w:val="nil"/>
              <w:bottom w:val="nil"/>
              <w:right w:val="single" w:sz="4" w:space="0" w:color="5B9BD5"/>
            </w:tcBorders>
            <w:shd w:val="clear" w:color="000000" w:fill="DDEBF7"/>
            <w:noWrap/>
            <w:vAlign w:val="center"/>
            <w:hideMark/>
          </w:tcPr>
          <w:p w:rsidR="009C3210" w:rsidRPr="00CD1518" w:rsidRDefault="009C3210" w:rsidP="009C3210">
            <w:pPr>
              <w:spacing w:line="240" w:lineRule="auto"/>
              <w:jc w:val="right"/>
              <w:rPr>
                <w:sz w:val="12"/>
                <w:szCs w:val="12"/>
                <w:lang w:eastAsia="en-AU"/>
              </w:rPr>
            </w:pPr>
            <w:r w:rsidRPr="00CD1518">
              <w:rPr>
                <w:sz w:val="12"/>
                <w:szCs w:val="12"/>
                <w:lang w:eastAsia="en-AU"/>
              </w:rPr>
              <w:t>100%</w:t>
            </w:r>
          </w:p>
        </w:tc>
      </w:tr>
      <w:tr w:rsidR="009C3210" w:rsidRPr="0068301A" w:rsidTr="00CD1518">
        <w:trPr>
          <w:trHeight w:val="260"/>
        </w:trPr>
        <w:tc>
          <w:tcPr>
            <w:tcW w:w="633" w:type="pct"/>
            <w:tcBorders>
              <w:top w:val="nil"/>
              <w:left w:val="single" w:sz="4" w:space="0" w:color="5B9BD5"/>
              <w:bottom w:val="nil"/>
              <w:right w:val="nil"/>
            </w:tcBorders>
            <w:shd w:val="clear" w:color="auto" w:fill="auto"/>
            <w:noWrap/>
            <w:vAlign w:val="center"/>
            <w:hideMark/>
          </w:tcPr>
          <w:p w:rsidR="009C3210" w:rsidRPr="00CD1518" w:rsidRDefault="009C3210" w:rsidP="009C3210">
            <w:pPr>
              <w:spacing w:line="240" w:lineRule="auto"/>
              <w:rPr>
                <w:color w:val="000000"/>
                <w:sz w:val="12"/>
                <w:szCs w:val="12"/>
                <w:lang w:eastAsia="en-AU"/>
              </w:rPr>
            </w:pPr>
            <w:r w:rsidRPr="00CD1518">
              <w:rPr>
                <w:color w:val="000000"/>
                <w:sz w:val="12"/>
                <w:szCs w:val="12"/>
                <w:lang w:eastAsia="en-AU"/>
              </w:rPr>
              <w:t>Pathology</w:t>
            </w:r>
          </w:p>
        </w:tc>
        <w:tc>
          <w:tcPr>
            <w:tcW w:w="437" w:type="pct"/>
            <w:tcBorders>
              <w:top w:val="nil"/>
              <w:left w:val="single" w:sz="4" w:space="0" w:color="5B9BD5"/>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148,815</w:t>
            </w:r>
          </w:p>
        </w:tc>
        <w:tc>
          <w:tcPr>
            <w:tcW w:w="437" w:type="pct"/>
            <w:tcBorders>
              <w:top w:val="nil"/>
              <w:left w:val="nil"/>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141,794</w:t>
            </w:r>
          </w:p>
        </w:tc>
        <w:tc>
          <w:tcPr>
            <w:tcW w:w="437" w:type="pct"/>
            <w:tcBorders>
              <w:top w:val="nil"/>
              <w:left w:val="nil"/>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7,021</w:t>
            </w:r>
          </w:p>
        </w:tc>
        <w:tc>
          <w:tcPr>
            <w:tcW w:w="434" w:type="pct"/>
            <w:tcBorders>
              <w:top w:val="nil"/>
              <w:left w:val="nil"/>
              <w:bottom w:val="nil"/>
              <w:right w:val="single" w:sz="4" w:space="0" w:color="5B9BD5"/>
            </w:tcBorders>
            <w:shd w:val="clear" w:color="auto" w:fill="auto"/>
            <w:noWrap/>
            <w:vAlign w:val="center"/>
            <w:hideMark/>
          </w:tcPr>
          <w:p w:rsidR="009C3210" w:rsidRPr="00CD1518" w:rsidRDefault="009C3210" w:rsidP="009C3210">
            <w:pPr>
              <w:spacing w:line="240" w:lineRule="auto"/>
              <w:jc w:val="right"/>
              <w:rPr>
                <w:color w:val="000000"/>
                <w:sz w:val="12"/>
                <w:szCs w:val="12"/>
                <w:lang w:eastAsia="en-AU"/>
              </w:rPr>
            </w:pPr>
            <w:r w:rsidRPr="00CD1518">
              <w:rPr>
                <w:color w:val="000000"/>
                <w:sz w:val="12"/>
                <w:szCs w:val="12"/>
                <w:lang w:eastAsia="en-AU"/>
              </w:rPr>
              <w:t>95%</w:t>
            </w:r>
          </w:p>
        </w:tc>
      </w:tr>
      <w:tr w:rsidR="009C3210" w:rsidRPr="0068301A" w:rsidTr="009C3210">
        <w:trPr>
          <w:trHeight w:val="260"/>
        </w:trPr>
        <w:tc>
          <w:tcPr>
            <w:tcW w:w="633" w:type="pct"/>
            <w:tcBorders>
              <w:top w:val="nil"/>
              <w:left w:val="single" w:sz="4" w:space="0" w:color="5B9BD5"/>
              <w:bottom w:val="nil"/>
              <w:right w:val="nil"/>
            </w:tcBorders>
            <w:shd w:val="clear" w:color="000000" w:fill="DDEBF7"/>
            <w:noWrap/>
            <w:vAlign w:val="center"/>
            <w:hideMark/>
          </w:tcPr>
          <w:p w:rsidR="009C3210" w:rsidRPr="00CD1518" w:rsidRDefault="009C3210" w:rsidP="009C3210">
            <w:pPr>
              <w:spacing w:line="240" w:lineRule="auto"/>
              <w:rPr>
                <w:sz w:val="12"/>
                <w:szCs w:val="12"/>
                <w:lang w:eastAsia="en-AU"/>
              </w:rPr>
            </w:pPr>
            <w:r w:rsidRPr="00CD1518">
              <w:rPr>
                <w:sz w:val="12"/>
                <w:szCs w:val="12"/>
                <w:lang w:eastAsia="en-AU"/>
              </w:rPr>
              <w:t>Pharmacy</w:t>
            </w:r>
          </w:p>
        </w:tc>
        <w:tc>
          <w:tcPr>
            <w:tcW w:w="437" w:type="pct"/>
            <w:tcBorders>
              <w:top w:val="nil"/>
              <w:left w:val="single" w:sz="4" w:space="0" w:color="5B9BD5"/>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106,501</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nil"/>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437" w:type="pct"/>
            <w:tcBorders>
              <w:top w:val="nil"/>
              <w:left w:val="single" w:sz="4" w:space="0" w:color="5B9BD5"/>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105,367</w:t>
            </w:r>
          </w:p>
        </w:tc>
        <w:tc>
          <w:tcPr>
            <w:tcW w:w="437" w:type="pct"/>
            <w:tcBorders>
              <w:top w:val="nil"/>
              <w:left w:val="nil"/>
              <w:bottom w:val="nil"/>
              <w:right w:val="nil"/>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437" w:type="pct"/>
            <w:tcBorders>
              <w:top w:val="nil"/>
              <w:left w:val="single" w:sz="4" w:space="0" w:color="5B9BD5"/>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1,134</w:t>
            </w:r>
          </w:p>
        </w:tc>
        <w:tc>
          <w:tcPr>
            <w:tcW w:w="434" w:type="pct"/>
            <w:tcBorders>
              <w:top w:val="nil"/>
              <w:left w:val="nil"/>
              <w:bottom w:val="nil"/>
              <w:right w:val="single" w:sz="4" w:space="0" w:color="5B9BD5"/>
            </w:tcBorders>
            <w:shd w:val="clear" w:color="000000" w:fill="DDEBF7"/>
            <w:noWrap/>
            <w:vAlign w:val="center"/>
            <w:hideMark/>
          </w:tcPr>
          <w:p w:rsidR="009C3210" w:rsidRPr="00CD1518" w:rsidRDefault="009C3210" w:rsidP="009C3210">
            <w:pPr>
              <w:spacing w:line="240" w:lineRule="auto"/>
              <w:jc w:val="right"/>
              <w:rPr>
                <w:sz w:val="12"/>
                <w:szCs w:val="12"/>
                <w:lang w:eastAsia="en-AU"/>
              </w:rPr>
            </w:pPr>
            <w:r w:rsidRPr="00CD1518">
              <w:rPr>
                <w:sz w:val="12"/>
                <w:szCs w:val="12"/>
                <w:lang w:eastAsia="en-AU"/>
              </w:rPr>
              <w:t>99%</w:t>
            </w:r>
          </w:p>
        </w:tc>
      </w:tr>
      <w:tr w:rsidR="009C3210" w:rsidRPr="0068301A" w:rsidTr="00CD1518">
        <w:trPr>
          <w:trHeight w:val="260"/>
        </w:trPr>
        <w:tc>
          <w:tcPr>
            <w:tcW w:w="633" w:type="pct"/>
            <w:tcBorders>
              <w:top w:val="nil"/>
              <w:left w:val="single" w:sz="4" w:space="0" w:color="5B9BD5"/>
              <w:bottom w:val="nil"/>
              <w:right w:val="nil"/>
            </w:tcBorders>
            <w:shd w:val="clear" w:color="auto" w:fill="auto"/>
            <w:noWrap/>
            <w:vAlign w:val="center"/>
            <w:hideMark/>
          </w:tcPr>
          <w:p w:rsidR="009C3210" w:rsidRPr="00CD1518" w:rsidRDefault="009C3210" w:rsidP="009C3210">
            <w:pPr>
              <w:spacing w:line="240" w:lineRule="auto"/>
              <w:rPr>
                <w:color w:val="000000"/>
                <w:sz w:val="12"/>
                <w:szCs w:val="12"/>
                <w:lang w:eastAsia="en-AU"/>
              </w:rPr>
            </w:pPr>
            <w:r w:rsidRPr="00CD1518">
              <w:rPr>
                <w:color w:val="000000"/>
                <w:sz w:val="12"/>
                <w:szCs w:val="12"/>
                <w:lang w:eastAsia="en-AU"/>
              </w:rPr>
              <w:t>Imaging</w:t>
            </w:r>
          </w:p>
        </w:tc>
        <w:tc>
          <w:tcPr>
            <w:tcW w:w="437" w:type="pct"/>
            <w:tcBorders>
              <w:top w:val="nil"/>
              <w:left w:val="single" w:sz="4" w:space="0" w:color="5B9BD5"/>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71,826</w:t>
            </w:r>
          </w:p>
        </w:tc>
        <w:tc>
          <w:tcPr>
            <w:tcW w:w="437" w:type="pct"/>
            <w:tcBorders>
              <w:top w:val="nil"/>
              <w:left w:val="nil"/>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000000" w:fill="DDEBF7"/>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70,085</w:t>
            </w:r>
          </w:p>
        </w:tc>
        <w:tc>
          <w:tcPr>
            <w:tcW w:w="437" w:type="pct"/>
            <w:tcBorders>
              <w:top w:val="nil"/>
              <w:left w:val="nil"/>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nil"/>
              <w:right w:val="single" w:sz="4" w:space="0" w:color="5B9BD5"/>
            </w:tcBorders>
            <w:shd w:val="clear" w:color="auto" w:fill="auto"/>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1,741</w:t>
            </w:r>
          </w:p>
        </w:tc>
        <w:tc>
          <w:tcPr>
            <w:tcW w:w="434" w:type="pct"/>
            <w:tcBorders>
              <w:top w:val="nil"/>
              <w:left w:val="nil"/>
              <w:bottom w:val="nil"/>
              <w:right w:val="single" w:sz="4" w:space="0" w:color="5B9BD5"/>
            </w:tcBorders>
            <w:shd w:val="clear" w:color="auto" w:fill="auto"/>
            <w:noWrap/>
            <w:vAlign w:val="center"/>
            <w:hideMark/>
          </w:tcPr>
          <w:p w:rsidR="009C3210" w:rsidRPr="00CD1518" w:rsidRDefault="009C3210" w:rsidP="009C3210">
            <w:pPr>
              <w:spacing w:line="240" w:lineRule="auto"/>
              <w:jc w:val="right"/>
              <w:rPr>
                <w:color w:val="000000"/>
                <w:sz w:val="12"/>
                <w:szCs w:val="12"/>
                <w:lang w:eastAsia="en-AU"/>
              </w:rPr>
            </w:pPr>
            <w:r w:rsidRPr="00CD1518">
              <w:rPr>
                <w:color w:val="000000"/>
                <w:sz w:val="12"/>
                <w:szCs w:val="12"/>
                <w:lang w:eastAsia="en-AU"/>
              </w:rPr>
              <w:t>98%</w:t>
            </w:r>
          </w:p>
        </w:tc>
      </w:tr>
      <w:tr w:rsidR="009C3210" w:rsidRPr="0068301A" w:rsidTr="009C3210">
        <w:trPr>
          <w:trHeight w:val="260"/>
        </w:trPr>
        <w:tc>
          <w:tcPr>
            <w:tcW w:w="633" w:type="pct"/>
            <w:tcBorders>
              <w:top w:val="nil"/>
              <w:left w:val="single" w:sz="4" w:space="0" w:color="5B9BD5"/>
              <w:bottom w:val="single" w:sz="4" w:space="0" w:color="5B9BD5"/>
              <w:right w:val="nil"/>
            </w:tcBorders>
            <w:shd w:val="clear" w:color="000000" w:fill="DDEBF7"/>
            <w:noWrap/>
            <w:vAlign w:val="center"/>
            <w:hideMark/>
          </w:tcPr>
          <w:p w:rsidR="009C3210" w:rsidRPr="00CD1518" w:rsidRDefault="009C3210" w:rsidP="009C3210">
            <w:pPr>
              <w:spacing w:line="240" w:lineRule="auto"/>
              <w:rPr>
                <w:sz w:val="12"/>
                <w:szCs w:val="12"/>
                <w:lang w:eastAsia="en-AU"/>
              </w:rPr>
            </w:pPr>
            <w:r w:rsidRPr="00CD1518">
              <w:rPr>
                <w:sz w:val="12"/>
                <w:szCs w:val="12"/>
                <w:lang w:eastAsia="en-AU"/>
              </w:rPr>
              <w:t>Allied Health</w:t>
            </w:r>
          </w:p>
        </w:tc>
        <w:tc>
          <w:tcPr>
            <w:tcW w:w="437" w:type="pct"/>
            <w:tcBorders>
              <w:top w:val="nil"/>
              <w:left w:val="single" w:sz="4" w:space="0" w:color="5B9BD5"/>
              <w:bottom w:val="single" w:sz="4" w:space="0" w:color="5B9BD5"/>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249,159</w:t>
            </w:r>
          </w:p>
        </w:tc>
        <w:tc>
          <w:tcPr>
            <w:tcW w:w="437" w:type="pct"/>
            <w:tcBorders>
              <w:top w:val="nil"/>
              <w:left w:val="nil"/>
              <w:bottom w:val="single" w:sz="4" w:space="0" w:color="5B9BD5"/>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437" w:type="pct"/>
            <w:tcBorders>
              <w:top w:val="nil"/>
              <w:left w:val="nil"/>
              <w:bottom w:val="single" w:sz="4" w:space="0" w:color="5B9BD5"/>
              <w:right w:val="single" w:sz="4" w:space="0" w:color="5B9BD5"/>
            </w:tcBorders>
            <w:shd w:val="clear" w:color="000000" w:fill="DDEBF7"/>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437" w:type="pct"/>
            <w:tcBorders>
              <w:top w:val="nil"/>
              <w:left w:val="nil"/>
              <w:bottom w:val="single" w:sz="4" w:space="0" w:color="5B9BD5"/>
              <w:right w:val="nil"/>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437" w:type="pct"/>
            <w:tcBorders>
              <w:top w:val="nil"/>
              <w:left w:val="single" w:sz="4" w:space="0" w:color="5B9BD5"/>
              <w:bottom w:val="single" w:sz="4" w:space="0" w:color="5B9BD5"/>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437" w:type="pct"/>
            <w:tcBorders>
              <w:top w:val="nil"/>
              <w:left w:val="nil"/>
              <w:bottom w:val="single" w:sz="4" w:space="0" w:color="5B9BD5"/>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437" w:type="pct"/>
            <w:tcBorders>
              <w:top w:val="nil"/>
              <w:left w:val="nil"/>
              <w:bottom w:val="single" w:sz="4" w:space="0" w:color="5B9BD5"/>
              <w:right w:val="single" w:sz="4" w:space="0" w:color="5B9BD5"/>
            </w:tcBorders>
            <w:shd w:val="clear" w:color="000000" w:fill="DDEBF7"/>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238,964</w:t>
            </w:r>
          </w:p>
        </w:tc>
        <w:tc>
          <w:tcPr>
            <w:tcW w:w="437" w:type="pct"/>
            <w:tcBorders>
              <w:top w:val="nil"/>
              <w:left w:val="nil"/>
              <w:bottom w:val="single" w:sz="4" w:space="0" w:color="5B9BD5"/>
              <w:right w:val="nil"/>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437" w:type="pct"/>
            <w:tcBorders>
              <w:top w:val="nil"/>
              <w:left w:val="single" w:sz="4" w:space="0" w:color="5B9BD5"/>
              <w:bottom w:val="single" w:sz="4" w:space="0" w:color="5B9BD5"/>
              <w:right w:val="single" w:sz="4" w:space="0" w:color="5B9BD5"/>
            </w:tcBorders>
            <w:shd w:val="clear" w:color="000000" w:fill="DDEBF7"/>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10,195</w:t>
            </w:r>
          </w:p>
        </w:tc>
        <w:tc>
          <w:tcPr>
            <w:tcW w:w="434" w:type="pct"/>
            <w:tcBorders>
              <w:top w:val="nil"/>
              <w:left w:val="nil"/>
              <w:bottom w:val="single" w:sz="4" w:space="0" w:color="5B9BD5"/>
              <w:right w:val="single" w:sz="4" w:space="0" w:color="5B9BD5"/>
            </w:tcBorders>
            <w:shd w:val="clear" w:color="000000" w:fill="DDEBF7"/>
            <w:noWrap/>
            <w:vAlign w:val="center"/>
            <w:hideMark/>
          </w:tcPr>
          <w:p w:rsidR="009C3210" w:rsidRPr="00CD1518" w:rsidRDefault="009C3210" w:rsidP="009C3210">
            <w:pPr>
              <w:spacing w:line="240" w:lineRule="auto"/>
              <w:jc w:val="right"/>
              <w:rPr>
                <w:sz w:val="12"/>
                <w:szCs w:val="12"/>
                <w:lang w:eastAsia="en-AU"/>
              </w:rPr>
            </w:pPr>
            <w:r w:rsidRPr="00CD1518">
              <w:rPr>
                <w:sz w:val="12"/>
                <w:szCs w:val="12"/>
                <w:lang w:eastAsia="en-AU"/>
              </w:rPr>
              <w:t>96%</w:t>
            </w:r>
          </w:p>
        </w:tc>
      </w:tr>
    </w:tbl>
    <w:p w:rsidR="00B5276F" w:rsidRPr="00975E6B" w:rsidRDefault="00B5276F" w:rsidP="00B5276F">
      <w:pPr>
        <w:rPr>
          <w:bCs/>
          <w:i/>
          <w:sz w:val="16"/>
          <w:szCs w:val="16"/>
        </w:rPr>
      </w:pPr>
      <w:r w:rsidRPr="00975E6B">
        <w:rPr>
          <w:bCs/>
          <w:i/>
          <w:sz w:val="16"/>
          <w:szCs w:val="16"/>
        </w:rPr>
        <w:t xml:space="preserve">Source: KPMG based on </w:t>
      </w:r>
      <w:r w:rsidR="003F167A" w:rsidRPr="00975E6B">
        <w:rPr>
          <w:bCs/>
          <w:i/>
          <w:sz w:val="16"/>
          <w:szCs w:val="16"/>
        </w:rPr>
        <w:t>Princess Margaret</w:t>
      </w:r>
      <w:r w:rsidRPr="00975E6B">
        <w:rPr>
          <w:bCs/>
          <w:i/>
          <w:sz w:val="16"/>
          <w:szCs w:val="16"/>
        </w:rPr>
        <w:t xml:space="preserve"> IFR templates</w:t>
      </w:r>
    </w:p>
    <w:p w:rsidR="00B5276F" w:rsidRPr="00975E6B" w:rsidRDefault="00B5276F" w:rsidP="00B5276F">
      <w:pPr>
        <w:pStyle w:val="BodyText"/>
      </w:pPr>
      <w:r w:rsidRPr="00975E6B">
        <w:t xml:space="preserve">The following should be noted about the activity and feeder data for </w:t>
      </w:r>
      <w:r w:rsidR="003F167A" w:rsidRPr="00975E6B">
        <w:t>Princess Margaret</w:t>
      </w:r>
      <w:r w:rsidRPr="00975E6B">
        <w:t>:</w:t>
      </w:r>
    </w:p>
    <w:p w:rsidR="0068301A" w:rsidRPr="00CD1518" w:rsidRDefault="0068301A" w:rsidP="00F26328">
      <w:pPr>
        <w:pStyle w:val="BodyText"/>
        <w:numPr>
          <w:ilvl w:val="0"/>
          <w:numId w:val="56"/>
        </w:numPr>
      </w:pPr>
      <w:r w:rsidRPr="00975E6B">
        <w:t xml:space="preserve">Variances identified in the PAS and non-admitted patient activity data relate to </w:t>
      </w:r>
      <w:r>
        <w:t xml:space="preserve">reversals of records from annual audits of the PAS and outpatient systems. </w:t>
      </w:r>
    </w:p>
    <w:p w:rsidR="0068301A" w:rsidRPr="009550C2" w:rsidRDefault="0068301A" w:rsidP="00F26328">
      <w:pPr>
        <w:pStyle w:val="BodyText"/>
        <w:numPr>
          <w:ilvl w:val="0"/>
          <w:numId w:val="56"/>
        </w:numPr>
      </w:pPr>
      <w:r>
        <w:t>The variance identified in emergency activity data relates to the removal of</w:t>
      </w:r>
      <w:r w:rsidRPr="00CD1518">
        <w:t xml:space="preserve"> admitted ED records</w:t>
      </w:r>
      <w:r w:rsidR="008C4501">
        <w:t>,</w:t>
      </w:r>
      <w:r w:rsidRPr="00CD1518">
        <w:t xml:space="preserve"> as the nature of the PAS in most WA hospitals means that patients admitted via ED only have a single costed record (included in PAS records). The records loaded into the costing system for emergency relate only to non-admitted patients.</w:t>
      </w:r>
    </w:p>
    <w:p w:rsidR="00B5276F" w:rsidRPr="00975E6B" w:rsidRDefault="00B5276F" w:rsidP="00F26328">
      <w:pPr>
        <w:pStyle w:val="BodyText"/>
        <w:numPr>
          <w:ilvl w:val="0"/>
          <w:numId w:val="56"/>
        </w:numPr>
      </w:pPr>
      <w:r w:rsidRPr="00975E6B">
        <w:t>There are six feeders reported from hospital source systems</w:t>
      </w:r>
      <w:r w:rsidR="004C2A99" w:rsidRPr="00975E6B">
        <w:t>.</w:t>
      </w:r>
    </w:p>
    <w:p w:rsidR="00B5276F" w:rsidRPr="00975E6B" w:rsidRDefault="00B5276F" w:rsidP="00F26328">
      <w:pPr>
        <w:pStyle w:val="BodyText"/>
        <w:numPr>
          <w:ilvl w:val="0"/>
          <w:numId w:val="56"/>
        </w:numPr>
      </w:pPr>
      <w:r w:rsidRPr="00975E6B">
        <w:t xml:space="preserve">Despite the split between hospital </w:t>
      </w:r>
      <w:proofErr w:type="gramStart"/>
      <w:r w:rsidRPr="00975E6B">
        <w:t>activity</w:t>
      </w:r>
      <w:proofErr w:type="gramEnd"/>
      <w:r w:rsidRPr="00975E6B">
        <w:t xml:space="preserve"> not being provided, the combination of source record numbers and details of unlinked records were </w:t>
      </w:r>
      <w:r w:rsidR="008E29F7" w:rsidRPr="00975E6B">
        <w:t>used</w:t>
      </w:r>
      <w:r w:rsidRPr="00975E6B">
        <w:t xml:space="preserve"> to assist with understanding the linked ratio.</w:t>
      </w:r>
      <w:r w:rsidR="00FD144F">
        <w:t xml:space="preserve"> </w:t>
      </w:r>
      <w:r w:rsidR="00821033">
        <w:t>We note that costing system records were also not provided for four of the feeders.</w:t>
      </w:r>
    </w:p>
    <w:p w:rsidR="00B5276F" w:rsidRPr="00975E6B" w:rsidRDefault="00B5276F" w:rsidP="00F26328">
      <w:pPr>
        <w:pStyle w:val="BodyText"/>
        <w:numPr>
          <w:ilvl w:val="0"/>
          <w:numId w:val="56"/>
        </w:numPr>
      </w:pPr>
      <w:r w:rsidRPr="00975E6B">
        <w:lastRenderedPageBreak/>
        <w:t>The number of records linked from source to product was significant with all feeder systems having at least 95</w:t>
      </w:r>
      <w:r w:rsidR="00625C35" w:rsidRPr="00975E6B">
        <w:t> percent</w:t>
      </w:r>
      <w:r w:rsidRPr="00975E6B">
        <w:t xml:space="preserve"> link or match.</w:t>
      </w:r>
      <w:r w:rsidR="004C2A99" w:rsidRPr="00975E6B">
        <w:t xml:space="preserve"> This suggests that there is robustness in the level of feeder activity reported back to episodes.</w:t>
      </w:r>
    </w:p>
    <w:p w:rsidR="00B5276F" w:rsidRPr="00975E6B" w:rsidRDefault="00B5276F" w:rsidP="00B5276F">
      <w:pPr>
        <w:pStyle w:val="BodyText"/>
      </w:pPr>
      <w:r w:rsidRPr="00975E6B">
        <w:fldChar w:fldCharType="begin"/>
      </w:r>
      <w:r w:rsidRPr="00975E6B">
        <w:instrText xml:space="preserve"> REF _Ref433263569 \h </w:instrText>
      </w:r>
      <w:r w:rsidR="00975E6B">
        <w:instrText xml:space="preserve"> \* MERGEFORMAT </w:instrText>
      </w:r>
      <w:r w:rsidRPr="00975E6B">
        <w:fldChar w:fldCharType="separate"/>
      </w:r>
      <w:r w:rsidR="00154CF7" w:rsidRPr="00975E6B">
        <w:t xml:space="preserve">Table </w:t>
      </w:r>
      <w:r w:rsidR="00154CF7" w:rsidRPr="00154CF7">
        <w:t>104</w:t>
      </w:r>
      <w:r w:rsidRPr="00975E6B">
        <w:fldChar w:fldCharType="end"/>
      </w:r>
      <w:r w:rsidRPr="00975E6B">
        <w:t xml:space="preserve"> highlights the transfer of activity data from </w:t>
      </w:r>
      <w:r w:rsidR="003F167A" w:rsidRPr="00975E6B">
        <w:t>Princess Margaret</w:t>
      </w:r>
      <w:r w:rsidRPr="00975E6B">
        <w:t xml:space="preserve"> to </w:t>
      </w:r>
      <w:r w:rsidR="00DF3D31" w:rsidRPr="00975E6B">
        <w:t>WA Health</w:t>
      </w:r>
      <w:r w:rsidRPr="00975E6B">
        <w:t xml:space="preserve"> and then through to IHPA submission and finalisation.</w:t>
      </w:r>
    </w:p>
    <w:p w:rsidR="0025431B" w:rsidRPr="00975E6B" w:rsidRDefault="00B5276F" w:rsidP="00CD1518">
      <w:pPr>
        <w:pStyle w:val="Caption"/>
      </w:pPr>
      <w:bookmarkStart w:id="847" w:name="_Ref433263569"/>
      <w:r w:rsidRPr="00975E6B">
        <w:t xml:space="preserve">Table </w:t>
      </w:r>
      <w:r w:rsidR="00705BE8" w:rsidRPr="00C77C25">
        <w:fldChar w:fldCharType="begin"/>
      </w:r>
      <w:r w:rsidR="00705BE8" w:rsidRPr="00C77C25">
        <w:rPr>
          <w:bCs w:val="0"/>
        </w:rPr>
        <w:instrText xml:space="preserve"> SEQ Table \* ARABIC </w:instrText>
      </w:r>
      <w:r w:rsidR="00705BE8" w:rsidRPr="00C77C25">
        <w:fldChar w:fldCharType="separate"/>
      </w:r>
      <w:r w:rsidR="00154CF7">
        <w:rPr>
          <w:bCs w:val="0"/>
          <w:noProof/>
        </w:rPr>
        <w:t>104</w:t>
      </w:r>
      <w:r w:rsidR="00705BE8" w:rsidRPr="00C77C25">
        <w:rPr>
          <w:noProof/>
        </w:rPr>
        <w:fldChar w:fldCharType="end"/>
      </w:r>
      <w:bookmarkEnd w:id="847"/>
      <w:r w:rsidR="00BA3F4B" w:rsidRPr="00975E6B">
        <w:t xml:space="preserve"> </w:t>
      </w:r>
      <w:r w:rsidRPr="00975E6B">
        <w:t>– Activity data submission – Princess Margaret Hospital</w:t>
      </w:r>
    </w:p>
    <w:tbl>
      <w:tblPr>
        <w:tblW w:w="5000" w:type="pct"/>
        <w:tblLayout w:type="fixed"/>
        <w:tblLook w:val="04A0" w:firstRow="1" w:lastRow="0" w:firstColumn="1" w:lastColumn="0" w:noHBand="0" w:noVBand="1"/>
        <w:tblCaption w:val="Table 104 - Activity submission - Princess Margaret Hospital"/>
        <w:tblDescription w:val="This table highlights the transfer of activity data from Princess Margaret Hospital to WA Health and then through to IHPA submission and finalisation. There are 8 columns. Column 1 is the NHCDC product type, Column 2 is the activity related to 2013-14 costs, column 3 is the adjustments to Column 2, column 4 is the activity submitted to the jurisdiction, column 5 is the adjustments to column 4, column 6 is the activity submitted to IHPA, column 7 is the adjustments to column 6 and column 8 is the total activity submitted for the Round 18 NHCDC.&#10;"/>
      </w:tblPr>
      <w:tblGrid>
        <w:gridCol w:w="1668"/>
        <w:gridCol w:w="1007"/>
        <w:gridCol w:w="1009"/>
        <w:gridCol w:w="1007"/>
        <w:gridCol w:w="1008"/>
        <w:gridCol w:w="1006"/>
        <w:gridCol w:w="1008"/>
        <w:gridCol w:w="1008"/>
      </w:tblGrid>
      <w:tr w:rsidR="0025431B" w:rsidRPr="0025431B" w:rsidTr="00E14378">
        <w:trPr>
          <w:trHeight w:val="1040"/>
        </w:trPr>
        <w:tc>
          <w:tcPr>
            <w:tcW w:w="956"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25431B" w:rsidRPr="00CD1518" w:rsidRDefault="0025431B" w:rsidP="0025431B">
            <w:pPr>
              <w:spacing w:line="240" w:lineRule="auto"/>
              <w:rPr>
                <w:b/>
                <w:bCs/>
                <w:color w:val="FFFFFF"/>
                <w:sz w:val="14"/>
                <w:szCs w:val="14"/>
                <w:lang w:eastAsia="en-AU"/>
              </w:rPr>
            </w:pPr>
            <w:r w:rsidRPr="00CD1518">
              <w:rPr>
                <w:b/>
                <w:bCs/>
                <w:color w:val="FFFFFF"/>
                <w:sz w:val="14"/>
                <w:szCs w:val="14"/>
                <w:lang w:eastAsia="en-AU"/>
              </w:rPr>
              <w:t>Product</w:t>
            </w:r>
          </w:p>
        </w:tc>
        <w:tc>
          <w:tcPr>
            <w:tcW w:w="577" w:type="pct"/>
            <w:tcBorders>
              <w:top w:val="single" w:sz="4" w:space="0" w:color="5B9BD5"/>
              <w:left w:val="nil"/>
              <w:bottom w:val="single" w:sz="4" w:space="0" w:color="5B9BD5"/>
              <w:right w:val="single" w:sz="4" w:space="0" w:color="5B9BD5"/>
            </w:tcBorders>
            <w:shd w:val="clear" w:color="auto" w:fill="002060"/>
            <w:vAlign w:val="bottom"/>
            <w:hideMark/>
          </w:tcPr>
          <w:p w:rsidR="0025431B" w:rsidRPr="00CD1518" w:rsidRDefault="0025431B" w:rsidP="0025431B">
            <w:pPr>
              <w:spacing w:line="240" w:lineRule="auto"/>
              <w:jc w:val="center"/>
              <w:rPr>
                <w:b/>
                <w:bCs/>
                <w:color w:val="FFFFFF"/>
                <w:sz w:val="14"/>
                <w:szCs w:val="14"/>
                <w:lang w:eastAsia="en-AU"/>
              </w:rPr>
            </w:pPr>
            <w:r w:rsidRPr="00CD1518">
              <w:rPr>
                <w:b/>
                <w:bCs/>
                <w:color w:val="FFFFFF"/>
                <w:sz w:val="14"/>
                <w:szCs w:val="14"/>
                <w:lang w:eastAsia="en-AU"/>
              </w:rPr>
              <w:t>Activity related to 2013-14 Costs</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25431B" w:rsidRPr="00CD1518" w:rsidRDefault="0025431B" w:rsidP="009550C2">
            <w:pPr>
              <w:spacing w:line="240" w:lineRule="auto"/>
              <w:jc w:val="center"/>
              <w:rPr>
                <w:b/>
                <w:bCs/>
                <w:color w:val="FFFFFF"/>
                <w:sz w:val="13"/>
                <w:szCs w:val="13"/>
                <w:lang w:eastAsia="en-AU"/>
              </w:rPr>
            </w:pPr>
            <w:r w:rsidRPr="00CD1518">
              <w:rPr>
                <w:b/>
                <w:bCs/>
                <w:color w:val="FFFFFF"/>
                <w:sz w:val="13"/>
                <w:szCs w:val="13"/>
                <w:lang w:eastAsia="en-AU"/>
              </w:rPr>
              <w:t>Adjustment</w:t>
            </w:r>
          </w:p>
        </w:tc>
        <w:tc>
          <w:tcPr>
            <w:tcW w:w="577" w:type="pct"/>
            <w:tcBorders>
              <w:top w:val="single" w:sz="4" w:space="0" w:color="5B9BD5"/>
              <w:left w:val="nil"/>
              <w:bottom w:val="single" w:sz="4" w:space="0" w:color="5B9BD5"/>
              <w:right w:val="single" w:sz="4" w:space="0" w:color="5B9BD5"/>
            </w:tcBorders>
            <w:shd w:val="clear" w:color="auto" w:fill="002060"/>
            <w:vAlign w:val="bottom"/>
            <w:hideMark/>
          </w:tcPr>
          <w:p w:rsidR="0025431B" w:rsidRPr="00CD1518" w:rsidRDefault="0025431B" w:rsidP="0025431B">
            <w:pPr>
              <w:spacing w:line="240" w:lineRule="auto"/>
              <w:jc w:val="center"/>
              <w:rPr>
                <w:b/>
                <w:bCs/>
                <w:color w:val="FFFFFF"/>
                <w:sz w:val="14"/>
                <w:szCs w:val="14"/>
                <w:lang w:eastAsia="en-AU"/>
              </w:rPr>
            </w:pPr>
            <w:r w:rsidRPr="00CD1518">
              <w:rPr>
                <w:b/>
                <w:bCs/>
                <w:color w:val="FFFFFF"/>
                <w:sz w:val="14"/>
                <w:szCs w:val="14"/>
                <w:lang w:eastAsia="en-AU"/>
              </w:rPr>
              <w:t>Activity submitted to jurisdiction</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25431B" w:rsidRPr="00CD1518" w:rsidRDefault="0025431B" w:rsidP="0025431B">
            <w:pPr>
              <w:spacing w:line="240" w:lineRule="auto"/>
              <w:jc w:val="center"/>
              <w:rPr>
                <w:b/>
                <w:bCs/>
                <w:color w:val="FFFFFF"/>
                <w:sz w:val="13"/>
                <w:szCs w:val="13"/>
                <w:lang w:eastAsia="en-AU"/>
              </w:rPr>
            </w:pPr>
            <w:r w:rsidRPr="00CD1518">
              <w:rPr>
                <w:b/>
                <w:bCs/>
                <w:color w:val="FFFFFF"/>
                <w:sz w:val="13"/>
                <w:szCs w:val="13"/>
                <w:lang w:eastAsia="en-AU"/>
              </w:rPr>
              <w:t>Adjustment</w:t>
            </w:r>
          </w:p>
        </w:tc>
        <w:tc>
          <w:tcPr>
            <w:tcW w:w="577" w:type="pct"/>
            <w:tcBorders>
              <w:top w:val="single" w:sz="4" w:space="0" w:color="5B9BD5"/>
              <w:left w:val="nil"/>
              <w:bottom w:val="single" w:sz="4" w:space="0" w:color="5B9BD5"/>
              <w:right w:val="single" w:sz="4" w:space="0" w:color="5B9BD5"/>
            </w:tcBorders>
            <w:shd w:val="clear" w:color="auto" w:fill="002060"/>
            <w:vAlign w:val="bottom"/>
            <w:hideMark/>
          </w:tcPr>
          <w:p w:rsidR="0025431B" w:rsidRPr="00CD1518" w:rsidRDefault="0025431B" w:rsidP="0025431B">
            <w:pPr>
              <w:spacing w:line="240" w:lineRule="auto"/>
              <w:jc w:val="center"/>
              <w:rPr>
                <w:b/>
                <w:bCs/>
                <w:color w:val="FFFFFF"/>
                <w:sz w:val="14"/>
                <w:szCs w:val="14"/>
                <w:lang w:eastAsia="en-AU"/>
              </w:rPr>
            </w:pPr>
            <w:r w:rsidRPr="00CD1518">
              <w:rPr>
                <w:b/>
                <w:bCs/>
                <w:color w:val="FFFFFF"/>
                <w:sz w:val="14"/>
                <w:szCs w:val="14"/>
                <w:lang w:eastAsia="en-AU"/>
              </w:rPr>
              <w:t>Activity received by IHPA</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25431B" w:rsidRPr="00CD1518" w:rsidRDefault="0025431B" w:rsidP="0025431B">
            <w:pPr>
              <w:spacing w:line="240" w:lineRule="auto"/>
              <w:jc w:val="center"/>
              <w:rPr>
                <w:b/>
                <w:bCs/>
                <w:color w:val="FFFFFF"/>
                <w:sz w:val="13"/>
                <w:szCs w:val="13"/>
                <w:lang w:eastAsia="en-AU"/>
              </w:rPr>
            </w:pPr>
            <w:r w:rsidRPr="00CD1518">
              <w:rPr>
                <w:b/>
                <w:bCs/>
                <w:color w:val="FFFFFF"/>
                <w:sz w:val="13"/>
                <w:szCs w:val="13"/>
                <w:lang w:eastAsia="en-AU"/>
              </w:rPr>
              <w:t>Adjustment</w:t>
            </w:r>
          </w:p>
        </w:tc>
        <w:tc>
          <w:tcPr>
            <w:tcW w:w="578" w:type="pct"/>
            <w:tcBorders>
              <w:top w:val="single" w:sz="4" w:space="0" w:color="5B9BD5"/>
              <w:left w:val="nil"/>
              <w:bottom w:val="single" w:sz="4" w:space="0" w:color="5B9BD5"/>
              <w:right w:val="single" w:sz="4" w:space="0" w:color="5B9BD5"/>
            </w:tcBorders>
            <w:shd w:val="clear" w:color="auto" w:fill="002060"/>
            <w:vAlign w:val="bottom"/>
            <w:hideMark/>
          </w:tcPr>
          <w:p w:rsidR="0025431B" w:rsidRPr="00CD1518" w:rsidRDefault="0025431B" w:rsidP="0025431B">
            <w:pPr>
              <w:spacing w:line="240" w:lineRule="auto"/>
              <w:jc w:val="center"/>
              <w:rPr>
                <w:b/>
                <w:bCs/>
                <w:color w:val="FFFFFF"/>
                <w:sz w:val="14"/>
                <w:szCs w:val="14"/>
                <w:lang w:eastAsia="en-AU"/>
              </w:rPr>
            </w:pPr>
            <w:r w:rsidRPr="00CD1518">
              <w:rPr>
                <w:b/>
                <w:bCs/>
                <w:color w:val="FFFFFF"/>
                <w:sz w:val="14"/>
                <w:szCs w:val="14"/>
                <w:lang w:eastAsia="en-AU"/>
              </w:rPr>
              <w:t>Total Activity submitted for Round 18 NHCDC</w:t>
            </w:r>
          </w:p>
        </w:tc>
      </w:tr>
      <w:tr w:rsidR="0025431B" w:rsidRPr="0025431B" w:rsidTr="00CD1518">
        <w:trPr>
          <w:trHeight w:val="26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25431B" w:rsidRPr="00CD1518" w:rsidRDefault="0025431B" w:rsidP="009550C2">
            <w:pPr>
              <w:spacing w:line="240" w:lineRule="auto"/>
              <w:rPr>
                <w:color w:val="000000"/>
                <w:sz w:val="14"/>
                <w:szCs w:val="14"/>
                <w:lang w:eastAsia="en-AU"/>
              </w:rPr>
            </w:pPr>
            <w:r w:rsidRPr="00CD1518">
              <w:rPr>
                <w:color w:val="000000"/>
                <w:sz w:val="14"/>
                <w:szCs w:val="14"/>
                <w:lang w:eastAsia="en-AU"/>
              </w:rPr>
              <w:t>Acute</w:t>
            </w:r>
          </w:p>
        </w:tc>
        <w:tc>
          <w:tcPr>
            <w:tcW w:w="577" w:type="pct"/>
            <w:tcBorders>
              <w:top w:val="nil"/>
              <w:left w:val="nil"/>
              <w:bottom w:val="single" w:sz="4" w:space="0" w:color="5B9BD5"/>
              <w:right w:val="single" w:sz="4" w:space="0" w:color="5B9BD5"/>
            </w:tcBorders>
            <w:shd w:val="clear" w:color="000000" w:fill="FFFFFF"/>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28,184</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28,184</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(173)</w:t>
            </w:r>
          </w:p>
        </w:tc>
        <w:tc>
          <w:tcPr>
            <w:tcW w:w="577" w:type="pct"/>
            <w:tcBorders>
              <w:top w:val="nil"/>
              <w:left w:val="nil"/>
              <w:bottom w:val="single" w:sz="4" w:space="0" w:color="5B9BD5"/>
              <w:right w:val="single" w:sz="4" w:space="0" w:color="5B9BD5"/>
            </w:tcBorders>
            <w:shd w:val="clear" w:color="000000" w:fill="FFFFFF"/>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28,011</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(1)</w:t>
            </w:r>
          </w:p>
        </w:tc>
        <w:tc>
          <w:tcPr>
            <w:tcW w:w="578" w:type="pct"/>
            <w:tcBorders>
              <w:top w:val="nil"/>
              <w:left w:val="nil"/>
              <w:bottom w:val="single" w:sz="4" w:space="0" w:color="5B9BD5"/>
              <w:right w:val="single" w:sz="4" w:space="0" w:color="5B9BD5"/>
            </w:tcBorders>
            <w:shd w:val="clear" w:color="000000" w:fill="FFFFFF"/>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28,010</w:t>
            </w:r>
          </w:p>
        </w:tc>
      </w:tr>
      <w:tr w:rsidR="0025431B" w:rsidRPr="0025431B" w:rsidTr="00CD1518">
        <w:trPr>
          <w:trHeight w:val="26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25431B" w:rsidRPr="00CD1518" w:rsidRDefault="0025431B" w:rsidP="009550C2">
            <w:pPr>
              <w:spacing w:line="240" w:lineRule="auto"/>
              <w:rPr>
                <w:color w:val="000000"/>
                <w:sz w:val="14"/>
                <w:szCs w:val="14"/>
                <w:lang w:eastAsia="en-AU"/>
              </w:rPr>
            </w:pPr>
            <w:r w:rsidRPr="00CD1518">
              <w:rPr>
                <w:color w:val="000000"/>
                <w:sz w:val="14"/>
                <w:szCs w:val="14"/>
                <w:lang w:eastAsia="en-AU"/>
              </w:rPr>
              <w:t>Non-admitted</w:t>
            </w:r>
          </w:p>
        </w:tc>
        <w:tc>
          <w:tcPr>
            <w:tcW w:w="577"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165,101</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165,101</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(13,816)</w:t>
            </w:r>
          </w:p>
        </w:tc>
        <w:tc>
          <w:tcPr>
            <w:tcW w:w="577"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151,285</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151,285</w:t>
            </w:r>
          </w:p>
        </w:tc>
      </w:tr>
      <w:tr w:rsidR="0025431B" w:rsidRPr="0025431B" w:rsidTr="00CD1518">
        <w:trPr>
          <w:trHeight w:val="26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25431B" w:rsidRPr="00CD1518" w:rsidRDefault="0025431B" w:rsidP="009550C2">
            <w:pPr>
              <w:spacing w:line="240" w:lineRule="auto"/>
              <w:rPr>
                <w:color w:val="000000"/>
                <w:sz w:val="14"/>
                <w:szCs w:val="14"/>
                <w:lang w:eastAsia="en-AU"/>
              </w:rPr>
            </w:pPr>
            <w:r w:rsidRPr="00CD1518">
              <w:rPr>
                <w:color w:val="000000"/>
                <w:sz w:val="14"/>
                <w:szCs w:val="14"/>
                <w:lang w:eastAsia="en-AU"/>
              </w:rPr>
              <w:t>Emergency</w:t>
            </w:r>
          </w:p>
        </w:tc>
        <w:tc>
          <w:tcPr>
            <w:tcW w:w="577" w:type="pct"/>
            <w:tcBorders>
              <w:top w:val="nil"/>
              <w:left w:val="nil"/>
              <w:bottom w:val="single" w:sz="4" w:space="0" w:color="5B9BD5"/>
              <w:right w:val="single" w:sz="4" w:space="0" w:color="5B9BD5"/>
            </w:tcBorders>
            <w:shd w:val="clear" w:color="000000" w:fill="FFFFFF"/>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56,766</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56,766</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(40)</w:t>
            </w:r>
          </w:p>
        </w:tc>
        <w:tc>
          <w:tcPr>
            <w:tcW w:w="577" w:type="pct"/>
            <w:tcBorders>
              <w:top w:val="nil"/>
              <w:left w:val="nil"/>
              <w:bottom w:val="single" w:sz="4" w:space="0" w:color="5B9BD5"/>
              <w:right w:val="single" w:sz="4" w:space="0" w:color="5B9BD5"/>
            </w:tcBorders>
            <w:shd w:val="clear" w:color="000000" w:fill="FFFFFF"/>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56,726</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12,407</w:t>
            </w:r>
          </w:p>
        </w:tc>
        <w:tc>
          <w:tcPr>
            <w:tcW w:w="578" w:type="pct"/>
            <w:tcBorders>
              <w:top w:val="nil"/>
              <w:left w:val="nil"/>
              <w:bottom w:val="single" w:sz="4" w:space="0" w:color="5B9BD5"/>
              <w:right w:val="single" w:sz="4" w:space="0" w:color="5B9BD5"/>
            </w:tcBorders>
            <w:shd w:val="clear" w:color="000000" w:fill="FFFFFF"/>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69,133</w:t>
            </w:r>
          </w:p>
        </w:tc>
      </w:tr>
      <w:tr w:rsidR="0025431B" w:rsidRPr="0025431B" w:rsidTr="00CD1518">
        <w:trPr>
          <w:trHeight w:val="26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25431B" w:rsidRPr="00CD1518" w:rsidRDefault="0025431B" w:rsidP="009550C2">
            <w:pPr>
              <w:spacing w:line="240" w:lineRule="auto"/>
              <w:rPr>
                <w:color w:val="000000"/>
                <w:sz w:val="14"/>
                <w:szCs w:val="14"/>
                <w:lang w:eastAsia="en-AU"/>
              </w:rPr>
            </w:pPr>
            <w:proofErr w:type="spellStart"/>
            <w:r w:rsidRPr="00CD1518">
              <w:rPr>
                <w:color w:val="000000"/>
                <w:sz w:val="14"/>
                <w:szCs w:val="14"/>
                <w:lang w:eastAsia="en-AU"/>
              </w:rPr>
              <w:t>Sub Acute</w:t>
            </w:r>
            <w:proofErr w:type="spellEnd"/>
          </w:p>
        </w:tc>
        <w:tc>
          <w:tcPr>
            <w:tcW w:w="577"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30</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30</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(1)</w:t>
            </w:r>
          </w:p>
        </w:tc>
        <w:tc>
          <w:tcPr>
            <w:tcW w:w="577"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29</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1</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30</w:t>
            </w:r>
          </w:p>
        </w:tc>
      </w:tr>
      <w:tr w:rsidR="0025431B" w:rsidRPr="0025431B" w:rsidTr="00CD1518">
        <w:trPr>
          <w:trHeight w:val="26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25431B" w:rsidRPr="00CD1518" w:rsidRDefault="0025431B" w:rsidP="009550C2">
            <w:pPr>
              <w:spacing w:line="240" w:lineRule="auto"/>
              <w:rPr>
                <w:color w:val="000000"/>
                <w:sz w:val="14"/>
                <w:szCs w:val="14"/>
                <w:lang w:eastAsia="en-AU"/>
              </w:rPr>
            </w:pPr>
            <w:r w:rsidRPr="00CD1518">
              <w:rPr>
                <w:color w:val="000000"/>
                <w:sz w:val="14"/>
                <w:szCs w:val="14"/>
                <w:lang w:eastAsia="en-AU"/>
              </w:rPr>
              <w:t>Mental Health</w:t>
            </w:r>
          </w:p>
        </w:tc>
        <w:tc>
          <w:tcPr>
            <w:tcW w:w="577" w:type="pct"/>
            <w:tcBorders>
              <w:top w:val="nil"/>
              <w:left w:val="nil"/>
              <w:bottom w:val="single" w:sz="4" w:space="0" w:color="5B9BD5"/>
              <w:right w:val="single" w:sz="4" w:space="0" w:color="5B9BD5"/>
            </w:tcBorders>
            <w:shd w:val="clear" w:color="000000" w:fill="FFFFFF"/>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r>
      <w:tr w:rsidR="0025431B" w:rsidRPr="0025431B" w:rsidTr="00CD1518">
        <w:trPr>
          <w:trHeight w:val="26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25431B" w:rsidRPr="00CD1518" w:rsidRDefault="0025431B" w:rsidP="009550C2">
            <w:pPr>
              <w:spacing w:line="240" w:lineRule="auto"/>
              <w:rPr>
                <w:color w:val="000000"/>
                <w:sz w:val="14"/>
                <w:szCs w:val="14"/>
                <w:lang w:eastAsia="en-AU"/>
              </w:rPr>
            </w:pPr>
            <w:r w:rsidRPr="00CD1518">
              <w:rPr>
                <w:color w:val="000000"/>
                <w:sz w:val="14"/>
                <w:szCs w:val="14"/>
                <w:lang w:eastAsia="en-AU"/>
              </w:rPr>
              <w:t>Other</w:t>
            </w:r>
          </w:p>
        </w:tc>
        <w:tc>
          <w:tcPr>
            <w:tcW w:w="577"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1,036</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1,036</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(115)</w:t>
            </w:r>
          </w:p>
        </w:tc>
        <w:tc>
          <w:tcPr>
            <w:tcW w:w="577"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921</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(2)</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919</w:t>
            </w:r>
          </w:p>
        </w:tc>
      </w:tr>
      <w:tr w:rsidR="0025431B" w:rsidRPr="0025431B" w:rsidTr="00CD1518">
        <w:trPr>
          <w:trHeight w:val="260"/>
        </w:trPr>
        <w:tc>
          <w:tcPr>
            <w:tcW w:w="956" w:type="pct"/>
            <w:tcBorders>
              <w:top w:val="nil"/>
              <w:left w:val="single" w:sz="4" w:space="0" w:color="5B9BD5"/>
              <w:bottom w:val="single" w:sz="4" w:space="0" w:color="5B9BD5"/>
              <w:right w:val="single" w:sz="4" w:space="0" w:color="5B9BD5"/>
            </w:tcBorders>
            <w:shd w:val="clear" w:color="000000" w:fill="FFFFFF"/>
            <w:noWrap/>
            <w:vAlign w:val="center"/>
            <w:hideMark/>
          </w:tcPr>
          <w:p w:rsidR="0025431B" w:rsidRPr="00CD1518" w:rsidRDefault="0025431B" w:rsidP="009550C2">
            <w:pPr>
              <w:spacing w:line="240" w:lineRule="auto"/>
              <w:rPr>
                <w:color w:val="000000"/>
                <w:sz w:val="14"/>
                <w:szCs w:val="14"/>
                <w:lang w:eastAsia="en-AU"/>
              </w:rPr>
            </w:pPr>
            <w:r w:rsidRPr="00CD1518">
              <w:rPr>
                <w:color w:val="000000"/>
                <w:sz w:val="14"/>
                <w:szCs w:val="14"/>
                <w:lang w:eastAsia="en-AU"/>
              </w:rPr>
              <w:t>Research</w:t>
            </w:r>
          </w:p>
        </w:tc>
        <w:tc>
          <w:tcPr>
            <w:tcW w:w="577" w:type="pct"/>
            <w:tcBorders>
              <w:top w:val="nil"/>
              <w:left w:val="nil"/>
              <w:bottom w:val="single" w:sz="4" w:space="0" w:color="5B9BD5"/>
              <w:right w:val="single" w:sz="4" w:space="0" w:color="5B9BD5"/>
            </w:tcBorders>
            <w:shd w:val="clear" w:color="000000" w:fill="FFFFFF"/>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FFFFFF"/>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FFFFFF"/>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r>
      <w:tr w:rsidR="0025431B" w:rsidRPr="0025431B" w:rsidTr="00CD1518">
        <w:trPr>
          <w:trHeight w:val="260"/>
        </w:trPr>
        <w:tc>
          <w:tcPr>
            <w:tcW w:w="956" w:type="pct"/>
            <w:tcBorders>
              <w:top w:val="nil"/>
              <w:left w:val="single" w:sz="4" w:space="0" w:color="5B9BD5"/>
              <w:bottom w:val="single" w:sz="4" w:space="0" w:color="5B9BD5"/>
              <w:right w:val="single" w:sz="4" w:space="0" w:color="5B9BD5"/>
            </w:tcBorders>
            <w:shd w:val="clear" w:color="000000" w:fill="DDEBF7"/>
            <w:noWrap/>
            <w:vAlign w:val="center"/>
            <w:hideMark/>
          </w:tcPr>
          <w:p w:rsidR="0025431B" w:rsidRPr="00CD1518" w:rsidRDefault="0025431B" w:rsidP="009550C2">
            <w:pPr>
              <w:spacing w:line="240" w:lineRule="auto"/>
              <w:rPr>
                <w:color w:val="000000"/>
                <w:sz w:val="14"/>
                <w:szCs w:val="14"/>
                <w:lang w:eastAsia="en-AU"/>
              </w:rPr>
            </w:pPr>
            <w:r w:rsidRPr="00CD1518">
              <w:rPr>
                <w:color w:val="000000"/>
                <w:sz w:val="14"/>
                <w:szCs w:val="14"/>
                <w:lang w:eastAsia="en-AU"/>
              </w:rPr>
              <w:t>Teaching and Training</w:t>
            </w:r>
          </w:p>
        </w:tc>
        <w:tc>
          <w:tcPr>
            <w:tcW w:w="577"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c>
          <w:tcPr>
            <w:tcW w:w="578" w:type="pct"/>
            <w:tcBorders>
              <w:top w:val="nil"/>
              <w:left w:val="nil"/>
              <w:bottom w:val="single" w:sz="4" w:space="0" w:color="5B9BD5"/>
              <w:right w:val="single" w:sz="4" w:space="0" w:color="5B9BD5"/>
            </w:tcBorders>
            <w:shd w:val="clear" w:color="000000" w:fill="DDEBF7"/>
            <w:noWrap/>
            <w:vAlign w:val="center"/>
            <w:hideMark/>
          </w:tcPr>
          <w:p w:rsidR="0025431B" w:rsidRPr="00CD1518" w:rsidRDefault="0025431B" w:rsidP="00CD1518">
            <w:pPr>
              <w:spacing w:line="240" w:lineRule="auto"/>
              <w:jc w:val="right"/>
              <w:rPr>
                <w:color w:val="000000"/>
                <w:sz w:val="14"/>
                <w:szCs w:val="14"/>
                <w:lang w:eastAsia="en-AU"/>
              </w:rPr>
            </w:pPr>
            <w:r w:rsidRPr="00CD1518">
              <w:rPr>
                <w:color w:val="000000"/>
                <w:sz w:val="14"/>
                <w:szCs w:val="14"/>
                <w:lang w:eastAsia="en-AU"/>
              </w:rPr>
              <w:t>-</w:t>
            </w:r>
          </w:p>
        </w:tc>
      </w:tr>
      <w:tr w:rsidR="0025431B" w:rsidRPr="0025431B" w:rsidTr="00CD1518">
        <w:trPr>
          <w:trHeight w:val="260"/>
        </w:trPr>
        <w:tc>
          <w:tcPr>
            <w:tcW w:w="956" w:type="pct"/>
            <w:tcBorders>
              <w:top w:val="nil"/>
              <w:left w:val="single" w:sz="4" w:space="0" w:color="5B9BD5"/>
              <w:bottom w:val="single" w:sz="4" w:space="0" w:color="5B9BD5"/>
              <w:right w:val="single" w:sz="4" w:space="0" w:color="5B9BD5"/>
            </w:tcBorders>
            <w:shd w:val="clear" w:color="000000" w:fill="D0CECE"/>
            <w:noWrap/>
            <w:vAlign w:val="center"/>
            <w:hideMark/>
          </w:tcPr>
          <w:p w:rsidR="0025431B" w:rsidRPr="00CD1518" w:rsidRDefault="0025431B" w:rsidP="009550C2">
            <w:pPr>
              <w:spacing w:line="240" w:lineRule="auto"/>
              <w:rPr>
                <w:b/>
                <w:bCs/>
                <w:color w:val="000000"/>
                <w:sz w:val="14"/>
                <w:szCs w:val="14"/>
                <w:lang w:eastAsia="en-AU"/>
              </w:rPr>
            </w:pPr>
            <w:r w:rsidRPr="00CD1518">
              <w:rPr>
                <w:b/>
                <w:bCs/>
                <w:color w:val="000000"/>
                <w:sz w:val="14"/>
                <w:szCs w:val="14"/>
                <w:lang w:eastAsia="en-AU"/>
              </w:rPr>
              <w:t>Total</w:t>
            </w:r>
          </w:p>
        </w:tc>
        <w:tc>
          <w:tcPr>
            <w:tcW w:w="577" w:type="pct"/>
            <w:tcBorders>
              <w:top w:val="nil"/>
              <w:left w:val="nil"/>
              <w:bottom w:val="single" w:sz="4" w:space="0" w:color="5B9BD5"/>
              <w:right w:val="single" w:sz="4" w:space="0" w:color="5B9BD5"/>
            </w:tcBorders>
            <w:shd w:val="clear" w:color="000000" w:fill="D0CECE"/>
            <w:noWrap/>
            <w:vAlign w:val="center"/>
            <w:hideMark/>
          </w:tcPr>
          <w:p w:rsidR="0025431B" w:rsidRPr="00CD1518" w:rsidRDefault="0025431B" w:rsidP="00CD1518">
            <w:pPr>
              <w:spacing w:line="240" w:lineRule="auto"/>
              <w:jc w:val="right"/>
              <w:rPr>
                <w:b/>
                <w:bCs/>
                <w:color w:val="000000"/>
                <w:sz w:val="14"/>
                <w:szCs w:val="14"/>
                <w:lang w:eastAsia="en-AU"/>
              </w:rPr>
            </w:pPr>
            <w:r w:rsidRPr="00CD1518">
              <w:rPr>
                <w:b/>
                <w:bCs/>
                <w:color w:val="000000"/>
                <w:sz w:val="14"/>
                <w:szCs w:val="14"/>
                <w:lang w:eastAsia="en-AU"/>
              </w:rPr>
              <w:t>251,117</w:t>
            </w:r>
          </w:p>
        </w:tc>
        <w:tc>
          <w:tcPr>
            <w:tcW w:w="578" w:type="pct"/>
            <w:tcBorders>
              <w:top w:val="nil"/>
              <w:left w:val="nil"/>
              <w:bottom w:val="single" w:sz="4" w:space="0" w:color="5B9BD5"/>
              <w:right w:val="single" w:sz="4" w:space="0" w:color="5B9BD5"/>
            </w:tcBorders>
            <w:shd w:val="clear" w:color="000000" w:fill="D0CECE"/>
            <w:noWrap/>
            <w:vAlign w:val="center"/>
            <w:hideMark/>
          </w:tcPr>
          <w:p w:rsidR="0025431B" w:rsidRPr="00CD1518" w:rsidRDefault="0025431B" w:rsidP="00CD1518">
            <w:pPr>
              <w:spacing w:line="240" w:lineRule="auto"/>
              <w:jc w:val="right"/>
              <w:rPr>
                <w:b/>
                <w:bCs/>
                <w:color w:val="000000"/>
                <w:sz w:val="14"/>
                <w:szCs w:val="14"/>
                <w:lang w:eastAsia="en-AU"/>
              </w:rPr>
            </w:pPr>
            <w:r w:rsidRPr="00CD1518">
              <w:rPr>
                <w:b/>
                <w:bCs/>
                <w:color w:val="000000"/>
                <w:sz w:val="14"/>
                <w:szCs w:val="14"/>
                <w:lang w:eastAsia="en-AU"/>
              </w:rPr>
              <w:t>-</w:t>
            </w:r>
          </w:p>
        </w:tc>
        <w:tc>
          <w:tcPr>
            <w:tcW w:w="577" w:type="pct"/>
            <w:tcBorders>
              <w:top w:val="nil"/>
              <w:left w:val="nil"/>
              <w:bottom w:val="single" w:sz="4" w:space="0" w:color="5B9BD5"/>
              <w:right w:val="single" w:sz="4" w:space="0" w:color="5B9BD5"/>
            </w:tcBorders>
            <w:shd w:val="clear" w:color="000000" w:fill="D0CECE"/>
            <w:noWrap/>
            <w:vAlign w:val="center"/>
            <w:hideMark/>
          </w:tcPr>
          <w:p w:rsidR="0025431B" w:rsidRPr="00CD1518" w:rsidRDefault="0025431B" w:rsidP="00CD1518">
            <w:pPr>
              <w:spacing w:line="240" w:lineRule="auto"/>
              <w:jc w:val="right"/>
              <w:rPr>
                <w:b/>
                <w:bCs/>
                <w:color w:val="000000"/>
                <w:sz w:val="14"/>
                <w:szCs w:val="14"/>
                <w:lang w:eastAsia="en-AU"/>
              </w:rPr>
            </w:pPr>
            <w:r w:rsidRPr="00CD1518">
              <w:rPr>
                <w:b/>
                <w:bCs/>
                <w:color w:val="000000"/>
                <w:sz w:val="14"/>
                <w:szCs w:val="14"/>
                <w:lang w:eastAsia="en-AU"/>
              </w:rPr>
              <w:t>251,117</w:t>
            </w:r>
          </w:p>
        </w:tc>
        <w:tc>
          <w:tcPr>
            <w:tcW w:w="578" w:type="pct"/>
            <w:tcBorders>
              <w:top w:val="nil"/>
              <w:left w:val="nil"/>
              <w:bottom w:val="single" w:sz="4" w:space="0" w:color="5B9BD5"/>
              <w:right w:val="single" w:sz="4" w:space="0" w:color="5B9BD5"/>
            </w:tcBorders>
            <w:shd w:val="clear" w:color="000000" w:fill="D0CECE"/>
            <w:noWrap/>
            <w:vAlign w:val="center"/>
            <w:hideMark/>
          </w:tcPr>
          <w:p w:rsidR="0025431B" w:rsidRPr="00CD1518" w:rsidRDefault="0025431B" w:rsidP="00CD1518">
            <w:pPr>
              <w:spacing w:line="240" w:lineRule="auto"/>
              <w:jc w:val="right"/>
              <w:rPr>
                <w:b/>
                <w:bCs/>
                <w:color w:val="000000"/>
                <w:sz w:val="14"/>
                <w:szCs w:val="14"/>
                <w:lang w:eastAsia="en-AU"/>
              </w:rPr>
            </w:pPr>
            <w:r w:rsidRPr="00CD1518">
              <w:rPr>
                <w:b/>
                <w:bCs/>
                <w:color w:val="000000"/>
                <w:sz w:val="14"/>
                <w:szCs w:val="14"/>
                <w:lang w:eastAsia="en-AU"/>
              </w:rPr>
              <w:t>(14,145)</w:t>
            </w:r>
          </w:p>
        </w:tc>
        <w:tc>
          <w:tcPr>
            <w:tcW w:w="577" w:type="pct"/>
            <w:tcBorders>
              <w:top w:val="nil"/>
              <w:left w:val="nil"/>
              <w:bottom w:val="single" w:sz="4" w:space="0" w:color="5B9BD5"/>
              <w:right w:val="single" w:sz="4" w:space="0" w:color="5B9BD5"/>
            </w:tcBorders>
            <w:shd w:val="clear" w:color="000000" w:fill="D0CECE"/>
            <w:noWrap/>
            <w:vAlign w:val="center"/>
            <w:hideMark/>
          </w:tcPr>
          <w:p w:rsidR="0025431B" w:rsidRPr="00CD1518" w:rsidRDefault="0025431B" w:rsidP="00CD1518">
            <w:pPr>
              <w:spacing w:line="240" w:lineRule="auto"/>
              <w:jc w:val="right"/>
              <w:rPr>
                <w:b/>
                <w:bCs/>
                <w:color w:val="000000"/>
                <w:sz w:val="14"/>
                <w:szCs w:val="14"/>
                <w:lang w:eastAsia="en-AU"/>
              </w:rPr>
            </w:pPr>
            <w:r w:rsidRPr="00CD1518">
              <w:rPr>
                <w:b/>
                <w:bCs/>
                <w:color w:val="000000"/>
                <w:sz w:val="14"/>
                <w:szCs w:val="14"/>
                <w:lang w:eastAsia="en-AU"/>
              </w:rPr>
              <w:t>236,972</w:t>
            </w:r>
          </w:p>
        </w:tc>
        <w:tc>
          <w:tcPr>
            <w:tcW w:w="578" w:type="pct"/>
            <w:tcBorders>
              <w:top w:val="nil"/>
              <w:left w:val="nil"/>
              <w:bottom w:val="single" w:sz="4" w:space="0" w:color="5B9BD5"/>
              <w:right w:val="single" w:sz="4" w:space="0" w:color="5B9BD5"/>
            </w:tcBorders>
            <w:shd w:val="clear" w:color="000000" w:fill="D0CECE"/>
            <w:noWrap/>
            <w:vAlign w:val="center"/>
            <w:hideMark/>
          </w:tcPr>
          <w:p w:rsidR="0025431B" w:rsidRPr="00CD1518" w:rsidRDefault="0025431B" w:rsidP="00CD1518">
            <w:pPr>
              <w:spacing w:line="240" w:lineRule="auto"/>
              <w:jc w:val="right"/>
              <w:rPr>
                <w:b/>
                <w:bCs/>
                <w:color w:val="000000"/>
                <w:sz w:val="14"/>
                <w:szCs w:val="14"/>
                <w:lang w:eastAsia="en-AU"/>
              </w:rPr>
            </w:pPr>
            <w:r w:rsidRPr="00CD1518">
              <w:rPr>
                <w:b/>
                <w:bCs/>
                <w:color w:val="000000"/>
                <w:sz w:val="14"/>
                <w:szCs w:val="14"/>
                <w:lang w:eastAsia="en-AU"/>
              </w:rPr>
              <w:t>12,405</w:t>
            </w:r>
          </w:p>
        </w:tc>
        <w:tc>
          <w:tcPr>
            <w:tcW w:w="578" w:type="pct"/>
            <w:tcBorders>
              <w:top w:val="nil"/>
              <w:left w:val="nil"/>
              <w:bottom w:val="single" w:sz="4" w:space="0" w:color="5B9BD5"/>
              <w:right w:val="single" w:sz="4" w:space="0" w:color="5B9BD5"/>
            </w:tcBorders>
            <w:shd w:val="clear" w:color="000000" w:fill="D0CECE"/>
            <w:noWrap/>
            <w:vAlign w:val="center"/>
            <w:hideMark/>
          </w:tcPr>
          <w:p w:rsidR="0025431B" w:rsidRPr="00CD1518" w:rsidRDefault="0025431B" w:rsidP="00CD1518">
            <w:pPr>
              <w:spacing w:line="240" w:lineRule="auto"/>
              <w:jc w:val="right"/>
              <w:rPr>
                <w:b/>
                <w:bCs/>
                <w:color w:val="000000"/>
                <w:sz w:val="14"/>
                <w:szCs w:val="14"/>
                <w:lang w:eastAsia="en-AU"/>
              </w:rPr>
            </w:pPr>
            <w:r w:rsidRPr="00CD1518">
              <w:rPr>
                <w:b/>
                <w:bCs/>
                <w:color w:val="000000"/>
                <w:sz w:val="14"/>
                <w:szCs w:val="14"/>
                <w:lang w:eastAsia="en-AU"/>
              </w:rPr>
              <w:t>249,377</w:t>
            </w:r>
          </w:p>
        </w:tc>
      </w:tr>
    </w:tbl>
    <w:p w:rsidR="00B5276F" w:rsidRPr="00975E6B" w:rsidRDefault="00B5276F" w:rsidP="00B5276F">
      <w:pPr>
        <w:pStyle w:val="FootnoteText"/>
        <w:rPr>
          <w:bCs/>
          <w:i/>
          <w:sz w:val="16"/>
          <w:szCs w:val="16"/>
        </w:rPr>
      </w:pPr>
      <w:r w:rsidRPr="00975E6B">
        <w:rPr>
          <w:bCs/>
          <w:i/>
          <w:sz w:val="16"/>
          <w:szCs w:val="16"/>
        </w:rPr>
        <w:t xml:space="preserve">Source: KPMG based on data supplied by </w:t>
      </w:r>
      <w:r w:rsidR="003F167A" w:rsidRPr="00975E6B">
        <w:rPr>
          <w:bCs/>
          <w:i/>
          <w:sz w:val="16"/>
          <w:szCs w:val="16"/>
        </w:rPr>
        <w:t>Princess Margaret</w:t>
      </w:r>
      <w:r w:rsidRPr="00975E6B">
        <w:rPr>
          <w:bCs/>
          <w:i/>
          <w:sz w:val="16"/>
          <w:szCs w:val="16"/>
        </w:rPr>
        <w:t xml:space="preserve">, </w:t>
      </w:r>
      <w:r w:rsidR="00DF3D31" w:rsidRPr="00975E6B">
        <w:rPr>
          <w:bCs/>
          <w:i/>
          <w:sz w:val="16"/>
          <w:szCs w:val="16"/>
        </w:rPr>
        <w:t>WA Health</w:t>
      </w:r>
      <w:r w:rsidRPr="00975E6B">
        <w:rPr>
          <w:bCs/>
          <w:i/>
          <w:sz w:val="16"/>
          <w:szCs w:val="16"/>
        </w:rPr>
        <w:t xml:space="preserve"> and IHPA </w:t>
      </w:r>
    </w:p>
    <w:p w:rsidR="00B5276F" w:rsidRPr="00975E6B" w:rsidRDefault="00B5276F" w:rsidP="00B5276F">
      <w:pPr>
        <w:pStyle w:val="BodyText"/>
      </w:pPr>
      <w:r w:rsidRPr="00975E6B">
        <w:t xml:space="preserve">The following should be noted about the transfer of activity data for </w:t>
      </w:r>
      <w:r w:rsidR="003F167A" w:rsidRPr="00975E6B">
        <w:t>Princess Margaret</w:t>
      </w:r>
      <w:r w:rsidRPr="00975E6B">
        <w:t>:</w:t>
      </w:r>
    </w:p>
    <w:p w:rsidR="0025431B" w:rsidRDefault="0025431B" w:rsidP="00F26328">
      <w:pPr>
        <w:numPr>
          <w:ilvl w:val="0"/>
          <w:numId w:val="39"/>
        </w:numPr>
        <w:spacing w:before="120" w:after="120" w:line="280" w:lineRule="atLeast"/>
        <w:jc w:val="both"/>
        <w:rPr>
          <w:szCs w:val="22"/>
        </w:rPr>
      </w:pPr>
      <w:r>
        <w:rPr>
          <w:szCs w:val="22"/>
        </w:rPr>
        <w:t xml:space="preserve">The variance between records from source detailed in </w:t>
      </w:r>
      <w:r>
        <w:rPr>
          <w:szCs w:val="22"/>
        </w:rPr>
        <w:fldChar w:fldCharType="begin"/>
      </w:r>
      <w:r>
        <w:rPr>
          <w:szCs w:val="22"/>
        </w:rPr>
        <w:instrText xml:space="preserve"> REF _Ref433308153 \h </w:instrText>
      </w:r>
      <w:r w:rsidR="00227A6C">
        <w:rPr>
          <w:szCs w:val="22"/>
        </w:rPr>
        <w:instrText xml:space="preserve"> \* MERGEFORMAT </w:instrText>
      </w:r>
      <w:r>
        <w:rPr>
          <w:szCs w:val="22"/>
        </w:rPr>
      </w:r>
      <w:r>
        <w:rPr>
          <w:szCs w:val="22"/>
        </w:rPr>
        <w:fldChar w:fldCharType="separate"/>
      </w:r>
      <w:r w:rsidR="00154CF7" w:rsidRPr="00154CF7">
        <w:rPr>
          <w:szCs w:val="22"/>
        </w:rPr>
        <w:t>Table 103</w:t>
      </w:r>
      <w:r>
        <w:rPr>
          <w:szCs w:val="22"/>
        </w:rPr>
        <w:fldChar w:fldCharType="end"/>
      </w:r>
      <w:r>
        <w:rPr>
          <w:szCs w:val="22"/>
        </w:rPr>
        <w:t xml:space="preserve"> (300,969 records) and activity related to 2013-14 costs by NHCDC product in </w:t>
      </w:r>
      <w:r>
        <w:rPr>
          <w:szCs w:val="22"/>
        </w:rPr>
        <w:fldChar w:fldCharType="begin"/>
      </w:r>
      <w:r>
        <w:rPr>
          <w:szCs w:val="22"/>
        </w:rPr>
        <w:instrText xml:space="preserve"> REF _Ref433263569 \h </w:instrText>
      </w:r>
      <w:r w:rsidR="00227A6C">
        <w:rPr>
          <w:szCs w:val="22"/>
        </w:rPr>
        <w:instrText xml:space="preserve"> \* MERGEFORMAT </w:instrText>
      </w:r>
      <w:r>
        <w:rPr>
          <w:szCs w:val="22"/>
        </w:rPr>
      </w:r>
      <w:r>
        <w:rPr>
          <w:szCs w:val="22"/>
        </w:rPr>
        <w:fldChar w:fldCharType="separate"/>
      </w:r>
      <w:r w:rsidR="00154CF7" w:rsidRPr="00154CF7">
        <w:rPr>
          <w:szCs w:val="22"/>
        </w:rPr>
        <w:t>Table 104</w:t>
      </w:r>
      <w:r>
        <w:rPr>
          <w:szCs w:val="22"/>
        </w:rPr>
        <w:fldChar w:fldCharType="end"/>
      </w:r>
      <w:r>
        <w:rPr>
          <w:szCs w:val="22"/>
        </w:rPr>
        <w:t xml:space="preserve"> (251,117 records) </w:t>
      </w:r>
      <w:r w:rsidRPr="00C264CF">
        <w:rPr>
          <w:szCs w:val="22"/>
        </w:rPr>
        <w:t>w</w:t>
      </w:r>
      <w:r>
        <w:rPr>
          <w:szCs w:val="22"/>
        </w:rPr>
        <w:t>as attributable to:</w:t>
      </w:r>
    </w:p>
    <w:p w:rsidR="0025431B" w:rsidRPr="0025431B" w:rsidRDefault="0025431B" w:rsidP="00F26328">
      <w:pPr>
        <w:numPr>
          <w:ilvl w:val="0"/>
          <w:numId w:val="39"/>
        </w:numPr>
        <w:tabs>
          <w:tab w:val="clear" w:pos="340"/>
          <w:tab w:val="num" w:pos="680"/>
        </w:tabs>
        <w:spacing w:before="120" w:after="120" w:line="280" w:lineRule="atLeast"/>
        <w:ind w:left="680"/>
        <w:jc w:val="both"/>
      </w:pPr>
      <w:r w:rsidRPr="009550C2">
        <w:rPr>
          <w:szCs w:val="22"/>
        </w:rPr>
        <w:t>T</w:t>
      </w:r>
      <w:r w:rsidRPr="00071C67">
        <w:rPr>
          <w:szCs w:val="22"/>
        </w:rPr>
        <w:t xml:space="preserve">iming </w:t>
      </w:r>
      <w:r w:rsidRPr="008C4501">
        <w:rPr>
          <w:szCs w:val="22"/>
        </w:rPr>
        <w:t>issues relating to reversal of records in the PAS and non-admitted activity data;</w:t>
      </w:r>
    </w:p>
    <w:p w:rsidR="0025431B" w:rsidRPr="0025431B" w:rsidRDefault="0025431B" w:rsidP="00F26328">
      <w:pPr>
        <w:numPr>
          <w:ilvl w:val="0"/>
          <w:numId w:val="39"/>
        </w:numPr>
        <w:tabs>
          <w:tab w:val="clear" w:pos="340"/>
          <w:tab w:val="num" w:pos="680"/>
        </w:tabs>
        <w:spacing w:before="120" w:after="120" w:line="280" w:lineRule="atLeast"/>
        <w:ind w:left="680"/>
        <w:jc w:val="both"/>
      </w:pPr>
      <w:r w:rsidRPr="0025431B">
        <w:rPr>
          <w:szCs w:val="22"/>
        </w:rPr>
        <w:t>Removal of admitted ED records from emergency activity data; and</w:t>
      </w:r>
    </w:p>
    <w:p w:rsidR="0025431B" w:rsidRPr="0025431B" w:rsidRDefault="0025431B" w:rsidP="00F26328">
      <w:pPr>
        <w:numPr>
          <w:ilvl w:val="0"/>
          <w:numId w:val="39"/>
        </w:numPr>
        <w:tabs>
          <w:tab w:val="clear" w:pos="340"/>
          <w:tab w:val="num" w:pos="680"/>
        </w:tabs>
        <w:spacing w:before="120" w:after="120" w:line="280" w:lineRule="atLeast"/>
        <w:ind w:left="680"/>
        <w:jc w:val="both"/>
      </w:pPr>
      <w:r w:rsidRPr="0025431B">
        <w:rPr>
          <w:szCs w:val="22"/>
        </w:rPr>
        <w:t>Dummy records where no episode number could be identified.</w:t>
      </w:r>
    </w:p>
    <w:p w:rsidR="00906893" w:rsidRPr="00975E6B" w:rsidRDefault="00906893" w:rsidP="00F26328">
      <w:pPr>
        <w:pStyle w:val="BodyText"/>
        <w:numPr>
          <w:ilvl w:val="0"/>
          <w:numId w:val="39"/>
        </w:numPr>
      </w:pPr>
      <w:r w:rsidRPr="00975E6B">
        <w:t xml:space="preserve">Adjustments made by the jurisdiction relate to </w:t>
      </w:r>
      <w:r w:rsidR="00D52AA9" w:rsidRPr="00975E6B">
        <w:t xml:space="preserve">the </w:t>
      </w:r>
      <w:r w:rsidR="00D52AA9">
        <w:t>activity associated with the</w:t>
      </w:r>
      <w:r w:rsidR="00D52AA9" w:rsidRPr="00975E6B" w:rsidDel="00D52AA9">
        <w:t xml:space="preserve"> </w:t>
      </w:r>
      <w:r w:rsidRPr="00975E6B">
        <w:t>excluded costs (at Item G of the financial reconciliation) such as dummy, current WIP and unmatched records and aggregate level non-admitted patients.</w:t>
      </w:r>
    </w:p>
    <w:p w:rsidR="00906893" w:rsidRPr="00975E6B" w:rsidRDefault="00906893" w:rsidP="00F26328">
      <w:pPr>
        <w:pStyle w:val="BodyText"/>
        <w:numPr>
          <w:ilvl w:val="0"/>
          <w:numId w:val="39"/>
        </w:numPr>
      </w:pPr>
      <w:r w:rsidRPr="00975E6B">
        <w:t>Adjustments made by IHPA relate to the reallocation of patients for the unqualified baby adjustment and virtual patients (as discussed in Item J of the explanation of reconciliation items).</w:t>
      </w:r>
    </w:p>
    <w:p w:rsidR="00B5276F" w:rsidRPr="00975E6B" w:rsidRDefault="00B5276F" w:rsidP="00A952FC">
      <w:pPr>
        <w:pStyle w:val="Heading3"/>
        <w:numPr>
          <w:ilvl w:val="2"/>
          <w:numId w:val="77"/>
        </w:numPr>
      </w:pPr>
      <w:r w:rsidRPr="00A952FC">
        <w:t>Treatment</w:t>
      </w:r>
      <w:r w:rsidRPr="00975E6B">
        <w:t xml:space="preserve"> of </w:t>
      </w:r>
      <w:r w:rsidR="00865FF8" w:rsidRPr="00975E6B">
        <w:t>WIP</w:t>
      </w:r>
    </w:p>
    <w:p w:rsidR="00B5276F" w:rsidRPr="00975E6B" w:rsidRDefault="00B5276F" w:rsidP="00B5276F">
      <w:pPr>
        <w:pStyle w:val="BodyText"/>
      </w:pPr>
      <w:r w:rsidRPr="00975E6B">
        <w:fldChar w:fldCharType="begin"/>
      </w:r>
      <w:r w:rsidRPr="00975E6B">
        <w:instrText xml:space="preserve"> REF _Ref433264000 \h </w:instrText>
      </w:r>
      <w:r w:rsidR="00975E6B">
        <w:instrText xml:space="preserve"> \* MERGEFORMAT </w:instrText>
      </w:r>
      <w:r w:rsidRPr="00975E6B">
        <w:fldChar w:fldCharType="separate"/>
      </w:r>
      <w:r w:rsidR="00154CF7" w:rsidRPr="00975E6B">
        <w:t xml:space="preserve">Table </w:t>
      </w:r>
      <w:r w:rsidR="00154CF7">
        <w:t>105</w:t>
      </w:r>
      <w:r w:rsidRPr="00975E6B">
        <w:fldChar w:fldCharType="end"/>
      </w:r>
      <w:r w:rsidRPr="00975E6B">
        <w:t xml:space="preserve"> demonstrates models for WIP and what was included in the </w:t>
      </w:r>
      <w:r w:rsidR="003F167A" w:rsidRPr="00975E6B">
        <w:t>Princess Margaret</w:t>
      </w:r>
      <w:r w:rsidRPr="00975E6B">
        <w:t xml:space="preserve"> Round 18 NHCDC submission.</w:t>
      </w:r>
    </w:p>
    <w:p w:rsidR="00B5276F" w:rsidRPr="00975E6B" w:rsidRDefault="00B5276F" w:rsidP="00C77C25">
      <w:pPr>
        <w:pStyle w:val="Caption"/>
        <w:pageBreakBefore/>
      </w:pPr>
      <w:bookmarkStart w:id="848" w:name="_Ref433264000"/>
      <w:r w:rsidRPr="00975E6B">
        <w:lastRenderedPageBreak/>
        <w:t xml:space="preserve">Table </w:t>
      </w:r>
      <w:r w:rsidR="00AC3838">
        <w:fldChar w:fldCharType="begin"/>
      </w:r>
      <w:r w:rsidR="00AC3838">
        <w:instrText xml:space="preserve"> SEQ Table \* ARABIC </w:instrText>
      </w:r>
      <w:r w:rsidR="00AC3838">
        <w:fldChar w:fldCharType="separate"/>
      </w:r>
      <w:proofErr w:type="gramStart"/>
      <w:r w:rsidR="00154CF7">
        <w:rPr>
          <w:noProof/>
        </w:rPr>
        <w:t>105</w:t>
      </w:r>
      <w:r w:rsidR="00AC3838">
        <w:rPr>
          <w:noProof/>
        </w:rPr>
        <w:fldChar w:fldCharType="end"/>
      </w:r>
      <w:bookmarkEnd w:id="848"/>
      <w:r w:rsidRPr="00975E6B">
        <w:t xml:space="preserve"> – </w:t>
      </w:r>
      <w:r w:rsidR="00865FF8" w:rsidRPr="00975E6B">
        <w:t>WIP</w:t>
      </w:r>
      <w:r w:rsidRPr="00975E6B">
        <w:t xml:space="preserve"> – Princess Margaret Hospital</w:t>
      </w:r>
      <w:proofErr w:type="gramEnd"/>
    </w:p>
    <w:tbl>
      <w:tblPr>
        <w:tblStyle w:val="ListTable4-Accent11"/>
        <w:tblW w:w="5000" w:type="pct"/>
        <w:tblLayout w:type="fixed"/>
        <w:tblLook w:val="0620" w:firstRow="1" w:lastRow="0" w:firstColumn="0" w:lastColumn="0" w:noHBand="1" w:noVBand="1"/>
        <w:tblCaption w:val="Table 105 - Models for Work In Progress - Princess Margaret Hospital"/>
        <w:tblDescription w:val="This table describes the models for Work In Progress and how that applied to Princess Margaret Hospital.  The first column is the model number, the second column is the description and the third column is how that model was applied for the relevant hospital.&#10;"/>
      </w:tblPr>
      <w:tblGrid>
        <w:gridCol w:w="870"/>
        <w:gridCol w:w="3928"/>
        <w:gridCol w:w="3923"/>
      </w:tblGrid>
      <w:tr w:rsidR="00B5276F" w:rsidRPr="00975E6B" w:rsidTr="00E14378">
        <w:trPr>
          <w:cnfStyle w:val="100000000000" w:firstRow="1" w:lastRow="0" w:firstColumn="0" w:lastColumn="0" w:oddVBand="0" w:evenVBand="0" w:oddHBand="0" w:evenHBand="0" w:firstRowFirstColumn="0" w:firstRowLastColumn="0" w:lastRowFirstColumn="0" w:lastRowLastColumn="0"/>
          <w:tblHeader/>
        </w:trPr>
        <w:tc>
          <w:tcPr>
            <w:tcW w:w="499" w:type="pct"/>
            <w:tcBorders>
              <w:right w:val="single" w:sz="4" w:space="0" w:color="548DD4" w:themeColor="text2" w:themeTint="99"/>
            </w:tcBorders>
            <w:shd w:val="clear" w:color="auto" w:fill="002060"/>
            <w:noWrap/>
          </w:tcPr>
          <w:p w:rsidR="00B5276F" w:rsidRPr="00975E6B" w:rsidRDefault="00B5276F" w:rsidP="00AF6CC3">
            <w:r w:rsidRPr="00975E6B">
              <w:t>Model</w:t>
            </w:r>
          </w:p>
        </w:tc>
        <w:tc>
          <w:tcPr>
            <w:tcW w:w="2252" w:type="pct"/>
            <w:tcBorders>
              <w:left w:val="single" w:sz="4" w:space="0" w:color="548DD4" w:themeColor="text2" w:themeTint="99"/>
            </w:tcBorders>
            <w:shd w:val="clear" w:color="auto" w:fill="002060"/>
          </w:tcPr>
          <w:p w:rsidR="00B5276F" w:rsidRPr="00975E6B" w:rsidRDefault="00B5276F" w:rsidP="00AF6CC3">
            <w:r w:rsidRPr="00975E6B">
              <w:t>Description</w:t>
            </w:r>
          </w:p>
        </w:tc>
        <w:tc>
          <w:tcPr>
            <w:tcW w:w="2249" w:type="pct"/>
            <w:tcBorders>
              <w:left w:val="single" w:sz="4" w:space="0" w:color="548DD4" w:themeColor="text2" w:themeTint="99"/>
            </w:tcBorders>
            <w:shd w:val="clear" w:color="auto" w:fill="002060"/>
          </w:tcPr>
          <w:p w:rsidR="00B5276F" w:rsidRPr="00975E6B" w:rsidRDefault="00B5276F" w:rsidP="00AF6CC3">
            <w:pPr>
              <w:jc w:val="center"/>
            </w:pPr>
            <w:r w:rsidRPr="00975E6B">
              <w:t>Submitted to Round 18 NHCDC</w:t>
            </w:r>
          </w:p>
        </w:tc>
      </w:tr>
      <w:tr w:rsidR="00B5276F" w:rsidRPr="00975E6B" w:rsidTr="00AF6CC3">
        <w:tc>
          <w:tcPr>
            <w:tcW w:w="499" w:type="pct"/>
            <w:tcBorders>
              <w:right w:val="single" w:sz="4" w:space="0" w:color="548DD4" w:themeColor="text2" w:themeTint="99"/>
            </w:tcBorders>
            <w:noWrap/>
          </w:tcPr>
          <w:p w:rsidR="00B5276F" w:rsidRPr="00975E6B" w:rsidRDefault="00B5276F" w:rsidP="00AF6CC3">
            <w:r w:rsidRPr="00975E6B">
              <w:t>1</w:t>
            </w:r>
          </w:p>
        </w:tc>
        <w:tc>
          <w:tcPr>
            <w:tcW w:w="2252" w:type="pct"/>
            <w:tcBorders>
              <w:left w:val="single" w:sz="4" w:space="0" w:color="548DD4" w:themeColor="text2" w:themeTint="99"/>
            </w:tcBorders>
          </w:tcPr>
          <w:p w:rsidR="00B5276F" w:rsidRPr="00975E6B" w:rsidRDefault="00B5276F" w:rsidP="00AF6CC3">
            <w:r w:rsidRPr="00975E6B">
              <w:t>Admitted and Discharged Patients in 2013/14 only</w:t>
            </w:r>
          </w:p>
        </w:tc>
        <w:tc>
          <w:tcPr>
            <w:tcW w:w="2249" w:type="pct"/>
            <w:tcBorders>
              <w:left w:val="single" w:sz="4" w:space="0" w:color="548DD4" w:themeColor="text2" w:themeTint="99"/>
            </w:tcBorders>
          </w:tcPr>
          <w:p w:rsidR="00B5276F" w:rsidRPr="00975E6B" w:rsidRDefault="00B5276F" w:rsidP="00AF6CC3">
            <w:pPr>
              <w:jc w:val="center"/>
            </w:pPr>
            <w:r w:rsidRPr="00975E6B">
              <w:t>Submitted to Round 18 of the NHCDC</w:t>
            </w:r>
          </w:p>
        </w:tc>
      </w:tr>
      <w:tr w:rsidR="00B5276F" w:rsidRPr="00975E6B" w:rsidTr="00AF6CC3">
        <w:tc>
          <w:tcPr>
            <w:tcW w:w="499" w:type="pct"/>
            <w:tcBorders>
              <w:right w:val="single" w:sz="4" w:space="0" w:color="548DD4" w:themeColor="text2" w:themeTint="99"/>
            </w:tcBorders>
            <w:noWrap/>
          </w:tcPr>
          <w:p w:rsidR="00B5276F" w:rsidRPr="00975E6B" w:rsidRDefault="00B5276F" w:rsidP="00AF6CC3">
            <w:r w:rsidRPr="00975E6B">
              <w:t>2</w:t>
            </w:r>
          </w:p>
        </w:tc>
        <w:tc>
          <w:tcPr>
            <w:tcW w:w="2252" w:type="pct"/>
            <w:tcBorders>
              <w:left w:val="single" w:sz="4" w:space="0" w:color="548DD4" w:themeColor="text2" w:themeTint="99"/>
            </w:tcBorders>
          </w:tcPr>
          <w:p w:rsidR="00B5276F" w:rsidRPr="00975E6B" w:rsidRDefault="00B5276F" w:rsidP="00AF6CC3">
            <w:r w:rsidRPr="00975E6B">
              <w:t>Costs for patients discharged in 2013/14 but incurred prior to 2013/14</w:t>
            </w:r>
          </w:p>
        </w:tc>
        <w:tc>
          <w:tcPr>
            <w:tcW w:w="2249" w:type="pct"/>
            <w:tcBorders>
              <w:left w:val="single" w:sz="4" w:space="0" w:color="548DD4" w:themeColor="text2" w:themeTint="99"/>
            </w:tcBorders>
          </w:tcPr>
          <w:p w:rsidR="00B5276F" w:rsidRPr="00975E6B" w:rsidRDefault="00B5276F" w:rsidP="00AF6CC3">
            <w:pPr>
              <w:jc w:val="center"/>
            </w:pPr>
            <w:r w:rsidRPr="00975E6B">
              <w:t>Submitted to Round 18 of the NHCDC</w:t>
            </w:r>
          </w:p>
        </w:tc>
      </w:tr>
      <w:tr w:rsidR="00B5276F" w:rsidRPr="00975E6B" w:rsidTr="00AF6CC3">
        <w:tc>
          <w:tcPr>
            <w:tcW w:w="499" w:type="pct"/>
            <w:tcBorders>
              <w:right w:val="single" w:sz="4" w:space="0" w:color="548DD4" w:themeColor="text2" w:themeTint="99"/>
            </w:tcBorders>
            <w:noWrap/>
          </w:tcPr>
          <w:p w:rsidR="00B5276F" w:rsidRPr="00975E6B" w:rsidRDefault="00B5276F" w:rsidP="00AF6CC3">
            <w:r w:rsidRPr="00975E6B">
              <w:t>3</w:t>
            </w:r>
          </w:p>
        </w:tc>
        <w:tc>
          <w:tcPr>
            <w:tcW w:w="2252" w:type="pct"/>
            <w:tcBorders>
              <w:left w:val="single" w:sz="4" w:space="0" w:color="548DD4" w:themeColor="text2" w:themeTint="99"/>
            </w:tcBorders>
          </w:tcPr>
          <w:p w:rsidR="00B5276F" w:rsidRPr="00975E6B" w:rsidRDefault="00B5276F" w:rsidP="00AF6CC3">
            <w:r w:rsidRPr="00975E6B">
              <w:t>Costs for patients admitted in 2013/14 and still admitted at 30/06/2014</w:t>
            </w:r>
          </w:p>
        </w:tc>
        <w:tc>
          <w:tcPr>
            <w:tcW w:w="2249" w:type="pct"/>
            <w:tcBorders>
              <w:left w:val="single" w:sz="4" w:space="0" w:color="548DD4" w:themeColor="text2" w:themeTint="99"/>
            </w:tcBorders>
          </w:tcPr>
          <w:p w:rsidR="00B5276F" w:rsidRPr="00975E6B" w:rsidRDefault="00B5276F" w:rsidP="00AF6CC3">
            <w:pPr>
              <w:jc w:val="center"/>
            </w:pPr>
            <w:r w:rsidRPr="00975E6B">
              <w:t>Not submitted to Round 18 of the NHCDC</w:t>
            </w:r>
          </w:p>
        </w:tc>
      </w:tr>
      <w:tr w:rsidR="00B5276F" w:rsidRPr="00975E6B" w:rsidTr="00AF6CC3">
        <w:tc>
          <w:tcPr>
            <w:tcW w:w="499" w:type="pct"/>
            <w:tcBorders>
              <w:right w:val="single" w:sz="4" w:space="0" w:color="548DD4" w:themeColor="text2" w:themeTint="99"/>
            </w:tcBorders>
            <w:noWrap/>
          </w:tcPr>
          <w:p w:rsidR="00B5276F" w:rsidRPr="00975E6B" w:rsidRDefault="00B5276F" w:rsidP="00AF6CC3">
            <w:r w:rsidRPr="00975E6B">
              <w:t>4</w:t>
            </w:r>
          </w:p>
        </w:tc>
        <w:tc>
          <w:tcPr>
            <w:tcW w:w="2252" w:type="pct"/>
            <w:tcBorders>
              <w:left w:val="single" w:sz="4" w:space="0" w:color="548DD4" w:themeColor="text2" w:themeTint="99"/>
            </w:tcBorders>
          </w:tcPr>
          <w:p w:rsidR="00B5276F" w:rsidRPr="00975E6B" w:rsidRDefault="00B5276F" w:rsidP="00AF6CC3">
            <w:r w:rsidRPr="00975E6B">
              <w:t>Costs for patients admitted prior to 2013/14 and still admitted at 30/06/2014</w:t>
            </w:r>
          </w:p>
        </w:tc>
        <w:tc>
          <w:tcPr>
            <w:tcW w:w="2249" w:type="pct"/>
            <w:tcBorders>
              <w:left w:val="single" w:sz="4" w:space="0" w:color="548DD4" w:themeColor="text2" w:themeTint="99"/>
            </w:tcBorders>
          </w:tcPr>
          <w:p w:rsidR="00B5276F" w:rsidRPr="00975E6B" w:rsidRDefault="00B5276F" w:rsidP="00AF6CC3">
            <w:pPr>
              <w:jc w:val="center"/>
            </w:pPr>
            <w:r w:rsidRPr="00975E6B">
              <w:t>Not submitted to Round 18 of the NHCDC</w:t>
            </w:r>
          </w:p>
        </w:tc>
      </w:tr>
    </w:tbl>
    <w:p w:rsidR="00B5276F" w:rsidRPr="00975E6B" w:rsidRDefault="00B5276F" w:rsidP="00B5276F">
      <w:pPr>
        <w:pStyle w:val="FootnoteText"/>
        <w:rPr>
          <w:bCs/>
          <w:i/>
          <w:sz w:val="16"/>
          <w:szCs w:val="16"/>
        </w:rPr>
      </w:pPr>
      <w:r w:rsidRPr="00975E6B">
        <w:rPr>
          <w:bCs/>
          <w:i/>
          <w:sz w:val="16"/>
          <w:szCs w:val="16"/>
        </w:rPr>
        <w:t xml:space="preserve">Source: KPMG, based on </w:t>
      </w:r>
      <w:r w:rsidR="003F167A" w:rsidRPr="00975E6B">
        <w:rPr>
          <w:bCs/>
          <w:i/>
          <w:sz w:val="16"/>
          <w:szCs w:val="16"/>
        </w:rPr>
        <w:t>Princess Margaret</w:t>
      </w:r>
      <w:r w:rsidRPr="00975E6B">
        <w:rPr>
          <w:bCs/>
          <w:i/>
          <w:sz w:val="16"/>
          <w:szCs w:val="16"/>
        </w:rPr>
        <w:t xml:space="preserve"> templates and review discussions</w:t>
      </w:r>
      <w:r w:rsidRPr="00975E6B" w:rsidDel="00F92991">
        <w:rPr>
          <w:bCs/>
          <w:i/>
          <w:sz w:val="16"/>
          <w:szCs w:val="16"/>
        </w:rPr>
        <w:t xml:space="preserve"> </w:t>
      </w:r>
    </w:p>
    <w:p w:rsidR="00B5276F" w:rsidRPr="00975E6B" w:rsidRDefault="00B5276F" w:rsidP="00B5276F">
      <w:pPr>
        <w:pStyle w:val="BodyText"/>
      </w:pPr>
      <w:r w:rsidRPr="00975E6B">
        <w:t xml:space="preserve">In summary, </w:t>
      </w:r>
      <w:r w:rsidR="003F167A" w:rsidRPr="00975E6B">
        <w:t>Princess Margaret</w:t>
      </w:r>
      <w:r w:rsidRPr="00975E6B">
        <w:t xml:space="preserve"> submitted </w:t>
      </w:r>
      <w:r w:rsidR="00B7080E" w:rsidRPr="00975E6B">
        <w:t xml:space="preserve">WIP </w:t>
      </w:r>
      <w:r w:rsidRPr="00975E6B">
        <w:t xml:space="preserve">costs for admitted and discharged patients in 2013/14 and the 2012/13 </w:t>
      </w:r>
      <w:r w:rsidR="00B7080E" w:rsidRPr="00975E6B">
        <w:t xml:space="preserve">WIP </w:t>
      </w:r>
      <w:r w:rsidRPr="00975E6B">
        <w:t xml:space="preserve">costs incurred for patients admitted prior to, but discharged, in 2013/14. Round 17 was the first year of WIP data in PPM2 (first year of PPM2) as such there are no </w:t>
      </w:r>
      <w:r w:rsidR="00B7080E" w:rsidRPr="00975E6B">
        <w:t xml:space="preserve">WIP </w:t>
      </w:r>
      <w:r w:rsidRPr="00975E6B">
        <w:t>costs prior to 2012/13.</w:t>
      </w:r>
    </w:p>
    <w:p w:rsidR="00B5276F" w:rsidRPr="00975E6B" w:rsidRDefault="00B5276F" w:rsidP="00A952FC">
      <w:pPr>
        <w:pStyle w:val="Heading4"/>
        <w:numPr>
          <w:ilvl w:val="0"/>
          <w:numId w:val="0"/>
        </w:numPr>
        <w:ind w:left="720" w:hanging="720"/>
      </w:pPr>
      <w:r w:rsidRPr="00975E6B">
        <w:t>Escalation factor</w:t>
      </w:r>
    </w:p>
    <w:p w:rsidR="00B5276F" w:rsidRPr="00975E6B" w:rsidRDefault="00B5276F" w:rsidP="00B5276F">
      <w:pPr>
        <w:pStyle w:val="BodyText"/>
      </w:pPr>
      <w:r w:rsidRPr="00975E6B">
        <w:t xml:space="preserve">No escalation factor to costs incurred prior to 2013/14 was applied to the </w:t>
      </w:r>
      <w:r w:rsidR="003F167A" w:rsidRPr="00975E6B">
        <w:t>Princess Margaret</w:t>
      </w:r>
      <w:r w:rsidRPr="00975E6B">
        <w:t xml:space="preserve"> Round 18 submission to the NHCDC.</w:t>
      </w:r>
    </w:p>
    <w:p w:rsidR="00B5276F" w:rsidRPr="00975E6B" w:rsidRDefault="00B5276F" w:rsidP="00A952FC">
      <w:pPr>
        <w:pStyle w:val="Heading3"/>
        <w:numPr>
          <w:ilvl w:val="2"/>
          <w:numId w:val="77"/>
        </w:numPr>
      </w:pPr>
      <w:r w:rsidRPr="00A952FC">
        <w:t>Treatment</w:t>
      </w:r>
      <w:r w:rsidRPr="00975E6B">
        <w:t xml:space="preserve"> of other specific cost items</w:t>
      </w:r>
    </w:p>
    <w:p w:rsidR="00B5276F" w:rsidRPr="00975E6B" w:rsidRDefault="00B5276F" w:rsidP="00B5276F">
      <w:r w:rsidRPr="00975E6B">
        <w:t>The following items were discussed during the reviews to understand their treatment in the costing process</w:t>
      </w:r>
      <w:r w:rsidR="008E29F7" w:rsidRPr="00975E6B">
        <w:t>. The</w:t>
      </w:r>
      <w:r w:rsidRPr="00975E6B">
        <w:t xml:space="preserve"> cost data is used to inform the NEP and specific funding model adjustments for particular patient cohorts. </w:t>
      </w:r>
      <w:r w:rsidR="003F167A" w:rsidRPr="00975E6B">
        <w:t>Princess Margaret</w:t>
      </w:r>
      <w:r w:rsidRPr="00975E6B">
        <w:t xml:space="preserve">’s treatment of each of the items is summarised in </w:t>
      </w:r>
      <w:r w:rsidRPr="00975E6B">
        <w:fldChar w:fldCharType="begin"/>
      </w:r>
      <w:r w:rsidRPr="00975E6B">
        <w:instrText xml:space="preserve"> REF _Ref433308185 \h </w:instrText>
      </w:r>
      <w:r w:rsidR="00975E6B">
        <w:instrText xml:space="preserve"> \* MERGEFORMAT </w:instrText>
      </w:r>
      <w:r w:rsidRPr="00975E6B">
        <w:fldChar w:fldCharType="separate"/>
      </w:r>
      <w:r w:rsidR="00154CF7" w:rsidRPr="00975E6B">
        <w:t xml:space="preserve">Table </w:t>
      </w:r>
      <w:r w:rsidR="00154CF7">
        <w:rPr>
          <w:noProof/>
        </w:rPr>
        <w:t>106</w:t>
      </w:r>
      <w:r w:rsidRPr="00975E6B">
        <w:fldChar w:fldCharType="end"/>
      </w:r>
      <w:r w:rsidRPr="00975E6B">
        <w:t>.</w:t>
      </w:r>
    </w:p>
    <w:p w:rsidR="00B5276F" w:rsidRPr="00975E6B" w:rsidRDefault="00B5276F" w:rsidP="00B5276F">
      <w:pPr>
        <w:pStyle w:val="Caption"/>
      </w:pPr>
      <w:bookmarkStart w:id="849" w:name="_Ref433308185"/>
      <w:r w:rsidRPr="00975E6B">
        <w:t xml:space="preserve">Table </w:t>
      </w:r>
      <w:fldSimple w:instr=" SEQ Table \* ARABIC ">
        <w:r w:rsidR="00154CF7">
          <w:rPr>
            <w:noProof/>
          </w:rPr>
          <w:t>106</w:t>
        </w:r>
      </w:fldSimple>
      <w:bookmarkEnd w:id="849"/>
      <w:r w:rsidRPr="00975E6B">
        <w:t xml:space="preserve"> – Treatment of other specific cost items – Princess Margaret Hospital</w:t>
      </w:r>
    </w:p>
    <w:tbl>
      <w:tblPr>
        <w:tblStyle w:val="ListTable4-Accent11"/>
        <w:tblW w:w="5000" w:type="pct"/>
        <w:tblLayout w:type="fixed"/>
        <w:tblLook w:val="0620" w:firstRow="1" w:lastRow="0" w:firstColumn="0" w:lastColumn="0" w:noHBand="1" w:noVBand="1"/>
        <w:tblCaption w:val="Table 106 - Treatment of specific items - Princess Margaret Hospital"/>
        <w:tblDescription w:val="This table describes how Princess Margaret Hospital treated specific items in their Round 18 NHCDC Submission.  The first column is the item and the second column is the description of the treatment.&#10;"/>
      </w:tblPr>
      <w:tblGrid>
        <w:gridCol w:w="3342"/>
        <w:gridCol w:w="5379"/>
      </w:tblGrid>
      <w:tr w:rsidR="00B5276F" w:rsidRPr="00975E6B" w:rsidTr="00E14378">
        <w:trPr>
          <w:cnfStyle w:val="100000000000" w:firstRow="1" w:lastRow="0" w:firstColumn="0" w:lastColumn="0" w:oddVBand="0" w:evenVBand="0" w:oddHBand="0" w:evenHBand="0" w:firstRowFirstColumn="0" w:firstRowLastColumn="0" w:lastRowFirstColumn="0" w:lastRowLastColumn="0"/>
          <w:tblHeader/>
        </w:trPr>
        <w:tc>
          <w:tcPr>
            <w:tcW w:w="1916" w:type="pct"/>
            <w:tcBorders>
              <w:right w:val="single" w:sz="4" w:space="0" w:color="548DD4" w:themeColor="text2" w:themeTint="99"/>
            </w:tcBorders>
            <w:shd w:val="clear" w:color="auto" w:fill="002060"/>
            <w:noWrap/>
          </w:tcPr>
          <w:p w:rsidR="00B5276F" w:rsidRPr="00975E6B" w:rsidRDefault="00B5276F" w:rsidP="00AF6CC3">
            <w:r w:rsidRPr="00975E6B">
              <w:t>Item</w:t>
            </w:r>
          </w:p>
        </w:tc>
        <w:tc>
          <w:tcPr>
            <w:tcW w:w="3084" w:type="pct"/>
            <w:tcBorders>
              <w:left w:val="single" w:sz="4" w:space="0" w:color="548DD4" w:themeColor="text2" w:themeTint="99"/>
            </w:tcBorders>
            <w:shd w:val="clear" w:color="auto" w:fill="002060"/>
          </w:tcPr>
          <w:p w:rsidR="00B5276F" w:rsidRPr="00975E6B" w:rsidRDefault="00B5276F" w:rsidP="00AF6CC3">
            <w:r w:rsidRPr="00975E6B">
              <w:t>Treatment</w:t>
            </w:r>
          </w:p>
        </w:tc>
      </w:tr>
      <w:tr w:rsidR="00B5276F" w:rsidRPr="00975E6B" w:rsidTr="00AF6CC3">
        <w:tc>
          <w:tcPr>
            <w:tcW w:w="1916" w:type="pct"/>
            <w:tcBorders>
              <w:right w:val="single" w:sz="4" w:space="0" w:color="548DD4" w:themeColor="text2" w:themeTint="99"/>
            </w:tcBorders>
            <w:noWrap/>
          </w:tcPr>
          <w:p w:rsidR="00B5276F" w:rsidRPr="00975E6B" w:rsidRDefault="00B5276F" w:rsidP="00AF6CC3">
            <w:pPr>
              <w:pStyle w:val="BodyText"/>
              <w:jc w:val="left"/>
            </w:pPr>
            <w:r w:rsidRPr="00975E6B">
              <w:t>Teaching, training and research</w:t>
            </w:r>
          </w:p>
        </w:tc>
        <w:tc>
          <w:tcPr>
            <w:tcW w:w="3084" w:type="pct"/>
            <w:tcBorders>
              <w:left w:val="single" w:sz="4" w:space="0" w:color="548DD4" w:themeColor="text2" w:themeTint="99"/>
            </w:tcBorders>
          </w:tcPr>
          <w:p w:rsidR="00B5276F" w:rsidRPr="00975E6B" w:rsidRDefault="00140C9F" w:rsidP="00AF6CC3">
            <w:pPr>
              <w:pStyle w:val="BodyText"/>
              <w:jc w:val="left"/>
            </w:pPr>
            <w:r w:rsidRPr="00975E6B">
              <w:t>TTR</w:t>
            </w:r>
            <w:r w:rsidR="00B5276F" w:rsidRPr="00975E6B">
              <w:t xml:space="preserve"> costs are not excluded from the costing system and are submitted to the jurisdiction from the health service. These costs are then removed by the jurisdiction for submission to IHPA.</w:t>
            </w:r>
          </w:p>
        </w:tc>
      </w:tr>
      <w:tr w:rsidR="00B5276F" w:rsidRPr="00975E6B" w:rsidTr="00AF6CC3">
        <w:tc>
          <w:tcPr>
            <w:tcW w:w="1916" w:type="pct"/>
            <w:tcBorders>
              <w:right w:val="single" w:sz="4" w:space="0" w:color="548DD4" w:themeColor="text2" w:themeTint="99"/>
            </w:tcBorders>
            <w:noWrap/>
          </w:tcPr>
          <w:p w:rsidR="00B5276F" w:rsidRPr="00975E6B" w:rsidRDefault="00B5276F" w:rsidP="00AF6CC3">
            <w:pPr>
              <w:pStyle w:val="BodyText"/>
              <w:jc w:val="left"/>
            </w:pPr>
            <w:r w:rsidRPr="00975E6B">
              <w:t>Shared/other commercial entities</w:t>
            </w:r>
          </w:p>
        </w:tc>
        <w:tc>
          <w:tcPr>
            <w:tcW w:w="3084" w:type="pct"/>
            <w:tcBorders>
              <w:left w:val="single" w:sz="4" w:space="0" w:color="548DD4" w:themeColor="text2" w:themeTint="99"/>
            </w:tcBorders>
          </w:tcPr>
          <w:p w:rsidR="00B5276F" w:rsidRPr="00975E6B" w:rsidRDefault="00B5276F" w:rsidP="00AF6CC3">
            <w:pPr>
              <w:pStyle w:val="BodyText"/>
              <w:jc w:val="left"/>
            </w:pPr>
            <w:r w:rsidRPr="00975E6B">
              <w:t>Expenditure is excluded by the health service.</w:t>
            </w:r>
          </w:p>
        </w:tc>
      </w:tr>
      <w:tr w:rsidR="00901115" w:rsidRPr="00975E6B" w:rsidTr="00AF6CC3">
        <w:tc>
          <w:tcPr>
            <w:tcW w:w="1916" w:type="pct"/>
            <w:tcBorders>
              <w:right w:val="single" w:sz="4" w:space="0" w:color="548DD4" w:themeColor="text2" w:themeTint="99"/>
            </w:tcBorders>
            <w:noWrap/>
          </w:tcPr>
          <w:p w:rsidR="00901115" w:rsidRPr="00975E6B" w:rsidRDefault="00901115" w:rsidP="00901115">
            <w:pPr>
              <w:pStyle w:val="BodyText"/>
              <w:jc w:val="left"/>
            </w:pPr>
            <w:r w:rsidRPr="00975E6B">
              <w:t xml:space="preserve">Intensive Care Unit </w:t>
            </w:r>
          </w:p>
        </w:tc>
        <w:tc>
          <w:tcPr>
            <w:tcW w:w="3084" w:type="pct"/>
            <w:tcBorders>
              <w:left w:val="single" w:sz="4" w:space="0" w:color="548DD4" w:themeColor="text2" w:themeTint="99"/>
            </w:tcBorders>
          </w:tcPr>
          <w:p w:rsidR="00901115" w:rsidRPr="00975E6B" w:rsidRDefault="00901115" w:rsidP="00901115">
            <w:pPr>
              <w:pStyle w:val="BodyText"/>
              <w:jc w:val="left"/>
            </w:pPr>
            <w:r w:rsidRPr="00975E6B">
              <w:t>No change to the costing methodology.</w:t>
            </w:r>
          </w:p>
        </w:tc>
      </w:tr>
      <w:tr w:rsidR="00901115" w:rsidRPr="00975E6B" w:rsidTr="00AF6CC3">
        <w:tc>
          <w:tcPr>
            <w:tcW w:w="1916" w:type="pct"/>
            <w:tcBorders>
              <w:right w:val="single" w:sz="4" w:space="0" w:color="548DD4" w:themeColor="text2" w:themeTint="99"/>
            </w:tcBorders>
            <w:noWrap/>
          </w:tcPr>
          <w:p w:rsidR="00901115" w:rsidRPr="00975E6B" w:rsidRDefault="00EE5E5B" w:rsidP="00901115">
            <w:pPr>
              <w:pStyle w:val="BodyText"/>
              <w:jc w:val="left"/>
            </w:pPr>
            <w:r w:rsidRPr="00975E6B">
              <w:t>Aboriginal and Torres Strait Islander</w:t>
            </w:r>
            <w:r w:rsidR="00901115" w:rsidRPr="00975E6B">
              <w:t xml:space="preserve"> patients</w:t>
            </w:r>
          </w:p>
        </w:tc>
        <w:tc>
          <w:tcPr>
            <w:tcW w:w="3084" w:type="pct"/>
            <w:tcBorders>
              <w:left w:val="single" w:sz="4" w:space="0" w:color="548DD4" w:themeColor="text2" w:themeTint="99"/>
            </w:tcBorders>
          </w:tcPr>
          <w:p w:rsidR="00901115" w:rsidRPr="00975E6B" w:rsidRDefault="00901115" w:rsidP="00901115">
            <w:pPr>
              <w:pStyle w:val="BodyText"/>
              <w:jc w:val="left"/>
            </w:pPr>
            <w:r w:rsidRPr="00975E6B">
              <w:t>No change to the costing methodology. No ATSI weights or adjustments were made.</w:t>
            </w:r>
          </w:p>
        </w:tc>
      </w:tr>
      <w:tr w:rsidR="00901115" w:rsidRPr="00975E6B" w:rsidTr="00AF6CC3">
        <w:trPr>
          <w:trHeight w:val="516"/>
        </w:trPr>
        <w:tc>
          <w:tcPr>
            <w:tcW w:w="1916" w:type="pct"/>
            <w:tcBorders>
              <w:right w:val="single" w:sz="4" w:space="0" w:color="548DD4" w:themeColor="text2" w:themeTint="99"/>
            </w:tcBorders>
            <w:noWrap/>
          </w:tcPr>
          <w:p w:rsidR="00901115" w:rsidRPr="00975E6B" w:rsidRDefault="00901115" w:rsidP="00901115">
            <w:pPr>
              <w:pStyle w:val="BodyText"/>
              <w:jc w:val="left"/>
            </w:pPr>
            <w:r w:rsidRPr="00975E6B">
              <w:t xml:space="preserve">Private Patients </w:t>
            </w:r>
          </w:p>
        </w:tc>
        <w:tc>
          <w:tcPr>
            <w:tcW w:w="3084" w:type="pct"/>
            <w:tcBorders>
              <w:left w:val="single" w:sz="4" w:space="0" w:color="548DD4" w:themeColor="text2" w:themeTint="99"/>
            </w:tcBorders>
          </w:tcPr>
          <w:p w:rsidR="00901115" w:rsidRPr="00975E6B" w:rsidRDefault="00901115" w:rsidP="00901115">
            <w:pPr>
              <w:pStyle w:val="BodyText"/>
              <w:jc w:val="left"/>
            </w:pPr>
            <w:r w:rsidRPr="00975E6B">
              <w:t xml:space="preserve">No change to the costing methodology. No private patient weights or adjustments were </w:t>
            </w:r>
            <w:r w:rsidR="000C19A6" w:rsidRPr="00975E6B">
              <w:t>made;</w:t>
            </w:r>
            <w:r w:rsidRPr="00975E6B">
              <w:t xml:space="preserve"> all costs are in the GL. The costing team are not aware of patient status.</w:t>
            </w:r>
          </w:p>
        </w:tc>
      </w:tr>
      <w:tr w:rsidR="00901115" w:rsidRPr="00975E6B" w:rsidTr="00AF6CC3">
        <w:tc>
          <w:tcPr>
            <w:tcW w:w="1916" w:type="pct"/>
            <w:tcBorders>
              <w:right w:val="single" w:sz="4" w:space="0" w:color="548DD4" w:themeColor="text2" w:themeTint="99"/>
            </w:tcBorders>
            <w:noWrap/>
          </w:tcPr>
          <w:p w:rsidR="00901115" w:rsidRPr="00975E6B" w:rsidRDefault="00901115" w:rsidP="00901115">
            <w:pPr>
              <w:pStyle w:val="BodyText"/>
              <w:jc w:val="left"/>
            </w:pPr>
            <w:r w:rsidRPr="00975E6B">
              <w:t>PBS drugs</w:t>
            </w:r>
          </w:p>
        </w:tc>
        <w:tc>
          <w:tcPr>
            <w:tcW w:w="3084" w:type="pct"/>
            <w:tcBorders>
              <w:left w:val="single" w:sz="4" w:space="0" w:color="548DD4" w:themeColor="text2" w:themeTint="99"/>
            </w:tcBorders>
          </w:tcPr>
          <w:p w:rsidR="00901115" w:rsidRPr="00975E6B" w:rsidRDefault="003F167A" w:rsidP="00901115">
            <w:pPr>
              <w:pStyle w:val="BodyText"/>
              <w:jc w:val="left"/>
            </w:pPr>
            <w:r w:rsidRPr="00975E6B">
              <w:t>Princess Margaret</w:t>
            </w:r>
            <w:r w:rsidR="00901115" w:rsidRPr="00975E6B">
              <w:t xml:space="preserve"> does not collect this this information and therefore adjustments are not made to the costing methodology.</w:t>
            </w:r>
          </w:p>
        </w:tc>
      </w:tr>
    </w:tbl>
    <w:p w:rsidR="00B5276F" w:rsidRPr="00975E6B" w:rsidRDefault="00B5276F" w:rsidP="00B5276F">
      <w:pPr>
        <w:pStyle w:val="FootnoteText"/>
        <w:rPr>
          <w:bCs/>
          <w:i/>
          <w:sz w:val="16"/>
          <w:szCs w:val="16"/>
        </w:rPr>
      </w:pPr>
      <w:r w:rsidRPr="00975E6B">
        <w:rPr>
          <w:bCs/>
          <w:i/>
          <w:sz w:val="16"/>
          <w:szCs w:val="16"/>
        </w:rPr>
        <w:lastRenderedPageBreak/>
        <w:t>Source: KPMG</w:t>
      </w:r>
    </w:p>
    <w:p w:rsidR="00B5276F" w:rsidRPr="00975E6B" w:rsidRDefault="00B5276F" w:rsidP="00A952FC">
      <w:pPr>
        <w:pStyle w:val="Heading3"/>
        <w:numPr>
          <w:ilvl w:val="2"/>
          <w:numId w:val="77"/>
        </w:numPr>
      </w:pPr>
      <w:r w:rsidRPr="00A952FC">
        <w:t>Sample</w:t>
      </w:r>
      <w:r w:rsidRPr="00975E6B">
        <w:t xml:space="preserve"> patient data</w:t>
      </w:r>
    </w:p>
    <w:p w:rsidR="00B5276F" w:rsidRPr="00975E6B" w:rsidRDefault="00B5276F" w:rsidP="00B5276F">
      <w:pPr>
        <w:pStyle w:val="BodyText"/>
      </w:pPr>
      <w:r w:rsidRPr="00975E6B">
        <w:t xml:space="preserve">IHPA selected a sample of five patients from </w:t>
      </w:r>
      <w:r w:rsidR="003F167A" w:rsidRPr="00975E6B">
        <w:t>Princess Margaret</w:t>
      </w:r>
      <w:r w:rsidRPr="00975E6B">
        <w:t xml:space="preserve"> for the purposes of testing the data flow from jurisdictions to IHPA at the patient level. </w:t>
      </w:r>
      <w:r w:rsidR="00DF3D31" w:rsidRPr="00975E6B">
        <w:t>WA Health</w:t>
      </w:r>
      <w:r w:rsidRPr="00975E6B">
        <w:t xml:space="preserve"> provided the patient level costs for all five patients and these reconciled to IHPA records. The results are summarised in </w:t>
      </w:r>
      <w:r w:rsidRPr="00975E6B">
        <w:fldChar w:fldCharType="begin"/>
      </w:r>
      <w:r w:rsidRPr="00975E6B">
        <w:instrText xml:space="preserve"> REF _Ref434148924 \h </w:instrText>
      </w:r>
      <w:r w:rsidR="00865FF8" w:rsidRPr="00975E6B">
        <w:instrText xml:space="preserve"> \* MERGEFORMAT </w:instrText>
      </w:r>
      <w:r w:rsidRPr="00975E6B">
        <w:fldChar w:fldCharType="separate"/>
      </w:r>
      <w:r w:rsidR="00154CF7" w:rsidRPr="00975E6B">
        <w:t xml:space="preserve">Table </w:t>
      </w:r>
      <w:r w:rsidR="00154CF7" w:rsidRPr="00154CF7">
        <w:t>107</w:t>
      </w:r>
      <w:r w:rsidRPr="00975E6B">
        <w:fldChar w:fldCharType="end"/>
      </w:r>
      <w:r w:rsidRPr="00975E6B">
        <w:t>.</w:t>
      </w:r>
    </w:p>
    <w:p w:rsidR="00800B2D" w:rsidRPr="00975E6B" w:rsidRDefault="00B5276F" w:rsidP="00CD1518">
      <w:pPr>
        <w:pStyle w:val="Caption"/>
      </w:pPr>
      <w:bookmarkStart w:id="850" w:name="_Ref434148924"/>
      <w:r w:rsidRPr="00975E6B">
        <w:t xml:space="preserve">Table </w:t>
      </w:r>
      <w:r w:rsidR="00705BE8">
        <w:fldChar w:fldCharType="begin"/>
      </w:r>
      <w:r w:rsidR="00705BE8">
        <w:rPr>
          <w:bCs w:val="0"/>
          <w:i w:val="0"/>
        </w:rPr>
        <w:instrText xml:space="preserve"> SEQ Table \* ARABIC </w:instrText>
      </w:r>
      <w:r w:rsidR="00705BE8">
        <w:fldChar w:fldCharType="separate"/>
      </w:r>
      <w:r w:rsidR="00154CF7">
        <w:rPr>
          <w:bCs w:val="0"/>
          <w:i w:val="0"/>
          <w:noProof/>
        </w:rPr>
        <w:t>107</w:t>
      </w:r>
      <w:r w:rsidR="00705BE8">
        <w:rPr>
          <w:noProof/>
        </w:rPr>
        <w:fldChar w:fldCharType="end"/>
      </w:r>
      <w:bookmarkEnd w:id="850"/>
      <w:r w:rsidRPr="00975E6B">
        <w:t xml:space="preserve"> – Sample patients – Princess Margaret Hospital</w:t>
      </w:r>
    </w:p>
    <w:tbl>
      <w:tblPr>
        <w:tblW w:w="5000" w:type="pct"/>
        <w:tblLook w:val="04A0" w:firstRow="1" w:lastRow="0" w:firstColumn="1" w:lastColumn="0" w:noHBand="0" w:noVBand="1"/>
        <w:tblCaption w:val="Table 107 - Sample patients - Princess Margaret Hospital"/>
        <w:tblDescription w:val="This table presents the results of the 5 sample patients tested for the data flow from jurisdictions to IHPA at the patient level for Princess Margaret Hospital. There are 5 columns.  Column 1 is the sample number, Column 2 is the product type, column 3 is the amount in  jurisdiction records, Column 4 is the amount received by IHPA and Column 5 is the variance between jurisdiction and IHPA."/>
      </w:tblPr>
      <w:tblGrid>
        <w:gridCol w:w="509"/>
        <w:gridCol w:w="2274"/>
        <w:gridCol w:w="2274"/>
        <w:gridCol w:w="2274"/>
        <w:gridCol w:w="1390"/>
      </w:tblGrid>
      <w:tr w:rsidR="00800B2D" w:rsidRPr="00800B2D" w:rsidTr="00E14378">
        <w:trPr>
          <w:trHeight w:val="260"/>
        </w:trPr>
        <w:tc>
          <w:tcPr>
            <w:tcW w:w="291" w:type="pct"/>
            <w:tcBorders>
              <w:top w:val="single" w:sz="4" w:space="0" w:color="5B9BD5"/>
              <w:left w:val="single" w:sz="4" w:space="0" w:color="5B9BD5"/>
              <w:bottom w:val="single" w:sz="4" w:space="0" w:color="5B9BD5"/>
              <w:right w:val="single" w:sz="4" w:space="0" w:color="5B9BD5"/>
            </w:tcBorders>
            <w:shd w:val="clear" w:color="auto" w:fill="002060"/>
            <w:vAlign w:val="bottom"/>
            <w:hideMark/>
          </w:tcPr>
          <w:p w:rsidR="00800B2D" w:rsidRPr="00800B2D" w:rsidRDefault="00800B2D" w:rsidP="00800B2D">
            <w:pPr>
              <w:spacing w:line="240" w:lineRule="auto"/>
              <w:jc w:val="center"/>
              <w:rPr>
                <w:b/>
                <w:bCs/>
                <w:color w:val="FFFFFF"/>
                <w:lang w:eastAsia="en-AU"/>
              </w:rPr>
            </w:pPr>
            <w:r w:rsidRPr="00800B2D">
              <w:rPr>
                <w:b/>
                <w:bCs/>
                <w:color w:val="FFFFFF"/>
                <w:lang w:eastAsia="en-AU"/>
              </w:rPr>
              <w: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800B2D" w:rsidRPr="00800B2D" w:rsidRDefault="00800B2D" w:rsidP="00800B2D">
            <w:pPr>
              <w:spacing w:line="240" w:lineRule="auto"/>
              <w:rPr>
                <w:b/>
                <w:bCs/>
                <w:color w:val="FFFFFF"/>
                <w:lang w:eastAsia="en-AU"/>
              </w:rPr>
            </w:pPr>
            <w:r w:rsidRPr="00800B2D">
              <w:rPr>
                <w:b/>
                <w:bCs/>
                <w:color w:val="FFFFFF"/>
                <w:lang w:eastAsia="en-AU"/>
              </w:rPr>
              <w:t>Product</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800B2D" w:rsidRPr="00800B2D" w:rsidRDefault="00800B2D" w:rsidP="00800B2D">
            <w:pPr>
              <w:spacing w:line="240" w:lineRule="auto"/>
              <w:jc w:val="center"/>
              <w:rPr>
                <w:b/>
                <w:bCs/>
                <w:color w:val="FFFFFF"/>
                <w:lang w:eastAsia="en-AU"/>
              </w:rPr>
            </w:pPr>
            <w:r w:rsidRPr="00800B2D">
              <w:rPr>
                <w:b/>
                <w:bCs/>
                <w:color w:val="FFFFFF"/>
                <w:lang w:eastAsia="en-AU"/>
              </w:rPr>
              <w:t>Jurisdiction records</w:t>
            </w:r>
          </w:p>
        </w:tc>
        <w:tc>
          <w:tcPr>
            <w:tcW w:w="1304" w:type="pct"/>
            <w:tcBorders>
              <w:top w:val="single" w:sz="4" w:space="0" w:color="5B9BD5"/>
              <w:left w:val="nil"/>
              <w:bottom w:val="single" w:sz="4" w:space="0" w:color="5B9BD5"/>
              <w:right w:val="single" w:sz="4" w:space="0" w:color="5B9BD5"/>
            </w:tcBorders>
            <w:shd w:val="clear" w:color="auto" w:fill="002060"/>
            <w:vAlign w:val="bottom"/>
            <w:hideMark/>
          </w:tcPr>
          <w:p w:rsidR="00800B2D" w:rsidRPr="00800B2D" w:rsidRDefault="00800B2D" w:rsidP="00800B2D">
            <w:pPr>
              <w:spacing w:line="240" w:lineRule="auto"/>
              <w:jc w:val="center"/>
              <w:rPr>
                <w:b/>
                <w:bCs/>
                <w:color w:val="FFFFFF"/>
                <w:lang w:eastAsia="en-AU"/>
              </w:rPr>
            </w:pPr>
            <w:r w:rsidRPr="00800B2D">
              <w:rPr>
                <w:b/>
                <w:bCs/>
                <w:color w:val="FFFFFF"/>
                <w:lang w:eastAsia="en-AU"/>
              </w:rPr>
              <w:t>Received by IHPA</w:t>
            </w:r>
          </w:p>
        </w:tc>
        <w:tc>
          <w:tcPr>
            <w:tcW w:w="797" w:type="pct"/>
            <w:tcBorders>
              <w:top w:val="nil"/>
              <w:left w:val="nil"/>
              <w:bottom w:val="nil"/>
              <w:right w:val="single" w:sz="4" w:space="0" w:color="5B9BD5"/>
            </w:tcBorders>
            <w:shd w:val="clear" w:color="auto" w:fill="002060"/>
            <w:vAlign w:val="bottom"/>
            <w:hideMark/>
          </w:tcPr>
          <w:p w:rsidR="00800B2D" w:rsidRPr="00800B2D" w:rsidRDefault="00800B2D" w:rsidP="00800B2D">
            <w:pPr>
              <w:spacing w:line="240" w:lineRule="auto"/>
              <w:jc w:val="center"/>
              <w:rPr>
                <w:b/>
                <w:bCs/>
                <w:color w:val="FFFFFF"/>
                <w:lang w:eastAsia="en-AU"/>
              </w:rPr>
            </w:pPr>
            <w:r w:rsidRPr="00800B2D">
              <w:rPr>
                <w:b/>
                <w:bCs/>
                <w:color w:val="FFFFFF"/>
                <w:lang w:eastAsia="en-AU"/>
              </w:rPr>
              <w:t>Variance</w:t>
            </w:r>
          </w:p>
        </w:tc>
      </w:tr>
      <w:tr w:rsidR="009C3210" w:rsidRPr="00800B2D"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800B2D" w:rsidRDefault="009C3210" w:rsidP="009C3210">
            <w:pPr>
              <w:spacing w:line="240" w:lineRule="auto"/>
              <w:jc w:val="center"/>
              <w:rPr>
                <w:color w:val="000000"/>
                <w:lang w:eastAsia="en-AU"/>
              </w:rPr>
            </w:pPr>
            <w:r w:rsidRPr="00800B2D">
              <w:rPr>
                <w:color w:val="000000"/>
                <w:lang w:eastAsia="en-AU"/>
              </w:rPr>
              <w:t>1</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800B2D" w:rsidRDefault="009C3210" w:rsidP="009C3210">
            <w:pPr>
              <w:spacing w:line="240" w:lineRule="auto"/>
              <w:rPr>
                <w:color w:val="000000"/>
                <w:lang w:eastAsia="en-AU"/>
              </w:rPr>
            </w:pPr>
            <w:r w:rsidRPr="00800B2D">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800B2D" w:rsidRDefault="009C3210" w:rsidP="00CD1518">
            <w:pPr>
              <w:spacing w:line="240" w:lineRule="auto"/>
              <w:jc w:val="right"/>
              <w:rPr>
                <w:color w:val="000000"/>
                <w:lang w:eastAsia="en-AU"/>
              </w:rPr>
            </w:pPr>
            <w:r w:rsidRPr="00800B2D">
              <w:rPr>
                <w:color w:val="000000"/>
                <w:lang w:eastAsia="en-AU"/>
              </w:rPr>
              <w:t xml:space="preserve"> $11,237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800B2D" w:rsidRDefault="009C3210" w:rsidP="00CD1518">
            <w:pPr>
              <w:spacing w:line="240" w:lineRule="auto"/>
              <w:jc w:val="right"/>
              <w:rPr>
                <w:color w:val="000000"/>
                <w:lang w:eastAsia="en-AU"/>
              </w:rPr>
            </w:pPr>
            <w:r w:rsidRPr="00800B2D">
              <w:rPr>
                <w:color w:val="000000"/>
                <w:lang w:eastAsia="en-AU"/>
              </w:rPr>
              <w:t xml:space="preserve"> $11,237 </w:t>
            </w:r>
          </w:p>
        </w:tc>
        <w:tc>
          <w:tcPr>
            <w:tcW w:w="797" w:type="pct"/>
            <w:tcBorders>
              <w:top w:val="single" w:sz="4" w:space="0" w:color="5B9BD5"/>
              <w:left w:val="nil"/>
              <w:bottom w:val="single" w:sz="4" w:space="0" w:color="5B9BD5"/>
              <w:right w:val="single" w:sz="4" w:space="0" w:color="5B9BD5"/>
            </w:tcBorders>
            <w:shd w:val="clear" w:color="000000" w:fill="FFFFFF"/>
            <w:noWrap/>
            <w:vAlign w:val="bottom"/>
            <w:hideMark/>
          </w:tcPr>
          <w:p w:rsidR="009C3210" w:rsidRPr="00800B2D" w:rsidRDefault="009C3210" w:rsidP="00CD1518">
            <w:pPr>
              <w:spacing w:line="240" w:lineRule="auto"/>
              <w:jc w:val="right"/>
              <w:rPr>
                <w:color w:val="000000"/>
                <w:lang w:eastAsia="en-AU"/>
              </w:rPr>
            </w:pPr>
            <w:r w:rsidRPr="00800B2D">
              <w:rPr>
                <w:color w:val="000000"/>
                <w:lang w:eastAsia="en-AU"/>
              </w:rPr>
              <w:t xml:space="preserve"> $-   </w:t>
            </w:r>
          </w:p>
        </w:tc>
      </w:tr>
      <w:tr w:rsidR="009C3210" w:rsidRPr="00800B2D" w:rsidTr="00CD1518">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800B2D" w:rsidRDefault="009C3210" w:rsidP="009C3210">
            <w:pPr>
              <w:spacing w:line="240" w:lineRule="auto"/>
              <w:jc w:val="center"/>
              <w:rPr>
                <w:color w:val="000000"/>
                <w:lang w:eastAsia="en-AU"/>
              </w:rPr>
            </w:pPr>
            <w:r w:rsidRPr="00800B2D">
              <w:rPr>
                <w:color w:val="000000"/>
                <w:lang w:eastAsia="en-AU"/>
              </w:rPr>
              <w:t>2</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800B2D" w:rsidRDefault="009C3210" w:rsidP="009C3210">
            <w:pPr>
              <w:spacing w:line="240" w:lineRule="auto"/>
              <w:rPr>
                <w:color w:val="000000"/>
                <w:lang w:eastAsia="en-AU"/>
              </w:rPr>
            </w:pPr>
            <w:r w:rsidRPr="00800B2D">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800B2D" w:rsidRDefault="009C3210" w:rsidP="00CD1518">
            <w:pPr>
              <w:spacing w:line="240" w:lineRule="auto"/>
              <w:jc w:val="right"/>
              <w:rPr>
                <w:color w:val="000000"/>
                <w:lang w:eastAsia="en-AU"/>
              </w:rPr>
            </w:pPr>
            <w:r>
              <w:rPr>
                <w:color w:val="000000"/>
                <w:lang w:eastAsia="en-AU"/>
              </w:rPr>
              <w:t xml:space="preserve"> $</w:t>
            </w:r>
            <w:r w:rsidRPr="00800B2D">
              <w:rPr>
                <w:color w:val="000000"/>
                <w:lang w:eastAsia="en-AU"/>
              </w:rPr>
              <w:t xml:space="preserve">615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800B2D" w:rsidRDefault="009C3210" w:rsidP="00CD1518">
            <w:pPr>
              <w:spacing w:line="240" w:lineRule="auto"/>
              <w:jc w:val="right"/>
              <w:rPr>
                <w:color w:val="000000"/>
                <w:lang w:eastAsia="en-AU"/>
              </w:rPr>
            </w:pPr>
            <w:r>
              <w:rPr>
                <w:color w:val="000000"/>
                <w:lang w:eastAsia="en-AU"/>
              </w:rPr>
              <w:t xml:space="preserve"> $</w:t>
            </w:r>
            <w:r w:rsidRPr="00800B2D">
              <w:rPr>
                <w:color w:val="000000"/>
                <w:lang w:eastAsia="en-AU"/>
              </w:rPr>
              <w:t xml:space="preserve">615 </w:t>
            </w:r>
          </w:p>
        </w:tc>
        <w:tc>
          <w:tcPr>
            <w:tcW w:w="797" w:type="pct"/>
            <w:tcBorders>
              <w:top w:val="nil"/>
              <w:left w:val="nil"/>
              <w:bottom w:val="single" w:sz="4" w:space="0" w:color="5B9BD5"/>
              <w:right w:val="single" w:sz="4" w:space="0" w:color="5B9BD5"/>
            </w:tcBorders>
            <w:shd w:val="clear" w:color="000000" w:fill="DDEBF7"/>
            <w:noWrap/>
            <w:vAlign w:val="bottom"/>
            <w:hideMark/>
          </w:tcPr>
          <w:p w:rsidR="009C3210" w:rsidRPr="00800B2D" w:rsidRDefault="009C3210" w:rsidP="00CD1518">
            <w:pPr>
              <w:spacing w:line="240" w:lineRule="auto"/>
              <w:jc w:val="right"/>
              <w:rPr>
                <w:color w:val="000000"/>
                <w:lang w:eastAsia="en-AU"/>
              </w:rPr>
            </w:pPr>
            <w:r w:rsidRPr="00800B2D">
              <w:rPr>
                <w:color w:val="000000"/>
                <w:lang w:eastAsia="en-AU"/>
              </w:rPr>
              <w:t xml:space="preserve"> $-   </w:t>
            </w:r>
          </w:p>
        </w:tc>
      </w:tr>
      <w:tr w:rsidR="009C3210" w:rsidRPr="00800B2D"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800B2D" w:rsidRDefault="009C3210" w:rsidP="009C3210">
            <w:pPr>
              <w:spacing w:line="240" w:lineRule="auto"/>
              <w:jc w:val="center"/>
              <w:rPr>
                <w:color w:val="000000"/>
                <w:lang w:eastAsia="en-AU"/>
              </w:rPr>
            </w:pPr>
            <w:r w:rsidRPr="00800B2D">
              <w:rPr>
                <w:color w:val="000000"/>
                <w:lang w:eastAsia="en-AU"/>
              </w:rPr>
              <w:t>3</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800B2D" w:rsidRDefault="009C3210" w:rsidP="009C3210">
            <w:pPr>
              <w:spacing w:line="240" w:lineRule="auto"/>
              <w:rPr>
                <w:color w:val="000000"/>
                <w:lang w:eastAsia="en-AU"/>
              </w:rPr>
            </w:pPr>
            <w:r w:rsidRPr="00800B2D">
              <w:rPr>
                <w:color w:val="000000"/>
                <w:lang w:eastAsia="en-AU"/>
              </w:rPr>
              <w:t xml:space="preserve"> Acute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800B2D" w:rsidRDefault="009C3210" w:rsidP="00CD1518">
            <w:pPr>
              <w:spacing w:line="240" w:lineRule="auto"/>
              <w:jc w:val="right"/>
              <w:rPr>
                <w:color w:val="000000"/>
                <w:lang w:eastAsia="en-AU"/>
              </w:rPr>
            </w:pPr>
            <w:r w:rsidRPr="00800B2D">
              <w:rPr>
                <w:color w:val="000000"/>
                <w:lang w:eastAsia="en-AU"/>
              </w:rPr>
              <w:t xml:space="preserve"> $1,306,879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800B2D" w:rsidRDefault="009C3210" w:rsidP="00CD1518">
            <w:pPr>
              <w:spacing w:line="240" w:lineRule="auto"/>
              <w:jc w:val="right"/>
              <w:rPr>
                <w:color w:val="000000"/>
                <w:lang w:eastAsia="en-AU"/>
              </w:rPr>
            </w:pPr>
            <w:r w:rsidRPr="00800B2D">
              <w:rPr>
                <w:color w:val="000000"/>
                <w:lang w:eastAsia="en-AU"/>
              </w:rPr>
              <w:t xml:space="preserve"> $1,306,879 </w:t>
            </w:r>
          </w:p>
        </w:tc>
        <w:tc>
          <w:tcPr>
            <w:tcW w:w="797" w:type="pct"/>
            <w:tcBorders>
              <w:top w:val="nil"/>
              <w:left w:val="nil"/>
              <w:bottom w:val="single" w:sz="4" w:space="0" w:color="5B9BD5"/>
              <w:right w:val="single" w:sz="4" w:space="0" w:color="5B9BD5"/>
            </w:tcBorders>
            <w:shd w:val="clear" w:color="000000" w:fill="FFFFFF"/>
            <w:noWrap/>
            <w:vAlign w:val="bottom"/>
            <w:hideMark/>
          </w:tcPr>
          <w:p w:rsidR="009C3210" w:rsidRPr="00800B2D" w:rsidRDefault="009C3210" w:rsidP="00CD1518">
            <w:pPr>
              <w:spacing w:line="240" w:lineRule="auto"/>
              <w:jc w:val="right"/>
              <w:rPr>
                <w:color w:val="000000"/>
                <w:lang w:eastAsia="en-AU"/>
              </w:rPr>
            </w:pPr>
            <w:r w:rsidRPr="00800B2D">
              <w:rPr>
                <w:color w:val="000000"/>
                <w:lang w:eastAsia="en-AU"/>
              </w:rPr>
              <w:t xml:space="preserve"> $-   </w:t>
            </w:r>
          </w:p>
        </w:tc>
      </w:tr>
      <w:tr w:rsidR="009C3210" w:rsidRPr="00800B2D" w:rsidTr="00CD1518">
        <w:trPr>
          <w:trHeight w:val="260"/>
        </w:trPr>
        <w:tc>
          <w:tcPr>
            <w:tcW w:w="291"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800B2D" w:rsidRDefault="009C3210" w:rsidP="009C3210">
            <w:pPr>
              <w:spacing w:line="240" w:lineRule="auto"/>
              <w:jc w:val="center"/>
              <w:rPr>
                <w:color w:val="000000"/>
                <w:lang w:eastAsia="en-AU"/>
              </w:rPr>
            </w:pPr>
            <w:r w:rsidRPr="00800B2D">
              <w:rPr>
                <w:color w:val="000000"/>
                <w:lang w:eastAsia="en-AU"/>
              </w:rPr>
              <w:t>4</w:t>
            </w:r>
          </w:p>
        </w:tc>
        <w:tc>
          <w:tcPr>
            <w:tcW w:w="1304" w:type="pct"/>
            <w:tcBorders>
              <w:top w:val="nil"/>
              <w:left w:val="single" w:sz="4" w:space="0" w:color="5B9BD5"/>
              <w:bottom w:val="single" w:sz="4" w:space="0" w:color="5B9BD5"/>
              <w:right w:val="single" w:sz="4" w:space="0" w:color="5B9BD5"/>
            </w:tcBorders>
            <w:shd w:val="clear" w:color="000000" w:fill="DDEBF7"/>
            <w:noWrap/>
            <w:vAlign w:val="bottom"/>
            <w:hideMark/>
          </w:tcPr>
          <w:p w:rsidR="009C3210" w:rsidRPr="00800B2D" w:rsidRDefault="009C3210" w:rsidP="009C3210">
            <w:pPr>
              <w:spacing w:line="240" w:lineRule="auto"/>
              <w:rPr>
                <w:color w:val="000000"/>
                <w:lang w:eastAsia="en-AU"/>
              </w:rPr>
            </w:pPr>
            <w:r w:rsidRPr="00800B2D">
              <w:rPr>
                <w:color w:val="000000"/>
                <w:lang w:eastAsia="en-AU"/>
              </w:rPr>
              <w:t xml:space="preserve"> Non-Admitted ED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800B2D" w:rsidRDefault="009C3210" w:rsidP="00CD1518">
            <w:pPr>
              <w:spacing w:line="240" w:lineRule="auto"/>
              <w:jc w:val="right"/>
              <w:rPr>
                <w:color w:val="000000"/>
                <w:lang w:eastAsia="en-AU"/>
              </w:rPr>
            </w:pPr>
            <w:r w:rsidRPr="00800B2D">
              <w:rPr>
                <w:color w:val="000000"/>
                <w:lang w:eastAsia="en-AU"/>
              </w:rPr>
              <w:t xml:space="preserve"> $2,252 </w:t>
            </w:r>
          </w:p>
        </w:tc>
        <w:tc>
          <w:tcPr>
            <w:tcW w:w="1304" w:type="pct"/>
            <w:tcBorders>
              <w:top w:val="nil"/>
              <w:left w:val="nil"/>
              <w:bottom w:val="single" w:sz="4" w:space="0" w:color="5B9BD5"/>
              <w:right w:val="single" w:sz="4" w:space="0" w:color="5B9BD5"/>
            </w:tcBorders>
            <w:shd w:val="clear" w:color="000000" w:fill="DDEBF7"/>
            <w:noWrap/>
            <w:vAlign w:val="bottom"/>
            <w:hideMark/>
          </w:tcPr>
          <w:p w:rsidR="009C3210" w:rsidRPr="00800B2D" w:rsidRDefault="009C3210" w:rsidP="00CD1518">
            <w:pPr>
              <w:spacing w:line="240" w:lineRule="auto"/>
              <w:jc w:val="right"/>
              <w:rPr>
                <w:color w:val="000000"/>
                <w:lang w:eastAsia="en-AU"/>
              </w:rPr>
            </w:pPr>
            <w:r w:rsidRPr="00800B2D">
              <w:rPr>
                <w:color w:val="000000"/>
                <w:lang w:eastAsia="en-AU"/>
              </w:rPr>
              <w:t xml:space="preserve"> $2,252 </w:t>
            </w:r>
          </w:p>
        </w:tc>
        <w:tc>
          <w:tcPr>
            <w:tcW w:w="797" w:type="pct"/>
            <w:tcBorders>
              <w:top w:val="nil"/>
              <w:left w:val="nil"/>
              <w:bottom w:val="single" w:sz="4" w:space="0" w:color="5B9BD5"/>
              <w:right w:val="single" w:sz="4" w:space="0" w:color="5B9BD5"/>
            </w:tcBorders>
            <w:shd w:val="clear" w:color="000000" w:fill="DDEBF7"/>
            <w:noWrap/>
            <w:vAlign w:val="bottom"/>
            <w:hideMark/>
          </w:tcPr>
          <w:p w:rsidR="009C3210" w:rsidRPr="00800B2D" w:rsidRDefault="009C3210" w:rsidP="00CD1518">
            <w:pPr>
              <w:spacing w:line="240" w:lineRule="auto"/>
              <w:jc w:val="right"/>
              <w:rPr>
                <w:color w:val="000000"/>
                <w:lang w:eastAsia="en-AU"/>
              </w:rPr>
            </w:pPr>
            <w:r w:rsidRPr="00800B2D">
              <w:rPr>
                <w:color w:val="000000"/>
                <w:lang w:eastAsia="en-AU"/>
              </w:rPr>
              <w:t xml:space="preserve"> $-   </w:t>
            </w:r>
          </w:p>
        </w:tc>
      </w:tr>
      <w:tr w:rsidR="009C3210" w:rsidRPr="00800B2D" w:rsidTr="00CD1518">
        <w:trPr>
          <w:trHeight w:val="260"/>
        </w:trPr>
        <w:tc>
          <w:tcPr>
            <w:tcW w:w="291"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800B2D" w:rsidRDefault="009C3210" w:rsidP="009C3210">
            <w:pPr>
              <w:spacing w:line="240" w:lineRule="auto"/>
              <w:jc w:val="center"/>
              <w:rPr>
                <w:color w:val="000000"/>
                <w:lang w:eastAsia="en-AU"/>
              </w:rPr>
            </w:pPr>
            <w:r w:rsidRPr="00800B2D">
              <w:rPr>
                <w:color w:val="000000"/>
                <w:lang w:eastAsia="en-AU"/>
              </w:rPr>
              <w:t>5</w:t>
            </w:r>
          </w:p>
        </w:tc>
        <w:tc>
          <w:tcPr>
            <w:tcW w:w="1304" w:type="pct"/>
            <w:tcBorders>
              <w:top w:val="nil"/>
              <w:left w:val="single" w:sz="4" w:space="0" w:color="5B9BD5"/>
              <w:bottom w:val="single" w:sz="4" w:space="0" w:color="5B9BD5"/>
              <w:right w:val="single" w:sz="4" w:space="0" w:color="5B9BD5"/>
            </w:tcBorders>
            <w:shd w:val="clear" w:color="000000" w:fill="FFFFFF"/>
            <w:noWrap/>
            <w:vAlign w:val="bottom"/>
            <w:hideMark/>
          </w:tcPr>
          <w:p w:rsidR="009C3210" w:rsidRPr="00800B2D" w:rsidRDefault="009C3210" w:rsidP="009C3210">
            <w:pPr>
              <w:spacing w:line="240" w:lineRule="auto"/>
              <w:rPr>
                <w:color w:val="000000"/>
                <w:lang w:eastAsia="en-AU"/>
              </w:rPr>
            </w:pPr>
            <w:r w:rsidRPr="00800B2D">
              <w:rPr>
                <w:color w:val="000000"/>
                <w:lang w:eastAsia="en-AU"/>
              </w:rPr>
              <w:t xml:space="preserve"> Non-admitted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800B2D" w:rsidRDefault="009C3210" w:rsidP="00CD1518">
            <w:pPr>
              <w:spacing w:line="240" w:lineRule="auto"/>
              <w:jc w:val="right"/>
              <w:rPr>
                <w:color w:val="000000"/>
                <w:lang w:eastAsia="en-AU"/>
              </w:rPr>
            </w:pPr>
            <w:r w:rsidRPr="00800B2D">
              <w:rPr>
                <w:color w:val="000000"/>
                <w:lang w:eastAsia="en-AU"/>
              </w:rPr>
              <w:t xml:space="preserve"> $95 </w:t>
            </w:r>
          </w:p>
        </w:tc>
        <w:tc>
          <w:tcPr>
            <w:tcW w:w="1304" w:type="pct"/>
            <w:tcBorders>
              <w:top w:val="nil"/>
              <w:left w:val="nil"/>
              <w:bottom w:val="single" w:sz="4" w:space="0" w:color="5B9BD5"/>
              <w:right w:val="single" w:sz="4" w:space="0" w:color="5B9BD5"/>
            </w:tcBorders>
            <w:shd w:val="clear" w:color="000000" w:fill="FFFFFF"/>
            <w:noWrap/>
            <w:vAlign w:val="bottom"/>
            <w:hideMark/>
          </w:tcPr>
          <w:p w:rsidR="009C3210" w:rsidRPr="00800B2D" w:rsidRDefault="009C3210" w:rsidP="00CD1518">
            <w:pPr>
              <w:spacing w:line="240" w:lineRule="auto"/>
              <w:jc w:val="right"/>
              <w:rPr>
                <w:color w:val="000000"/>
                <w:lang w:eastAsia="en-AU"/>
              </w:rPr>
            </w:pPr>
            <w:r w:rsidRPr="00800B2D">
              <w:rPr>
                <w:color w:val="000000"/>
                <w:lang w:eastAsia="en-AU"/>
              </w:rPr>
              <w:t xml:space="preserve"> $95 </w:t>
            </w:r>
          </w:p>
        </w:tc>
        <w:tc>
          <w:tcPr>
            <w:tcW w:w="797" w:type="pct"/>
            <w:tcBorders>
              <w:top w:val="nil"/>
              <w:left w:val="nil"/>
              <w:bottom w:val="single" w:sz="4" w:space="0" w:color="5B9BD5"/>
              <w:right w:val="single" w:sz="4" w:space="0" w:color="5B9BD5"/>
            </w:tcBorders>
            <w:shd w:val="clear" w:color="000000" w:fill="FFFFFF"/>
            <w:noWrap/>
            <w:vAlign w:val="bottom"/>
            <w:hideMark/>
          </w:tcPr>
          <w:p w:rsidR="009C3210" w:rsidRPr="00800B2D" w:rsidRDefault="009C3210" w:rsidP="00CD1518">
            <w:pPr>
              <w:spacing w:line="240" w:lineRule="auto"/>
              <w:jc w:val="right"/>
              <w:rPr>
                <w:color w:val="000000"/>
                <w:lang w:eastAsia="en-AU"/>
              </w:rPr>
            </w:pPr>
            <w:r w:rsidRPr="00800B2D">
              <w:rPr>
                <w:color w:val="000000"/>
                <w:lang w:eastAsia="en-AU"/>
              </w:rPr>
              <w:t xml:space="preserve"> $-   </w:t>
            </w:r>
          </w:p>
        </w:tc>
      </w:tr>
    </w:tbl>
    <w:p w:rsidR="00B5276F" w:rsidRPr="00975E6B" w:rsidRDefault="00B5276F" w:rsidP="00B5276F">
      <w:pPr>
        <w:pStyle w:val="FootnoteText"/>
        <w:rPr>
          <w:bCs/>
          <w:i/>
          <w:sz w:val="16"/>
          <w:szCs w:val="16"/>
        </w:rPr>
      </w:pPr>
      <w:r w:rsidRPr="00975E6B">
        <w:rPr>
          <w:bCs/>
          <w:i/>
          <w:sz w:val="16"/>
          <w:szCs w:val="16"/>
        </w:rPr>
        <w:t xml:space="preserve">Source: KPMG, based on </w:t>
      </w:r>
      <w:r w:rsidR="003F167A" w:rsidRPr="00975E6B">
        <w:rPr>
          <w:bCs/>
          <w:i/>
          <w:sz w:val="16"/>
          <w:szCs w:val="16"/>
        </w:rPr>
        <w:t>Princess Margaret</w:t>
      </w:r>
      <w:r w:rsidRPr="00975E6B">
        <w:rPr>
          <w:bCs/>
          <w:i/>
          <w:sz w:val="16"/>
          <w:szCs w:val="16"/>
        </w:rPr>
        <w:t xml:space="preserve"> and IHPA data</w:t>
      </w:r>
    </w:p>
    <w:p w:rsidR="00B5276F" w:rsidRPr="00975E6B" w:rsidRDefault="00B5276F" w:rsidP="00A952FC">
      <w:pPr>
        <w:pStyle w:val="Heading2"/>
        <w:numPr>
          <w:ilvl w:val="1"/>
          <w:numId w:val="77"/>
        </w:numPr>
      </w:pPr>
      <w:bookmarkStart w:id="851" w:name="_Toc444523689"/>
      <w:r w:rsidRPr="00A952FC">
        <w:t>Application</w:t>
      </w:r>
      <w:r w:rsidRPr="00975E6B">
        <w:t xml:space="preserve"> of AHPCS Version 3.1</w:t>
      </w:r>
      <w:bookmarkEnd w:id="851"/>
    </w:p>
    <w:p w:rsidR="00B5276F" w:rsidRPr="00975E6B" w:rsidRDefault="00914D23" w:rsidP="00B5276F">
      <w:pPr>
        <w:pStyle w:val="BodyText"/>
      </w:pPr>
      <w:r w:rsidRPr="00975E6B">
        <w:fldChar w:fldCharType="begin"/>
      </w:r>
      <w:r w:rsidRPr="00975E6B">
        <w:instrText xml:space="preserve"> REF _Ref434265727 \h </w:instrText>
      </w:r>
      <w:r w:rsidR="00975E6B">
        <w:instrText xml:space="preserve"> \* MERGEFORMAT </w:instrText>
      </w:r>
      <w:r w:rsidRPr="00975E6B">
        <w:fldChar w:fldCharType="separate"/>
      </w:r>
      <w:r w:rsidR="00154CF7" w:rsidRPr="00975E6B">
        <w:t xml:space="preserve">Table </w:t>
      </w:r>
      <w:r w:rsidR="00154CF7">
        <w:rPr>
          <w:noProof/>
        </w:rPr>
        <w:t>108</w:t>
      </w:r>
      <w:r w:rsidRPr="00975E6B">
        <w:fldChar w:fldCharType="end"/>
      </w:r>
      <w:r w:rsidRPr="00975E6B">
        <w:t xml:space="preserve"> </w:t>
      </w:r>
      <w:r w:rsidR="00B5276F" w:rsidRPr="00975E6B">
        <w:t xml:space="preserve">summarises WA’s application of selected standards from version 3.1 of the AHPCS (outlined in Section </w:t>
      </w:r>
      <w:r w:rsidR="00B5276F" w:rsidRPr="00975E6B">
        <w:fldChar w:fldCharType="begin"/>
      </w:r>
      <w:r w:rsidR="00B5276F" w:rsidRPr="00975E6B">
        <w:instrText xml:space="preserve"> REF _Ref434054856 \r \h </w:instrText>
      </w:r>
      <w:r w:rsidR="00975E6B">
        <w:instrText xml:space="preserve"> \* MERGEFORMAT </w:instrText>
      </w:r>
      <w:r w:rsidR="00B5276F" w:rsidRPr="00975E6B">
        <w:fldChar w:fldCharType="separate"/>
      </w:r>
      <w:r w:rsidR="00154CF7">
        <w:t>1.3.4</w:t>
      </w:r>
      <w:r w:rsidR="00B5276F" w:rsidRPr="00975E6B">
        <w:fldChar w:fldCharType="end"/>
      </w:r>
      <w:r w:rsidR="00B5276F" w:rsidRPr="00975E6B">
        <w:t xml:space="preserve">) to the </w:t>
      </w:r>
      <w:r w:rsidR="00C15673" w:rsidRPr="00975E6B">
        <w:t>Rockingham General</w:t>
      </w:r>
      <w:r w:rsidR="00B5276F" w:rsidRPr="00975E6B">
        <w:t xml:space="preserve"> and </w:t>
      </w:r>
      <w:r w:rsidR="003F167A" w:rsidRPr="00975E6B">
        <w:t>Princess Margaret</w:t>
      </w:r>
      <w:r w:rsidR="00B5276F" w:rsidRPr="00975E6B">
        <w:t xml:space="preserve"> Round 18 NHCDC submission. </w:t>
      </w:r>
    </w:p>
    <w:p w:rsidR="00B5276F" w:rsidRPr="00975E6B" w:rsidRDefault="00B5276F" w:rsidP="00B5276F">
      <w:pPr>
        <w:pStyle w:val="Caption"/>
      </w:pPr>
      <w:bookmarkStart w:id="852" w:name="_Ref434265727"/>
      <w:r w:rsidRPr="00975E6B">
        <w:t xml:space="preserve">Table </w:t>
      </w:r>
      <w:fldSimple w:instr=" SEQ Table \* ARABIC ">
        <w:r w:rsidR="00154CF7">
          <w:rPr>
            <w:noProof/>
          </w:rPr>
          <w:t>108</w:t>
        </w:r>
      </w:fldSimple>
      <w:bookmarkEnd w:id="852"/>
      <w:r w:rsidRPr="00975E6B">
        <w:t xml:space="preserve"> – Application of Costing Standards – </w:t>
      </w:r>
      <w:r w:rsidR="004D1C76">
        <w:t>Western Australia sampled hospitals</w:t>
      </w:r>
    </w:p>
    <w:tbl>
      <w:tblPr>
        <w:tblStyle w:val="ListTable4-Accent11"/>
        <w:tblW w:w="4920" w:type="pct"/>
        <w:tblLayout w:type="fixed"/>
        <w:tblLook w:val="0620" w:firstRow="1" w:lastRow="0" w:firstColumn="0" w:lastColumn="0" w:noHBand="1" w:noVBand="1"/>
        <w:tblCaption w:val="Table 108 - Application of Costing Standards - WA"/>
        <w:tblDescription w:val="This table describes the application of the in-scope costing standards for Western Australia based on the hospitals sampled.  The first column is the Costing Standard number, the second column is the costing standard title and the third column is the discussion of the application of the costing standard for the relevant hospitals.&#10;"/>
      </w:tblPr>
      <w:tblGrid>
        <w:gridCol w:w="1450"/>
        <w:gridCol w:w="3201"/>
        <w:gridCol w:w="3930"/>
      </w:tblGrid>
      <w:tr w:rsidR="00B5276F" w:rsidRPr="00975E6B" w:rsidTr="00E14378">
        <w:trPr>
          <w:cnfStyle w:val="100000000000" w:firstRow="1" w:lastRow="0" w:firstColumn="0" w:lastColumn="0" w:oddVBand="0" w:evenVBand="0" w:oddHBand="0" w:evenHBand="0" w:firstRowFirstColumn="0" w:firstRowLastColumn="0" w:lastRowFirstColumn="0" w:lastRowLastColumn="0"/>
          <w:tblHeader/>
        </w:trPr>
        <w:tc>
          <w:tcPr>
            <w:tcW w:w="845" w:type="pct"/>
            <w:tcBorders>
              <w:right w:val="single" w:sz="4" w:space="0" w:color="548DD4" w:themeColor="text2" w:themeTint="99"/>
            </w:tcBorders>
            <w:shd w:val="clear" w:color="auto" w:fill="002060"/>
            <w:noWrap/>
          </w:tcPr>
          <w:p w:rsidR="00B5276F" w:rsidRPr="00975E6B" w:rsidRDefault="00B5276F" w:rsidP="00AF6CC3">
            <w:r w:rsidRPr="00975E6B">
              <w:t>No.</w:t>
            </w:r>
          </w:p>
        </w:tc>
        <w:tc>
          <w:tcPr>
            <w:tcW w:w="1865" w:type="pct"/>
            <w:tcBorders>
              <w:left w:val="single" w:sz="4" w:space="0" w:color="548DD4" w:themeColor="text2" w:themeTint="99"/>
            </w:tcBorders>
            <w:shd w:val="clear" w:color="auto" w:fill="002060"/>
          </w:tcPr>
          <w:p w:rsidR="00B5276F" w:rsidRPr="00975E6B" w:rsidRDefault="00B5276F" w:rsidP="00AF6CC3">
            <w:r w:rsidRPr="00975E6B">
              <w:t>Title</w:t>
            </w:r>
          </w:p>
        </w:tc>
        <w:tc>
          <w:tcPr>
            <w:tcW w:w="2290" w:type="pct"/>
            <w:tcBorders>
              <w:left w:val="single" w:sz="4" w:space="0" w:color="548DD4" w:themeColor="text2" w:themeTint="99"/>
            </w:tcBorders>
            <w:shd w:val="clear" w:color="auto" w:fill="002060"/>
          </w:tcPr>
          <w:p w:rsidR="00B5276F" w:rsidRPr="00975E6B" w:rsidRDefault="005B2E50" w:rsidP="00AF6CC3">
            <w:r w:rsidRPr="00975E6B">
              <w:t>Discussion</w:t>
            </w:r>
          </w:p>
        </w:tc>
      </w:tr>
      <w:tr w:rsidR="00B5276F" w:rsidRPr="00975E6B" w:rsidTr="00AF6CC3">
        <w:tc>
          <w:tcPr>
            <w:tcW w:w="845" w:type="pct"/>
            <w:tcBorders>
              <w:right w:val="single" w:sz="4" w:space="0" w:color="548DD4" w:themeColor="text2" w:themeTint="99"/>
            </w:tcBorders>
            <w:noWrap/>
          </w:tcPr>
          <w:p w:rsidR="00B5276F" w:rsidRPr="00975E6B" w:rsidRDefault="00B5276F" w:rsidP="00AF6CC3">
            <w:pPr>
              <w:pStyle w:val="BodyText"/>
              <w:jc w:val="left"/>
            </w:pPr>
            <w:r w:rsidRPr="00975E6B">
              <w:t>SCP 1.004</w:t>
            </w:r>
          </w:p>
        </w:tc>
        <w:tc>
          <w:tcPr>
            <w:tcW w:w="1865" w:type="pct"/>
            <w:tcBorders>
              <w:left w:val="single" w:sz="4" w:space="0" w:color="548DD4" w:themeColor="text2" w:themeTint="99"/>
            </w:tcBorders>
          </w:tcPr>
          <w:p w:rsidR="00B5276F" w:rsidRPr="00975E6B" w:rsidRDefault="00B5276F" w:rsidP="00AF6CC3">
            <w:pPr>
              <w:pStyle w:val="BodyText"/>
              <w:jc w:val="left"/>
            </w:pPr>
            <w:r w:rsidRPr="00975E6B">
              <w:t>Hospital Products in Scope</w:t>
            </w:r>
          </w:p>
        </w:tc>
        <w:tc>
          <w:tcPr>
            <w:tcW w:w="2290" w:type="pct"/>
            <w:tcBorders>
              <w:left w:val="single" w:sz="4" w:space="0" w:color="548DD4" w:themeColor="text2" w:themeTint="99"/>
            </w:tcBorders>
          </w:tcPr>
          <w:p w:rsidR="00B5276F" w:rsidRPr="00975E6B" w:rsidRDefault="00C15673" w:rsidP="00AF6CC3">
            <w:pPr>
              <w:pStyle w:val="BodyText"/>
              <w:jc w:val="left"/>
            </w:pPr>
            <w:r w:rsidRPr="00975E6B">
              <w:t>Rockingham General</w:t>
            </w:r>
            <w:r w:rsidR="00B5276F" w:rsidRPr="00975E6B">
              <w:t xml:space="preserve"> and </w:t>
            </w:r>
            <w:r w:rsidR="003F167A" w:rsidRPr="00975E6B">
              <w:t>Princess Margaret</w:t>
            </w:r>
            <w:r w:rsidR="00B5276F" w:rsidRPr="00975E6B">
              <w:t xml:space="preserve"> demonstrated through the templates and interview process that costs are reported against admitted</w:t>
            </w:r>
            <w:r w:rsidR="00846982" w:rsidRPr="00975E6B">
              <w:t xml:space="preserve"> acute</w:t>
            </w:r>
            <w:r w:rsidR="00B5276F" w:rsidRPr="00975E6B">
              <w:t xml:space="preserve">, emergency and non-admitted products. </w:t>
            </w:r>
          </w:p>
          <w:p w:rsidR="00B5276F" w:rsidRPr="00975E6B" w:rsidRDefault="00B5276F">
            <w:pPr>
              <w:pStyle w:val="BodyText"/>
              <w:jc w:val="left"/>
            </w:pPr>
            <w:r w:rsidRPr="00975E6B">
              <w:t xml:space="preserve">It was noted that costs are also created for non-patient products (such as unlinked records) and </w:t>
            </w:r>
            <w:r w:rsidR="00140C9F" w:rsidRPr="00975E6B">
              <w:t>TTR</w:t>
            </w:r>
            <w:r w:rsidRPr="00975E6B">
              <w:t xml:space="preserve"> products.</w:t>
            </w:r>
          </w:p>
        </w:tc>
      </w:tr>
      <w:tr w:rsidR="00B5276F" w:rsidRPr="00975E6B" w:rsidTr="00C77C25">
        <w:trPr>
          <w:trHeight w:val="1287"/>
        </w:trPr>
        <w:tc>
          <w:tcPr>
            <w:tcW w:w="845" w:type="pct"/>
            <w:tcBorders>
              <w:right w:val="single" w:sz="4" w:space="0" w:color="548DD4" w:themeColor="text2" w:themeTint="99"/>
            </w:tcBorders>
            <w:noWrap/>
          </w:tcPr>
          <w:p w:rsidR="00B5276F" w:rsidRPr="00975E6B" w:rsidRDefault="00B5276F" w:rsidP="00AF6CC3">
            <w:pPr>
              <w:pStyle w:val="BodyText"/>
              <w:jc w:val="left"/>
            </w:pPr>
            <w:r w:rsidRPr="00975E6B">
              <w:t>SCP 2.003</w:t>
            </w:r>
          </w:p>
        </w:tc>
        <w:tc>
          <w:tcPr>
            <w:tcW w:w="1865" w:type="pct"/>
            <w:tcBorders>
              <w:left w:val="single" w:sz="4" w:space="0" w:color="548DD4" w:themeColor="text2" w:themeTint="99"/>
            </w:tcBorders>
          </w:tcPr>
          <w:p w:rsidR="00B5276F" w:rsidRPr="00975E6B" w:rsidRDefault="00B5276F" w:rsidP="00AF6CC3">
            <w:pPr>
              <w:pStyle w:val="BodyText"/>
              <w:jc w:val="left"/>
            </w:pPr>
            <w:r w:rsidRPr="00975E6B">
              <w:t>Product Costs in Scope</w:t>
            </w:r>
          </w:p>
        </w:tc>
        <w:tc>
          <w:tcPr>
            <w:tcW w:w="2290" w:type="pct"/>
            <w:tcBorders>
              <w:left w:val="single" w:sz="4" w:space="0" w:color="548DD4" w:themeColor="text2" w:themeTint="99"/>
            </w:tcBorders>
          </w:tcPr>
          <w:p w:rsidR="00B5276F" w:rsidRPr="00975E6B" w:rsidRDefault="00B5276F" w:rsidP="00AF6CC3">
            <w:pPr>
              <w:pStyle w:val="BodyText"/>
            </w:pPr>
            <w:r w:rsidRPr="00975E6B">
              <w:t>It was demonstrated through the interview process the WA reconciliation process for financial data used for costing purposes. It was also demonstrated that all products are costed, which includes costs assigned to products in scope for the NHCDC, unlinked activity, and costs assigned to dummy patients where there is no activity.</w:t>
            </w:r>
          </w:p>
          <w:p w:rsidR="00B5276F" w:rsidRPr="00975E6B" w:rsidRDefault="00B5276F" w:rsidP="00AF6CC3">
            <w:pPr>
              <w:pStyle w:val="BodyText"/>
              <w:jc w:val="left"/>
            </w:pPr>
            <w:r w:rsidRPr="00975E6B">
              <w:t>Private patient costs are not adjusted.</w:t>
            </w:r>
          </w:p>
        </w:tc>
      </w:tr>
      <w:tr w:rsidR="00B5276F" w:rsidRPr="00975E6B" w:rsidTr="00AF6CC3">
        <w:tc>
          <w:tcPr>
            <w:tcW w:w="845" w:type="pct"/>
            <w:tcBorders>
              <w:right w:val="single" w:sz="4" w:space="0" w:color="548DD4" w:themeColor="text2" w:themeTint="99"/>
            </w:tcBorders>
            <w:noWrap/>
          </w:tcPr>
          <w:p w:rsidR="00B5276F" w:rsidRPr="00975E6B" w:rsidRDefault="00B5276F" w:rsidP="00AF6CC3">
            <w:pPr>
              <w:pStyle w:val="BodyText"/>
              <w:jc w:val="left"/>
            </w:pPr>
            <w:r w:rsidRPr="00975E6B">
              <w:lastRenderedPageBreak/>
              <w:t>SCP 2A.003</w:t>
            </w:r>
          </w:p>
        </w:tc>
        <w:tc>
          <w:tcPr>
            <w:tcW w:w="1865" w:type="pct"/>
            <w:tcBorders>
              <w:left w:val="single" w:sz="4" w:space="0" w:color="548DD4" w:themeColor="text2" w:themeTint="99"/>
            </w:tcBorders>
          </w:tcPr>
          <w:p w:rsidR="00B5276F" w:rsidRPr="00975E6B" w:rsidRDefault="00B5276F" w:rsidP="00AF6CC3">
            <w:pPr>
              <w:pStyle w:val="BodyText"/>
              <w:jc w:val="left"/>
            </w:pPr>
            <w:r w:rsidRPr="00975E6B">
              <w:t>Teaching and Training Costs</w:t>
            </w:r>
          </w:p>
        </w:tc>
        <w:tc>
          <w:tcPr>
            <w:tcW w:w="2290" w:type="pct"/>
            <w:tcBorders>
              <w:left w:val="single" w:sz="4" w:space="0" w:color="548DD4" w:themeColor="text2" w:themeTint="99"/>
            </w:tcBorders>
          </w:tcPr>
          <w:p w:rsidR="00B5276F" w:rsidRPr="00975E6B" w:rsidRDefault="00B5276F" w:rsidP="00AF6CC3">
            <w:pPr>
              <w:pStyle w:val="BodyText"/>
              <w:jc w:val="left"/>
            </w:pPr>
            <w:r w:rsidRPr="00975E6B">
              <w:t>Teaching and Training costs are costed products and submitted to the jurisdiction. These costs are then excluded by the jurisdiction.</w:t>
            </w:r>
          </w:p>
        </w:tc>
      </w:tr>
      <w:tr w:rsidR="00B5276F" w:rsidRPr="00975E6B" w:rsidTr="00AF6CC3">
        <w:tc>
          <w:tcPr>
            <w:tcW w:w="845" w:type="pct"/>
            <w:tcBorders>
              <w:right w:val="single" w:sz="4" w:space="0" w:color="548DD4" w:themeColor="text2" w:themeTint="99"/>
            </w:tcBorders>
            <w:noWrap/>
          </w:tcPr>
          <w:p w:rsidR="00B5276F" w:rsidRPr="00975E6B" w:rsidRDefault="00B5276F" w:rsidP="00AF6CC3">
            <w:pPr>
              <w:pStyle w:val="BodyText"/>
              <w:jc w:val="left"/>
            </w:pPr>
            <w:r w:rsidRPr="00975E6B">
              <w:t>SCP 2B.002</w:t>
            </w:r>
          </w:p>
        </w:tc>
        <w:tc>
          <w:tcPr>
            <w:tcW w:w="1865" w:type="pct"/>
            <w:tcBorders>
              <w:left w:val="single" w:sz="4" w:space="0" w:color="548DD4" w:themeColor="text2" w:themeTint="99"/>
            </w:tcBorders>
          </w:tcPr>
          <w:p w:rsidR="00B5276F" w:rsidRPr="00975E6B" w:rsidRDefault="00B5276F" w:rsidP="00AF6CC3">
            <w:pPr>
              <w:pStyle w:val="BodyText"/>
              <w:jc w:val="left"/>
            </w:pPr>
            <w:r w:rsidRPr="00975E6B">
              <w:t>Research Costs</w:t>
            </w:r>
          </w:p>
        </w:tc>
        <w:tc>
          <w:tcPr>
            <w:tcW w:w="2290" w:type="pct"/>
            <w:tcBorders>
              <w:left w:val="single" w:sz="4" w:space="0" w:color="548DD4" w:themeColor="text2" w:themeTint="99"/>
            </w:tcBorders>
          </w:tcPr>
          <w:p w:rsidR="00B5276F" w:rsidRPr="00975E6B" w:rsidRDefault="00B5276F" w:rsidP="00AF6CC3">
            <w:pPr>
              <w:pStyle w:val="BodyText"/>
              <w:jc w:val="left"/>
            </w:pPr>
            <w:r w:rsidRPr="00975E6B">
              <w:t>Research costs are costed products and submitted to the jurisdiction. These costs are then excluded by the jurisdiction.</w:t>
            </w:r>
          </w:p>
        </w:tc>
      </w:tr>
      <w:tr w:rsidR="00B5276F" w:rsidRPr="00975E6B" w:rsidTr="00AF6CC3">
        <w:trPr>
          <w:trHeight w:val="516"/>
        </w:trPr>
        <w:tc>
          <w:tcPr>
            <w:tcW w:w="845" w:type="pct"/>
            <w:tcBorders>
              <w:right w:val="single" w:sz="4" w:space="0" w:color="548DD4" w:themeColor="text2" w:themeTint="99"/>
            </w:tcBorders>
            <w:noWrap/>
          </w:tcPr>
          <w:p w:rsidR="00B5276F" w:rsidRPr="00975E6B" w:rsidRDefault="00B5276F" w:rsidP="00AF6CC3">
            <w:pPr>
              <w:pStyle w:val="BodyText"/>
              <w:jc w:val="left"/>
            </w:pPr>
            <w:r w:rsidRPr="00975E6B">
              <w:t>SCP 3.001</w:t>
            </w:r>
          </w:p>
        </w:tc>
        <w:tc>
          <w:tcPr>
            <w:tcW w:w="1865" w:type="pct"/>
            <w:tcBorders>
              <w:left w:val="single" w:sz="4" w:space="0" w:color="548DD4" w:themeColor="text2" w:themeTint="99"/>
            </w:tcBorders>
          </w:tcPr>
          <w:p w:rsidR="00B5276F" w:rsidRPr="00975E6B" w:rsidRDefault="00B5276F" w:rsidP="00AF6CC3">
            <w:pPr>
              <w:pStyle w:val="BodyText"/>
              <w:jc w:val="left"/>
            </w:pPr>
            <w:r w:rsidRPr="00975E6B">
              <w:t>Matching Production and Cost</w:t>
            </w:r>
          </w:p>
        </w:tc>
        <w:tc>
          <w:tcPr>
            <w:tcW w:w="2290" w:type="pct"/>
            <w:tcBorders>
              <w:left w:val="single" w:sz="4" w:space="0" w:color="548DD4" w:themeColor="text2" w:themeTint="99"/>
            </w:tcBorders>
          </w:tcPr>
          <w:p w:rsidR="00B5276F" w:rsidRPr="00975E6B" w:rsidRDefault="00B5276F" w:rsidP="00AF6CC3">
            <w:pPr>
              <w:pStyle w:val="BodyText"/>
              <w:jc w:val="left"/>
            </w:pPr>
            <w:r w:rsidRPr="00975E6B">
              <w:t>This was demonstrated during the site visit and an excel file was produced from the costing system which outlined all reclass rules.</w:t>
            </w:r>
          </w:p>
        </w:tc>
      </w:tr>
      <w:tr w:rsidR="00B5276F" w:rsidRPr="00975E6B" w:rsidTr="00AF6CC3">
        <w:tc>
          <w:tcPr>
            <w:tcW w:w="845" w:type="pct"/>
            <w:tcBorders>
              <w:right w:val="single" w:sz="4" w:space="0" w:color="548DD4" w:themeColor="text2" w:themeTint="99"/>
            </w:tcBorders>
            <w:noWrap/>
          </w:tcPr>
          <w:p w:rsidR="00B5276F" w:rsidRPr="00975E6B" w:rsidRDefault="00B5276F" w:rsidP="00AF6CC3">
            <w:pPr>
              <w:pStyle w:val="BodyText"/>
              <w:jc w:val="left"/>
            </w:pPr>
            <w:r w:rsidRPr="00975E6B">
              <w:t>SCP 3A.001</w:t>
            </w:r>
          </w:p>
        </w:tc>
        <w:tc>
          <w:tcPr>
            <w:tcW w:w="1865" w:type="pct"/>
            <w:tcBorders>
              <w:left w:val="single" w:sz="4" w:space="0" w:color="548DD4" w:themeColor="text2" w:themeTint="99"/>
            </w:tcBorders>
          </w:tcPr>
          <w:p w:rsidR="00B5276F" w:rsidRPr="00975E6B" w:rsidRDefault="00B5276F" w:rsidP="00AF6CC3">
            <w:pPr>
              <w:pStyle w:val="BodyText"/>
              <w:jc w:val="left"/>
            </w:pPr>
            <w:r w:rsidRPr="00975E6B">
              <w:t>Matching Production and Cost – Overhead Cost Allocation</w:t>
            </w:r>
          </w:p>
        </w:tc>
        <w:tc>
          <w:tcPr>
            <w:tcW w:w="2290" w:type="pct"/>
            <w:tcBorders>
              <w:left w:val="single" w:sz="4" w:space="0" w:color="548DD4" w:themeColor="text2" w:themeTint="99"/>
            </w:tcBorders>
          </w:tcPr>
          <w:p w:rsidR="004C2A99" w:rsidRPr="00975E6B" w:rsidRDefault="00AD71DB" w:rsidP="00AF6CC3">
            <w:pPr>
              <w:pStyle w:val="BodyText"/>
              <w:jc w:val="left"/>
            </w:pPr>
            <w:r w:rsidRPr="00975E6B">
              <w:t>The jurisdiction was able to demonstrate that overhead costs were fully allocated to direct patient care areas via the pre allocation and post allocation data included in the templates.</w:t>
            </w:r>
          </w:p>
          <w:p w:rsidR="00B5276F" w:rsidRPr="00975E6B" w:rsidRDefault="00B5276F" w:rsidP="00AF6CC3">
            <w:pPr>
              <w:pStyle w:val="BodyText"/>
              <w:jc w:val="left"/>
            </w:pPr>
            <w:r w:rsidRPr="00975E6B">
              <w:t xml:space="preserve">Laundry expenses from Murray Districts are allocated to </w:t>
            </w:r>
            <w:r w:rsidR="00C15673" w:rsidRPr="00975E6B">
              <w:t>Rockingham General</w:t>
            </w:r>
            <w:r w:rsidRPr="00975E6B">
              <w:t xml:space="preserve"> prior to cost product partitioning.</w:t>
            </w:r>
          </w:p>
        </w:tc>
      </w:tr>
      <w:tr w:rsidR="00B5276F" w:rsidRPr="00975E6B" w:rsidTr="00AF6CC3">
        <w:tc>
          <w:tcPr>
            <w:tcW w:w="845" w:type="pct"/>
            <w:tcBorders>
              <w:right w:val="single" w:sz="4" w:space="0" w:color="548DD4" w:themeColor="text2" w:themeTint="99"/>
            </w:tcBorders>
            <w:noWrap/>
          </w:tcPr>
          <w:p w:rsidR="00B5276F" w:rsidRPr="00975E6B" w:rsidRDefault="00B5276F" w:rsidP="00AF6CC3">
            <w:pPr>
              <w:pStyle w:val="BodyText"/>
              <w:jc w:val="left"/>
            </w:pPr>
            <w:r w:rsidRPr="00975E6B">
              <w:t>SCP 3B.001</w:t>
            </w:r>
          </w:p>
        </w:tc>
        <w:tc>
          <w:tcPr>
            <w:tcW w:w="1865" w:type="pct"/>
            <w:tcBorders>
              <w:left w:val="single" w:sz="4" w:space="0" w:color="548DD4" w:themeColor="text2" w:themeTint="99"/>
            </w:tcBorders>
          </w:tcPr>
          <w:p w:rsidR="00B5276F" w:rsidRPr="00975E6B" w:rsidRDefault="00B5276F" w:rsidP="00AF6CC3">
            <w:pPr>
              <w:pStyle w:val="BodyText"/>
              <w:jc w:val="left"/>
            </w:pPr>
            <w:r w:rsidRPr="00975E6B">
              <w:t>Matching Production and Cost – Costing all Products</w:t>
            </w:r>
          </w:p>
        </w:tc>
        <w:tc>
          <w:tcPr>
            <w:tcW w:w="2290" w:type="pct"/>
            <w:tcBorders>
              <w:left w:val="single" w:sz="4" w:space="0" w:color="548DD4" w:themeColor="text2" w:themeTint="99"/>
            </w:tcBorders>
          </w:tcPr>
          <w:p w:rsidR="00B5276F" w:rsidRPr="00975E6B" w:rsidRDefault="004C2A99">
            <w:pPr>
              <w:pStyle w:val="BodyText"/>
              <w:jc w:val="left"/>
            </w:pPr>
            <w:r w:rsidRPr="00975E6B">
              <w:t>Demonstrated in the template. WA Health provided an overview of their internal reconciliation process which demonstrated the allocation of costs to products.</w:t>
            </w:r>
          </w:p>
        </w:tc>
      </w:tr>
      <w:tr w:rsidR="00B5276F" w:rsidRPr="00975E6B" w:rsidTr="00AF6CC3">
        <w:tc>
          <w:tcPr>
            <w:tcW w:w="845" w:type="pct"/>
            <w:tcBorders>
              <w:right w:val="single" w:sz="4" w:space="0" w:color="548DD4" w:themeColor="text2" w:themeTint="99"/>
            </w:tcBorders>
            <w:noWrap/>
          </w:tcPr>
          <w:p w:rsidR="00B5276F" w:rsidRPr="00975E6B" w:rsidRDefault="00B5276F" w:rsidP="00AF6CC3">
            <w:pPr>
              <w:pStyle w:val="BodyText"/>
              <w:jc w:val="left"/>
            </w:pPr>
            <w:r w:rsidRPr="00975E6B">
              <w:t>SCP 3C.001</w:t>
            </w:r>
          </w:p>
        </w:tc>
        <w:tc>
          <w:tcPr>
            <w:tcW w:w="1865" w:type="pct"/>
            <w:tcBorders>
              <w:left w:val="single" w:sz="4" w:space="0" w:color="548DD4" w:themeColor="text2" w:themeTint="99"/>
            </w:tcBorders>
          </w:tcPr>
          <w:p w:rsidR="00B5276F" w:rsidRPr="00975E6B" w:rsidRDefault="00B5276F" w:rsidP="00AF6CC3">
            <w:pPr>
              <w:pStyle w:val="BodyText"/>
              <w:jc w:val="left"/>
            </w:pPr>
            <w:r w:rsidRPr="00975E6B">
              <w:t>Matching Production and Cost – Commercial Business Entities</w:t>
            </w:r>
          </w:p>
        </w:tc>
        <w:tc>
          <w:tcPr>
            <w:tcW w:w="2290" w:type="pct"/>
            <w:tcBorders>
              <w:left w:val="single" w:sz="4" w:space="0" w:color="548DD4" w:themeColor="text2" w:themeTint="99"/>
            </w:tcBorders>
          </w:tcPr>
          <w:p w:rsidR="00B5276F" w:rsidRPr="00975E6B" w:rsidRDefault="00B5276F" w:rsidP="00AF6CC3">
            <w:pPr>
              <w:pStyle w:val="BodyText"/>
              <w:jc w:val="left"/>
            </w:pPr>
            <w:r w:rsidRPr="00975E6B">
              <w:t>Based on discussions during the review, application of this standard was demonstrated.</w:t>
            </w:r>
          </w:p>
        </w:tc>
      </w:tr>
      <w:tr w:rsidR="00B5276F" w:rsidRPr="00975E6B" w:rsidTr="00AF6CC3">
        <w:tc>
          <w:tcPr>
            <w:tcW w:w="845" w:type="pct"/>
            <w:tcBorders>
              <w:right w:val="single" w:sz="4" w:space="0" w:color="548DD4" w:themeColor="text2" w:themeTint="99"/>
            </w:tcBorders>
            <w:noWrap/>
          </w:tcPr>
          <w:p w:rsidR="00B5276F" w:rsidRPr="00975E6B" w:rsidRDefault="00B5276F" w:rsidP="00AF6CC3">
            <w:pPr>
              <w:pStyle w:val="BodyText"/>
              <w:jc w:val="left"/>
            </w:pPr>
            <w:r w:rsidRPr="00975E6B">
              <w:t>SCP 3E.001</w:t>
            </w:r>
          </w:p>
        </w:tc>
        <w:tc>
          <w:tcPr>
            <w:tcW w:w="1865" w:type="pct"/>
            <w:tcBorders>
              <w:left w:val="single" w:sz="4" w:space="0" w:color="548DD4" w:themeColor="text2" w:themeTint="99"/>
            </w:tcBorders>
          </w:tcPr>
          <w:p w:rsidR="00B5276F" w:rsidRPr="00975E6B" w:rsidRDefault="00B5276F" w:rsidP="00AF6CC3">
            <w:pPr>
              <w:pStyle w:val="BodyText"/>
              <w:jc w:val="left"/>
            </w:pPr>
            <w:r w:rsidRPr="00975E6B">
              <w:t>Matching Production and Cost – Offsets and Recoveries</w:t>
            </w:r>
          </w:p>
        </w:tc>
        <w:tc>
          <w:tcPr>
            <w:tcW w:w="2290" w:type="pct"/>
            <w:tcBorders>
              <w:left w:val="single" w:sz="4" w:space="0" w:color="548DD4" w:themeColor="text2" w:themeTint="99"/>
            </w:tcBorders>
          </w:tcPr>
          <w:p w:rsidR="00B5276F" w:rsidRPr="00975E6B" w:rsidRDefault="00B5276F" w:rsidP="00AF6CC3">
            <w:pPr>
              <w:pStyle w:val="BodyText"/>
              <w:jc w:val="left"/>
            </w:pPr>
            <w:r w:rsidRPr="00975E6B">
              <w:t>Based on discussions during the review, application of this standard was demonstrated.</w:t>
            </w:r>
          </w:p>
          <w:p w:rsidR="00B5276F" w:rsidRPr="00975E6B" w:rsidRDefault="00B5276F" w:rsidP="00AF6CC3">
            <w:pPr>
              <w:pStyle w:val="BodyText"/>
              <w:jc w:val="left"/>
            </w:pPr>
            <w:r w:rsidRPr="00975E6B">
              <w:t xml:space="preserve">Cost recoveries for salaries and wages and work cover expenses noted in the </w:t>
            </w:r>
            <w:r w:rsidR="00C15673" w:rsidRPr="00975E6B">
              <w:t>Rockingham General</w:t>
            </w:r>
            <w:r w:rsidRPr="00975E6B">
              <w:t xml:space="preserve"> template.</w:t>
            </w:r>
          </w:p>
        </w:tc>
      </w:tr>
      <w:tr w:rsidR="00B5276F" w:rsidRPr="00975E6B" w:rsidTr="00235E86">
        <w:tc>
          <w:tcPr>
            <w:tcW w:w="845" w:type="pct"/>
            <w:tcBorders>
              <w:right w:val="single" w:sz="4" w:space="0" w:color="548DD4" w:themeColor="text2" w:themeTint="99"/>
            </w:tcBorders>
            <w:noWrap/>
          </w:tcPr>
          <w:p w:rsidR="00B5276F" w:rsidRPr="00975E6B" w:rsidRDefault="00B5276F" w:rsidP="00AF6CC3">
            <w:pPr>
              <w:pStyle w:val="BodyText"/>
              <w:jc w:val="left"/>
            </w:pPr>
            <w:r w:rsidRPr="00975E6B">
              <w:t>SCP 3G.001</w:t>
            </w:r>
          </w:p>
        </w:tc>
        <w:tc>
          <w:tcPr>
            <w:tcW w:w="1865" w:type="pct"/>
            <w:tcBorders>
              <w:left w:val="single" w:sz="4" w:space="0" w:color="548DD4" w:themeColor="text2" w:themeTint="99"/>
            </w:tcBorders>
            <w:shd w:val="clear" w:color="auto" w:fill="auto"/>
          </w:tcPr>
          <w:p w:rsidR="00B5276F" w:rsidRPr="00975E6B" w:rsidRDefault="00B5276F" w:rsidP="00AF6CC3">
            <w:pPr>
              <w:pStyle w:val="BodyText"/>
              <w:jc w:val="left"/>
            </w:pPr>
            <w:r w:rsidRPr="00975E6B">
              <w:t>Matching Production and Cost – Reconciliation to Source Data</w:t>
            </w:r>
          </w:p>
        </w:tc>
        <w:tc>
          <w:tcPr>
            <w:tcW w:w="2290" w:type="pct"/>
            <w:tcBorders>
              <w:left w:val="single" w:sz="4" w:space="0" w:color="548DD4" w:themeColor="text2" w:themeTint="99"/>
            </w:tcBorders>
            <w:shd w:val="clear" w:color="auto" w:fill="auto"/>
          </w:tcPr>
          <w:p w:rsidR="00B5276F" w:rsidRPr="00975E6B" w:rsidRDefault="00B5276F" w:rsidP="00AF6CC3">
            <w:pPr>
              <w:pStyle w:val="BodyText"/>
              <w:jc w:val="left"/>
            </w:pPr>
            <w:r w:rsidRPr="00975E6B">
              <w:t xml:space="preserve">Based on discussions during the review and template documents forwarded, </w:t>
            </w:r>
            <w:r w:rsidR="00C15673" w:rsidRPr="00975E6B">
              <w:t>Rockingham General</w:t>
            </w:r>
            <w:r w:rsidRPr="00975E6B">
              <w:t xml:space="preserve"> and </w:t>
            </w:r>
            <w:r w:rsidR="003F167A" w:rsidRPr="00975E6B">
              <w:t>Princess Margaret</w:t>
            </w:r>
            <w:r w:rsidRPr="00975E6B">
              <w:t xml:space="preserve"> complete various reconciliations to the audited financial statements</w:t>
            </w:r>
          </w:p>
          <w:p w:rsidR="00B5276F" w:rsidRPr="00975E6B" w:rsidRDefault="00C15673" w:rsidP="00AF6CC3">
            <w:pPr>
              <w:pStyle w:val="BodyText"/>
              <w:jc w:val="left"/>
              <w:rPr>
                <w:i/>
              </w:rPr>
            </w:pPr>
            <w:r w:rsidRPr="00975E6B">
              <w:rPr>
                <w:i/>
              </w:rPr>
              <w:lastRenderedPageBreak/>
              <w:t>Rockingham General</w:t>
            </w:r>
          </w:p>
          <w:p w:rsidR="00B5276F" w:rsidRPr="00975E6B" w:rsidRDefault="00B5276F" w:rsidP="00AF6CC3">
            <w:pPr>
              <w:pStyle w:val="BodyText"/>
            </w:pPr>
            <w:r w:rsidRPr="00975E6B">
              <w:t xml:space="preserve">In addition to financial reconciliations a site peer </w:t>
            </w:r>
            <w:r w:rsidR="008E29F7" w:rsidRPr="00975E6B">
              <w:t xml:space="preserve">and patient level </w:t>
            </w:r>
            <w:r w:rsidRPr="00975E6B">
              <w:t>review</w:t>
            </w:r>
            <w:r w:rsidR="008E29F7" w:rsidRPr="00975E6B">
              <w:t xml:space="preserve">s </w:t>
            </w:r>
            <w:r w:rsidRPr="00975E6B">
              <w:t>are conducted to compare Length of Stay with benchmarks</w:t>
            </w:r>
            <w:r w:rsidR="00C50DA9" w:rsidRPr="00975E6B">
              <w:t xml:space="preserve">. </w:t>
            </w:r>
            <w:r w:rsidR="00235E86" w:rsidRPr="00975E6B">
              <w:t>This included</w:t>
            </w:r>
            <w:r w:rsidRPr="00975E6B">
              <w:t xml:space="preserve"> utilisation of data in the Classification of Hospital-acquired Diagnoses (developed by researchers at the Australian Centre for Economic Research on Health). The review team sighted the cube tool and output reports during the site visit.</w:t>
            </w:r>
          </w:p>
          <w:p w:rsidR="00B5276F" w:rsidRPr="00975E6B" w:rsidRDefault="003F167A" w:rsidP="00AF6CC3">
            <w:pPr>
              <w:pStyle w:val="BodyText"/>
              <w:rPr>
                <w:i/>
              </w:rPr>
            </w:pPr>
            <w:r w:rsidRPr="00975E6B">
              <w:rPr>
                <w:i/>
              </w:rPr>
              <w:t>Princess Margaret</w:t>
            </w:r>
          </w:p>
          <w:p w:rsidR="00B5276F" w:rsidRPr="00975E6B" w:rsidRDefault="00B5276F" w:rsidP="00AF6CC3">
            <w:pPr>
              <w:pStyle w:val="BodyText"/>
            </w:pPr>
            <w:r w:rsidRPr="00975E6B">
              <w:t>A reconciliation file was provided to the review team which highlighted the various exclusions and adjustments made by the health service to arrive at the figure submitted to the jurisdiction, these included various community services, commercial activities etc.</w:t>
            </w:r>
          </w:p>
        </w:tc>
      </w:tr>
      <w:tr w:rsidR="00B5276F" w:rsidRPr="00975E6B" w:rsidTr="00AF6CC3">
        <w:tc>
          <w:tcPr>
            <w:tcW w:w="845" w:type="pct"/>
            <w:tcBorders>
              <w:right w:val="single" w:sz="4" w:space="0" w:color="548DD4" w:themeColor="text2" w:themeTint="99"/>
            </w:tcBorders>
            <w:noWrap/>
          </w:tcPr>
          <w:p w:rsidR="00B5276F" w:rsidRPr="00975E6B" w:rsidRDefault="00B5276F" w:rsidP="00AF6CC3">
            <w:pPr>
              <w:pStyle w:val="BodyText"/>
              <w:jc w:val="left"/>
            </w:pPr>
            <w:r w:rsidRPr="00975E6B">
              <w:lastRenderedPageBreak/>
              <w:t>GL2.004</w:t>
            </w:r>
          </w:p>
        </w:tc>
        <w:tc>
          <w:tcPr>
            <w:tcW w:w="1865" w:type="pct"/>
            <w:tcBorders>
              <w:left w:val="single" w:sz="4" w:space="0" w:color="548DD4" w:themeColor="text2" w:themeTint="99"/>
            </w:tcBorders>
          </w:tcPr>
          <w:p w:rsidR="00B5276F" w:rsidRPr="00975E6B" w:rsidRDefault="00B5276F" w:rsidP="00AF6CC3">
            <w:pPr>
              <w:pStyle w:val="BodyText"/>
              <w:jc w:val="left"/>
            </w:pPr>
            <w:r w:rsidRPr="00975E6B">
              <w:t>Account Code Mapping to Line Items</w:t>
            </w:r>
          </w:p>
        </w:tc>
        <w:tc>
          <w:tcPr>
            <w:tcW w:w="2290" w:type="pct"/>
            <w:tcBorders>
              <w:left w:val="single" w:sz="4" w:space="0" w:color="548DD4" w:themeColor="text2" w:themeTint="99"/>
            </w:tcBorders>
          </w:tcPr>
          <w:p w:rsidR="00B5276F" w:rsidRPr="00975E6B" w:rsidRDefault="00C15673" w:rsidP="00AF6CC3">
            <w:pPr>
              <w:pStyle w:val="BodyText"/>
              <w:jc w:val="left"/>
            </w:pPr>
            <w:r w:rsidRPr="00975E6B">
              <w:t>Rockingham General</w:t>
            </w:r>
            <w:r w:rsidR="00B5276F" w:rsidRPr="00975E6B">
              <w:t xml:space="preserve"> and </w:t>
            </w:r>
            <w:r w:rsidR="003F167A" w:rsidRPr="00975E6B">
              <w:t>Princess Margaret</w:t>
            </w:r>
            <w:r w:rsidR="00B5276F" w:rsidRPr="00975E6B">
              <w:t xml:space="preserve"> mapped total costs to the standard specified line items. </w:t>
            </w:r>
          </w:p>
        </w:tc>
      </w:tr>
      <w:tr w:rsidR="00B5276F" w:rsidRPr="00975E6B" w:rsidTr="00692004">
        <w:trPr>
          <w:trHeight w:val="2829"/>
        </w:trPr>
        <w:tc>
          <w:tcPr>
            <w:tcW w:w="845" w:type="pct"/>
            <w:tcBorders>
              <w:right w:val="single" w:sz="4" w:space="0" w:color="548DD4" w:themeColor="text2" w:themeTint="99"/>
            </w:tcBorders>
            <w:noWrap/>
          </w:tcPr>
          <w:p w:rsidR="00B5276F" w:rsidRPr="00975E6B" w:rsidRDefault="00B5276F" w:rsidP="00AF6CC3">
            <w:pPr>
              <w:pStyle w:val="BodyText"/>
              <w:jc w:val="left"/>
            </w:pPr>
            <w:r w:rsidRPr="00975E6B">
              <w:t>COST 5.002</w:t>
            </w:r>
          </w:p>
        </w:tc>
        <w:tc>
          <w:tcPr>
            <w:tcW w:w="1865" w:type="pct"/>
            <w:tcBorders>
              <w:left w:val="single" w:sz="4" w:space="0" w:color="548DD4" w:themeColor="text2" w:themeTint="99"/>
            </w:tcBorders>
          </w:tcPr>
          <w:p w:rsidR="00B5276F" w:rsidRPr="00C77C25" w:rsidRDefault="00B5276F" w:rsidP="00C77C25">
            <w:pPr>
              <w:pStyle w:val="BodyText"/>
              <w:jc w:val="left"/>
            </w:pPr>
            <w:r w:rsidRPr="00975E6B">
              <w:t>Treatment of Work-In-Progress Costs</w:t>
            </w:r>
          </w:p>
        </w:tc>
        <w:tc>
          <w:tcPr>
            <w:tcW w:w="2290" w:type="pct"/>
            <w:tcBorders>
              <w:left w:val="single" w:sz="4" w:space="0" w:color="548DD4" w:themeColor="text2" w:themeTint="99"/>
            </w:tcBorders>
          </w:tcPr>
          <w:p w:rsidR="00B5276F" w:rsidRPr="00975E6B" w:rsidRDefault="00B5276F" w:rsidP="00AF6CC3">
            <w:pPr>
              <w:pStyle w:val="BodyText"/>
              <w:jc w:val="left"/>
            </w:pPr>
            <w:r w:rsidRPr="00975E6B">
              <w:t>Based on discussions during the review, patients are allocated costs based on their consumption of resources for that reporting period. Where costs are incurred in prior years, these are included in the final costed data and NHCDC submission. This is only the second year of PPM2 and therefore any WIP costs prior to 2012/13 are not included.</w:t>
            </w:r>
          </w:p>
        </w:tc>
      </w:tr>
    </w:tbl>
    <w:p w:rsidR="00B5276F" w:rsidRPr="00975E6B" w:rsidRDefault="00B5276F" w:rsidP="00692004">
      <w:pPr>
        <w:pStyle w:val="FootnoteText"/>
        <w:spacing w:line="40" w:lineRule="atLeast"/>
      </w:pPr>
      <w:r w:rsidRPr="00975E6B">
        <w:rPr>
          <w:bCs/>
          <w:i/>
          <w:sz w:val="16"/>
          <w:szCs w:val="16"/>
        </w:rPr>
        <w:t>Source: KPMG</w:t>
      </w:r>
    </w:p>
    <w:p w:rsidR="00B5276F" w:rsidRPr="00975E6B" w:rsidRDefault="00B5276F" w:rsidP="00A952FC">
      <w:pPr>
        <w:pStyle w:val="Heading2"/>
        <w:numPr>
          <w:ilvl w:val="1"/>
          <w:numId w:val="77"/>
        </w:numPr>
      </w:pPr>
      <w:bookmarkStart w:id="853" w:name="_Toc444523690"/>
      <w:r w:rsidRPr="00A952FC">
        <w:t>Conclusion</w:t>
      </w:r>
      <w:bookmarkEnd w:id="853"/>
    </w:p>
    <w:p w:rsidR="00B5276F" w:rsidRPr="00975E6B" w:rsidRDefault="00B5276F" w:rsidP="00B5276F">
      <w:pPr>
        <w:pStyle w:val="BodyText"/>
      </w:pPr>
      <w:r w:rsidRPr="00975E6B">
        <w:t>The findings of the WA Round 18 IFR are summarised below:</w:t>
      </w:r>
    </w:p>
    <w:p w:rsidR="00B5276F" w:rsidRPr="00975E6B" w:rsidRDefault="00B5276F" w:rsidP="00F26328">
      <w:pPr>
        <w:pStyle w:val="BodyText"/>
        <w:numPr>
          <w:ilvl w:val="0"/>
          <w:numId w:val="48"/>
        </w:numPr>
      </w:pPr>
      <w:r w:rsidRPr="00975E6B">
        <w:rPr>
          <w:bCs/>
        </w:rPr>
        <w:t xml:space="preserve">The </w:t>
      </w:r>
      <w:r w:rsidRPr="00975E6B">
        <w:t xml:space="preserve">financial reconciliations demonstrated the transformation of cost data for the sampled hospitals based on the respective hospital GL. </w:t>
      </w:r>
      <w:r w:rsidR="00DF3D31" w:rsidRPr="00975E6B">
        <w:t>WA Health</w:t>
      </w:r>
      <w:r w:rsidRPr="00975E6B">
        <w:t xml:space="preserve"> made adjustments for both hospitals for dummy patients, WIP and TTR. </w:t>
      </w:r>
    </w:p>
    <w:p w:rsidR="00B5276F" w:rsidRPr="00975E6B" w:rsidRDefault="00B5276F" w:rsidP="00F26328">
      <w:pPr>
        <w:pStyle w:val="BodyText"/>
        <w:numPr>
          <w:ilvl w:val="0"/>
          <w:numId w:val="48"/>
        </w:numPr>
      </w:pPr>
      <w:r w:rsidRPr="00975E6B">
        <w:t>A variance of $</w:t>
      </w:r>
      <w:r w:rsidR="00D8402E" w:rsidRPr="00975E6B">
        <w:t>269,821</w:t>
      </w:r>
      <w:r w:rsidRPr="00975E6B">
        <w:t xml:space="preserve"> (0.01</w:t>
      </w:r>
      <w:r w:rsidR="00625C35" w:rsidRPr="00975E6B">
        <w:t> percent</w:t>
      </w:r>
      <w:r w:rsidRPr="00975E6B">
        <w:t xml:space="preserve"> of the GL) was noted in the </w:t>
      </w:r>
      <w:r w:rsidR="00C15673" w:rsidRPr="00975E6B">
        <w:t>Rockingham General</w:t>
      </w:r>
      <w:r w:rsidRPr="00975E6B">
        <w:t xml:space="preserve"> reconciliation between the total hospital expenditure included for costing and the total expenditure allocated to patients</w:t>
      </w:r>
      <w:r w:rsidR="00C50DA9" w:rsidRPr="00975E6B">
        <w:t xml:space="preserve">. </w:t>
      </w:r>
      <w:r w:rsidR="00C15673" w:rsidRPr="00975E6B">
        <w:t>Rockingham General</w:t>
      </w:r>
      <w:r w:rsidRPr="00975E6B">
        <w:t xml:space="preserve"> noted this related to timing issues in </w:t>
      </w:r>
      <w:r w:rsidRPr="00975E6B">
        <w:lastRenderedPageBreak/>
        <w:t>the financial information. Furthermore, a variance was noted between the total costs submitted to the jurisdiction and the costed products submitted to the jurisdiction</w:t>
      </w:r>
      <w:r w:rsidR="00C50DA9" w:rsidRPr="00975E6B">
        <w:t xml:space="preserve">. </w:t>
      </w:r>
      <w:r w:rsidRPr="00975E6B">
        <w:t>This variance totalled $2.8 million (0.13</w:t>
      </w:r>
      <w:r w:rsidR="00625C35" w:rsidRPr="00975E6B">
        <w:t> percent</w:t>
      </w:r>
      <w:r w:rsidRPr="00975E6B">
        <w:t xml:space="preserve"> of the GL) and was again related to timing issues</w:t>
      </w:r>
      <w:r w:rsidR="00C50DA9" w:rsidRPr="00975E6B">
        <w:t xml:space="preserve">. </w:t>
      </w:r>
      <w:r w:rsidRPr="00975E6B">
        <w:t xml:space="preserve">The financial reconciliation of </w:t>
      </w:r>
      <w:r w:rsidR="003F167A" w:rsidRPr="00975E6B">
        <w:t>Princess Margaret</w:t>
      </w:r>
      <w:r w:rsidRPr="00975E6B">
        <w:t xml:space="preserve"> had no variances. </w:t>
      </w:r>
    </w:p>
    <w:p w:rsidR="00B5276F" w:rsidRPr="00975E6B" w:rsidRDefault="00B5276F" w:rsidP="00F26328">
      <w:pPr>
        <w:pStyle w:val="BodyText"/>
        <w:numPr>
          <w:ilvl w:val="0"/>
          <w:numId w:val="48"/>
        </w:numPr>
      </w:pPr>
      <w:r w:rsidRPr="00975E6B">
        <w:t xml:space="preserve">TTR </w:t>
      </w:r>
      <w:r w:rsidR="0074117C" w:rsidRPr="00975E6B">
        <w:t xml:space="preserve">was </w:t>
      </w:r>
      <w:r w:rsidRPr="00975E6B">
        <w:t xml:space="preserve">product costed, however </w:t>
      </w:r>
      <w:r w:rsidR="0074117C" w:rsidRPr="00975E6B">
        <w:t xml:space="preserve">was </w:t>
      </w:r>
      <w:r w:rsidRPr="00975E6B">
        <w:t xml:space="preserve">removed by </w:t>
      </w:r>
      <w:r w:rsidR="00DF3D31" w:rsidRPr="00975E6B">
        <w:t>WA Health</w:t>
      </w:r>
      <w:r w:rsidRPr="00975E6B">
        <w:t xml:space="preserve"> prior to NHCDC submission.</w:t>
      </w:r>
    </w:p>
    <w:p w:rsidR="00821033" w:rsidRPr="00975E6B" w:rsidRDefault="0027595C" w:rsidP="00F26328">
      <w:pPr>
        <w:pStyle w:val="BodyText"/>
        <w:numPr>
          <w:ilvl w:val="0"/>
          <w:numId w:val="35"/>
        </w:numPr>
      </w:pPr>
      <w:r w:rsidRPr="00975E6B">
        <w:t>No PAS, emergency or non-admitted activity data was supplied for Rockingham General</w:t>
      </w:r>
      <w:r w:rsidR="005D12ED" w:rsidRPr="00975E6B">
        <w:t xml:space="preserve">. </w:t>
      </w:r>
      <w:r w:rsidR="004C2A99" w:rsidRPr="00975E6B">
        <w:t>The review team was unable to assess the amount of records costed to those reported in source systems.</w:t>
      </w:r>
    </w:p>
    <w:p w:rsidR="00821033" w:rsidRDefault="00B5276F" w:rsidP="00F26328">
      <w:pPr>
        <w:pStyle w:val="BodyText"/>
        <w:numPr>
          <w:ilvl w:val="0"/>
          <w:numId w:val="48"/>
        </w:numPr>
      </w:pPr>
      <w:r w:rsidRPr="00975E6B">
        <w:t xml:space="preserve">Total activity data for the hospitals was adjusted by </w:t>
      </w:r>
      <w:r w:rsidR="00DF3D31" w:rsidRPr="00975E6B">
        <w:t>WA Health</w:t>
      </w:r>
      <w:r w:rsidRPr="00975E6B">
        <w:t xml:space="preserve"> for the removal of records associated with excluded costs</w:t>
      </w:r>
      <w:r w:rsidR="00C50DA9" w:rsidRPr="00975E6B">
        <w:t xml:space="preserve">. </w:t>
      </w:r>
      <w:r w:rsidRPr="00975E6B">
        <w:t>IHPA made adjustments to activity data for virtual patients and UQB</w:t>
      </w:r>
      <w:r w:rsidR="00C50DA9" w:rsidRPr="00975E6B">
        <w:t xml:space="preserve">. </w:t>
      </w:r>
    </w:p>
    <w:p w:rsidR="00B5276F" w:rsidRDefault="00B5276F" w:rsidP="00F26328">
      <w:pPr>
        <w:pStyle w:val="BodyText"/>
        <w:numPr>
          <w:ilvl w:val="0"/>
          <w:numId w:val="48"/>
        </w:numPr>
      </w:pPr>
      <w:r w:rsidRPr="00975E6B">
        <w:t xml:space="preserve">Based on the information provided, the number of records linked from source to product </w:t>
      </w:r>
      <w:r w:rsidR="0074117C" w:rsidRPr="00975E6B">
        <w:t xml:space="preserve">was </w:t>
      </w:r>
      <w:r w:rsidRPr="00975E6B">
        <w:t>significant with the majority of feeders having a greater than 95</w:t>
      </w:r>
      <w:r w:rsidR="00625C35" w:rsidRPr="00975E6B">
        <w:t> percent</w:t>
      </w:r>
      <w:r w:rsidRPr="00975E6B">
        <w:t xml:space="preserve"> link or match, across both hospitals</w:t>
      </w:r>
      <w:r w:rsidR="005D12ED" w:rsidRPr="00975E6B">
        <w:t xml:space="preserve">. </w:t>
      </w:r>
      <w:r w:rsidR="004C2A99" w:rsidRPr="00975E6B">
        <w:t>This suggests that there is robustness in the level of feeder activity reported back to episodes.</w:t>
      </w:r>
    </w:p>
    <w:p w:rsidR="001921EA" w:rsidRPr="000B16CA" w:rsidRDefault="00821033" w:rsidP="00F26328">
      <w:pPr>
        <w:pStyle w:val="BodyText"/>
        <w:numPr>
          <w:ilvl w:val="0"/>
          <w:numId w:val="48"/>
        </w:numPr>
      </w:pPr>
      <w:r w:rsidRPr="000B16CA">
        <w:t>Costing system records were not provided for four of six feeders at Princess Margaret.</w:t>
      </w:r>
    </w:p>
    <w:p w:rsidR="00B5276F" w:rsidRPr="00975E6B" w:rsidRDefault="00B5276F" w:rsidP="00F26328">
      <w:pPr>
        <w:pStyle w:val="BodyText"/>
        <w:numPr>
          <w:ilvl w:val="0"/>
          <w:numId w:val="48"/>
        </w:numPr>
      </w:pPr>
      <w:r w:rsidRPr="00975E6B">
        <w:t xml:space="preserve">WIP </w:t>
      </w:r>
      <w:r w:rsidR="0074117C" w:rsidRPr="00975E6B">
        <w:t xml:space="preserve">was </w:t>
      </w:r>
      <w:r w:rsidRPr="00975E6B">
        <w:t xml:space="preserve">treated in accordance with the COST 5.002 of the AHPCS Version 3.1. It is noted that no escalation factor </w:t>
      </w:r>
      <w:r w:rsidR="0074117C" w:rsidRPr="00975E6B">
        <w:t xml:space="preserve">was </w:t>
      </w:r>
      <w:r w:rsidRPr="00975E6B">
        <w:t>applied to prior year costs.</w:t>
      </w:r>
    </w:p>
    <w:p w:rsidR="004C2A99" w:rsidRPr="00975E6B" w:rsidRDefault="004C2A99" w:rsidP="00F26328">
      <w:pPr>
        <w:pStyle w:val="BodyText"/>
        <w:numPr>
          <w:ilvl w:val="0"/>
          <w:numId w:val="48"/>
        </w:numPr>
      </w:pPr>
      <w:r w:rsidRPr="00975E6B">
        <w:t xml:space="preserve">On review of the five sample patients selected for Rockingham General and Princess Margaret, all 10 patient records reconciled with IHPA records. </w:t>
      </w:r>
    </w:p>
    <w:p w:rsidR="00B5276F" w:rsidRPr="00975E6B" w:rsidRDefault="00B5276F" w:rsidP="001140D3">
      <w:pPr>
        <w:pStyle w:val="BodyText"/>
      </w:pPr>
      <w:r w:rsidRPr="00975E6B">
        <w:t xml:space="preserve">Based on discussions held during the site visits, and a review of the financial reconciliations provided (noting the minor variances above), nothing </w:t>
      </w:r>
      <w:r w:rsidR="00AE5BD0" w:rsidRPr="00975E6B">
        <w:t>was identified</w:t>
      </w:r>
      <w:r w:rsidRPr="00975E6B">
        <w:t xml:space="preserve"> to suggest that the financial data</w:t>
      </w:r>
      <w:r w:rsidR="0030638F" w:rsidRPr="00975E6B">
        <w:t xml:space="preserve"> for </w:t>
      </w:r>
      <w:r w:rsidR="00C15673" w:rsidRPr="00975E6B">
        <w:t>Rockingham General</w:t>
      </w:r>
      <w:r w:rsidR="0030638F" w:rsidRPr="00975E6B">
        <w:t xml:space="preserve"> and </w:t>
      </w:r>
      <w:r w:rsidR="003F167A" w:rsidRPr="00975E6B">
        <w:t>Princess Margaret</w:t>
      </w:r>
      <w:r w:rsidRPr="00975E6B">
        <w:t xml:space="preserve"> is not fit for NHCDC submission. Furthermore, the data flow from the jurisdiction to IHPA demonstrated no unexplained variances.</w:t>
      </w:r>
    </w:p>
    <w:p w:rsidR="00596937" w:rsidRPr="00975E6B" w:rsidRDefault="00596937" w:rsidP="00A952FC">
      <w:pPr>
        <w:pStyle w:val="Heading1"/>
        <w:numPr>
          <w:ilvl w:val="0"/>
          <w:numId w:val="77"/>
        </w:numPr>
      </w:pPr>
      <w:bookmarkStart w:id="854" w:name="_Toc444523691"/>
      <w:r w:rsidRPr="00975E6B">
        <w:lastRenderedPageBreak/>
        <w:t>IHPA Process</w:t>
      </w:r>
      <w:bookmarkEnd w:id="854"/>
    </w:p>
    <w:p w:rsidR="00BA70A6" w:rsidRPr="00975E6B" w:rsidRDefault="00BA70A6" w:rsidP="00A952FC">
      <w:pPr>
        <w:pStyle w:val="Heading2"/>
        <w:numPr>
          <w:ilvl w:val="1"/>
          <w:numId w:val="77"/>
        </w:numPr>
      </w:pPr>
      <w:bookmarkStart w:id="855" w:name="_Toc444523692"/>
      <w:r w:rsidRPr="00A952FC">
        <w:t>Overview</w:t>
      </w:r>
      <w:bookmarkEnd w:id="855"/>
      <w:r w:rsidRPr="00975E6B">
        <w:t xml:space="preserve"> </w:t>
      </w:r>
    </w:p>
    <w:p w:rsidR="00BA70A6" w:rsidRPr="00975E6B" w:rsidRDefault="00BA70A6" w:rsidP="00BA70A6">
      <w:pPr>
        <w:pStyle w:val="BodyText"/>
      </w:pPr>
      <w:r w:rsidRPr="00975E6B">
        <w:t xml:space="preserve">KPMG reviewed the process that IHPA applied in compiling the NHCDC </w:t>
      </w:r>
      <w:r w:rsidR="00117548" w:rsidRPr="00975E6B">
        <w:t xml:space="preserve">for Round 18 </w:t>
      </w:r>
      <w:r w:rsidRPr="00975E6B">
        <w:t xml:space="preserve">and followed </w:t>
      </w:r>
      <w:r w:rsidR="00117548" w:rsidRPr="00975E6B">
        <w:t xml:space="preserve">the data flow of the </w:t>
      </w:r>
      <w:r w:rsidRPr="00975E6B">
        <w:t xml:space="preserve">14 participating sites </w:t>
      </w:r>
      <w:r w:rsidR="00117548" w:rsidRPr="00975E6B">
        <w:t>from submission to the jurisdiction</w:t>
      </w:r>
      <w:r w:rsidR="00D43C9C" w:rsidRPr="00975E6B">
        <w:t xml:space="preserve">s, </w:t>
      </w:r>
      <w:r w:rsidRPr="00975E6B">
        <w:t xml:space="preserve">through to </w:t>
      </w:r>
      <w:r w:rsidR="00D43C9C" w:rsidRPr="00975E6B">
        <w:t xml:space="preserve">their NHCDC data </w:t>
      </w:r>
      <w:r w:rsidRPr="00975E6B">
        <w:t xml:space="preserve">being recorded in the national data set. </w:t>
      </w:r>
    </w:p>
    <w:p w:rsidR="00BA70A6" w:rsidRPr="00975E6B" w:rsidRDefault="00BA70A6" w:rsidP="00BA70A6">
      <w:pPr>
        <w:pStyle w:val="BodyText"/>
      </w:pPr>
      <w:r w:rsidRPr="00975E6B">
        <w:t xml:space="preserve">The objective of the IHPA NHCDC data submission </w:t>
      </w:r>
      <w:r w:rsidR="00117548" w:rsidRPr="00975E6B">
        <w:t xml:space="preserve">process </w:t>
      </w:r>
      <w:r w:rsidRPr="00975E6B">
        <w:t xml:space="preserve">and review was to: </w:t>
      </w:r>
    </w:p>
    <w:p w:rsidR="00BA70A6" w:rsidRPr="00975E6B" w:rsidRDefault="00BA70A6" w:rsidP="00F26328">
      <w:pPr>
        <w:pStyle w:val="BodyText"/>
        <w:numPr>
          <w:ilvl w:val="0"/>
          <w:numId w:val="30"/>
        </w:numPr>
      </w:pPr>
      <w:r w:rsidRPr="00975E6B">
        <w:t xml:space="preserve">understand IHPA’s processes for receiving data </w:t>
      </w:r>
    </w:p>
    <w:p w:rsidR="00BA70A6" w:rsidRPr="00975E6B" w:rsidRDefault="00BA70A6" w:rsidP="00F26328">
      <w:pPr>
        <w:pStyle w:val="BodyText"/>
        <w:numPr>
          <w:ilvl w:val="0"/>
          <w:numId w:val="30"/>
        </w:numPr>
      </w:pPr>
      <w:r w:rsidRPr="00975E6B">
        <w:t xml:space="preserve">determine IHPA’s processes for validating and performing </w:t>
      </w:r>
      <w:r w:rsidR="00117548" w:rsidRPr="00975E6B">
        <w:t>quality assurance (</w:t>
      </w:r>
      <w:r w:rsidRPr="00975E6B">
        <w:t>QA</w:t>
      </w:r>
      <w:r w:rsidR="00117548" w:rsidRPr="00975E6B">
        <w:t>)</w:t>
      </w:r>
      <w:r w:rsidRPr="00975E6B">
        <w:t xml:space="preserve"> procedures</w:t>
      </w:r>
    </w:p>
    <w:p w:rsidR="00BA70A6" w:rsidRPr="00975E6B" w:rsidRDefault="00BA70A6" w:rsidP="00F26328">
      <w:pPr>
        <w:pStyle w:val="BodyText"/>
        <w:numPr>
          <w:ilvl w:val="0"/>
          <w:numId w:val="30"/>
        </w:numPr>
      </w:pPr>
      <w:r w:rsidRPr="00975E6B">
        <w:t xml:space="preserve">identify and understand any adjustments to the data </w:t>
      </w:r>
    </w:p>
    <w:p w:rsidR="00BA70A6" w:rsidRPr="00975E6B" w:rsidRDefault="00BA70A6" w:rsidP="00F26328">
      <w:pPr>
        <w:pStyle w:val="BodyText"/>
        <w:numPr>
          <w:ilvl w:val="0"/>
          <w:numId w:val="30"/>
        </w:numPr>
      </w:pPr>
      <w:proofErr w:type="gramStart"/>
      <w:r w:rsidRPr="00975E6B">
        <w:t>reconcile</w:t>
      </w:r>
      <w:proofErr w:type="gramEnd"/>
      <w:r w:rsidRPr="00975E6B">
        <w:t xml:space="preserve"> the data against the national data set. </w:t>
      </w:r>
    </w:p>
    <w:p w:rsidR="00BA70A6" w:rsidRPr="00975E6B" w:rsidRDefault="00BA70A6" w:rsidP="00BA70A6">
      <w:pPr>
        <w:pStyle w:val="BodyText"/>
      </w:pPr>
      <w:r w:rsidRPr="00975E6B">
        <w:t xml:space="preserve">The KPMG review team met with IHPA representatives to discuss the data management, validation and QA processes that IHPA applied in handling the Round 18 NHCDC submissions. </w:t>
      </w:r>
    </w:p>
    <w:p w:rsidR="00BA70A6" w:rsidRPr="00975E6B" w:rsidRDefault="00BA70A6" w:rsidP="00BA70A6">
      <w:pPr>
        <w:pStyle w:val="BodyText"/>
      </w:pPr>
      <w:r w:rsidRPr="00975E6B">
        <w:t xml:space="preserve">During the meeting, the review team viewed the supporting reconciliations, validation and QA outputs relating to the participating hospitals. This information was subsequently provided to KPMG, which was used to complete the </w:t>
      </w:r>
      <w:r w:rsidR="00117548" w:rsidRPr="00975E6B">
        <w:t xml:space="preserve">NHCDC </w:t>
      </w:r>
      <w:r w:rsidRPr="00975E6B">
        <w:t>reconciliations for each sampled hospital</w:t>
      </w:r>
      <w:r w:rsidR="00117548" w:rsidRPr="00975E6B">
        <w:t>/LHN</w:t>
      </w:r>
      <w:r w:rsidR="00D43C9C" w:rsidRPr="00975E6B">
        <w:t>s</w:t>
      </w:r>
      <w:r w:rsidR="00117548" w:rsidRPr="00975E6B">
        <w:t xml:space="preserve">. </w:t>
      </w:r>
      <w:r w:rsidRPr="00975E6B">
        <w:t xml:space="preserve">Additional clarification of reconciliation items was sought during and after the meeting with the relevant IHPA team members. </w:t>
      </w:r>
    </w:p>
    <w:p w:rsidR="00BA70A6" w:rsidRPr="00975E6B" w:rsidRDefault="00BA70A6" w:rsidP="00A952FC">
      <w:pPr>
        <w:pStyle w:val="Heading2"/>
        <w:numPr>
          <w:ilvl w:val="1"/>
          <w:numId w:val="77"/>
        </w:numPr>
      </w:pPr>
      <w:bookmarkStart w:id="856" w:name="_Toc444523693"/>
      <w:r w:rsidRPr="00975E6B">
        <w:t xml:space="preserve">IHPA </w:t>
      </w:r>
      <w:r w:rsidRPr="00A952FC">
        <w:t>NHCDC</w:t>
      </w:r>
      <w:r w:rsidRPr="00975E6B">
        <w:t xml:space="preserve"> data submission process</w:t>
      </w:r>
      <w:bookmarkEnd w:id="856"/>
      <w:r w:rsidRPr="00975E6B">
        <w:t xml:space="preserve"> </w:t>
      </w:r>
    </w:p>
    <w:p w:rsidR="00BA70A6" w:rsidRPr="00975E6B" w:rsidRDefault="00BA70A6" w:rsidP="00BA70A6">
      <w:pPr>
        <w:pStyle w:val="BodyText"/>
      </w:pPr>
      <w:r w:rsidRPr="00975E6B">
        <w:t xml:space="preserve">A new data submission and validation process was introduced for Round 18, which followed on from Round 17 changes to the quality review process. The greatest change in Round 18 was the move to utilise broader Commonwealth Government Infrastructure via the </w:t>
      </w:r>
      <w:r w:rsidR="00117548" w:rsidRPr="00975E6B">
        <w:t xml:space="preserve">Enterprise </w:t>
      </w:r>
      <w:r w:rsidRPr="00975E6B">
        <w:t xml:space="preserve">Data Warehouse (EDW), which allows automated cross-validation and linking of the data submitted. The EDW was part of the National Health Reform (NHR) agenda’s goal to enhance the Information, Communications and Technology capabilities for NHR stakeholders including IHPA. </w:t>
      </w:r>
    </w:p>
    <w:p w:rsidR="00BA70A6" w:rsidRPr="00975E6B" w:rsidRDefault="00BA70A6" w:rsidP="00BA70A6">
      <w:pPr>
        <w:pStyle w:val="BodyText"/>
      </w:pPr>
      <w:r w:rsidRPr="00975E6B">
        <w:t>IHPA’s process can be broken down into various phases, with several tasks performed during each phase. Throughout the NHCDC process, IHPA communicates with jurisdictions to keep them informed of the progress of their submission. IHPA publishes the Data Request Specification</w:t>
      </w:r>
      <w:r w:rsidR="00D43C9C" w:rsidRPr="00975E6B">
        <w:t>s</w:t>
      </w:r>
      <w:r w:rsidRPr="00975E6B">
        <w:t xml:space="preserve"> (DRS), which contains the format of data items to be submitted, the validation rules for the </w:t>
      </w:r>
      <w:proofErr w:type="spellStart"/>
      <w:r w:rsidRPr="00975E6B">
        <w:t>CostA</w:t>
      </w:r>
      <w:proofErr w:type="spellEnd"/>
      <w:r w:rsidRPr="00975E6B">
        <w:t xml:space="preserve"> </w:t>
      </w:r>
      <w:r w:rsidR="0072626A" w:rsidRPr="00975E6B">
        <w:t xml:space="preserve">(activity) </w:t>
      </w:r>
      <w:r w:rsidRPr="00975E6B">
        <w:t xml:space="preserve">and </w:t>
      </w:r>
      <w:proofErr w:type="spellStart"/>
      <w:r w:rsidRPr="00975E6B">
        <w:t>CostC</w:t>
      </w:r>
      <w:proofErr w:type="spellEnd"/>
      <w:r w:rsidRPr="00975E6B">
        <w:t xml:space="preserve"> </w:t>
      </w:r>
      <w:r w:rsidR="0072626A" w:rsidRPr="00975E6B">
        <w:t xml:space="preserve">(cost) </w:t>
      </w:r>
      <w:r w:rsidRPr="00975E6B">
        <w:t>files, and validation rules for linking to activity files, as well as reference files such as NHCDC hospital identifiers. The DRS is used by jurisdictions to guide data submission for the NHCDC round.</w:t>
      </w:r>
    </w:p>
    <w:p w:rsidR="00BA70A6" w:rsidRPr="00975E6B" w:rsidRDefault="00BA70A6" w:rsidP="00BA70A6">
      <w:pPr>
        <w:pStyle w:val="BodyText"/>
      </w:pPr>
      <w:r w:rsidRPr="00975E6B">
        <w:t xml:space="preserve">Each phase of the process described below applies at the hospital level. </w:t>
      </w:r>
    </w:p>
    <w:p w:rsidR="00BA70A6" w:rsidRPr="00975E6B" w:rsidRDefault="00BA70A6" w:rsidP="005C178F">
      <w:pPr>
        <w:pStyle w:val="Heading3"/>
        <w:numPr>
          <w:ilvl w:val="2"/>
          <w:numId w:val="77"/>
        </w:numPr>
      </w:pPr>
      <w:r w:rsidRPr="005C178F">
        <w:lastRenderedPageBreak/>
        <w:t>Phase</w:t>
      </w:r>
      <w:r w:rsidRPr="00975E6B">
        <w:t xml:space="preserve"> </w:t>
      </w:r>
      <w:r w:rsidR="00664258" w:rsidRPr="00975E6B">
        <w:t>1</w:t>
      </w:r>
      <w:r w:rsidRPr="00975E6B">
        <w:t xml:space="preserve">: EDW Data Collection </w:t>
      </w:r>
    </w:p>
    <w:p w:rsidR="00BA70A6" w:rsidRPr="00975E6B" w:rsidRDefault="00BA70A6" w:rsidP="00BA70A6">
      <w:pPr>
        <w:pStyle w:val="BodyText"/>
        <w:rPr>
          <w:szCs w:val="20"/>
          <w:lang w:val="en"/>
        </w:rPr>
      </w:pPr>
      <w:r w:rsidRPr="00975E6B">
        <w:t xml:space="preserve">Phase </w:t>
      </w:r>
      <w:r w:rsidR="00664258" w:rsidRPr="00975E6B">
        <w:t xml:space="preserve">1 </w:t>
      </w:r>
      <w:r w:rsidRPr="00975E6B">
        <w:t xml:space="preserve">involved collection of </w:t>
      </w:r>
      <w:r w:rsidR="00972458" w:rsidRPr="00975E6B">
        <w:t xml:space="preserve">all jurisdictions </w:t>
      </w:r>
      <w:r w:rsidRPr="00975E6B">
        <w:t xml:space="preserve">data submitted via the EDW </w:t>
      </w:r>
      <w:r w:rsidR="00972458" w:rsidRPr="00975E6B">
        <w:t>to</w:t>
      </w:r>
      <w:r w:rsidRPr="00975E6B">
        <w:t xml:space="preserve"> IHPA</w:t>
      </w:r>
      <w:r w:rsidR="00972458" w:rsidRPr="00975E6B">
        <w:t>’s</w:t>
      </w:r>
      <w:r w:rsidRPr="00975E6B">
        <w:t xml:space="preserve"> </w:t>
      </w:r>
      <w:proofErr w:type="spellStart"/>
      <w:r w:rsidRPr="00975E6B">
        <w:t>dropbox</w:t>
      </w:r>
      <w:proofErr w:type="spellEnd"/>
      <w:r w:rsidRPr="00975E6B">
        <w:t>. Various cross</w:t>
      </w:r>
      <w:r w:rsidR="00BA3F4B" w:rsidRPr="00975E6B">
        <w:t xml:space="preserve">-validation and linking checks </w:t>
      </w:r>
      <w:r w:rsidRPr="00975E6B">
        <w:t xml:space="preserve">occur and jurisdictions are able to validate data multiple times, </w:t>
      </w:r>
      <w:r w:rsidRPr="00975E6B">
        <w:rPr>
          <w:szCs w:val="20"/>
          <w:lang w:val="en"/>
        </w:rPr>
        <w:t>update for errors and resubmit.</w:t>
      </w:r>
    </w:p>
    <w:p w:rsidR="00BA70A6" w:rsidRPr="00975E6B" w:rsidRDefault="00BA70A6" w:rsidP="00BA70A6">
      <w:pPr>
        <w:pStyle w:val="BodyText"/>
      </w:pPr>
      <w:r w:rsidRPr="00975E6B">
        <w:t>During this phase, there are various checks undertaken, some of these include:</w:t>
      </w:r>
    </w:p>
    <w:p w:rsidR="00BA70A6" w:rsidRPr="00975E6B" w:rsidRDefault="00BA70A6" w:rsidP="00F26328">
      <w:pPr>
        <w:pStyle w:val="BodyText"/>
        <w:numPr>
          <w:ilvl w:val="0"/>
          <w:numId w:val="32"/>
        </w:numPr>
      </w:pPr>
      <w:r w:rsidRPr="00975E6B">
        <w:t xml:space="preserve">Whether the </w:t>
      </w:r>
      <w:proofErr w:type="spellStart"/>
      <w:r w:rsidRPr="00975E6B">
        <w:t>CostA</w:t>
      </w:r>
      <w:proofErr w:type="spellEnd"/>
      <w:r w:rsidRPr="00975E6B">
        <w:t xml:space="preserve"> and </w:t>
      </w:r>
      <w:proofErr w:type="spellStart"/>
      <w:r w:rsidRPr="00975E6B">
        <w:t>CostC</w:t>
      </w:r>
      <w:proofErr w:type="spellEnd"/>
      <w:r w:rsidRPr="00975E6B">
        <w:t xml:space="preserve"> files met the data requirements, as set out in the NHCDC DRS.</w:t>
      </w:r>
    </w:p>
    <w:p w:rsidR="00BA70A6" w:rsidRPr="00975E6B" w:rsidRDefault="00BA70A6" w:rsidP="00F26328">
      <w:pPr>
        <w:pStyle w:val="BodyText"/>
        <w:numPr>
          <w:ilvl w:val="0"/>
          <w:numId w:val="32"/>
        </w:numPr>
      </w:pPr>
      <w:r w:rsidRPr="00975E6B">
        <w:t xml:space="preserve">Whether all </w:t>
      </w:r>
      <w:r w:rsidR="00D43C9C" w:rsidRPr="00975E6B">
        <w:t xml:space="preserve">episodes </w:t>
      </w:r>
      <w:r w:rsidRPr="00975E6B">
        <w:t xml:space="preserve">recorded in the </w:t>
      </w:r>
      <w:proofErr w:type="spellStart"/>
      <w:r w:rsidRPr="00975E6B">
        <w:t>CostA</w:t>
      </w:r>
      <w:proofErr w:type="spellEnd"/>
      <w:r w:rsidRPr="00975E6B">
        <w:t xml:space="preserve"> file were present in the </w:t>
      </w:r>
      <w:proofErr w:type="spellStart"/>
      <w:r w:rsidRPr="00975E6B">
        <w:t>CostC</w:t>
      </w:r>
      <w:proofErr w:type="spellEnd"/>
      <w:r w:rsidRPr="00975E6B">
        <w:t xml:space="preserve"> file and vice versa.</w:t>
      </w:r>
    </w:p>
    <w:p w:rsidR="00BA70A6" w:rsidRPr="00975E6B" w:rsidRDefault="00BA70A6" w:rsidP="00F26328">
      <w:pPr>
        <w:pStyle w:val="BodyText"/>
        <w:numPr>
          <w:ilvl w:val="0"/>
          <w:numId w:val="32"/>
        </w:numPr>
      </w:pPr>
      <w:r w:rsidRPr="00975E6B">
        <w:t xml:space="preserve">Whether the </w:t>
      </w:r>
      <w:proofErr w:type="spellStart"/>
      <w:r w:rsidRPr="00975E6B">
        <w:t>CostA</w:t>
      </w:r>
      <w:proofErr w:type="spellEnd"/>
      <w:r w:rsidRPr="00975E6B">
        <w:t xml:space="preserve"> data matches against the ABF data submission.</w:t>
      </w:r>
    </w:p>
    <w:p w:rsidR="00BA70A6" w:rsidRPr="00975E6B" w:rsidRDefault="00BA70A6" w:rsidP="00F26328">
      <w:pPr>
        <w:pStyle w:val="BodyText"/>
        <w:numPr>
          <w:ilvl w:val="0"/>
          <w:numId w:val="32"/>
        </w:numPr>
      </w:pPr>
      <w:r w:rsidRPr="00975E6B">
        <w:t>Other logical tests, such as whether all admitted ED patients had a corresponding admitted separation recorded.</w:t>
      </w:r>
    </w:p>
    <w:p w:rsidR="00BA70A6" w:rsidRPr="00975E6B" w:rsidRDefault="00BA70A6" w:rsidP="005C178F">
      <w:pPr>
        <w:pStyle w:val="Heading3"/>
        <w:numPr>
          <w:ilvl w:val="2"/>
          <w:numId w:val="77"/>
        </w:numPr>
      </w:pPr>
      <w:r w:rsidRPr="005C178F">
        <w:t>Phase</w:t>
      </w:r>
      <w:r w:rsidRPr="00975E6B">
        <w:t xml:space="preserve"> </w:t>
      </w:r>
      <w:r w:rsidR="005F6AB1" w:rsidRPr="00975E6B">
        <w:t>2</w:t>
      </w:r>
      <w:r w:rsidRPr="00975E6B">
        <w:t>: Retrieve Data from Operational Data Storage</w:t>
      </w:r>
    </w:p>
    <w:p w:rsidR="00BA70A6" w:rsidRPr="00975E6B" w:rsidRDefault="00BA70A6" w:rsidP="00BA70A6">
      <w:pPr>
        <w:pStyle w:val="BodyText"/>
      </w:pPr>
      <w:r w:rsidRPr="00975E6B">
        <w:t xml:space="preserve">Data collected during Phase 0 is retrieved by IHPA and placed on the IHPA server ready for data transformation. </w:t>
      </w:r>
    </w:p>
    <w:p w:rsidR="00BA70A6" w:rsidRPr="00975E6B" w:rsidRDefault="00BA70A6" w:rsidP="00BA70A6">
      <w:pPr>
        <w:pStyle w:val="BodyText"/>
      </w:pPr>
      <w:r w:rsidRPr="00975E6B">
        <w:t xml:space="preserve">As there are numerous files loaded by jurisdictions, the IHPA process retrieves the most recent file which successfully completed the EDW submission process. Jurisdictions will provide an update to IHPA if another pair of files is to be submitted. The EDW data tables are updated every time a data file is resubmitted to the EDW. IHPA also receives </w:t>
      </w:r>
      <w:r w:rsidR="005F6AB1" w:rsidRPr="00975E6B">
        <w:t xml:space="preserve">a weekly </w:t>
      </w:r>
      <w:r w:rsidRPr="00975E6B">
        <w:t xml:space="preserve">email from the EDW </w:t>
      </w:r>
      <w:r w:rsidR="005F6AB1" w:rsidRPr="00975E6B">
        <w:t xml:space="preserve">advising </w:t>
      </w:r>
      <w:r w:rsidRPr="00975E6B">
        <w:t xml:space="preserve">of those jurisdictions that </w:t>
      </w:r>
      <w:r w:rsidR="00D43C9C" w:rsidRPr="00975E6B">
        <w:t xml:space="preserve">submitted or resubmitted </w:t>
      </w:r>
      <w:r w:rsidR="005F6AB1" w:rsidRPr="00975E6B">
        <w:t xml:space="preserve">their data </w:t>
      </w:r>
      <w:r w:rsidR="00D43C9C" w:rsidRPr="00975E6B">
        <w:t>files</w:t>
      </w:r>
      <w:r w:rsidRPr="00975E6B">
        <w:t xml:space="preserve">. </w:t>
      </w:r>
    </w:p>
    <w:p w:rsidR="00BA70A6" w:rsidRPr="00975E6B" w:rsidRDefault="00BA70A6" w:rsidP="005C178F">
      <w:pPr>
        <w:pStyle w:val="Heading3"/>
        <w:numPr>
          <w:ilvl w:val="2"/>
          <w:numId w:val="77"/>
        </w:numPr>
      </w:pPr>
      <w:bookmarkStart w:id="857" w:name="_Ref433726252"/>
      <w:r w:rsidRPr="005C178F">
        <w:t>Phase</w:t>
      </w:r>
      <w:r w:rsidRPr="00975E6B">
        <w:t xml:space="preserve"> </w:t>
      </w:r>
      <w:r w:rsidR="005F6AB1" w:rsidRPr="00975E6B">
        <w:t>3</w:t>
      </w:r>
      <w:r w:rsidRPr="00975E6B">
        <w:t>: Data transformation</w:t>
      </w:r>
      <w:bookmarkEnd w:id="857"/>
      <w:r w:rsidRPr="00975E6B">
        <w:t xml:space="preserve"> </w:t>
      </w:r>
    </w:p>
    <w:p w:rsidR="00BA70A6" w:rsidRPr="00975E6B" w:rsidRDefault="00BA70A6" w:rsidP="00BA70A6">
      <w:pPr>
        <w:pStyle w:val="BodyText"/>
      </w:pPr>
      <w:r w:rsidRPr="00975E6B">
        <w:t>Once data is placed onto the IHPA server an Extract, Transform and Load (ETL) process is conducted in the data warehouse. At this point, unqualified babies (UQB) and admitted ED adjustments occur on the data. These adjustments are described further below.</w:t>
      </w:r>
    </w:p>
    <w:p w:rsidR="00BA70A6" w:rsidRPr="00975E6B" w:rsidRDefault="00BA70A6" w:rsidP="005C178F">
      <w:pPr>
        <w:pStyle w:val="Heading4"/>
        <w:numPr>
          <w:ilvl w:val="0"/>
          <w:numId w:val="0"/>
        </w:numPr>
        <w:ind w:left="720" w:hanging="720"/>
      </w:pPr>
      <w:r w:rsidRPr="00975E6B">
        <w:t>U</w:t>
      </w:r>
      <w:r w:rsidR="005F6AB1" w:rsidRPr="00975E6B">
        <w:t>nqualified baby</w:t>
      </w:r>
      <w:r w:rsidRPr="00975E6B">
        <w:t xml:space="preserve"> adjustment </w:t>
      </w:r>
    </w:p>
    <w:p w:rsidR="00BA70A6" w:rsidRPr="00975E6B" w:rsidRDefault="00BA70A6" w:rsidP="00BA70A6">
      <w:pPr>
        <w:pStyle w:val="BodyText"/>
      </w:pPr>
      <w:r w:rsidRPr="00975E6B">
        <w:t xml:space="preserve">The </w:t>
      </w:r>
      <w:r w:rsidR="005F6AB1" w:rsidRPr="00975E6B">
        <w:t>unqualified baby (</w:t>
      </w:r>
      <w:r w:rsidRPr="00975E6B">
        <w:t>UQB</w:t>
      </w:r>
      <w:r w:rsidR="005F6AB1" w:rsidRPr="00975E6B">
        <w:t>)</w:t>
      </w:r>
      <w:r w:rsidRPr="00975E6B">
        <w:t xml:space="preserve"> adjustment combines the costs of a UQB separation to a mother separation. Within IHPAs reconciliation this is not an additional cost but a movement </w:t>
      </w:r>
      <w:r w:rsidR="00D43C9C" w:rsidRPr="00975E6B">
        <w:t xml:space="preserve">of costs </w:t>
      </w:r>
      <w:r w:rsidRPr="00975E6B">
        <w:t>between patients. IHPA makes this adjustment using the following methodology:</w:t>
      </w:r>
      <w:r w:rsidR="00BA3F4B" w:rsidRPr="00975E6B">
        <w:t xml:space="preserve"> </w:t>
      </w:r>
    </w:p>
    <w:p w:rsidR="00BA70A6" w:rsidRPr="00975E6B" w:rsidRDefault="00BA70A6" w:rsidP="00F26328">
      <w:pPr>
        <w:pStyle w:val="BodyText"/>
        <w:numPr>
          <w:ilvl w:val="0"/>
          <w:numId w:val="33"/>
        </w:numPr>
      </w:pPr>
      <w:r w:rsidRPr="00975E6B">
        <w:t xml:space="preserve">Where a mother separation was directly linked with a UQB separation (using </w:t>
      </w:r>
      <w:r w:rsidR="005F6AB1" w:rsidRPr="00975E6B">
        <w:t xml:space="preserve">a </w:t>
      </w:r>
      <w:r w:rsidRPr="00975E6B">
        <w:t xml:space="preserve">Mother episode identifier), the costs of that UQB separation are allocated to the mother. </w:t>
      </w:r>
    </w:p>
    <w:p w:rsidR="00BA70A6" w:rsidRPr="00975E6B" w:rsidRDefault="00BA70A6" w:rsidP="00F26328">
      <w:pPr>
        <w:pStyle w:val="BodyText"/>
        <w:numPr>
          <w:ilvl w:val="0"/>
          <w:numId w:val="33"/>
        </w:numPr>
      </w:pPr>
      <w:r w:rsidRPr="00975E6B">
        <w:t xml:space="preserve">Any unallocated UQB separations are linked to remaining mother separations up to a maximum ratio of 1:1 (that is, only one UQB separation per mother separation). </w:t>
      </w:r>
    </w:p>
    <w:p w:rsidR="00BA70A6" w:rsidRPr="00975E6B" w:rsidRDefault="00BA70A6" w:rsidP="00F26328">
      <w:pPr>
        <w:pStyle w:val="BodyText"/>
        <w:numPr>
          <w:ilvl w:val="0"/>
          <w:numId w:val="33"/>
        </w:numPr>
      </w:pPr>
      <w:r w:rsidRPr="00975E6B">
        <w:t>If there are remaining UQB separations after following this process, costs are allocated across all mother separations based on length of stay.</w:t>
      </w:r>
    </w:p>
    <w:p w:rsidR="00BA70A6" w:rsidRPr="00975E6B" w:rsidRDefault="00BA70A6" w:rsidP="005C178F">
      <w:pPr>
        <w:pStyle w:val="Heading4"/>
        <w:numPr>
          <w:ilvl w:val="0"/>
          <w:numId w:val="0"/>
        </w:numPr>
        <w:ind w:left="720" w:hanging="720"/>
      </w:pPr>
      <w:r w:rsidRPr="00975E6B">
        <w:t xml:space="preserve">Admitted ED costs </w:t>
      </w:r>
    </w:p>
    <w:p w:rsidR="00BA70A6" w:rsidRPr="00975E6B" w:rsidRDefault="00BA70A6" w:rsidP="00BA70A6">
      <w:pPr>
        <w:pStyle w:val="BodyText"/>
      </w:pPr>
      <w:r w:rsidRPr="00975E6B">
        <w:t xml:space="preserve">IHPA linked any ED presentations that were subsequently admitted to the corresponding </w:t>
      </w:r>
      <w:r w:rsidR="005F6AB1" w:rsidRPr="00975E6B">
        <w:t>separation</w:t>
      </w:r>
      <w:r w:rsidRPr="00975E6B">
        <w:t xml:space="preserve">. This enables reporting of admitted </w:t>
      </w:r>
      <w:r w:rsidR="005F6AB1" w:rsidRPr="00975E6B">
        <w:t xml:space="preserve">separations </w:t>
      </w:r>
      <w:r w:rsidRPr="00975E6B">
        <w:t xml:space="preserve">with the related ED costs, and of ED costs for all patients regardless of whether they were subsequently admitted or not. For hospitals this occurred in one of two ways: </w:t>
      </w:r>
    </w:p>
    <w:p w:rsidR="00BA70A6" w:rsidRPr="00975E6B" w:rsidRDefault="00BA70A6" w:rsidP="00F26328">
      <w:pPr>
        <w:pStyle w:val="BodyText"/>
        <w:numPr>
          <w:ilvl w:val="0"/>
          <w:numId w:val="31"/>
        </w:numPr>
      </w:pPr>
      <w:r w:rsidRPr="00975E6B">
        <w:lastRenderedPageBreak/>
        <w:t xml:space="preserve">IHPA allocated the admitted emergency costs back to admitted patients for the purposes of reporting and analysis. Within IHPA’s reconciliation this amount is a duplication of admitted emergency costs and not an additional cost. While this has the effect of increasing total reported NHCDC costs, it does not increase the patient level costs reported within the admitted or emergency streams. </w:t>
      </w:r>
    </w:p>
    <w:p w:rsidR="00BA70A6" w:rsidRPr="00975E6B" w:rsidRDefault="00BA70A6" w:rsidP="00F26328">
      <w:pPr>
        <w:pStyle w:val="BodyText"/>
        <w:numPr>
          <w:ilvl w:val="0"/>
          <w:numId w:val="31"/>
        </w:numPr>
      </w:pPr>
      <w:r w:rsidRPr="00975E6B">
        <w:t>For most WA hospitals, the admitted ED presentation is not captured separately within the PAS and is included with the admitted episode. To maintain the NHCDC classification streams, IHPA (with the consent of WA) duplicated the emergency costs and created virtual patients to be in line with the admitted emergency stream.</w:t>
      </w:r>
    </w:p>
    <w:p w:rsidR="00BA70A6" w:rsidRPr="00975E6B" w:rsidRDefault="00BA70A6" w:rsidP="005C178F">
      <w:pPr>
        <w:pStyle w:val="Heading3"/>
        <w:numPr>
          <w:ilvl w:val="2"/>
          <w:numId w:val="77"/>
        </w:numPr>
      </w:pPr>
      <w:r w:rsidRPr="005C178F">
        <w:t>Phase</w:t>
      </w:r>
      <w:r w:rsidRPr="00975E6B">
        <w:t xml:space="preserve"> </w:t>
      </w:r>
      <w:r w:rsidR="005F6AB1" w:rsidRPr="00975E6B">
        <w:t>4-6</w:t>
      </w:r>
      <w:r w:rsidRPr="00975E6B">
        <w:t xml:space="preserve">: Quality assurance </w:t>
      </w:r>
    </w:p>
    <w:p w:rsidR="00BA70A6" w:rsidRPr="00975E6B" w:rsidRDefault="00BA70A6" w:rsidP="00BA70A6">
      <w:pPr>
        <w:pStyle w:val="CommentText"/>
      </w:pPr>
      <w:r w:rsidRPr="00975E6B">
        <w:t xml:space="preserve">Once the ETL process has been completed, QA reports are created. For Round 18, this process involved a number of tests on the data to assess for reasonableness, including for high and low patient costs and comparison with prior NHCDC rounds. The QA process produces a set of QA reports. These are provided to jurisdictions to review and action change should material errors </w:t>
      </w:r>
      <w:proofErr w:type="gramStart"/>
      <w:r w:rsidRPr="00975E6B">
        <w:t>be</w:t>
      </w:r>
      <w:proofErr w:type="gramEnd"/>
      <w:r w:rsidRPr="00975E6B">
        <w:t xml:space="preserve"> found.</w:t>
      </w:r>
    </w:p>
    <w:p w:rsidR="00BA70A6" w:rsidRPr="00975E6B" w:rsidRDefault="00D73E46" w:rsidP="00BA70A6">
      <w:pPr>
        <w:pStyle w:val="BodyText"/>
      </w:pPr>
      <w:r w:rsidRPr="00975E6B">
        <w:t xml:space="preserve">In </w:t>
      </w:r>
      <w:r w:rsidR="00BA70A6" w:rsidRPr="00975E6B">
        <w:t>Phase 4 of the IHPA process</w:t>
      </w:r>
      <w:r w:rsidRPr="00975E6B">
        <w:t>, IHPA creates</w:t>
      </w:r>
      <w:r w:rsidR="00BA70A6" w:rsidRPr="00975E6B">
        <w:t xml:space="preserve"> virtual patients </w:t>
      </w:r>
      <w:r w:rsidRPr="00975E6B">
        <w:t xml:space="preserve">for </w:t>
      </w:r>
      <w:r w:rsidR="00BA70A6" w:rsidRPr="00975E6B">
        <w:t xml:space="preserve">the </w:t>
      </w:r>
      <w:r w:rsidRPr="00975E6B">
        <w:t xml:space="preserve">applicable WA hospitals </w:t>
      </w:r>
      <w:r w:rsidR="00AF335E" w:rsidRPr="00975E6B">
        <w:t>that include all</w:t>
      </w:r>
      <w:r w:rsidRPr="00975E6B">
        <w:t xml:space="preserve"> ED presentations with</w:t>
      </w:r>
      <w:r w:rsidR="00AF335E" w:rsidRPr="00975E6B">
        <w:t>in</w:t>
      </w:r>
      <w:r w:rsidRPr="00975E6B">
        <w:t xml:space="preserve"> admitted </w:t>
      </w:r>
      <w:r w:rsidR="00BA70A6" w:rsidRPr="00975E6B">
        <w:t xml:space="preserve">separations </w:t>
      </w:r>
      <w:r w:rsidRPr="00975E6B">
        <w:t>(</w:t>
      </w:r>
      <w:r w:rsidR="00BA70A6" w:rsidRPr="00975E6B">
        <w:t xml:space="preserve">as discussed in </w:t>
      </w:r>
      <w:r w:rsidR="00544646" w:rsidRPr="00975E6B">
        <w:fldChar w:fldCharType="begin"/>
      </w:r>
      <w:r w:rsidR="00544646" w:rsidRPr="00975E6B">
        <w:instrText xml:space="preserve"> REF _Ref434265594 \h </w:instrText>
      </w:r>
      <w:r w:rsidR="00975E6B">
        <w:instrText xml:space="preserve"> \* MERGEFORMAT </w:instrText>
      </w:r>
      <w:r w:rsidR="00544646" w:rsidRPr="00975E6B">
        <w:fldChar w:fldCharType="separate"/>
      </w:r>
      <w:r w:rsidR="00154CF7" w:rsidRPr="00975E6B">
        <w:t xml:space="preserve">Table </w:t>
      </w:r>
      <w:r w:rsidR="00154CF7">
        <w:rPr>
          <w:noProof/>
        </w:rPr>
        <w:t>95</w:t>
      </w:r>
      <w:r w:rsidR="00544646" w:rsidRPr="00975E6B">
        <w:fldChar w:fldCharType="end"/>
      </w:r>
      <w:r w:rsidR="00544646" w:rsidRPr="00975E6B">
        <w:t xml:space="preserve"> and </w:t>
      </w:r>
      <w:r w:rsidR="00544646" w:rsidRPr="00975E6B">
        <w:fldChar w:fldCharType="begin"/>
      </w:r>
      <w:r w:rsidR="00544646" w:rsidRPr="00975E6B">
        <w:instrText xml:space="preserve"> REF _Ref433235291 \h </w:instrText>
      </w:r>
      <w:r w:rsidR="00975E6B">
        <w:instrText xml:space="preserve"> \* MERGEFORMAT </w:instrText>
      </w:r>
      <w:r w:rsidR="00544646" w:rsidRPr="00975E6B">
        <w:fldChar w:fldCharType="separate"/>
      </w:r>
      <w:r w:rsidR="00154CF7" w:rsidRPr="00975E6B">
        <w:t xml:space="preserve">Table </w:t>
      </w:r>
      <w:r w:rsidR="00154CF7">
        <w:rPr>
          <w:noProof/>
        </w:rPr>
        <w:t>102</w:t>
      </w:r>
      <w:r w:rsidR="00544646" w:rsidRPr="00975E6B">
        <w:fldChar w:fldCharType="end"/>
      </w:r>
      <w:r w:rsidR="00544646" w:rsidRPr="00975E6B">
        <w:t>)</w:t>
      </w:r>
      <w:r w:rsidR="00BA70A6" w:rsidRPr="00975E6B">
        <w:t xml:space="preserve">. Phase </w:t>
      </w:r>
      <w:r w:rsidR="005F6AB1" w:rsidRPr="00975E6B">
        <w:t xml:space="preserve">6 </w:t>
      </w:r>
      <w:r w:rsidR="00BA70A6" w:rsidRPr="00975E6B">
        <w:t xml:space="preserve">is the summary of final data used for the Round 18 NHCDC. </w:t>
      </w:r>
    </w:p>
    <w:p w:rsidR="00BA70A6" w:rsidRPr="00975E6B" w:rsidRDefault="00BA70A6" w:rsidP="005C178F">
      <w:pPr>
        <w:pStyle w:val="Heading3"/>
        <w:numPr>
          <w:ilvl w:val="2"/>
          <w:numId w:val="77"/>
        </w:numPr>
      </w:pPr>
      <w:r w:rsidRPr="005C178F">
        <w:t>Reconciliation</w:t>
      </w:r>
      <w:r w:rsidRPr="00975E6B">
        <w:t xml:space="preserve"> between submitted data and the national database </w:t>
      </w:r>
    </w:p>
    <w:p w:rsidR="00BA70A6" w:rsidRPr="00B540AC" w:rsidRDefault="00BA70A6" w:rsidP="00BA70A6">
      <w:pPr>
        <w:pStyle w:val="BodyText"/>
      </w:pPr>
      <w:r w:rsidRPr="00975E6B">
        <w:fldChar w:fldCharType="begin"/>
      </w:r>
      <w:r w:rsidRPr="00975E6B">
        <w:instrText xml:space="preserve"> REF _Ref433541446 \h  \* MERGEFORMAT </w:instrText>
      </w:r>
      <w:r w:rsidRPr="00975E6B">
        <w:fldChar w:fldCharType="separate"/>
      </w:r>
      <w:r w:rsidR="00154CF7" w:rsidRPr="00B540AC">
        <w:t xml:space="preserve">Table </w:t>
      </w:r>
      <w:r w:rsidR="00154CF7">
        <w:t>109</w:t>
      </w:r>
      <w:r w:rsidRPr="00975E6B">
        <w:fldChar w:fldCharType="end"/>
      </w:r>
      <w:r w:rsidRPr="00975E6B">
        <w:t xml:space="preserve"> summarises the total cost and activity data provided by jurisdictions for the </w:t>
      </w:r>
      <w:r w:rsidRPr="00B540AC">
        <w:t>participating sites, and how this flows through the IHPA process to the national dataset.</w:t>
      </w:r>
    </w:p>
    <w:p w:rsidR="00BA70A6" w:rsidRDefault="00BA70A6" w:rsidP="00BA70A6">
      <w:pPr>
        <w:pStyle w:val="Caption"/>
      </w:pPr>
      <w:bookmarkStart w:id="858" w:name="_Ref433541446"/>
      <w:r w:rsidRPr="00B540AC">
        <w:t xml:space="preserve">Table </w:t>
      </w:r>
      <w:r w:rsidR="00A92373" w:rsidRPr="0081231C">
        <w:fldChar w:fldCharType="begin"/>
      </w:r>
      <w:r w:rsidR="00A92373" w:rsidRPr="00B540AC">
        <w:instrText xml:space="preserve"> SEQ Table \* ARABIC </w:instrText>
      </w:r>
      <w:r w:rsidR="00A92373" w:rsidRPr="0081231C">
        <w:fldChar w:fldCharType="separate"/>
      </w:r>
      <w:r w:rsidR="00154CF7">
        <w:rPr>
          <w:noProof/>
        </w:rPr>
        <w:t>109</w:t>
      </w:r>
      <w:r w:rsidR="00A92373" w:rsidRPr="0081231C">
        <w:rPr>
          <w:noProof/>
        </w:rPr>
        <w:fldChar w:fldCharType="end"/>
      </w:r>
      <w:bookmarkEnd w:id="858"/>
      <w:r w:rsidRPr="00B540AC">
        <w:t xml:space="preserve"> – IHPA Round 18 NHCDC reconciliation</w:t>
      </w:r>
    </w:p>
    <w:tbl>
      <w:tblPr>
        <w:tblW w:w="8505" w:type="dxa"/>
        <w:tblInd w:w="-5" w:type="dxa"/>
        <w:tblLook w:val="04A0" w:firstRow="1" w:lastRow="0" w:firstColumn="1" w:lastColumn="0" w:noHBand="0" w:noVBand="1"/>
        <w:tblCaption w:val="Table 109 - IHPA Round 18 NHCDC Reconciliation"/>
        <w:tblDescription w:val="This table summarises the total cost and activity data flow from jurisdictions to IHPA.  There are 10 columns. Column 1 is the hospital and Column 2 is the jurisdiction. Column 3, 4, 5 and 6 relates to activity. Column 3 is the activity submitted, Column 4 is the UQB adjustment, Column 5 is the admitted ED reallocations and Column 6 is the total NHCDC activity.  Column 7, 8, 9 and 10 relates to cost. Column 7 is the cost submitted, Column 8 is the UQB adjustment, Column 9 is the admitted ED reallocations and Column 10 is the total NHCDC costs. "/>
      </w:tblPr>
      <w:tblGrid>
        <w:gridCol w:w="1332"/>
        <w:gridCol w:w="532"/>
        <w:gridCol w:w="803"/>
        <w:gridCol w:w="612"/>
        <w:gridCol w:w="756"/>
        <w:gridCol w:w="750"/>
        <w:gridCol w:w="1051"/>
        <w:gridCol w:w="730"/>
        <w:gridCol w:w="884"/>
        <w:gridCol w:w="1069"/>
      </w:tblGrid>
      <w:tr w:rsidR="00CA7B4E" w:rsidRPr="00765D3E" w:rsidTr="00692004">
        <w:trPr>
          <w:trHeight w:val="446"/>
        </w:trPr>
        <w:tc>
          <w:tcPr>
            <w:tcW w:w="1332" w:type="dxa"/>
            <w:tcBorders>
              <w:top w:val="single" w:sz="4" w:space="0" w:color="4F81BD"/>
              <w:left w:val="single" w:sz="4" w:space="0" w:color="4F81BD"/>
              <w:bottom w:val="nil"/>
              <w:right w:val="nil"/>
            </w:tcBorders>
            <w:shd w:val="clear" w:color="auto" w:fill="002060"/>
            <w:vAlign w:val="bottom"/>
            <w:hideMark/>
          </w:tcPr>
          <w:p w:rsidR="00765D3E" w:rsidRPr="00CD1518" w:rsidRDefault="00765D3E" w:rsidP="00765D3E">
            <w:pPr>
              <w:spacing w:line="240" w:lineRule="auto"/>
              <w:rPr>
                <w:b/>
                <w:bCs/>
                <w:color w:val="FFFFFF"/>
                <w:sz w:val="12"/>
                <w:szCs w:val="12"/>
                <w:lang w:eastAsia="en-AU"/>
              </w:rPr>
            </w:pPr>
            <w:r w:rsidRPr="00CD1518">
              <w:rPr>
                <w:b/>
                <w:bCs/>
                <w:color w:val="FFFFFF"/>
                <w:sz w:val="12"/>
                <w:szCs w:val="12"/>
                <w:lang w:eastAsia="en-AU"/>
              </w:rPr>
              <w:t>Hospital</w:t>
            </w:r>
          </w:p>
        </w:tc>
        <w:tc>
          <w:tcPr>
            <w:tcW w:w="532" w:type="dxa"/>
            <w:tcBorders>
              <w:top w:val="single" w:sz="4" w:space="0" w:color="4F81BD"/>
              <w:left w:val="single" w:sz="4" w:space="0" w:color="4F81BD"/>
              <w:bottom w:val="nil"/>
              <w:right w:val="single" w:sz="4" w:space="0" w:color="4F81BD"/>
            </w:tcBorders>
            <w:shd w:val="clear" w:color="auto" w:fill="002060"/>
            <w:vAlign w:val="bottom"/>
            <w:hideMark/>
          </w:tcPr>
          <w:p w:rsidR="00765D3E" w:rsidRPr="00CD1518" w:rsidRDefault="00765D3E" w:rsidP="00765D3E">
            <w:pPr>
              <w:spacing w:line="240" w:lineRule="auto"/>
              <w:jc w:val="center"/>
              <w:rPr>
                <w:b/>
                <w:bCs/>
                <w:color w:val="FFFFFF"/>
                <w:sz w:val="12"/>
                <w:szCs w:val="12"/>
                <w:lang w:eastAsia="en-AU"/>
              </w:rPr>
            </w:pPr>
            <w:r w:rsidRPr="00CD1518">
              <w:rPr>
                <w:b/>
                <w:bCs/>
                <w:color w:val="FFFFFF"/>
                <w:sz w:val="12"/>
                <w:szCs w:val="12"/>
                <w:lang w:eastAsia="en-AU"/>
              </w:rPr>
              <w:t>State</w:t>
            </w:r>
          </w:p>
        </w:tc>
        <w:tc>
          <w:tcPr>
            <w:tcW w:w="803" w:type="dxa"/>
            <w:tcBorders>
              <w:top w:val="single" w:sz="4" w:space="0" w:color="4F81BD"/>
              <w:left w:val="nil"/>
              <w:bottom w:val="nil"/>
              <w:right w:val="nil"/>
            </w:tcBorders>
            <w:shd w:val="clear" w:color="auto" w:fill="002060"/>
            <w:vAlign w:val="bottom"/>
            <w:hideMark/>
          </w:tcPr>
          <w:p w:rsidR="00765D3E" w:rsidRPr="00CD1518" w:rsidRDefault="00765D3E" w:rsidP="00765D3E">
            <w:pPr>
              <w:spacing w:line="240" w:lineRule="auto"/>
              <w:jc w:val="center"/>
              <w:rPr>
                <w:b/>
                <w:bCs/>
                <w:color w:val="FFFFFF"/>
                <w:sz w:val="12"/>
                <w:szCs w:val="12"/>
                <w:lang w:eastAsia="en-AU"/>
              </w:rPr>
            </w:pPr>
            <w:r w:rsidRPr="00CD1518">
              <w:rPr>
                <w:b/>
                <w:bCs/>
                <w:color w:val="FFFFFF"/>
                <w:sz w:val="12"/>
                <w:szCs w:val="12"/>
                <w:lang w:eastAsia="en-AU"/>
              </w:rPr>
              <w:t>Activity submitted</w:t>
            </w:r>
          </w:p>
        </w:tc>
        <w:tc>
          <w:tcPr>
            <w:tcW w:w="612" w:type="dxa"/>
            <w:tcBorders>
              <w:top w:val="single" w:sz="4" w:space="0" w:color="4F81BD"/>
              <w:left w:val="single" w:sz="4" w:space="0" w:color="4F81BD"/>
              <w:bottom w:val="nil"/>
              <w:right w:val="single" w:sz="4" w:space="0" w:color="4F81BD"/>
            </w:tcBorders>
            <w:shd w:val="clear" w:color="auto" w:fill="002060"/>
            <w:vAlign w:val="bottom"/>
            <w:hideMark/>
          </w:tcPr>
          <w:p w:rsidR="00765D3E" w:rsidRPr="00CD1518" w:rsidRDefault="00765D3E" w:rsidP="00765D3E">
            <w:pPr>
              <w:spacing w:line="240" w:lineRule="auto"/>
              <w:jc w:val="center"/>
              <w:rPr>
                <w:b/>
                <w:bCs/>
                <w:color w:val="FFFFFF"/>
                <w:sz w:val="12"/>
                <w:szCs w:val="12"/>
                <w:lang w:eastAsia="en-AU"/>
              </w:rPr>
            </w:pPr>
            <w:r w:rsidRPr="00CD1518">
              <w:rPr>
                <w:b/>
                <w:bCs/>
                <w:color w:val="FFFFFF"/>
                <w:sz w:val="12"/>
                <w:szCs w:val="12"/>
                <w:lang w:eastAsia="en-AU"/>
              </w:rPr>
              <w:t>UQB</w:t>
            </w:r>
          </w:p>
        </w:tc>
        <w:tc>
          <w:tcPr>
            <w:tcW w:w="756" w:type="dxa"/>
            <w:tcBorders>
              <w:top w:val="single" w:sz="4" w:space="0" w:color="4F81BD"/>
              <w:left w:val="nil"/>
              <w:bottom w:val="nil"/>
              <w:right w:val="nil"/>
            </w:tcBorders>
            <w:shd w:val="clear" w:color="auto" w:fill="002060"/>
            <w:vAlign w:val="bottom"/>
            <w:hideMark/>
          </w:tcPr>
          <w:p w:rsidR="00765D3E" w:rsidRPr="00CD1518" w:rsidRDefault="00765D3E">
            <w:pPr>
              <w:spacing w:line="240" w:lineRule="auto"/>
              <w:jc w:val="center"/>
              <w:rPr>
                <w:b/>
                <w:bCs/>
                <w:color w:val="FFFFFF"/>
                <w:sz w:val="12"/>
                <w:szCs w:val="12"/>
                <w:lang w:eastAsia="en-AU"/>
              </w:rPr>
            </w:pPr>
            <w:r w:rsidRPr="00CD1518">
              <w:rPr>
                <w:b/>
                <w:bCs/>
                <w:color w:val="FFFFFF"/>
                <w:sz w:val="12"/>
                <w:szCs w:val="12"/>
                <w:lang w:eastAsia="en-AU"/>
              </w:rPr>
              <w:t xml:space="preserve">Admitted ED </w:t>
            </w:r>
            <w:proofErr w:type="spellStart"/>
            <w:r w:rsidRPr="00CD1518">
              <w:rPr>
                <w:b/>
                <w:bCs/>
                <w:color w:val="FFFFFF"/>
                <w:sz w:val="12"/>
                <w:szCs w:val="12"/>
                <w:lang w:eastAsia="en-AU"/>
              </w:rPr>
              <w:t>realloc</w:t>
            </w:r>
            <w:proofErr w:type="spellEnd"/>
            <w:r>
              <w:rPr>
                <w:b/>
                <w:bCs/>
                <w:color w:val="FFFFFF"/>
                <w:sz w:val="12"/>
                <w:szCs w:val="12"/>
                <w:lang w:eastAsia="en-AU"/>
              </w:rPr>
              <w:t>.</w:t>
            </w:r>
          </w:p>
        </w:tc>
        <w:tc>
          <w:tcPr>
            <w:tcW w:w="750" w:type="dxa"/>
            <w:tcBorders>
              <w:top w:val="single" w:sz="4" w:space="0" w:color="4F81BD"/>
              <w:left w:val="single" w:sz="4" w:space="0" w:color="4F81BD"/>
              <w:bottom w:val="nil"/>
              <w:right w:val="single" w:sz="4" w:space="0" w:color="4F81BD"/>
            </w:tcBorders>
            <w:shd w:val="clear" w:color="auto" w:fill="002060"/>
            <w:vAlign w:val="bottom"/>
            <w:hideMark/>
          </w:tcPr>
          <w:p w:rsidR="00765D3E" w:rsidRPr="00CD1518" w:rsidRDefault="00765D3E" w:rsidP="00765D3E">
            <w:pPr>
              <w:spacing w:line="240" w:lineRule="auto"/>
              <w:jc w:val="center"/>
              <w:rPr>
                <w:b/>
                <w:bCs/>
                <w:color w:val="FFFFFF"/>
                <w:sz w:val="12"/>
                <w:szCs w:val="12"/>
                <w:lang w:eastAsia="en-AU"/>
              </w:rPr>
            </w:pPr>
            <w:r w:rsidRPr="00CD1518">
              <w:rPr>
                <w:b/>
                <w:bCs/>
                <w:color w:val="FFFFFF"/>
                <w:sz w:val="12"/>
                <w:szCs w:val="12"/>
                <w:lang w:eastAsia="en-AU"/>
              </w:rPr>
              <w:t>Total NHCDC Activity</w:t>
            </w:r>
          </w:p>
        </w:tc>
        <w:tc>
          <w:tcPr>
            <w:tcW w:w="1050" w:type="dxa"/>
            <w:tcBorders>
              <w:top w:val="single" w:sz="4" w:space="0" w:color="4F81BD"/>
              <w:left w:val="nil"/>
              <w:bottom w:val="nil"/>
              <w:right w:val="single" w:sz="4" w:space="0" w:color="4F81BD"/>
            </w:tcBorders>
            <w:shd w:val="clear" w:color="auto" w:fill="002060"/>
            <w:vAlign w:val="bottom"/>
            <w:hideMark/>
          </w:tcPr>
          <w:p w:rsidR="00765D3E" w:rsidRPr="00CD1518" w:rsidRDefault="00765D3E" w:rsidP="00765D3E">
            <w:pPr>
              <w:spacing w:line="240" w:lineRule="auto"/>
              <w:jc w:val="center"/>
              <w:rPr>
                <w:b/>
                <w:bCs/>
                <w:color w:val="FFFFFF"/>
                <w:sz w:val="12"/>
                <w:szCs w:val="12"/>
                <w:lang w:eastAsia="en-AU"/>
              </w:rPr>
            </w:pPr>
            <w:r w:rsidRPr="00CD1518">
              <w:rPr>
                <w:b/>
                <w:bCs/>
                <w:color w:val="FFFFFF"/>
                <w:sz w:val="12"/>
                <w:szCs w:val="12"/>
                <w:lang w:eastAsia="en-AU"/>
              </w:rPr>
              <w:t>Cost submitted</w:t>
            </w:r>
          </w:p>
        </w:tc>
        <w:tc>
          <w:tcPr>
            <w:tcW w:w="717" w:type="dxa"/>
            <w:tcBorders>
              <w:top w:val="single" w:sz="4" w:space="0" w:color="4F81BD"/>
              <w:left w:val="nil"/>
              <w:bottom w:val="nil"/>
              <w:right w:val="single" w:sz="4" w:space="0" w:color="4F81BD"/>
            </w:tcBorders>
            <w:shd w:val="clear" w:color="auto" w:fill="002060"/>
            <w:vAlign w:val="bottom"/>
            <w:hideMark/>
          </w:tcPr>
          <w:p w:rsidR="00765D3E" w:rsidRPr="00CD1518" w:rsidRDefault="00765D3E" w:rsidP="00765D3E">
            <w:pPr>
              <w:spacing w:line="240" w:lineRule="auto"/>
              <w:jc w:val="center"/>
              <w:rPr>
                <w:b/>
                <w:bCs/>
                <w:color w:val="FFFFFF"/>
                <w:sz w:val="12"/>
                <w:szCs w:val="12"/>
                <w:lang w:eastAsia="en-AU"/>
              </w:rPr>
            </w:pPr>
            <w:r w:rsidRPr="00CD1518">
              <w:rPr>
                <w:b/>
                <w:bCs/>
                <w:color w:val="FFFFFF"/>
                <w:sz w:val="12"/>
                <w:szCs w:val="12"/>
                <w:lang w:eastAsia="en-AU"/>
              </w:rPr>
              <w:t>UQB</w:t>
            </w:r>
          </w:p>
        </w:tc>
        <w:tc>
          <w:tcPr>
            <w:tcW w:w="884" w:type="dxa"/>
            <w:tcBorders>
              <w:top w:val="single" w:sz="4" w:space="0" w:color="4F81BD"/>
              <w:left w:val="nil"/>
              <w:bottom w:val="nil"/>
              <w:right w:val="nil"/>
            </w:tcBorders>
            <w:shd w:val="clear" w:color="auto" w:fill="002060"/>
            <w:vAlign w:val="bottom"/>
            <w:hideMark/>
          </w:tcPr>
          <w:p w:rsidR="00765D3E" w:rsidRPr="00CD1518" w:rsidRDefault="00765D3E">
            <w:pPr>
              <w:spacing w:line="240" w:lineRule="auto"/>
              <w:jc w:val="center"/>
              <w:rPr>
                <w:b/>
                <w:bCs/>
                <w:color w:val="FFFFFF"/>
                <w:sz w:val="12"/>
                <w:szCs w:val="12"/>
                <w:lang w:eastAsia="en-AU"/>
              </w:rPr>
            </w:pPr>
            <w:r w:rsidRPr="00CD1518">
              <w:rPr>
                <w:b/>
                <w:bCs/>
                <w:color w:val="FFFFFF"/>
                <w:sz w:val="12"/>
                <w:szCs w:val="12"/>
                <w:lang w:eastAsia="en-AU"/>
              </w:rPr>
              <w:t xml:space="preserve">Admitted ED </w:t>
            </w:r>
            <w:proofErr w:type="spellStart"/>
            <w:r w:rsidRPr="00CD1518">
              <w:rPr>
                <w:b/>
                <w:bCs/>
                <w:color w:val="FFFFFF"/>
                <w:sz w:val="12"/>
                <w:szCs w:val="12"/>
                <w:lang w:eastAsia="en-AU"/>
              </w:rPr>
              <w:t>realloc</w:t>
            </w:r>
            <w:proofErr w:type="spellEnd"/>
            <w:r w:rsidR="00B540AC">
              <w:rPr>
                <w:b/>
                <w:bCs/>
                <w:color w:val="FFFFFF"/>
                <w:sz w:val="12"/>
                <w:szCs w:val="12"/>
                <w:lang w:eastAsia="en-AU"/>
              </w:rPr>
              <w:t>.</w:t>
            </w:r>
          </w:p>
        </w:tc>
        <w:tc>
          <w:tcPr>
            <w:tcW w:w="1069" w:type="dxa"/>
            <w:tcBorders>
              <w:top w:val="single" w:sz="4" w:space="0" w:color="4F81BD"/>
              <w:left w:val="single" w:sz="4" w:space="0" w:color="4F81BD"/>
              <w:bottom w:val="nil"/>
              <w:right w:val="single" w:sz="4" w:space="0" w:color="4F81BD"/>
            </w:tcBorders>
            <w:shd w:val="clear" w:color="auto" w:fill="002060"/>
            <w:vAlign w:val="bottom"/>
            <w:hideMark/>
          </w:tcPr>
          <w:p w:rsidR="00765D3E" w:rsidRPr="00CD1518" w:rsidRDefault="00765D3E" w:rsidP="00765D3E">
            <w:pPr>
              <w:spacing w:line="240" w:lineRule="auto"/>
              <w:jc w:val="center"/>
              <w:rPr>
                <w:b/>
                <w:bCs/>
                <w:color w:val="FFFFFF"/>
                <w:sz w:val="12"/>
                <w:szCs w:val="12"/>
                <w:lang w:eastAsia="en-AU"/>
              </w:rPr>
            </w:pPr>
            <w:r w:rsidRPr="00CD1518">
              <w:rPr>
                <w:b/>
                <w:bCs/>
                <w:color w:val="FFFFFF"/>
                <w:sz w:val="12"/>
                <w:szCs w:val="12"/>
                <w:lang w:eastAsia="en-AU"/>
              </w:rPr>
              <w:t>Total NHCDC Costs</w:t>
            </w:r>
          </w:p>
        </w:tc>
      </w:tr>
      <w:tr w:rsidR="00B540AC" w:rsidRPr="00765D3E" w:rsidTr="00CD1518">
        <w:trPr>
          <w:trHeight w:val="276"/>
        </w:trPr>
        <w:tc>
          <w:tcPr>
            <w:tcW w:w="1332" w:type="dxa"/>
            <w:tcBorders>
              <w:top w:val="nil"/>
              <w:left w:val="single" w:sz="4" w:space="0" w:color="4F81BD"/>
              <w:bottom w:val="nil"/>
              <w:right w:val="nil"/>
            </w:tcBorders>
            <w:shd w:val="clear" w:color="000000" w:fill="FFFFFF"/>
            <w:noWrap/>
            <w:vAlign w:val="center"/>
            <w:hideMark/>
          </w:tcPr>
          <w:p w:rsidR="00765D3E" w:rsidRPr="00CD1518" w:rsidRDefault="00765D3E">
            <w:pPr>
              <w:spacing w:line="240" w:lineRule="auto"/>
              <w:rPr>
                <w:color w:val="000000"/>
                <w:sz w:val="12"/>
                <w:szCs w:val="12"/>
                <w:lang w:eastAsia="en-AU"/>
              </w:rPr>
            </w:pPr>
            <w:r w:rsidRPr="00CD1518">
              <w:rPr>
                <w:color w:val="000000"/>
                <w:sz w:val="12"/>
                <w:szCs w:val="12"/>
                <w:lang w:eastAsia="en-AU"/>
              </w:rPr>
              <w:t>Western Sydney LHD</w:t>
            </w:r>
          </w:p>
        </w:tc>
        <w:tc>
          <w:tcPr>
            <w:tcW w:w="532" w:type="dxa"/>
            <w:tcBorders>
              <w:top w:val="nil"/>
              <w:left w:val="single" w:sz="4" w:space="0" w:color="4F81BD"/>
              <w:bottom w:val="nil"/>
              <w:right w:val="single" w:sz="4" w:space="0" w:color="4F81BD"/>
            </w:tcBorders>
            <w:shd w:val="clear" w:color="000000" w:fill="FFFFFF"/>
            <w:noWrap/>
            <w:vAlign w:val="center"/>
            <w:hideMark/>
          </w:tcPr>
          <w:p w:rsidR="00765D3E" w:rsidRPr="00CD1518" w:rsidRDefault="00765D3E">
            <w:pPr>
              <w:spacing w:line="240" w:lineRule="auto"/>
              <w:jc w:val="center"/>
              <w:rPr>
                <w:color w:val="000000"/>
                <w:sz w:val="12"/>
                <w:szCs w:val="12"/>
                <w:lang w:eastAsia="en-AU"/>
              </w:rPr>
            </w:pPr>
            <w:r w:rsidRPr="00CD1518">
              <w:rPr>
                <w:color w:val="000000"/>
                <w:sz w:val="12"/>
                <w:szCs w:val="12"/>
                <w:lang w:eastAsia="en-AU"/>
              </w:rPr>
              <w:t>NSW</w:t>
            </w:r>
          </w:p>
        </w:tc>
        <w:tc>
          <w:tcPr>
            <w:tcW w:w="803" w:type="dxa"/>
            <w:tcBorders>
              <w:top w:val="nil"/>
              <w:left w:val="nil"/>
              <w:bottom w:val="nil"/>
              <w:right w:val="single" w:sz="4" w:space="0" w:color="4F81BD"/>
            </w:tcBorders>
            <w:shd w:val="clear" w:color="000000" w:fill="FFFFFF"/>
            <w:noWrap/>
            <w:vAlign w:val="center"/>
            <w:hideMark/>
          </w:tcPr>
          <w:p w:rsidR="00765D3E" w:rsidRPr="00CD1518" w:rsidRDefault="00765D3E" w:rsidP="00CD1518">
            <w:pPr>
              <w:spacing w:line="240" w:lineRule="auto"/>
              <w:jc w:val="right"/>
              <w:rPr>
                <w:color w:val="000000"/>
                <w:sz w:val="12"/>
                <w:szCs w:val="12"/>
                <w:lang w:eastAsia="en-AU"/>
              </w:rPr>
            </w:pPr>
            <w:r w:rsidRPr="00CD1518">
              <w:rPr>
                <w:color w:val="000000"/>
                <w:sz w:val="12"/>
                <w:szCs w:val="12"/>
                <w:lang w:eastAsia="en-AU"/>
              </w:rPr>
              <w:t>1,240,652</w:t>
            </w:r>
          </w:p>
        </w:tc>
        <w:tc>
          <w:tcPr>
            <w:tcW w:w="612" w:type="dxa"/>
            <w:tcBorders>
              <w:top w:val="nil"/>
              <w:left w:val="nil"/>
              <w:bottom w:val="nil"/>
              <w:right w:val="single" w:sz="4" w:space="0" w:color="4F81BD"/>
            </w:tcBorders>
            <w:shd w:val="clear" w:color="000000" w:fill="FFFFFF"/>
            <w:noWrap/>
            <w:vAlign w:val="center"/>
            <w:hideMark/>
          </w:tcPr>
          <w:p w:rsidR="00765D3E" w:rsidRPr="00CD1518" w:rsidRDefault="00765D3E" w:rsidP="00CD1518">
            <w:pPr>
              <w:spacing w:line="240" w:lineRule="auto"/>
              <w:jc w:val="right"/>
              <w:rPr>
                <w:color w:val="000000"/>
                <w:sz w:val="12"/>
                <w:szCs w:val="12"/>
                <w:lang w:eastAsia="en-AU"/>
              </w:rPr>
            </w:pPr>
            <w:r w:rsidRPr="00CD1518">
              <w:rPr>
                <w:color w:val="000000"/>
                <w:sz w:val="12"/>
                <w:szCs w:val="12"/>
                <w:lang w:eastAsia="en-AU"/>
              </w:rPr>
              <w:t>-</w:t>
            </w:r>
          </w:p>
        </w:tc>
        <w:tc>
          <w:tcPr>
            <w:tcW w:w="756" w:type="dxa"/>
            <w:tcBorders>
              <w:top w:val="nil"/>
              <w:left w:val="nil"/>
              <w:bottom w:val="nil"/>
              <w:right w:val="single" w:sz="4" w:space="0" w:color="4F81BD"/>
            </w:tcBorders>
            <w:shd w:val="clear" w:color="000000" w:fill="FFFFFF"/>
            <w:noWrap/>
            <w:vAlign w:val="center"/>
            <w:hideMark/>
          </w:tcPr>
          <w:p w:rsidR="00765D3E" w:rsidRPr="00CD1518" w:rsidRDefault="00765D3E" w:rsidP="00CD1518">
            <w:pPr>
              <w:spacing w:line="240" w:lineRule="auto"/>
              <w:jc w:val="right"/>
              <w:rPr>
                <w:color w:val="000000"/>
                <w:sz w:val="12"/>
                <w:szCs w:val="12"/>
                <w:lang w:eastAsia="en-AU"/>
              </w:rPr>
            </w:pPr>
            <w:r w:rsidRPr="00CD1518">
              <w:rPr>
                <w:color w:val="000000"/>
                <w:sz w:val="12"/>
                <w:szCs w:val="12"/>
                <w:lang w:eastAsia="en-AU"/>
              </w:rPr>
              <w:t>-</w:t>
            </w:r>
          </w:p>
        </w:tc>
        <w:tc>
          <w:tcPr>
            <w:tcW w:w="750" w:type="dxa"/>
            <w:tcBorders>
              <w:top w:val="nil"/>
              <w:left w:val="nil"/>
              <w:bottom w:val="nil"/>
              <w:right w:val="single" w:sz="4" w:space="0" w:color="4F81BD"/>
            </w:tcBorders>
            <w:shd w:val="clear" w:color="auto" w:fill="DBE5F1" w:themeFill="accent1" w:themeFillTint="33"/>
            <w:noWrap/>
            <w:vAlign w:val="center"/>
            <w:hideMark/>
          </w:tcPr>
          <w:p w:rsidR="00765D3E" w:rsidRPr="00CD1518" w:rsidRDefault="00765D3E" w:rsidP="00CD1518">
            <w:pPr>
              <w:spacing w:line="240" w:lineRule="auto"/>
              <w:jc w:val="right"/>
              <w:rPr>
                <w:color w:val="000000"/>
                <w:sz w:val="12"/>
                <w:szCs w:val="12"/>
                <w:lang w:eastAsia="en-AU"/>
              </w:rPr>
            </w:pPr>
            <w:r w:rsidRPr="00CD1518">
              <w:rPr>
                <w:color w:val="000000"/>
                <w:sz w:val="12"/>
                <w:szCs w:val="12"/>
                <w:lang w:eastAsia="en-AU"/>
              </w:rPr>
              <w:t>1,240,652</w:t>
            </w:r>
          </w:p>
        </w:tc>
        <w:tc>
          <w:tcPr>
            <w:tcW w:w="1050" w:type="dxa"/>
            <w:tcBorders>
              <w:top w:val="nil"/>
              <w:left w:val="nil"/>
              <w:bottom w:val="nil"/>
              <w:right w:val="single" w:sz="4" w:space="0" w:color="4F81BD"/>
            </w:tcBorders>
            <w:shd w:val="clear" w:color="000000" w:fill="FFFFFF"/>
            <w:noWrap/>
            <w:vAlign w:val="center"/>
            <w:hideMark/>
          </w:tcPr>
          <w:p w:rsidR="00765D3E" w:rsidRPr="00CD1518" w:rsidRDefault="00765D3E" w:rsidP="00CD1518">
            <w:pPr>
              <w:spacing w:line="240" w:lineRule="auto"/>
              <w:jc w:val="right"/>
              <w:rPr>
                <w:color w:val="000000"/>
                <w:sz w:val="12"/>
                <w:szCs w:val="12"/>
                <w:lang w:eastAsia="en-AU"/>
              </w:rPr>
            </w:pPr>
            <w:r w:rsidRPr="00CD1518">
              <w:rPr>
                <w:color w:val="000000"/>
                <w:sz w:val="12"/>
                <w:szCs w:val="12"/>
                <w:lang w:eastAsia="en-AU"/>
              </w:rPr>
              <w:t xml:space="preserve">$1,118,362,327 </w:t>
            </w:r>
          </w:p>
        </w:tc>
        <w:tc>
          <w:tcPr>
            <w:tcW w:w="717" w:type="dxa"/>
            <w:tcBorders>
              <w:top w:val="nil"/>
              <w:left w:val="nil"/>
              <w:bottom w:val="nil"/>
              <w:right w:val="single" w:sz="4" w:space="0" w:color="4F81BD"/>
            </w:tcBorders>
            <w:shd w:val="clear" w:color="000000" w:fill="FFFFFF"/>
            <w:noWrap/>
            <w:vAlign w:val="center"/>
            <w:hideMark/>
          </w:tcPr>
          <w:p w:rsidR="00765D3E" w:rsidRPr="00CD1518" w:rsidRDefault="00765D3E" w:rsidP="00CD1518">
            <w:pPr>
              <w:spacing w:line="240" w:lineRule="auto"/>
              <w:jc w:val="right"/>
              <w:rPr>
                <w:color w:val="000000"/>
                <w:sz w:val="12"/>
                <w:szCs w:val="12"/>
                <w:lang w:eastAsia="en-AU"/>
              </w:rPr>
            </w:pPr>
            <w:r w:rsidRPr="00CD1518">
              <w:rPr>
                <w:color w:val="000000"/>
                <w:sz w:val="12"/>
                <w:szCs w:val="12"/>
                <w:lang w:eastAsia="en-AU"/>
              </w:rPr>
              <w:t xml:space="preserve">$- </w:t>
            </w:r>
          </w:p>
        </w:tc>
        <w:tc>
          <w:tcPr>
            <w:tcW w:w="884" w:type="dxa"/>
            <w:tcBorders>
              <w:top w:val="nil"/>
              <w:left w:val="nil"/>
              <w:bottom w:val="nil"/>
              <w:right w:val="single" w:sz="4" w:space="0" w:color="4F81BD"/>
            </w:tcBorders>
            <w:shd w:val="clear" w:color="000000" w:fill="FFFFFF"/>
            <w:noWrap/>
            <w:vAlign w:val="center"/>
            <w:hideMark/>
          </w:tcPr>
          <w:p w:rsidR="00765D3E" w:rsidRPr="00CD1518" w:rsidRDefault="00765D3E" w:rsidP="00CD1518">
            <w:pPr>
              <w:spacing w:line="240" w:lineRule="auto"/>
              <w:jc w:val="right"/>
              <w:rPr>
                <w:color w:val="000000"/>
                <w:sz w:val="12"/>
                <w:szCs w:val="12"/>
                <w:lang w:eastAsia="en-AU"/>
              </w:rPr>
            </w:pPr>
            <w:r w:rsidRPr="00CD1518">
              <w:rPr>
                <w:color w:val="000000"/>
                <w:sz w:val="12"/>
                <w:szCs w:val="12"/>
                <w:lang w:eastAsia="en-AU"/>
              </w:rPr>
              <w:t xml:space="preserve">$63,341,946 </w:t>
            </w:r>
          </w:p>
        </w:tc>
        <w:tc>
          <w:tcPr>
            <w:tcW w:w="1069" w:type="dxa"/>
            <w:tcBorders>
              <w:top w:val="nil"/>
              <w:left w:val="nil"/>
              <w:bottom w:val="nil"/>
              <w:right w:val="single" w:sz="4" w:space="0" w:color="4F81BD"/>
            </w:tcBorders>
            <w:shd w:val="clear" w:color="auto" w:fill="DBE5F1" w:themeFill="accent1" w:themeFillTint="33"/>
            <w:noWrap/>
            <w:vAlign w:val="center"/>
            <w:hideMark/>
          </w:tcPr>
          <w:p w:rsidR="00765D3E" w:rsidRPr="00CD1518" w:rsidRDefault="00765D3E" w:rsidP="00CD1518">
            <w:pPr>
              <w:spacing w:line="240" w:lineRule="auto"/>
              <w:jc w:val="right"/>
              <w:rPr>
                <w:color w:val="000000"/>
                <w:sz w:val="12"/>
                <w:szCs w:val="12"/>
                <w:lang w:eastAsia="en-AU"/>
              </w:rPr>
            </w:pPr>
            <w:r w:rsidRPr="00CD1518">
              <w:rPr>
                <w:color w:val="000000"/>
                <w:sz w:val="12"/>
                <w:szCs w:val="12"/>
                <w:lang w:eastAsia="en-AU"/>
              </w:rPr>
              <w:t xml:space="preserve">$1,181,704,272 </w:t>
            </w:r>
          </w:p>
        </w:tc>
      </w:tr>
      <w:tr w:rsidR="000003F9" w:rsidRPr="00765D3E" w:rsidTr="000003F9">
        <w:trPr>
          <w:trHeight w:val="276"/>
        </w:trPr>
        <w:tc>
          <w:tcPr>
            <w:tcW w:w="1332" w:type="dxa"/>
            <w:tcBorders>
              <w:top w:val="nil"/>
              <w:left w:val="single" w:sz="4" w:space="0" w:color="4F81BD"/>
              <w:bottom w:val="nil"/>
              <w:right w:val="nil"/>
            </w:tcBorders>
            <w:shd w:val="clear" w:color="000000" w:fill="DCE6F1"/>
            <w:noWrap/>
            <w:vAlign w:val="center"/>
            <w:hideMark/>
          </w:tcPr>
          <w:p w:rsidR="009C3210" w:rsidRPr="00CD1518" w:rsidRDefault="009C3210" w:rsidP="009C3210">
            <w:pPr>
              <w:spacing w:line="240" w:lineRule="auto"/>
              <w:rPr>
                <w:sz w:val="12"/>
                <w:szCs w:val="12"/>
                <w:lang w:eastAsia="en-AU"/>
              </w:rPr>
            </w:pPr>
            <w:r w:rsidRPr="00CD1518">
              <w:rPr>
                <w:sz w:val="12"/>
                <w:szCs w:val="12"/>
                <w:lang w:eastAsia="en-AU"/>
              </w:rPr>
              <w:t>Illawarra Shoalhaven LHD</w:t>
            </w:r>
          </w:p>
        </w:tc>
        <w:tc>
          <w:tcPr>
            <w:tcW w:w="532" w:type="dxa"/>
            <w:tcBorders>
              <w:top w:val="nil"/>
              <w:left w:val="single" w:sz="4" w:space="0" w:color="4F81BD"/>
              <w:bottom w:val="nil"/>
              <w:right w:val="single" w:sz="4" w:space="0" w:color="4F81BD"/>
            </w:tcBorders>
            <w:shd w:val="clear" w:color="000000" w:fill="DCE6F1"/>
            <w:noWrap/>
            <w:vAlign w:val="center"/>
            <w:hideMark/>
          </w:tcPr>
          <w:p w:rsidR="009C3210" w:rsidRPr="00CD1518" w:rsidRDefault="009C3210" w:rsidP="009C3210">
            <w:pPr>
              <w:spacing w:line="240" w:lineRule="auto"/>
              <w:jc w:val="center"/>
              <w:rPr>
                <w:sz w:val="12"/>
                <w:szCs w:val="12"/>
                <w:lang w:eastAsia="en-AU"/>
              </w:rPr>
            </w:pPr>
            <w:r w:rsidRPr="00CD1518">
              <w:rPr>
                <w:sz w:val="12"/>
                <w:szCs w:val="12"/>
                <w:lang w:eastAsia="en-AU"/>
              </w:rPr>
              <w:t>NSW</w:t>
            </w:r>
          </w:p>
        </w:tc>
        <w:tc>
          <w:tcPr>
            <w:tcW w:w="803" w:type="dxa"/>
            <w:tcBorders>
              <w:top w:val="nil"/>
              <w:left w:val="nil"/>
              <w:bottom w:val="nil"/>
              <w:right w:val="single" w:sz="4" w:space="0" w:color="4F81BD"/>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427,030</w:t>
            </w:r>
          </w:p>
        </w:tc>
        <w:tc>
          <w:tcPr>
            <w:tcW w:w="612" w:type="dxa"/>
            <w:tcBorders>
              <w:top w:val="nil"/>
              <w:left w:val="nil"/>
              <w:bottom w:val="nil"/>
              <w:right w:val="single" w:sz="4" w:space="0" w:color="4F81BD"/>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756" w:type="dxa"/>
            <w:tcBorders>
              <w:top w:val="nil"/>
              <w:left w:val="nil"/>
              <w:bottom w:val="nil"/>
              <w:right w:val="nil"/>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750" w:type="dxa"/>
            <w:tcBorders>
              <w:top w:val="nil"/>
              <w:left w:val="single" w:sz="4" w:space="0" w:color="4F81BD"/>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427,030</w:t>
            </w:r>
          </w:p>
        </w:tc>
        <w:tc>
          <w:tcPr>
            <w:tcW w:w="1050" w:type="dxa"/>
            <w:tcBorders>
              <w:top w:val="nil"/>
              <w:left w:val="nil"/>
              <w:bottom w:val="nil"/>
              <w:right w:val="single" w:sz="4" w:space="0" w:color="4F81BD"/>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 xml:space="preserve">$568,111,386 </w:t>
            </w:r>
          </w:p>
        </w:tc>
        <w:tc>
          <w:tcPr>
            <w:tcW w:w="717" w:type="dxa"/>
            <w:tcBorders>
              <w:top w:val="nil"/>
              <w:left w:val="nil"/>
              <w:bottom w:val="nil"/>
              <w:right w:val="single" w:sz="4" w:space="0" w:color="4F81BD"/>
            </w:tcBorders>
            <w:shd w:val="clear" w:color="000000" w:fill="DCE6F1"/>
            <w:noWrap/>
            <w:vAlign w:val="bottom"/>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 $-   </w:t>
            </w:r>
          </w:p>
        </w:tc>
        <w:tc>
          <w:tcPr>
            <w:tcW w:w="884" w:type="dxa"/>
            <w:tcBorders>
              <w:top w:val="nil"/>
              <w:left w:val="nil"/>
              <w:bottom w:val="nil"/>
              <w:right w:val="nil"/>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 xml:space="preserve">$30,087,245 </w:t>
            </w:r>
          </w:p>
        </w:tc>
        <w:tc>
          <w:tcPr>
            <w:tcW w:w="1069" w:type="dxa"/>
            <w:tcBorders>
              <w:top w:val="nil"/>
              <w:left w:val="single" w:sz="4" w:space="0" w:color="4F81BD"/>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 xml:space="preserve">$598,198,631 </w:t>
            </w:r>
          </w:p>
        </w:tc>
      </w:tr>
      <w:tr w:rsidR="009C3210" w:rsidRPr="00765D3E" w:rsidTr="00CD1518">
        <w:trPr>
          <w:trHeight w:val="276"/>
        </w:trPr>
        <w:tc>
          <w:tcPr>
            <w:tcW w:w="1332" w:type="dxa"/>
            <w:tcBorders>
              <w:top w:val="nil"/>
              <w:left w:val="single" w:sz="4" w:space="0" w:color="4F81BD"/>
              <w:bottom w:val="nil"/>
              <w:right w:val="nil"/>
            </w:tcBorders>
            <w:shd w:val="clear" w:color="000000" w:fill="FFFFFF"/>
            <w:noWrap/>
            <w:vAlign w:val="center"/>
            <w:hideMark/>
          </w:tcPr>
          <w:p w:rsidR="009C3210" w:rsidRPr="00CD1518" w:rsidRDefault="009C3210" w:rsidP="009C3210">
            <w:pPr>
              <w:spacing w:line="240" w:lineRule="auto"/>
              <w:rPr>
                <w:color w:val="000000"/>
                <w:sz w:val="12"/>
                <w:szCs w:val="12"/>
                <w:lang w:eastAsia="en-AU"/>
              </w:rPr>
            </w:pPr>
            <w:r w:rsidRPr="00CD1518">
              <w:rPr>
                <w:color w:val="000000"/>
                <w:sz w:val="12"/>
                <w:szCs w:val="12"/>
                <w:lang w:eastAsia="en-AU"/>
              </w:rPr>
              <w:t>Northern NSW LHD</w:t>
            </w:r>
          </w:p>
        </w:tc>
        <w:tc>
          <w:tcPr>
            <w:tcW w:w="532" w:type="dxa"/>
            <w:tcBorders>
              <w:top w:val="nil"/>
              <w:left w:val="single" w:sz="4" w:space="0" w:color="4F81BD"/>
              <w:bottom w:val="nil"/>
              <w:right w:val="single" w:sz="4" w:space="0" w:color="4F81BD"/>
            </w:tcBorders>
            <w:shd w:val="clear" w:color="000000" w:fill="FFFFFF"/>
            <w:noWrap/>
            <w:vAlign w:val="center"/>
            <w:hideMark/>
          </w:tcPr>
          <w:p w:rsidR="009C3210" w:rsidRPr="00CD1518" w:rsidRDefault="009C3210" w:rsidP="009C3210">
            <w:pPr>
              <w:spacing w:line="240" w:lineRule="auto"/>
              <w:jc w:val="center"/>
              <w:rPr>
                <w:color w:val="000000"/>
                <w:sz w:val="12"/>
                <w:szCs w:val="12"/>
                <w:lang w:eastAsia="en-AU"/>
              </w:rPr>
            </w:pPr>
            <w:r w:rsidRPr="00CD1518">
              <w:rPr>
                <w:color w:val="000000"/>
                <w:sz w:val="12"/>
                <w:szCs w:val="12"/>
                <w:lang w:eastAsia="en-AU"/>
              </w:rPr>
              <w:t>NSW</w:t>
            </w:r>
          </w:p>
        </w:tc>
        <w:tc>
          <w:tcPr>
            <w:tcW w:w="803"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324,513</w:t>
            </w:r>
          </w:p>
        </w:tc>
        <w:tc>
          <w:tcPr>
            <w:tcW w:w="612"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(5)</w:t>
            </w:r>
          </w:p>
        </w:tc>
        <w:tc>
          <w:tcPr>
            <w:tcW w:w="756"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750" w:type="dxa"/>
            <w:tcBorders>
              <w:top w:val="nil"/>
              <w:left w:val="nil"/>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324,508</w:t>
            </w:r>
          </w:p>
        </w:tc>
        <w:tc>
          <w:tcPr>
            <w:tcW w:w="1050"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$460,285,463 </w:t>
            </w:r>
          </w:p>
        </w:tc>
        <w:tc>
          <w:tcPr>
            <w:tcW w:w="717" w:type="dxa"/>
            <w:tcBorders>
              <w:top w:val="nil"/>
              <w:left w:val="nil"/>
              <w:bottom w:val="nil"/>
              <w:right w:val="single" w:sz="4" w:space="0" w:color="4F81BD"/>
            </w:tcBorders>
            <w:shd w:val="clear" w:color="000000" w:fill="FFFFFF"/>
            <w:noWrap/>
            <w:vAlign w:val="bottom"/>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 $-   </w:t>
            </w:r>
          </w:p>
        </w:tc>
        <w:tc>
          <w:tcPr>
            <w:tcW w:w="884"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$44,706,761 </w:t>
            </w:r>
          </w:p>
        </w:tc>
        <w:tc>
          <w:tcPr>
            <w:tcW w:w="1069" w:type="dxa"/>
            <w:tcBorders>
              <w:top w:val="nil"/>
              <w:left w:val="nil"/>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$504,992,222 </w:t>
            </w:r>
          </w:p>
        </w:tc>
      </w:tr>
      <w:tr w:rsidR="000003F9" w:rsidRPr="00765D3E" w:rsidTr="000003F9">
        <w:trPr>
          <w:trHeight w:val="276"/>
        </w:trPr>
        <w:tc>
          <w:tcPr>
            <w:tcW w:w="1332" w:type="dxa"/>
            <w:tcBorders>
              <w:top w:val="nil"/>
              <w:left w:val="single" w:sz="4" w:space="0" w:color="4F81BD"/>
              <w:bottom w:val="nil"/>
              <w:right w:val="nil"/>
            </w:tcBorders>
            <w:shd w:val="clear" w:color="000000" w:fill="DCE6F1"/>
            <w:noWrap/>
            <w:vAlign w:val="center"/>
            <w:hideMark/>
          </w:tcPr>
          <w:p w:rsidR="009C3210" w:rsidRPr="00CD1518" w:rsidRDefault="009C3210" w:rsidP="009C3210">
            <w:pPr>
              <w:spacing w:line="240" w:lineRule="auto"/>
              <w:rPr>
                <w:sz w:val="12"/>
                <w:szCs w:val="12"/>
                <w:lang w:eastAsia="en-AU"/>
              </w:rPr>
            </w:pPr>
            <w:r w:rsidRPr="00CD1518">
              <w:rPr>
                <w:sz w:val="12"/>
                <w:szCs w:val="12"/>
                <w:lang w:eastAsia="en-AU"/>
              </w:rPr>
              <w:t>Royal Darwin Hospital</w:t>
            </w:r>
          </w:p>
        </w:tc>
        <w:tc>
          <w:tcPr>
            <w:tcW w:w="532" w:type="dxa"/>
            <w:tcBorders>
              <w:top w:val="nil"/>
              <w:left w:val="single" w:sz="4" w:space="0" w:color="4F81BD"/>
              <w:bottom w:val="nil"/>
              <w:right w:val="single" w:sz="4" w:space="0" w:color="4F81BD"/>
            </w:tcBorders>
            <w:shd w:val="clear" w:color="000000" w:fill="DCE6F1"/>
            <w:noWrap/>
            <w:vAlign w:val="center"/>
            <w:hideMark/>
          </w:tcPr>
          <w:p w:rsidR="009C3210" w:rsidRPr="00CD1518" w:rsidRDefault="009C3210" w:rsidP="009C3210">
            <w:pPr>
              <w:spacing w:line="240" w:lineRule="auto"/>
              <w:jc w:val="center"/>
              <w:rPr>
                <w:sz w:val="12"/>
                <w:szCs w:val="12"/>
                <w:lang w:eastAsia="en-AU"/>
              </w:rPr>
            </w:pPr>
            <w:r w:rsidRPr="00CD1518">
              <w:rPr>
                <w:sz w:val="12"/>
                <w:szCs w:val="12"/>
                <w:lang w:eastAsia="en-AU"/>
              </w:rPr>
              <w:t>NT</w:t>
            </w:r>
          </w:p>
        </w:tc>
        <w:tc>
          <w:tcPr>
            <w:tcW w:w="803" w:type="dxa"/>
            <w:tcBorders>
              <w:top w:val="nil"/>
              <w:left w:val="nil"/>
              <w:bottom w:val="nil"/>
              <w:right w:val="single" w:sz="4" w:space="0" w:color="4F81BD"/>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273,363</w:t>
            </w:r>
          </w:p>
        </w:tc>
        <w:tc>
          <w:tcPr>
            <w:tcW w:w="612" w:type="dxa"/>
            <w:tcBorders>
              <w:top w:val="nil"/>
              <w:left w:val="nil"/>
              <w:bottom w:val="nil"/>
              <w:right w:val="single" w:sz="4" w:space="0" w:color="4F81BD"/>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(1,816)</w:t>
            </w:r>
          </w:p>
        </w:tc>
        <w:tc>
          <w:tcPr>
            <w:tcW w:w="756" w:type="dxa"/>
            <w:tcBorders>
              <w:top w:val="nil"/>
              <w:left w:val="nil"/>
              <w:bottom w:val="nil"/>
              <w:right w:val="nil"/>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750" w:type="dxa"/>
            <w:tcBorders>
              <w:top w:val="nil"/>
              <w:left w:val="single" w:sz="4" w:space="0" w:color="4F81BD"/>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271,547</w:t>
            </w:r>
          </w:p>
        </w:tc>
        <w:tc>
          <w:tcPr>
            <w:tcW w:w="1050" w:type="dxa"/>
            <w:tcBorders>
              <w:top w:val="nil"/>
              <w:left w:val="nil"/>
              <w:bottom w:val="nil"/>
              <w:right w:val="single" w:sz="4" w:space="0" w:color="4F81BD"/>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 xml:space="preserve">$456,499,417 </w:t>
            </w:r>
          </w:p>
        </w:tc>
        <w:tc>
          <w:tcPr>
            <w:tcW w:w="717" w:type="dxa"/>
            <w:tcBorders>
              <w:top w:val="nil"/>
              <w:left w:val="nil"/>
              <w:bottom w:val="nil"/>
              <w:right w:val="single" w:sz="4" w:space="0" w:color="4F81BD"/>
            </w:tcBorders>
            <w:shd w:val="clear" w:color="000000" w:fill="DCE6F1"/>
            <w:noWrap/>
            <w:vAlign w:val="bottom"/>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 $-   </w:t>
            </w:r>
          </w:p>
        </w:tc>
        <w:tc>
          <w:tcPr>
            <w:tcW w:w="884" w:type="dxa"/>
            <w:tcBorders>
              <w:top w:val="nil"/>
              <w:left w:val="nil"/>
              <w:bottom w:val="nil"/>
              <w:right w:val="nil"/>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 xml:space="preserve">$10,659,036 </w:t>
            </w:r>
          </w:p>
        </w:tc>
        <w:tc>
          <w:tcPr>
            <w:tcW w:w="1069" w:type="dxa"/>
            <w:tcBorders>
              <w:top w:val="nil"/>
              <w:left w:val="single" w:sz="4" w:space="0" w:color="4F81BD"/>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 xml:space="preserve">$467,158,452 </w:t>
            </w:r>
          </w:p>
        </w:tc>
      </w:tr>
      <w:tr w:rsidR="009C3210" w:rsidRPr="00765D3E" w:rsidTr="00CD1518">
        <w:trPr>
          <w:trHeight w:val="276"/>
        </w:trPr>
        <w:tc>
          <w:tcPr>
            <w:tcW w:w="1332" w:type="dxa"/>
            <w:tcBorders>
              <w:top w:val="nil"/>
              <w:left w:val="single" w:sz="4" w:space="0" w:color="4F81BD"/>
              <w:bottom w:val="nil"/>
              <w:right w:val="nil"/>
            </w:tcBorders>
            <w:shd w:val="clear" w:color="000000" w:fill="FFFFFF"/>
            <w:noWrap/>
            <w:vAlign w:val="center"/>
            <w:hideMark/>
          </w:tcPr>
          <w:p w:rsidR="009C3210" w:rsidRPr="00CD1518" w:rsidRDefault="009C3210" w:rsidP="009C3210">
            <w:pPr>
              <w:spacing w:line="240" w:lineRule="auto"/>
              <w:rPr>
                <w:color w:val="000000"/>
                <w:sz w:val="12"/>
                <w:szCs w:val="12"/>
                <w:lang w:eastAsia="en-AU"/>
              </w:rPr>
            </w:pPr>
            <w:r w:rsidRPr="00CD1518">
              <w:rPr>
                <w:color w:val="000000"/>
                <w:sz w:val="12"/>
                <w:szCs w:val="12"/>
                <w:lang w:eastAsia="en-AU"/>
              </w:rPr>
              <w:t>The Prince Charles Hospital</w:t>
            </w:r>
          </w:p>
        </w:tc>
        <w:tc>
          <w:tcPr>
            <w:tcW w:w="532" w:type="dxa"/>
            <w:tcBorders>
              <w:top w:val="nil"/>
              <w:left w:val="single" w:sz="4" w:space="0" w:color="4F81BD"/>
              <w:bottom w:val="nil"/>
              <w:right w:val="single" w:sz="4" w:space="0" w:color="4F81BD"/>
            </w:tcBorders>
            <w:shd w:val="clear" w:color="000000" w:fill="FFFFFF"/>
            <w:noWrap/>
            <w:vAlign w:val="center"/>
            <w:hideMark/>
          </w:tcPr>
          <w:p w:rsidR="009C3210" w:rsidRPr="00CD1518" w:rsidRDefault="009C3210" w:rsidP="009C3210">
            <w:pPr>
              <w:spacing w:line="240" w:lineRule="auto"/>
              <w:jc w:val="center"/>
              <w:rPr>
                <w:color w:val="000000"/>
                <w:sz w:val="12"/>
                <w:szCs w:val="12"/>
                <w:lang w:eastAsia="en-AU"/>
              </w:rPr>
            </w:pPr>
            <w:r w:rsidRPr="00CD1518">
              <w:rPr>
                <w:color w:val="000000"/>
                <w:sz w:val="12"/>
                <w:szCs w:val="12"/>
                <w:lang w:eastAsia="en-AU"/>
              </w:rPr>
              <w:t>QLD</w:t>
            </w:r>
          </w:p>
        </w:tc>
        <w:tc>
          <w:tcPr>
            <w:tcW w:w="803"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298,224</w:t>
            </w:r>
          </w:p>
        </w:tc>
        <w:tc>
          <w:tcPr>
            <w:tcW w:w="612"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756"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750" w:type="dxa"/>
            <w:tcBorders>
              <w:top w:val="nil"/>
              <w:left w:val="nil"/>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298,224</w:t>
            </w:r>
          </w:p>
        </w:tc>
        <w:tc>
          <w:tcPr>
            <w:tcW w:w="1050"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$480,145,052 </w:t>
            </w:r>
          </w:p>
        </w:tc>
        <w:tc>
          <w:tcPr>
            <w:tcW w:w="717" w:type="dxa"/>
            <w:tcBorders>
              <w:top w:val="nil"/>
              <w:left w:val="nil"/>
              <w:bottom w:val="nil"/>
              <w:right w:val="single" w:sz="4" w:space="0" w:color="4F81BD"/>
            </w:tcBorders>
            <w:shd w:val="clear" w:color="000000" w:fill="FFFFFF"/>
            <w:noWrap/>
            <w:vAlign w:val="bottom"/>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 $-   </w:t>
            </w:r>
          </w:p>
        </w:tc>
        <w:tc>
          <w:tcPr>
            <w:tcW w:w="884"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$22,557,098 </w:t>
            </w:r>
          </w:p>
        </w:tc>
        <w:tc>
          <w:tcPr>
            <w:tcW w:w="1069" w:type="dxa"/>
            <w:tcBorders>
              <w:top w:val="nil"/>
              <w:left w:val="nil"/>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$502,702,152 </w:t>
            </w:r>
          </w:p>
        </w:tc>
      </w:tr>
      <w:tr w:rsidR="000003F9" w:rsidRPr="00765D3E" w:rsidTr="000003F9">
        <w:trPr>
          <w:trHeight w:val="276"/>
        </w:trPr>
        <w:tc>
          <w:tcPr>
            <w:tcW w:w="1332" w:type="dxa"/>
            <w:tcBorders>
              <w:top w:val="nil"/>
              <w:left w:val="single" w:sz="4" w:space="0" w:color="4F81BD"/>
              <w:bottom w:val="nil"/>
              <w:right w:val="nil"/>
            </w:tcBorders>
            <w:shd w:val="clear" w:color="000000" w:fill="DCE6F1"/>
            <w:noWrap/>
            <w:vAlign w:val="center"/>
            <w:hideMark/>
          </w:tcPr>
          <w:p w:rsidR="009C3210" w:rsidRPr="00CD1518" w:rsidRDefault="009C3210" w:rsidP="009C3210">
            <w:pPr>
              <w:spacing w:line="240" w:lineRule="auto"/>
              <w:rPr>
                <w:sz w:val="12"/>
                <w:szCs w:val="12"/>
                <w:lang w:eastAsia="en-AU"/>
              </w:rPr>
            </w:pPr>
            <w:r w:rsidRPr="00CD1518">
              <w:rPr>
                <w:sz w:val="12"/>
                <w:szCs w:val="12"/>
                <w:lang w:eastAsia="en-AU"/>
              </w:rPr>
              <w:t>Ipswich Hospital</w:t>
            </w:r>
          </w:p>
        </w:tc>
        <w:tc>
          <w:tcPr>
            <w:tcW w:w="532" w:type="dxa"/>
            <w:tcBorders>
              <w:top w:val="nil"/>
              <w:left w:val="single" w:sz="4" w:space="0" w:color="4F81BD"/>
              <w:bottom w:val="nil"/>
              <w:right w:val="single" w:sz="4" w:space="0" w:color="4F81BD"/>
            </w:tcBorders>
            <w:shd w:val="clear" w:color="000000" w:fill="DCE6F1"/>
            <w:noWrap/>
            <w:vAlign w:val="center"/>
            <w:hideMark/>
          </w:tcPr>
          <w:p w:rsidR="009C3210" w:rsidRPr="00CD1518" w:rsidRDefault="009C3210" w:rsidP="009C3210">
            <w:pPr>
              <w:spacing w:line="240" w:lineRule="auto"/>
              <w:jc w:val="center"/>
              <w:rPr>
                <w:sz w:val="12"/>
                <w:szCs w:val="12"/>
                <w:lang w:eastAsia="en-AU"/>
              </w:rPr>
            </w:pPr>
            <w:r w:rsidRPr="00CD1518">
              <w:rPr>
                <w:sz w:val="12"/>
                <w:szCs w:val="12"/>
                <w:lang w:eastAsia="en-AU"/>
              </w:rPr>
              <w:t>QLD</w:t>
            </w:r>
          </w:p>
        </w:tc>
        <w:tc>
          <w:tcPr>
            <w:tcW w:w="803" w:type="dxa"/>
            <w:tcBorders>
              <w:top w:val="nil"/>
              <w:left w:val="nil"/>
              <w:bottom w:val="nil"/>
              <w:right w:val="single" w:sz="4" w:space="0" w:color="4F81BD"/>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259,014</w:t>
            </w:r>
          </w:p>
        </w:tc>
        <w:tc>
          <w:tcPr>
            <w:tcW w:w="612" w:type="dxa"/>
            <w:tcBorders>
              <w:top w:val="nil"/>
              <w:left w:val="nil"/>
              <w:bottom w:val="nil"/>
              <w:right w:val="single" w:sz="4" w:space="0" w:color="4F81BD"/>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756" w:type="dxa"/>
            <w:tcBorders>
              <w:top w:val="nil"/>
              <w:left w:val="nil"/>
              <w:bottom w:val="nil"/>
              <w:right w:val="nil"/>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750" w:type="dxa"/>
            <w:tcBorders>
              <w:top w:val="nil"/>
              <w:left w:val="single" w:sz="4" w:space="0" w:color="4F81BD"/>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259,014</w:t>
            </w:r>
          </w:p>
        </w:tc>
        <w:tc>
          <w:tcPr>
            <w:tcW w:w="1050" w:type="dxa"/>
            <w:tcBorders>
              <w:top w:val="nil"/>
              <w:left w:val="nil"/>
              <w:bottom w:val="nil"/>
              <w:right w:val="single" w:sz="4" w:space="0" w:color="4F81BD"/>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 xml:space="preserve">$242,495,797 </w:t>
            </w:r>
          </w:p>
        </w:tc>
        <w:tc>
          <w:tcPr>
            <w:tcW w:w="717" w:type="dxa"/>
            <w:tcBorders>
              <w:top w:val="nil"/>
              <w:left w:val="nil"/>
              <w:bottom w:val="nil"/>
              <w:right w:val="single" w:sz="4" w:space="0" w:color="4F81BD"/>
            </w:tcBorders>
            <w:shd w:val="clear" w:color="000000" w:fill="DCE6F1"/>
            <w:noWrap/>
            <w:vAlign w:val="bottom"/>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 $-   </w:t>
            </w:r>
          </w:p>
        </w:tc>
        <w:tc>
          <w:tcPr>
            <w:tcW w:w="884" w:type="dxa"/>
            <w:tcBorders>
              <w:top w:val="nil"/>
              <w:left w:val="nil"/>
              <w:bottom w:val="nil"/>
              <w:right w:val="nil"/>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 xml:space="preserve">$10,804,722 </w:t>
            </w:r>
          </w:p>
        </w:tc>
        <w:tc>
          <w:tcPr>
            <w:tcW w:w="1069" w:type="dxa"/>
            <w:tcBorders>
              <w:top w:val="nil"/>
              <w:left w:val="single" w:sz="4" w:space="0" w:color="4F81BD"/>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 xml:space="preserve">$253,300,518 </w:t>
            </w:r>
          </w:p>
        </w:tc>
      </w:tr>
      <w:tr w:rsidR="009C3210" w:rsidRPr="00765D3E" w:rsidTr="00CD1518">
        <w:trPr>
          <w:trHeight w:val="276"/>
        </w:trPr>
        <w:tc>
          <w:tcPr>
            <w:tcW w:w="1332" w:type="dxa"/>
            <w:tcBorders>
              <w:top w:val="nil"/>
              <w:left w:val="single" w:sz="4" w:space="0" w:color="4F81BD"/>
              <w:bottom w:val="nil"/>
              <w:right w:val="nil"/>
            </w:tcBorders>
            <w:shd w:val="clear" w:color="000000" w:fill="FFFFFF"/>
            <w:noWrap/>
            <w:vAlign w:val="center"/>
            <w:hideMark/>
          </w:tcPr>
          <w:p w:rsidR="009C3210" w:rsidRPr="00CD1518" w:rsidRDefault="009C3210" w:rsidP="009C3210">
            <w:pPr>
              <w:spacing w:line="240" w:lineRule="auto"/>
              <w:rPr>
                <w:color w:val="000000"/>
                <w:sz w:val="12"/>
                <w:szCs w:val="12"/>
                <w:lang w:eastAsia="en-AU"/>
              </w:rPr>
            </w:pPr>
            <w:r w:rsidRPr="00CD1518">
              <w:rPr>
                <w:color w:val="000000"/>
                <w:sz w:val="12"/>
                <w:szCs w:val="12"/>
                <w:lang w:eastAsia="en-AU"/>
              </w:rPr>
              <w:t>Mackay Base Hospital</w:t>
            </w:r>
          </w:p>
        </w:tc>
        <w:tc>
          <w:tcPr>
            <w:tcW w:w="532" w:type="dxa"/>
            <w:tcBorders>
              <w:top w:val="nil"/>
              <w:left w:val="single" w:sz="4" w:space="0" w:color="4F81BD"/>
              <w:bottom w:val="nil"/>
              <w:right w:val="single" w:sz="4" w:space="0" w:color="4F81BD"/>
            </w:tcBorders>
            <w:shd w:val="clear" w:color="000000" w:fill="FFFFFF"/>
            <w:noWrap/>
            <w:vAlign w:val="center"/>
            <w:hideMark/>
          </w:tcPr>
          <w:p w:rsidR="009C3210" w:rsidRPr="00CD1518" w:rsidRDefault="009C3210" w:rsidP="009C3210">
            <w:pPr>
              <w:spacing w:line="240" w:lineRule="auto"/>
              <w:jc w:val="center"/>
              <w:rPr>
                <w:color w:val="000000"/>
                <w:sz w:val="12"/>
                <w:szCs w:val="12"/>
                <w:lang w:eastAsia="en-AU"/>
              </w:rPr>
            </w:pPr>
            <w:r w:rsidRPr="00CD1518">
              <w:rPr>
                <w:color w:val="000000"/>
                <w:sz w:val="12"/>
                <w:szCs w:val="12"/>
                <w:lang w:eastAsia="en-AU"/>
              </w:rPr>
              <w:t>QLD</w:t>
            </w:r>
          </w:p>
        </w:tc>
        <w:tc>
          <w:tcPr>
            <w:tcW w:w="803"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243,762</w:t>
            </w:r>
          </w:p>
        </w:tc>
        <w:tc>
          <w:tcPr>
            <w:tcW w:w="612"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756"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750" w:type="dxa"/>
            <w:tcBorders>
              <w:top w:val="nil"/>
              <w:left w:val="nil"/>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243,762</w:t>
            </w:r>
          </w:p>
        </w:tc>
        <w:tc>
          <w:tcPr>
            <w:tcW w:w="1050"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$201,108,481 </w:t>
            </w:r>
          </w:p>
        </w:tc>
        <w:tc>
          <w:tcPr>
            <w:tcW w:w="717" w:type="dxa"/>
            <w:tcBorders>
              <w:top w:val="nil"/>
              <w:left w:val="nil"/>
              <w:bottom w:val="nil"/>
              <w:right w:val="single" w:sz="4" w:space="0" w:color="4F81BD"/>
            </w:tcBorders>
            <w:shd w:val="clear" w:color="000000" w:fill="FFFFFF"/>
            <w:noWrap/>
            <w:vAlign w:val="bottom"/>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 $-   </w:t>
            </w:r>
          </w:p>
        </w:tc>
        <w:tc>
          <w:tcPr>
            <w:tcW w:w="884"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$7,353,952 </w:t>
            </w:r>
          </w:p>
        </w:tc>
        <w:tc>
          <w:tcPr>
            <w:tcW w:w="1069" w:type="dxa"/>
            <w:tcBorders>
              <w:top w:val="nil"/>
              <w:left w:val="nil"/>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$208,462,432 </w:t>
            </w:r>
          </w:p>
        </w:tc>
      </w:tr>
      <w:tr w:rsidR="000003F9" w:rsidRPr="00765D3E" w:rsidTr="000003F9">
        <w:trPr>
          <w:trHeight w:val="276"/>
        </w:trPr>
        <w:tc>
          <w:tcPr>
            <w:tcW w:w="1332" w:type="dxa"/>
            <w:tcBorders>
              <w:top w:val="nil"/>
              <w:left w:val="single" w:sz="4" w:space="0" w:color="4F81BD"/>
              <w:bottom w:val="nil"/>
              <w:right w:val="nil"/>
            </w:tcBorders>
            <w:shd w:val="clear" w:color="000000" w:fill="DCE6F1"/>
            <w:noWrap/>
            <w:vAlign w:val="center"/>
            <w:hideMark/>
          </w:tcPr>
          <w:p w:rsidR="009C3210" w:rsidRPr="00CD1518" w:rsidRDefault="009C3210" w:rsidP="009C3210">
            <w:pPr>
              <w:spacing w:line="240" w:lineRule="auto"/>
              <w:rPr>
                <w:sz w:val="12"/>
                <w:szCs w:val="12"/>
                <w:lang w:eastAsia="en-AU"/>
              </w:rPr>
            </w:pPr>
            <w:r w:rsidRPr="00CD1518">
              <w:rPr>
                <w:sz w:val="12"/>
                <w:szCs w:val="12"/>
                <w:lang w:eastAsia="en-AU"/>
              </w:rPr>
              <w:t xml:space="preserve">Lyell </w:t>
            </w:r>
            <w:proofErr w:type="spellStart"/>
            <w:r w:rsidRPr="00CD1518">
              <w:rPr>
                <w:sz w:val="12"/>
                <w:szCs w:val="12"/>
                <w:lang w:eastAsia="en-AU"/>
              </w:rPr>
              <w:t>McEwin</w:t>
            </w:r>
            <w:proofErr w:type="spellEnd"/>
            <w:r w:rsidRPr="00CD1518">
              <w:rPr>
                <w:sz w:val="12"/>
                <w:szCs w:val="12"/>
                <w:lang w:eastAsia="en-AU"/>
              </w:rPr>
              <w:t xml:space="preserve"> Hospital</w:t>
            </w:r>
          </w:p>
        </w:tc>
        <w:tc>
          <w:tcPr>
            <w:tcW w:w="532" w:type="dxa"/>
            <w:tcBorders>
              <w:top w:val="nil"/>
              <w:left w:val="single" w:sz="4" w:space="0" w:color="4F81BD"/>
              <w:bottom w:val="nil"/>
              <w:right w:val="single" w:sz="4" w:space="0" w:color="4F81BD"/>
            </w:tcBorders>
            <w:shd w:val="clear" w:color="000000" w:fill="DCE6F1"/>
            <w:noWrap/>
            <w:vAlign w:val="center"/>
            <w:hideMark/>
          </w:tcPr>
          <w:p w:rsidR="009C3210" w:rsidRPr="00CD1518" w:rsidRDefault="009C3210" w:rsidP="009C3210">
            <w:pPr>
              <w:spacing w:line="240" w:lineRule="auto"/>
              <w:jc w:val="center"/>
              <w:rPr>
                <w:sz w:val="12"/>
                <w:szCs w:val="12"/>
                <w:lang w:eastAsia="en-AU"/>
              </w:rPr>
            </w:pPr>
            <w:r w:rsidRPr="00CD1518">
              <w:rPr>
                <w:sz w:val="12"/>
                <w:szCs w:val="12"/>
                <w:lang w:eastAsia="en-AU"/>
              </w:rPr>
              <w:t>SA</w:t>
            </w:r>
          </w:p>
        </w:tc>
        <w:tc>
          <w:tcPr>
            <w:tcW w:w="803" w:type="dxa"/>
            <w:tcBorders>
              <w:top w:val="nil"/>
              <w:left w:val="nil"/>
              <w:bottom w:val="nil"/>
              <w:right w:val="single" w:sz="4" w:space="0" w:color="4F81BD"/>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107,284</w:t>
            </w:r>
          </w:p>
        </w:tc>
        <w:tc>
          <w:tcPr>
            <w:tcW w:w="612" w:type="dxa"/>
            <w:tcBorders>
              <w:top w:val="nil"/>
              <w:left w:val="nil"/>
              <w:bottom w:val="nil"/>
              <w:right w:val="single" w:sz="4" w:space="0" w:color="4F81BD"/>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756" w:type="dxa"/>
            <w:tcBorders>
              <w:top w:val="nil"/>
              <w:left w:val="nil"/>
              <w:bottom w:val="nil"/>
              <w:right w:val="nil"/>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750" w:type="dxa"/>
            <w:tcBorders>
              <w:top w:val="nil"/>
              <w:left w:val="single" w:sz="4" w:space="0" w:color="4F81BD"/>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107,284</w:t>
            </w:r>
          </w:p>
        </w:tc>
        <w:tc>
          <w:tcPr>
            <w:tcW w:w="1050" w:type="dxa"/>
            <w:tcBorders>
              <w:top w:val="nil"/>
              <w:left w:val="nil"/>
              <w:bottom w:val="nil"/>
              <w:right w:val="single" w:sz="4" w:space="0" w:color="4F81BD"/>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 xml:space="preserve">$263,598,741 </w:t>
            </w:r>
          </w:p>
        </w:tc>
        <w:tc>
          <w:tcPr>
            <w:tcW w:w="717" w:type="dxa"/>
            <w:tcBorders>
              <w:top w:val="nil"/>
              <w:left w:val="nil"/>
              <w:bottom w:val="nil"/>
              <w:right w:val="single" w:sz="4" w:space="0" w:color="4F81BD"/>
            </w:tcBorders>
            <w:shd w:val="clear" w:color="000000" w:fill="DCE6F1"/>
            <w:noWrap/>
            <w:vAlign w:val="bottom"/>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 $-   </w:t>
            </w:r>
          </w:p>
        </w:tc>
        <w:tc>
          <w:tcPr>
            <w:tcW w:w="884" w:type="dxa"/>
            <w:tcBorders>
              <w:top w:val="nil"/>
              <w:left w:val="nil"/>
              <w:bottom w:val="nil"/>
              <w:right w:val="nil"/>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r>
              <w:rPr>
                <w:sz w:val="12"/>
                <w:szCs w:val="12"/>
                <w:lang w:eastAsia="en-AU"/>
              </w:rPr>
              <w:t>1</w:t>
            </w:r>
            <w:r w:rsidRPr="00CD1518">
              <w:rPr>
                <w:sz w:val="12"/>
                <w:szCs w:val="12"/>
                <w:lang w:eastAsia="en-AU"/>
              </w:rPr>
              <w:t xml:space="preserve">5,178,671 </w:t>
            </w:r>
          </w:p>
        </w:tc>
        <w:tc>
          <w:tcPr>
            <w:tcW w:w="1069" w:type="dxa"/>
            <w:tcBorders>
              <w:top w:val="nil"/>
              <w:left w:val="single" w:sz="4" w:space="0" w:color="4F81BD"/>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 xml:space="preserve">$278,777,412 </w:t>
            </w:r>
          </w:p>
        </w:tc>
      </w:tr>
      <w:tr w:rsidR="009C3210" w:rsidRPr="00765D3E" w:rsidTr="00CD1518">
        <w:trPr>
          <w:trHeight w:val="276"/>
        </w:trPr>
        <w:tc>
          <w:tcPr>
            <w:tcW w:w="1332" w:type="dxa"/>
            <w:tcBorders>
              <w:top w:val="nil"/>
              <w:left w:val="single" w:sz="4" w:space="0" w:color="4F81BD"/>
              <w:bottom w:val="nil"/>
              <w:right w:val="nil"/>
            </w:tcBorders>
            <w:shd w:val="clear" w:color="000000" w:fill="FFFFFF"/>
            <w:noWrap/>
            <w:vAlign w:val="center"/>
            <w:hideMark/>
          </w:tcPr>
          <w:p w:rsidR="009C3210" w:rsidRPr="00CD1518" w:rsidRDefault="009C3210" w:rsidP="009C3210">
            <w:pPr>
              <w:spacing w:line="240" w:lineRule="auto"/>
              <w:rPr>
                <w:color w:val="000000"/>
                <w:sz w:val="12"/>
                <w:szCs w:val="12"/>
                <w:lang w:eastAsia="en-AU"/>
              </w:rPr>
            </w:pPr>
            <w:r w:rsidRPr="00CD1518">
              <w:rPr>
                <w:color w:val="000000"/>
                <w:sz w:val="12"/>
                <w:szCs w:val="12"/>
                <w:lang w:eastAsia="en-AU"/>
              </w:rPr>
              <w:t>Modbury Hospital</w:t>
            </w:r>
          </w:p>
        </w:tc>
        <w:tc>
          <w:tcPr>
            <w:tcW w:w="532" w:type="dxa"/>
            <w:tcBorders>
              <w:top w:val="nil"/>
              <w:left w:val="single" w:sz="4" w:space="0" w:color="4F81BD"/>
              <w:bottom w:val="nil"/>
              <w:right w:val="single" w:sz="4" w:space="0" w:color="4F81BD"/>
            </w:tcBorders>
            <w:shd w:val="clear" w:color="000000" w:fill="FFFFFF"/>
            <w:noWrap/>
            <w:vAlign w:val="center"/>
            <w:hideMark/>
          </w:tcPr>
          <w:p w:rsidR="009C3210" w:rsidRPr="00CD1518" w:rsidRDefault="009C3210" w:rsidP="009C3210">
            <w:pPr>
              <w:spacing w:line="240" w:lineRule="auto"/>
              <w:jc w:val="center"/>
              <w:rPr>
                <w:color w:val="000000"/>
                <w:sz w:val="12"/>
                <w:szCs w:val="12"/>
                <w:lang w:eastAsia="en-AU"/>
              </w:rPr>
            </w:pPr>
            <w:r w:rsidRPr="00CD1518">
              <w:rPr>
                <w:color w:val="000000"/>
                <w:sz w:val="12"/>
                <w:szCs w:val="12"/>
                <w:lang w:eastAsia="en-AU"/>
              </w:rPr>
              <w:t>SA</w:t>
            </w:r>
          </w:p>
        </w:tc>
        <w:tc>
          <w:tcPr>
            <w:tcW w:w="803"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51,616</w:t>
            </w:r>
          </w:p>
        </w:tc>
        <w:tc>
          <w:tcPr>
            <w:tcW w:w="612"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756"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750" w:type="dxa"/>
            <w:tcBorders>
              <w:top w:val="nil"/>
              <w:left w:val="nil"/>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51,616</w:t>
            </w:r>
          </w:p>
        </w:tc>
        <w:tc>
          <w:tcPr>
            <w:tcW w:w="1050"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$120,703,245 </w:t>
            </w:r>
          </w:p>
        </w:tc>
        <w:tc>
          <w:tcPr>
            <w:tcW w:w="717" w:type="dxa"/>
            <w:tcBorders>
              <w:top w:val="nil"/>
              <w:left w:val="nil"/>
              <w:bottom w:val="nil"/>
              <w:right w:val="single" w:sz="4" w:space="0" w:color="4F81BD"/>
            </w:tcBorders>
            <w:shd w:val="clear" w:color="000000" w:fill="FFFFFF"/>
            <w:noWrap/>
            <w:vAlign w:val="bottom"/>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 $-   </w:t>
            </w:r>
          </w:p>
        </w:tc>
        <w:tc>
          <w:tcPr>
            <w:tcW w:w="884"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Pr>
                <w:color w:val="000000"/>
                <w:sz w:val="12"/>
                <w:szCs w:val="12"/>
                <w:lang w:eastAsia="en-AU"/>
              </w:rPr>
              <w:t>$</w:t>
            </w:r>
            <w:r w:rsidRPr="00CD1518">
              <w:rPr>
                <w:color w:val="000000"/>
                <w:sz w:val="12"/>
                <w:szCs w:val="12"/>
                <w:lang w:eastAsia="en-AU"/>
              </w:rPr>
              <w:t xml:space="preserve">8,185,547 </w:t>
            </w:r>
          </w:p>
        </w:tc>
        <w:tc>
          <w:tcPr>
            <w:tcW w:w="1069" w:type="dxa"/>
            <w:tcBorders>
              <w:top w:val="nil"/>
              <w:left w:val="nil"/>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$128,888,792 </w:t>
            </w:r>
          </w:p>
        </w:tc>
      </w:tr>
      <w:tr w:rsidR="000003F9" w:rsidRPr="00765D3E" w:rsidTr="000003F9">
        <w:trPr>
          <w:trHeight w:val="276"/>
        </w:trPr>
        <w:tc>
          <w:tcPr>
            <w:tcW w:w="1332" w:type="dxa"/>
            <w:tcBorders>
              <w:top w:val="nil"/>
              <w:left w:val="single" w:sz="4" w:space="0" w:color="4F81BD"/>
              <w:bottom w:val="nil"/>
              <w:right w:val="nil"/>
            </w:tcBorders>
            <w:shd w:val="clear" w:color="000000" w:fill="DCE6F1"/>
            <w:noWrap/>
            <w:vAlign w:val="center"/>
            <w:hideMark/>
          </w:tcPr>
          <w:p w:rsidR="009C3210" w:rsidRPr="00CD1518" w:rsidRDefault="009C3210" w:rsidP="009C3210">
            <w:pPr>
              <w:spacing w:line="240" w:lineRule="auto"/>
              <w:rPr>
                <w:sz w:val="12"/>
                <w:szCs w:val="12"/>
                <w:lang w:eastAsia="en-AU"/>
              </w:rPr>
            </w:pPr>
            <w:r w:rsidRPr="00CD1518">
              <w:rPr>
                <w:sz w:val="12"/>
                <w:szCs w:val="12"/>
                <w:lang w:eastAsia="en-AU"/>
              </w:rPr>
              <w:t>Royal Hobart Hospital</w:t>
            </w:r>
          </w:p>
        </w:tc>
        <w:tc>
          <w:tcPr>
            <w:tcW w:w="532" w:type="dxa"/>
            <w:tcBorders>
              <w:top w:val="nil"/>
              <w:left w:val="single" w:sz="4" w:space="0" w:color="4F81BD"/>
              <w:bottom w:val="nil"/>
              <w:right w:val="single" w:sz="4" w:space="0" w:color="4F81BD"/>
            </w:tcBorders>
            <w:shd w:val="clear" w:color="000000" w:fill="DCE6F1"/>
            <w:noWrap/>
            <w:vAlign w:val="center"/>
            <w:hideMark/>
          </w:tcPr>
          <w:p w:rsidR="009C3210" w:rsidRPr="00CD1518" w:rsidRDefault="009C3210" w:rsidP="009C3210">
            <w:pPr>
              <w:spacing w:line="240" w:lineRule="auto"/>
              <w:jc w:val="center"/>
              <w:rPr>
                <w:sz w:val="12"/>
                <w:szCs w:val="12"/>
                <w:lang w:eastAsia="en-AU"/>
              </w:rPr>
            </w:pPr>
            <w:r w:rsidRPr="00CD1518">
              <w:rPr>
                <w:sz w:val="12"/>
                <w:szCs w:val="12"/>
                <w:lang w:eastAsia="en-AU"/>
              </w:rPr>
              <w:t>TAS</w:t>
            </w:r>
          </w:p>
        </w:tc>
        <w:tc>
          <w:tcPr>
            <w:tcW w:w="803" w:type="dxa"/>
            <w:tcBorders>
              <w:top w:val="nil"/>
              <w:left w:val="nil"/>
              <w:bottom w:val="nil"/>
              <w:right w:val="single" w:sz="4" w:space="0" w:color="4F81BD"/>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237,174</w:t>
            </w:r>
          </w:p>
        </w:tc>
        <w:tc>
          <w:tcPr>
            <w:tcW w:w="612" w:type="dxa"/>
            <w:tcBorders>
              <w:top w:val="nil"/>
              <w:left w:val="nil"/>
              <w:bottom w:val="nil"/>
              <w:right w:val="single" w:sz="4" w:space="0" w:color="4F81BD"/>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(1,110)</w:t>
            </w:r>
          </w:p>
        </w:tc>
        <w:tc>
          <w:tcPr>
            <w:tcW w:w="756" w:type="dxa"/>
            <w:tcBorders>
              <w:top w:val="nil"/>
              <w:left w:val="nil"/>
              <w:bottom w:val="nil"/>
              <w:right w:val="nil"/>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750" w:type="dxa"/>
            <w:tcBorders>
              <w:top w:val="nil"/>
              <w:left w:val="single" w:sz="4" w:space="0" w:color="4F81BD"/>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236,064</w:t>
            </w:r>
          </w:p>
        </w:tc>
        <w:tc>
          <w:tcPr>
            <w:tcW w:w="1050" w:type="dxa"/>
            <w:tcBorders>
              <w:top w:val="nil"/>
              <w:left w:val="nil"/>
              <w:bottom w:val="nil"/>
              <w:right w:val="single" w:sz="4" w:space="0" w:color="4F81BD"/>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 xml:space="preserve">$367,600,240 </w:t>
            </w:r>
          </w:p>
        </w:tc>
        <w:tc>
          <w:tcPr>
            <w:tcW w:w="717" w:type="dxa"/>
            <w:tcBorders>
              <w:top w:val="nil"/>
              <w:left w:val="nil"/>
              <w:bottom w:val="nil"/>
              <w:right w:val="single" w:sz="4" w:space="0" w:color="4F81BD"/>
            </w:tcBorders>
            <w:shd w:val="clear" w:color="000000" w:fill="DCE6F1"/>
            <w:noWrap/>
            <w:vAlign w:val="bottom"/>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 $-   </w:t>
            </w:r>
          </w:p>
        </w:tc>
        <w:tc>
          <w:tcPr>
            <w:tcW w:w="884" w:type="dxa"/>
            <w:tcBorders>
              <w:top w:val="nil"/>
              <w:left w:val="nil"/>
              <w:bottom w:val="nil"/>
              <w:right w:val="nil"/>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 xml:space="preserve">$18,262,754 </w:t>
            </w:r>
          </w:p>
        </w:tc>
        <w:tc>
          <w:tcPr>
            <w:tcW w:w="1069" w:type="dxa"/>
            <w:tcBorders>
              <w:top w:val="nil"/>
              <w:left w:val="single" w:sz="4" w:space="0" w:color="4F81BD"/>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 xml:space="preserve">$385,862,995 </w:t>
            </w:r>
          </w:p>
        </w:tc>
      </w:tr>
      <w:tr w:rsidR="009C3210" w:rsidRPr="00765D3E" w:rsidTr="00CD1518">
        <w:trPr>
          <w:trHeight w:val="276"/>
        </w:trPr>
        <w:tc>
          <w:tcPr>
            <w:tcW w:w="1332" w:type="dxa"/>
            <w:tcBorders>
              <w:top w:val="nil"/>
              <w:left w:val="single" w:sz="4" w:space="0" w:color="4F81BD"/>
              <w:bottom w:val="nil"/>
              <w:right w:val="nil"/>
            </w:tcBorders>
            <w:shd w:val="clear" w:color="000000" w:fill="FFFFFF"/>
            <w:noWrap/>
            <w:vAlign w:val="center"/>
            <w:hideMark/>
          </w:tcPr>
          <w:p w:rsidR="009C3210" w:rsidRPr="00CD1518" w:rsidRDefault="009C3210" w:rsidP="009C3210">
            <w:pPr>
              <w:spacing w:line="240" w:lineRule="auto"/>
              <w:rPr>
                <w:color w:val="000000"/>
                <w:sz w:val="12"/>
                <w:szCs w:val="12"/>
                <w:lang w:eastAsia="en-AU"/>
              </w:rPr>
            </w:pPr>
            <w:r w:rsidRPr="00CD1518">
              <w:rPr>
                <w:color w:val="000000"/>
                <w:sz w:val="12"/>
                <w:szCs w:val="12"/>
                <w:lang w:eastAsia="en-AU"/>
              </w:rPr>
              <w:t>St Vincent's Hospital</w:t>
            </w:r>
          </w:p>
        </w:tc>
        <w:tc>
          <w:tcPr>
            <w:tcW w:w="532" w:type="dxa"/>
            <w:tcBorders>
              <w:top w:val="nil"/>
              <w:left w:val="single" w:sz="4" w:space="0" w:color="4F81BD"/>
              <w:bottom w:val="nil"/>
              <w:right w:val="single" w:sz="4" w:space="0" w:color="4F81BD"/>
            </w:tcBorders>
            <w:shd w:val="clear" w:color="000000" w:fill="FFFFFF"/>
            <w:noWrap/>
            <w:vAlign w:val="center"/>
            <w:hideMark/>
          </w:tcPr>
          <w:p w:rsidR="009C3210" w:rsidRPr="00CD1518" w:rsidRDefault="009C3210" w:rsidP="009C3210">
            <w:pPr>
              <w:spacing w:line="240" w:lineRule="auto"/>
              <w:jc w:val="center"/>
              <w:rPr>
                <w:color w:val="000000"/>
                <w:sz w:val="12"/>
                <w:szCs w:val="12"/>
                <w:lang w:eastAsia="en-AU"/>
              </w:rPr>
            </w:pPr>
            <w:r w:rsidRPr="00CD1518">
              <w:rPr>
                <w:color w:val="000000"/>
                <w:sz w:val="12"/>
                <w:szCs w:val="12"/>
                <w:lang w:eastAsia="en-AU"/>
              </w:rPr>
              <w:t>VIC</w:t>
            </w:r>
          </w:p>
        </w:tc>
        <w:tc>
          <w:tcPr>
            <w:tcW w:w="803"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205,542</w:t>
            </w:r>
          </w:p>
        </w:tc>
        <w:tc>
          <w:tcPr>
            <w:tcW w:w="612"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756"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p>
        </w:tc>
        <w:tc>
          <w:tcPr>
            <w:tcW w:w="750" w:type="dxa"/>
            <w:tcBorders>
              <w:top w:val="nil"/>
              <w:left w:val="nil"/>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205,542</w:t>
            </w:r>
          </w:p>
        </w:tc>
        <w:tc>
          <w:tcPr>
            <w:tcW w:w="1050"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$385,154,636 </w:t>
            </w:r>
          </w:p>
        </w:tc>
        <w:tc>
          <w:tcPr>
            <w:tcW w:w="717" w:type="dxa"/>
            <w:tcBorders>
              <w:top w:val="nil"/>
              <w:left w:val="nil"/>
              <w:bottom w:val="nil"/>
              <w:right w:val="single" w:sz="4" w:space="0" w:color="4F81BD"/>
            </w:tcBorders>
            <w:shd w:val="clear" w:color="000000" w:fill="FFFFFF"/>
            <w:noWrap/>
            <w:vAlign w:val="bottom"/>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 $-   </w:t>
            </w:r>
          </w:p>
        </w:tc>
        <w:tc>
          <w:tcPr>
            <w:tcW w:w="884"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w:t>
            </w:r>
            <w:r>
              <w:rPr>
                <w:color w:val="000000"/>
                <w:sz w:val="12"/>
                <w:szCs w:val="12"/>
                <w:lang w:eastAsia="en-AU"/>
              </w:rPr>
              <w:t>1</w:t>
            </w:r>
            <w:r w:rsidRPr="00CD1518">
              <w:rPr>
                <w:color w:val="000000"/>
                <w:sz w:val="12"/>
                <w:szCs w:val="12"/>
                <w:lang w:eastAsia="en-AU"/>
              </w:rPr>
              <w:t xml:space="preserve">4,972,703 </w:t>
            </w:r>
          </w:p>
        </w:tc>
        <w:tc>
          <w:tcPr>
            <w:tcW w:w="1069" w:type="dxa"/>
            <w:tcBorders>
              <w:top w:val="nil"/>
              <w:left w:val="nil"/>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$400,127,339 </w:t>
            </w:r>
          </w:p>
        </w:tc>
      </w:tr>
      <w:tr w:rsidR="000003F9" w:rsidRPr="00765D3E" w:rsidTr="000003F9">
        <w:trPr>
          <w:trHeight w:val="276"/>
        </w:trPr>
        <w:tc>
          <w:tcPr>
            <w:tcW w:w="1332" w:type="dxa"/>
            <w:tcBorders>
              <w:top w:val="nil"/>
              <w:left w:val="single" w:sz="4" w:space="0" w:color="4F81BD"/>
              <w:bottom w:val="nil"/>
              <w:right w:val="nil"/>
            </w:tcBorders>
            <w:shd w:val="clear" w:color="000000" w:fill="DCE6F1"/>
            <w:noWrap/>
            <w:vAlign w:val="center"/>
            <w:hideMark/>
          </w:tcPr>
          <w:p w:rsidR="009C3210" w:rsidRPr="00CD1518" w:rsidRDefault="009C3210" w:rsidP="009C3210">
            <w:pPr>
              <w:spacing w:line="240" w:lineRule="auto"/>
              <w:rPr>
                <w:sz w:val="12"/>
                <w:szCs w:val="12"/>
                <w:lang w:eastAsia="en-AU"/>
              </w:rPr>
            </w:pPr>
            <w:r w:rsidRPr="00CD1518">
              <w:rPr>
                <w:sz w:val="12"/>
                <w:szCs w:val="12"/>
                <w:lang w:eastAsia="en-AU"/>
              </w:rPr>
              <w:t>Royal Victorian Eye and Ear Hospital</w:t>
            </w:r>
          </w:p>
        </w:tc>
        <w:tc>
          <w:tcPr>
            <w:tcW w:w="532" w:type="dxa"/>
            <w:tcBorders>
              <w:top w:val="nil"/>
              <w:left w:val="single" w:sz="4" w:space="0" w:color="4F81BD"/>
              <w:bottom w:val="nil"/>
              <w:right w:val="single" w:sz="4" w:space="0" w:color="4F81BD"/>
            </w:tcBorders>
            <w:shd w:val="clear" w:color="000000" w:fill="DCE6F1"/>
            <w:noWrap/>
            <w:vAlign w:val="center"/>
            <w:hideMark/>
          </w:tcPr>
          <w:p w:rsidR="009C3210" w:rsidRPr="00CD1518" w:rsidRDefault="009C3210" w:rsidP="009C3210">
            <w:pPr>
              <w:spacing w:line="240" w:lineRule="auto"/>
              <w:jc w:val="center"/>
              <w:rPr>
                <w:sz w:val="12"/>
                <w:szCs w:val="12"/>
                <w:lang w:eastAsia="en-AU"/>
              </w:rPr>
            </w:pPr>
            <w:r w:rsidRPr="00CD1518">
              <w:rPr>
                <w:sz w:val="12"/>
                <w:szCs w:val="12"/>
                <w:lang w:eastAsia="en-AU"/>
              </w:rPr>
              <w:t>VIC</w:t>
            </w:r>
          </w:p>
        </w:tc>
        <w:tc>
          <w:tcPr>
            <w:tcW w:w="803" w:type="dxa"/>
            <w:tcBorders>
              <w:top w:val="nil"/>
              <w:left w:val="nil"/>
              <w:bottom w:val="nil"/>
              <w:right w:val="single" w:sz="4" w:space="0" w:color="4F81BD"/>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160,556</w:t>
            </w:r>
          </w:p>
        </w:tc>
        <w:tc>
          <w:tcPr>
            <w:tcW w:w="612" w:type="dxa"/>
            <w:tcBorders>
              <w:top w:val="nil"/>
              <w:left w:val="nil"/>
              <w:bottom w:val="nil"/>
              <w:right w:val="single" w:sz="4" w:space="0" w:color="4F81BD"/>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756" w:type="dxa"/>
            <w:tcBorders>
              <w:top w:val="nil"/>
              <w:left w:val="nil"/>
              <w:bottom w:val="nil"/>
              <w:right w:val="nil"/>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w:t>
            </w:r>
          </w:p>
        </w:tc>
        <w:tc>
          <w:tcPr>
            <w:tcW w:w="750" w:type="dxa"/>
            <w:tcBorders>
              <w:top w:val="nil"/>
              <w:left w:val="single" w:sz="4" w:space="0" w:color="4F81BD"/>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160,556</w:t>
            </w:r>
          </w:p>
        </w:tc>
        <w:tc>
          <w:tcPr>
            <w:tcW w:w="1050" w:type="dxa"/>
            <w:tcBorders>
              <w:top w:val="nil"/>
              <w:left w:val="nil"/>
              <w:bottom w:val="nil"/>
              <w:right w:val="single" w:sz="4" w:space="0" w:color="4F81BD"/>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sidRPr="00CD1518">
              <w:rPr>
                <w:sz w:val="12"/>
                <w:szCs w:val="12"/>
                <w:lang w:eastAsia="en-AU"/>
              </w:rPr>
              <w:t xml:space="preserve">$81,890,009 </w:t>
            </w:r>
          </w:p>
        </w:tc>
        <w:tc>
          <w:tcPr>
            <w:tcW w:w="717" w:type="dxa"/>
            <w:tcBorders>
              <w:top w:val="nil"/>
              <w:left w:val="nil"/>
              <w:bottom w:val="nil"/>
              <w:right w:val="single" w:sz="4" w:space="0" w:color="4F81BD"/>
            </w:tcBorders>
            <w:shd w:val="clear" w:color="000000" w:fill="DCE6F1"/>
            <w:noWrap/>
            <w:vAlign w:val="bottom"/>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 $-   </w:t>
            </w:r>
          </w:p>
        </w:tc>
        <w:tc>
          <w:tcPr>
            <w:tcW w:w="884" w:type="dxa"/>
            <w:tcBorders>
              <w:top w:val="nil"/>
              <w:left w:val="nil"/>
              <w:bottom w:val="nil"/>
              <w:right w:val="nil"/>
            </w:tcBorders>
            <w:shd w:val="clear" w:color="000000" w:fill="DCE6F1"/>
            <w:noWrap/>
            <w:vAlign w:val="center"/>
            <w:hideMark/>
          </w:tcPr>
          <w:p w:rsidR="009C3210" w:rsidRPr="00CD1518" w:rsidRDefault="009C3210" w:rsidP="00CD1518">
            <w:pPr>
              <w:spacing w:line="240" w:lineRule="auto"/>
              <w:jc w:val="right"/>
              <w:rPr>
                <w:sz w:val="12"/>
                <w:szCs w:val="12"/>
                <w:lang w:eastAsia="en-AU"/>
              </w:rPr>
            </w:pPr>
            <w:r>
              <w:rPr>
                <w:sz w:val="12"/>
                <w:szCs w:val="12"/>
                <w:lang w:eastAsia="en-AU"/>
              </w:rPr>
              <w:t>$</w:t>
            </w:r>
            <w:r w:rsidRPr="00CD1518">
              <w:rPr>
                <w:sz w:val="12"/>
                <w:szCs w:val="12"/>
                <w:lang w:eastAsia="en-AU"/>
              </w:rPr>
              <w:t xml:space="preserve">542,247 </w:t>
            </w:r>
          </w:p>
        </w:tc>
        <w:tc>
          <w:tcPr>
            <w:tcW w:w="1069" w:type="dxa"/>
            <w:tcBorders>
              <w:top w:val="nil"/>
              <w:left w:val="single" w:sz="4" w:space="0" w:color="4F81BD"/>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sz w:val="12"/>
                <w:szCs w:val="12"/>
                <w:lang w:eastAsia="en-AU"/>
              </w:rPr>
            </w:pPr>
            <w:r>
              <w:rPr>
                <w:sz w:val="12"/>
                <w:szCs w:val="12"/>
                <w:lang w:eastAsia="en-AU"/>
              </w:rPr>
              <w:t>$</w:t>
            </w:r>
            <w:r w:rsidRPr="00CD1518">
              <w:rPr>
                <w:sz w:val="12"/>
                <w:szCs w:val="12"/>
                <w:lang w:eastAsia="en-AU"/>
              </w:rPr>
              <w:t xml:space="preserve">82,432,256 </w:t>
            </w:r>
          </w:p>
        </w:tc>
      </w:tr>
      <w:tr w:rsidR="009C3210" w:rsidRPr="00765D3E" w:rsidTr="00CD1518">
        <w:trPr>
          <w:trHeight w:val="276"/>
        </w:trPr>
        <w:tc>
          <w:tcPr>
            <w:tcW w:w="1332" w:type="dxa"/>
            <w:tcBorders>
              <w:top w:val="nil"/>
              <w:left w:val="single" w:sz="4" w:space="0" w:color="4F81BD"/>
              <w:bottom w:val="nil"/>
              <w:right w:val="nil"/>
            </w:tcBorders>
            <w:shd w:val="clear" w:color="000000" w:fill="FFFFFF"/>
            <w:noWrap/>
            <w:vAlign w:val="center"/>
            <w:hideMark/>
          </w:tcPr>
          <w:p w:rsidR="009C3210" w:rsidRPr="00CD1518" w:rsidRDefault="009C3210" w:rsidP="009C3210">
            <w:pPr>
              <w:spacing w:line="240" w:lineRule="auto"/>
              <w:rPr>
                <w:color w:val="000000"/>
                <w:sz w:val="12"/>
                <w:szCs w:val="12"/>
                <w:lang w:eastAsia="en-AU"/>
              </w:rPr>
            </w:pPr>
            <w:r w:rsidRPr="00CD1518">
              <w:rPr>
                <w:color w:val="000000"/>
                <w:sz w:val="12"/>
                <w:szCs w:val="12"/>
                <w:lang w:eastAsia="en-AU"/>
              </w:rPr>
              <w:t>Rockingham General Hospital</w:t>
            </w:r>
          </w:p>
        </w:tc>
        <w:tc>
          <w:tcPr>
            <w:tcW w:w="532" w:type="dxa"/>
            <w:tcBorders>
              <w:top w:val="nil"/>
              <w:left w:val="single" w:sz="4" w:space="0" w:color="4F81BD"/>
              <w:bottom w:val="nil"/>
              <w:right w:val="single" w:sz="4" w:space="0" w:color="4F81BD"/>
            </w:tcBorders>
            <w:shd w:val="clear" w:color="000000" w:fill="FFFFFF"/>
            <w:noWrap/>
            <w:vAlign w:val="center"/>
            <w:hideMark/>
          </w:tcPr>
          <w:p w:rsidR="009C3210" w:rsidRPr="00CD1518" w:rsidRDefault="009C3210" w:rsidP="009C3210">
            <w:pPr>
              <w:spacing w:line="240" w:lineRule="auto"/>
              <w:jc w:val="center"/>
              <w:rPr>
                <w:color w:val="000000"/>
                <w:sz w:val="12"/>
                <w:szCs w:val="12"/>
                <w:lang w:eastAsia="en-AU"/>
              </w:rPr>
            </w:pPr>
            <w:r w:rsidRPr="00CD1518">
              <w:rPr>
                <w:color w:val="000000"/>
                <w:sz w:val="12"/>
                <w:szCs w:val="12"/>
                <w:lang w:eastAsia="en-AU"/>
              </w:rPr>
              <w:t>WA</w:t>
            </w:r>
          </w:p>
        </w:tc>
        <w:tc>
          <w:tcPr>
            <w:tcW w:w="803"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150,782</w:t>
            </w:r>
          </w:p>
        </w:tc>
        <w:tc>
          <w:tcPr>
            <w:tcW w:w="612"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(833)</w:t>
            </w:r>
          </w:p>
        </w:tc>
        <w:tc>
          <w:tcPr>
            <w:tcW w:w="756"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8,815</w:t>
            </w:r>
          </w:p>
        </w:tc>
        <w:tc>
          <w:tcPr>
            <w:tcW w:w="750" w:type="dxa"/>
            <w:tcBorders>
              <w:top w:val="nil"/>
              <w:left w:val="nil"/>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158,764</w:t>
            </w:r>
          </w:p>
        </w:tc>
        <w:tc>
          <w:tcPr>
            <w:tcW w:w="1050"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$168,775,511 </w:t>
            </w:r>
          </w:p>
        </w:tc>
        <w:tc>
          <w:tcPr>
            <w:tcW w:w="717" w:type="dxa"/>
            <w:tcBorders>
              <w:top w:val="nil"/>
              <w:left w:val="nil"/>
              <w:bottom w:val="nil"/>
              <w:right w:val="single" w:sz="4" w:space="0" w:color="4F81BD"/>
            </w:tcBorders>
            <w:shd w:val="clear" w:color="000000" w:fill="FFFFFF"/>
            <w:noWrap/>
            <w:vAlign w:val="bottom"/>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 $-   </w:t>
            </w:r>
          </w:p>
        </w:tc>
        <w:tc>
          <w:tcPr>
            <w:tcW w:w="884" w:type="dxa"/>
            <w:tcBorders>
              <w:top w:val="nil"/>
              <w:left w:val="nil"/>
              <w:bottom w:val="nil"/>
              <w:right w:val="single" w:sz="4" w:space="0" w:color="4F81BD"/>
            </w:tcBorders>
            <w:shd w:val="clear" w:color="000000" w:fill="FFFFFF"/>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$7,003,569 </w:t>
            </w:r>
          </w:p>
        </w:tc>
        <w:tc>
          <w:tcPr>
            <w:tcW w:w="1069" w:type="dxa"/>
            <w:tcBorders>
              <w:top w:val="nil"/>
              <w:left w:val="nil"/>
              <w:bottom w:val="nil"/>
              <w:right w:val="single" w:sz="4" w:space="0" w:color="4F81BD"/>
            </w:tcBorders>
            <w:shd w:val="clear" w:color="auto" w:fill="DBE5F1" w:themeFill="accent1" w:themeFillTint="33"/>
            <w:noWrap/>
            <w:vAlign w:val="center"/>
            <w:hideMark/>
          </w:tcPr>
          <w:p w:rsidR="009C3210" w:rsidRPr="00CD1518" w:rsidRDefault="009C3210" w:rsidP="00CD1518">
            <w:pPr>
              <w:spacing w:line="240" w:lineRule="auto"/>
              <w:jc w:val="right"/>
              <w:rPr>
                <w:color w:val="000000"/>
                <w:sz w:val="12"/>
                <w:szCs w:val="12"/>
                <w:lang w:eastAsia="en-AU"/>
              </w:rPr>
            </w:pPr>
            <w:r w:rsidRPr="00CD1518">
              <w:rPr>
                <w:color w:val="000000"/>
                <w:sz w:val="12"/>
                <w:szCs w:val="12"/>
                <w:lang w:eastAsia="en-AU"/>
              </w:rPr>
              <w:t xml:space="preserve">$175,779,077 </w:t>
            </w:r>
          </w:p>
        </w:tc>
      </w:tr>
      <w:tr w:rsidR="00CA7B4E" w:rsidRPr="00765D3E" w:rsidTr="00B540AC">
        <w:trPr>
          <w:trHeight w:val="276"/>
        </w:trPr>
        <w:tc>
          <w:tcPr>
            <w:tcW w:w="1332" w:type="dxa"/>
            <w:tcBorders>
              <w:top w:val="nil"/>
              <w:left w:val="single" w:sz="4" w:space="0" w:color="4F81BD"/>
              <w:bottom w:val="single" w:sz="4" w:space="0" w:color="4F81BD"/>
              <w:right w:val="nil"/>
            </w:tcBorders>
            <w:shd w:val="clear" w:color="000000" w:fill="DCE6F1"/>
            <w:noWrap/>
            <w:vAlign w:val="center"/>
            <w:hideMark/>
          </w:tcPr>
          <w:p w:rsidR="00765D3E" w:rsidRPr="00CD1518" w:rsidRDefault="00765D3E">
            <w:pPr>
              <w:spacing w:line="240" w:lineRule="auto"/>
              <w:rPr>
                <w:sz w:val="12"/>
                <w:szCs w:val="12"/>
                <w:lang w:eastAsia="en-AU"/>
              </w:rPr>
            </w:pPr>
            <w:r w:rsidRPr="00CD1518">
              <w:rPr>
                <w:sz w:val="12"/>
                <w:szCs w:val="12"/>
                <w:lang w:eastAsia="en-AU"/>
              </w:rPr>
              <w:t>Princess Margaret Hospital</w:t>
            </w:r>
          </w:p>
        </w:tc>
        <w:tc>
          <w:tcPr>
            <w:tcW w:w="532" w:type="dxa"/>
            <w:tcBorders>
              <w:top w:val="nil"/>
              <w:left w:val="single" w:sz="4" w:space="0" w:color="4F81BD"/>
              <w:bottom w:val="single" w:sz="4" w:space="0" w:color="4F81BD"/>
              <w:right w:val="single" w:sz="4" w:space="0" w:color="4F81BD"/>
            </w:tcBorders>
            <w:shd w:val="clear" w:color="000000" w:fill="DCE6F1"/>
            <w:noWrap/>
            <w:vAlign w:val="center"/>
            <w:hideMark/>
          </w:tcPr>
          <w:p w:rsidR="00765D3E" w:rsidRPr="00CD1518" w:rsidRDefault="00765D3E">
            <w:pPr>
              <w:spacing w:line="240" w:lineRule="auto"/>
              <w:jc w:val="center"/>
              <w:rPr>
                <w:sz w:val="12"/>
                <w:szCs w:val="12"/>
                <w:lang w:eastAsia="en-AU"/>
              </w:rPr>
            </w:pPr>
            <w:r w:rsidRPr="00CD1518">
              <w:rPr>
                <w:sz w:val="12"/>
                <w:szCs w:val="12"/>
                <w:lang w:eastAsia="en-AU"/>
              </w:rPr>
              <w:t>WA</w:t>
            </w:r>
          </w:p>
        </w:tc>
        <w:tc>
          <w:tcPr>
            <w:tcW w:w="803" w:type="dxa"/>
            <w:tcBorders>
              <w:top w:val="nil"/>
              <w:left w:val="nil"/>
              <w:bottom w:val="single" w:sz="4" w:space="0" w:color="4F81BD"/>
              <w:right w:val="single" w:sz="4" w:space="0" w:color="4F81BD"/>
            </w:tcBorders>
            <w:shd w:val="clear" w:color="000000" w:fill="DCE6F1"/>
            <w:noWrap/>
            <w:vAlign w:val="center"/>
            <w:hideMark/>
          </w:tcPr>
          <w:p w:rsidR="00765D3E" w:rsidRPr="00CD1518" w:rsidRDefault="00765D3E" w:rsidP="00CD1518">
            <w:pPr>
              <w:spacing w:line="240" w:lineRule="auto"/>
              <w:jc w:val="right"/>
              <w:rPr>
                <w:sz w:val="12"/>
                <w:szCs w:val="12"/>
                <w:lang w:eastAsia="en-AU"/>
              </w:rPr>
            </w:pPr>
            <w:r w:rsidRPr="00CD1518">
              <w:rPr>
                <w:sz w:val="12"/>
                <w:szCs w:val="12"/>
                <w:lang w:eastAsia="en-AU"/>
              </w:rPr>
              <w:t>236,972</w:t>
            </w:r>
          </w:p>
        </w:tc>
        <w:tc>
          <w:tcPr>
            <w:tcW w:w="612" w:type="dxa"/>
            <w:tcBorders>
              <w:top w:val="nil"/>
              <w:left w:val="nil"/>
              <w:bottom w:val="single" w:sz="4" w:space="0" w:color="4F81BD"/>
              <w:right w:val="single" w:sz="4" w:space="0" w:color="4F81BD"/>
            </w:tcBorders>
            <w:shd w:val="clear" w:color="000000" w:fill="DCE6F1"/>
            <w:noWrap/>
            <w:vAlign w:val="center"/>
            <w:hideMark/>
          </w:tcPr>
          <w:p w:rsidR="00765D3E" w:rsidRPr="00CD1518" w:rsidRDefault="00765D3E" w:rsidP="00CD1518">
            <w:pPr>
              <w:spacing w:line="240" w:lineRule="auto"/>
              <w:jc w:val="right"/>
              <w:rPr>
                <w:sz w:val="12"/>
                <w:szCs w:val="12"/>
                <w:lang w:eastAsia="en-AU"/>
              </w:rPr>
            </w:pPr>
            <w:r w:rsidRPr="00CD1518">
              <w:rPr>
                <w:sz w:val="12"/>
                <w:szCs w:val="12"/>
                <w:lang w:eastAsia="en-AU"/>
              </w:rPr>
              <w:t>(2)</w:t>
            </w:r>
          </w:p>
        </w:tc>
        <w:tc>
          <w:tcPr>
            <w:tcW w:w="756" w:type="dxa"/>
            <w:tcBorders>
              <w:top w:val="nil"/>
              <w:left w:val="nil"/>
              <w:bottom w:val="single" w:sz="4" w:space="0" w:color="4F81BD"/>
              <w:right w:val="nil"/>
            </w:tcBorders>
            <w:shd w:val="clear" w:color="000000" w:fill="DCE6F1"/>
            <w:noWrap/>
            <w:vAlign w:val="center"/>
            <w:hideMark/>
          </w:tcPr>
          <w:p w:rsidR="00765D3E" w:rsidRPr="00CD1518" w:rsidRDefault="00765D3E" w:rsidP="00CD1518">
            <w:pPr>
              <w:spacing w:line="240" w:lineRule="auto"/>
              <w:jc w:val="right"/>
              <w:rPr>
                <w:sz w:val="12"/>
                <w:szCs w:val="12"/>
                <w:lang w:eastAsia="en-AU"/>
              </w:rPr>
            </w:pPr>
            <w:r w:rsidRPr="00CD1518">
              <w:rPr>
                <w:sz w:val="12"/>
                <w:szCs w:val="12"/>
                <w:lang w:eastAsia="en-AU"/>
              </w:rPr>
              <w:t>12,407</w:t>
            </w:r>
          </w:p>
        </w:tc>
        <w:tc>
          <w:tcPr>
            <w:tcW w:w="750" w:type="dxa"/>
            <w:tcBorders>
              <w:top w:val="nil"/>
              <w:left w:val="single" w:sz="4" w:space="0" w:color="4F81BD"/>
              <w:bottom w:val="single" w:sz="4" w:space="0" w:color="4F81BD"/>
              <w:right w:val="single" w:sz="4" w:space="0" w:color="4F81BD"/>
            </w:tcBorders>
            <w:shd w:val="clear" w:color="auto" w:fill="DBE5F1" w:themeFill="accent1" w:themeFillTint="33"/>
            <w:noWrap/>
            <w:vAlign w:val="center"/>
            <w:hideMark/>
          </w:tcPr>
          <w:p w:rsidR="00765D3E" w:rsidRPr="00CD1518" w:rsidRDefault="00765D3E" w:rsidP="00CD1518">
            <w:pPr>
              <w:spacing w:line="240" w:lineRule="auto"/>
              <w:jc w:val="right"/>
              <w:rPr>
                <w:sz w:val="12"/>
                <w:szCs w:val="12"/>
                <w:lang w:eastAsia="en-AU"/>
              </w:rPr>
            </w:pPr>
            <w:r w:rsidRPr="00CD1518">
              <w:rPr>
                <w:sz w:val="12"/>
                <w:szCs w:val="12"/>
                <w:lang w:eastAsia="en-AU"/>
              </w:rPr>
              <w:t>249,377</w:t>
            </w:r>
          </w:p>
        </w:tc>
        <w:tc>
          <w:tcPr>
            <w:tcW w:w="1050" w:type="dxa"/>
            <w:tcBorders>
              <w:top w:val="nil"/>
              <w:left w:val="nil"/>
              <w:bottom w:val="single" w:sz="4" w:space="0" w:color="4F81BD"/>
              <w:right w:val="single" w:sz="4" w:space="0" w:color="4F81BD"/>
            </w:tcBorders>
            <w:shd w:val="clear" w:color="000000" w:fill="DCE6F1"/>
            <w:noWrap/>
            <w:vAlign w:val="center"/>
            <w:hideMark/>
          </w:tcPr>
          <w:p w:rsidR="00765D3E" w:rsidRPr="00CD1518" w:rsidRDefault="00765D3E" w:rsidP="00CD1518">
            <w:pPr>
              <w:spacing w:line="240" w:lineRule="auto"/>
              <w:jc w:val="right"/>
              <w:rPr>
                <w:sz w:val="12"/>
                <w:szCs w:val="12"/>
                <w:lang w:eastAsia="en-AU"/>
              </w:rPr>
            </w:pPr>
            <w:r w:rsidRPr="00CD1518">
              <w:rPr>
                <w:sz w:val="12"/>
                <w:szCs w:val="12"/>
                <w:lang w:eastAsia="en-AU"/>
              </w:rPr>
              <w:t xml:space="preserve">$316,203,634 </w:t>
            </w:r>
          </w:p>
        </w:tc>
        <w:tc>
          <w:tcPr>
            <w:tcW w:w="717" w:type="dxa"/>
            <w:tcBorders>
              <w:top w:val="nil"/>
              <w:left w:val="nil"/>
              <w:bottom w:val="single" w:sz="4" w:space="0" w:color="4F81BD"/>
              <w:right w:val="nil"/>
            </w:tcBorders>
            <w:shd w:val="clear" w:color="000000" w:fill="DCE6F1"/>
            <w:noWrap/>
            <w:vAlign w:val="center"/>
            <w:hideMark/>
          </w:tcPr>
          <w:p w:rsidR="00765D3E" w:rsidRPr="00CD1518" w:rsidRDefault="00765D3E" w:rsidP="00CD1518">
            <w:pPr>
              <w:spacing w:line="240" w:lineRule="auto"/>
              <w:jc w:val="right"/>
              <w:rPr>
                <w:color w:val="000000"/>
                <w:sz w:val="12"/>
                <w:szCs w:val="12"/>
                <w:lang w:eastAsia="en-AU"/>
              </w:rPr>
            </w:pPr>
            <w:r w:rsidRPr="00CD1518">
              <w:rPr>
                <w:color w:val="000000"/>
                <w:sz w:val="12"/>
                <w:szCs w:val="12"/>
                <w:lang w:eastAsia="en-AU"/>
              </w:rPr>
              <w:t>$</w:t>
            </w:r>
            <w:r>
              <w:rPr>
                <w:color w:val="000000"/>
                <w:sz w:val="12"/>
                <w:szCs w:val="12"/>
                <w:lang w:eastAsia="en-AU"/>
              </w:rPr>
              <w:t>(1</w:t>
            </w:r>
            <w:r w:rsidRPr="00CD1518">
              <w:rPr>
                <w:color w:val="000000"/>
                <w:sz w:val="12"/>
                <w:szCs w:val="12"/>
                <w:lang w:eastAsia="en-AU"/>
              </w:rPr>
              <w:t>1,552</w:t>
            </w:r>
            <w:r>
              <w:rPr>
                <w:color w:val="000000"/>
                <w:sz w:val="12"/>
                <w:szCs w:val="12"/>
                <w:lang w:eastAsia="en-AU"/>
              </w:rPr>
              <w:t>)</w:t>
            </w:r>
            <w:r w:rsidRPr="00CD1518">
              <w:rPr>
                <w:color w:val="000000"/>
                <w:sz w:val="12"/>
                <w:szCs w:val="12"/>
                <w:lang w:eastAsia="en-AU"/>
              </w:rPr>
              <w:t xml:space="preserve"> </w:t>
            </w:r>
          </w:p>
        </w:tc>
        <w:tc>
          <w:tcPr>
            <w:tcW w:w="884" w:type="dxa"/>
            <w:tcBorders>
              <w:top w:val="nil"/>
              <w:left w:val="single" w:sz="4" w:space="0" w:color="4F81BD"/>
              <w:bottom w:val="single" w:sz="4" w:space="0" w:color="4F81BD"/>
              <w:right w:val="single" w:sz="4" w:space="0" w:color="4F81BD"/>
            </w:tcBorders>
            <w:shd w:val="clear" w:color="000000" w:fill="DCE6F1"/>
            <w:noWrap/>
            <w:vAlign w:val="center"/>
            <w:hideMark/>
          </w:tcPr>
          <w:p w:rsidR="00765D3E" w:rsidRPr="00CD1518" w:rsidRDefault="00765D3E" w:rsidP="00CD1518">
            <w:pPr>
              <w:spacing w:line="240" w:lineRule="auto"/>
              <w:jc w:val="right"/>
              <w:rPr>
                <w:sz w:val="12"/>
                <w:szCs w:val="12"/>
                <w:lang w:eastAsia="en-AU"/>
              </w:rPr>
            </w:pPr>
            <w:r w:rsidRPr="00CD1518">
              <w:rPr>
                <w:sz w:val="12"/>
                <w:szCs w:val="12"/>
                <w:lang w:eastAsia="en-AU"/>
              </w:rPr>
              <w:t xml:space="preserve">$10,174,798 </w:t>
            </w:r>
          </w:p>
        </w:tc>
        <w:tc>
          <w:tcPr>
            <w:tcW w:w="1069" w:type="dxa"/>
            <w:tcBorders>
              <w:top w:val="nil"/>
              <w:left w:val="nil"/>
              <w:bottom w:val="single" w:sz="4" w:space="0" w:color="4F81BD"/>
              <w:right w:val="single" w:sz="4" w:space="0" w:color="4F81BD"/>
            </w:tcBorders>
            <w:shd w:val="clear" w:color="auto" w:fill="DBE5F1" w:themeFill="accent1" w:themeFillTint="33"/>
            <w:noWrap/>
            <w:vAlign w:val="center"/>
            <w:hideMark/>
          </w:tcPr>
          <w:p w:rsidR="00765D3E" w:rsidRPr="00CD1518" w:rsidRDefault="00765D3E" w:rsidP="00CD1518">
            <w:pPr>
              <w:spacing w:line="240" w:lineRule="auto"/>
              <w:jc w:val="right"/>
              <w:rPr>
                <w:sz w:val="12"/>
                <w:szCs w:val="12"/>
                <w:lang w:eastAsia="en-AU"/>
              </w:rPr>
            </w:pPr>
            <w:r w:rsidRPr="00CD1518">
              <w:rPr>
                <w:sz w:val="12"/>
                <w:szCs w:val="12"/>
                <w:lang w:eastAsia="en-AU"/>
              </w:rPr>
              <w:t xml:space="preserve">$326,366,880 </w:t>
            </w:r>
          </w:p>
        </w:tc>
      </w:tr>
    </w:tbl>
    <w:p w:rsidR="00BA70A6" w:rsidRPr="00975E6B" w:rsidRDefault="00BA70A6" w:rsidP="00CD1518">
      <w:pPr>
        <w:rPr>
          <w:bCs/>
          <w:i/>
          <w:sz w:val="16"/>
          <w:szCs w:val="16"/>
        </w:rPr>
      </w:pPr>
      <w:r w:rsidRPr="00975E6B">
        <w:rPr>
          <w:bCs/>
          <w:i/>
          <w:sz w:val="16"/>
          <w:szCs w:val="16"/>
        </w:rPr>
        <w:t xml:space="preserve">Source: IHPA participating site reconciliation from the national </w:t>
      </w:r>
      <w:r w:rsidR="00C1540B" w:rsidRPr="00975E6B">
        <w:rPr>
          <w:bCs/>
          <w:i/>
          <w:sz w:val="16"/>
          <w:szCs w:val="16"/>
        </w:rPr>
        <w:t xml:space="preserve">NHCDC </w:t>
      </w:r>
      <w:r w:rsidRPr="00975E6B">
        <w:rPr>
          <w:bCs/>
          <w:i/>
          <w:sz w:val="16"/>
          <w:szCs w:val="16"/>
        </w:rPr>
        <w:t xml:space="preserve">dataset </w:t>
      </w:r>
    </w:p>
    <w:p w:rsidR="00BA70A6" w:rsidRPr="00975E6B" w:rsidRDefault="00BA70A6" w:rsidP="00BA70A6">
      <w:pPr>
        <w:pStyle w:val="BodyText"/>
      </w:pPr>
      <w:r w:rsidRPr="00975E6B">
        <w:t>The following</w:t>
      </w:r>
      <w:r w:rsidR="00B540AC">
        <w:t xml:space="preserve"> </w:t>
      </w:r>
      <w:r w:rsidRPr="00975E6B">
        <w:t xml:space="preserve">should be noted about the reconciliation in </w:t>
      </w:r>
      <w:r w:rsidRPr="00975E6B">
        <w:fldChar w:fldCharType="begin"/>
      </w:r>
      <w:r w:rsidRPr="00975E6B">
        <w:instrText xml:space="preserve"> REF _Ref433541446 \h </w:instrText>
      </w:r>
      <w:r w:rsidR="00975E6B">
        <w:instrText xml:space="preserve"> \* MERGEFORMAT </w:instrText>
      </w:r>
      <w:r w:rsidRPr="00975E6B">
        <w:fldChar w:fldCharType="separate"/>
      </w:r>
      <w:r w:rsidR="00154CF7" w:rsidRPr="00B540AC">
        <w:t xml:space="preserve">Table </w:t>
      </w:r>
      <w:r w:rsidR="00154CF7">
        <w:rPr>
          <w:noProof/>
        </w:rPr>
        <w:t>109</w:t>
      </w:r>
      <w:r w:rsidRPr="00975E6B">
        <w:fldChar w:fldCharType="end"/>
      </w:r>
      <w:r w:rsidRPr="00975E6B">
        <w:t>:</w:t>
      </w:r>
    </w:p>
    <w:p w:rsidR="00BA70A6" w:rsidRPr="00975E6B" w:rsidRDefault="00BA70A6" w:rsidP="00F26328">
      <w:pPr>
        <w:pStyle w:val="BodyText"/>
        <w:numPr>
          <w:ilvl w:val="0"/>
          <w:numId w:val="34"/>
        </w:numPr>
      </w:pPr>
      <w:r w:rsidRPr="00975E6B">
        <w:t xml:space="preserve">The activity adjustment for UQB separations will not ordinarily have an associated impact on cost. However, for Princess Margaret Hospital, the UQB adjustment is a complete removal </w:t>
      </w:r>
      <w:r w:rsidRPr="00975E6B">
        <w:lastRenderedPageBreak/>
        <w:t xml:space="preserve">rather than a reallocation due to the UQB separation linking to a prior year or future year mother separation. </w:t>
      </w:r>
    </w:p>
    <w:p w:rsidR="000B25DC" w:rsidRPr="00975E6B" w:rsidRDefault="00BA70A6" w:rsidP="00F26328">
      <w:pPr>
        <w:pStyle w:val="BodyText"/>
        <w:numPr>
          <w:ilvl w:val="0"/>
          <w:numId w:val="59"/>
        </w:numPr>
      </w:pPr>
      <w:r w:rsidRPr="00975E6B">
        <w:t>A minimal $6 variance was noted in the reconciliation between costs submitted by the jurisdiction and adjusted for UQB and admitted ED reallocations, and the total reported NHCDC costs for Round 18 for the sampled hospitals. This variance related to rounding differences.</w:t>
      </w:r>
    </w:p>
    <w:p w:rsidR="00C0775E" w:rsidRPr="00975E6B" w:rsidRDefault="00C0775E" w:rsidP="00D978FE">
      <w:pPr>
        <w:pStyle w:val="BodyText"/>
        <w:sectPr w:rsidR="00C0775E" w:rsidRPr="00975E6B" w:rsidSect="00C77C25">
          <w:endnotePr>
            <w:numFmt w:val="decimal"/>
          </w:endnotePr>
          <w:pgSz w:w="11907" w:h="16840" w:code="9"/>
          <w:pgMar w:top="1843" w:right="1474" w:bottom="1276" w:left="1474" w:header="958" w:footer="737" w:gutter="454"/>
          <w:cols w:space="720"/>
          <w:docGrid w:linePitch="272"/>
        </w:sectPr>
      </w:pPr>
    </w:p>
    <w:p w:rsidR="00115AB7" w:rsidRPr="00975E6B" w:rsidRDefault="00470EAC" w:rsidP="00691DD0">
      <w:pPr>
        <w:pStyle w:val="Heading1"/>
        <w:rPr>
          <w:rStyle w:val="Heading1Char"/>
          <w:b/>
          <w:color w:val="00338D"/>
          <w:szCs w:val="18"/>
        </w:rPr>
      </w:pPr>
      <w:bookmarkStart w:id="859" w:name="_Ref435454109"/>
      <w:bookmarkStart w:id="860" w:name="_Toc444523694"/>
      <w:r>
        <w:rPr>
          <w:rStyle w:val="Heading1Char"/>
          <w:b/>
          <w:color w:val="00338D"/>
          <w:szCs w:val="18"/>
        </w:rPr>
        <w:lastRenderedPageBreak/>
        <w:t xml:space="preserve">Appendix </w:t>
      </w:r>
      <w:proofErr w:type="gramStart"/>
      <w:r>
        <w:rPr>
          <w:rStyle w:val="Heading1Char"/>
          <w:b/>
          <w:color w:val="00338D"/>
          <w:szCs w:val="18"/>
        </w:rPr>
        <w:t xml:space="preserve">A </w:t>
      </w:r>
      <w:r w:rsidR="009C4CE0" w:rsidRPr="00975E6B">
        <w:rPr>
          <w:rStyle w:val="Heading1Char"/>
          <w:b/>
          <w:color w:val="00338D"/>
          <w:szCs w:val="18"/>
        </w:rPr>
        <w:t>The</w:t>
      </w:r>
      <w:proofErr w:type="gramEnd"/>
      <w:r w:rsidR="009C4CE0" w:rsidRPr="00975E6B">
        <w:rPr>
          <w:rStyle w:val="Heading1Char"/>
          <w:b/>
          <w:color w:val="00338D"/>
          <w:szCs w:val="18"/>
        </w:rPr>
        <w:t xml:space="preserve"> NHCDC and patient level costing</w:t>
      </w:r>
      <w:bookmarkEnd w:id="859"/>
      <w:bookmarkEnd w:id="860"/>
    </w:p>
    <w:p w:rsidR="00115AB7" w:rsidRPr="00975E6B" w:rsidRDefault="00691DD0" w:rsidP="00691DD0">
      <w:pPr>
        <w:pStyle w:val="Heading2"/>
      </w:pPr>
      <w:bookmarkStart w:id="861" w:name="_Toc444523695"/>
      <w:r>
        <w:t>A</w:t>
      </w:r>
      <w:r w:rsidR="004C085B">
        <w:t>1</w:t>
      </w:r>
      <w:r>
        <w:tab/>
      </w:r>
      <w:proofErr w:type="gramStart"/>
      <w:r w:rsidR="00115AB7" w:rsidRPr="00975E6B">
        <w:t>The</w:t>
      </w:r>
      <w:proofErr w:type="gramEnd"/>
      <w:r w:rsidR="00115AB7" w:rsidRPr="00975E6B">
        <w:t xml:space="preserve"> NHCDC</w:t>
      </w:r>
      <w:bookmarkEnd w:id="861"/>
      <w:r w:rsidR="00115AB7" w:rsidRPr="00975E6B">
        <w:t xml:space="preserve"> </w:t>
      </w:r>
    </w:p>
    <w:p w:rsidR="006A0668" w:rsidRPr="00975E6B" w:rsidRDefault="006A0668" w:rsidP="006A0668">
      <w:pPr>
        <w:pStyle w:val="BodyText"/>
      </w:pPr>
      <w:r w:rsidRPr="00975E6B">
        <w:t>The cost data submitted to the National Hospital Cost Data Collection (NHCDC) is at the patient level. That is, each admitted, emergency presentation, non-admitted service event and other patient group is submitted with a cost identifying the resources consumed over their stay, appointment or transaction with a hospital or health service.</w:t>
      </w:r>
    </w:p>
    <w:p w:rsidR="00115AB7" w:rsidRPr="00975E6B" w:rsidRDefault="006A0668" w:rsidP="00115AB7">
      <w:pPr>
        <w:pStyle w:val="BodyText"/>
      </w:pPr>
      <w:r w:rsidRPr="00975E6B">
        <w:t>Where possible, hospitals apply a cost methodology according to the Australian Hospital Patient Costing Standards (AHPCS). These standards provide a guide to costing for NHCDC purposes, as well as providing consistency in interpreting results. For example, they prescribe: the products in scope for costing; how to define and select a preferred methodology for deriving overhead and direct care costs; how to treat teaching, training and research costs; and how to reconcile to source data.</w:t>
      </w:r>
    </w:p>
    <w:p w:rsidR="00115AB7" w:rsidRPr="00975E6B" w:rsidRDefault="004C085B" w:rsidP="00691DD0">
      <w:pPr>
        <w:pStyle w:val="Heading2"/>
      </w:pPr>
      <w:bookmarkStart w:id="862" w:name="_Toc444523696"/>
      <w:r>
        <w:t>A2</w:t>
      </w:r>
      <w:r w:rsidR="00691DD0">
        <w:tab/>
      </w:r>
      <w:r w:rsidR="00115AB7" w:rsidRPr="00975E6B">
        <w:t>Patient level costing process</w:t>
      </w:r>
      <w:bookmarkEnd w:id="862"/>
    </w:p>
    <w:p w:rsidR="00115AB7" w:rsidRPr="00975E6B" w:rsidRDefault="00115AB7" w:rsidP="00115AB7">
      <w:pPr>
        <w:pStyle w:val="BodyText"/>
      </w:pPr>
      <w:r w:rsidRPr="00975E6B">
        <w:t>Patient level costing is the process of determining the resource costs of health care products which are consumed by patients on their clinical journey. In the Australian hospital setting, patient level costing is undertaken across all ‘streams’ such as admitted (acute and subacute), emergency care, non-admitted, mental health and a range of other services at the patient level. Each stream has a series of products identifying its respective output.</w:t>
      </w:r>
    </w:p>
    <w:p w:rsidR="00115AB7" w:rsidRPr="00975E6B" w:rsidRDefault="00115AB7" w:rsidP="00E704E3">
      <w:pPr>
        <w:pStyle w:val="Heading3"/>
      </w:pPr>
      <w:r w:rsidRPr="00691DD0">
        <w:t>Input</w:t>
      </w:r>
      <w:r w:rsidRPr="00975E6B">
        <w:t xml:space="preserve"> data</w:t>
      </w:r>
    </w:p>
    <w:p w:rsidR="00115AB7" w:rsidRPr="00975E6B" w:rsidRDefault="00115AB7" w:rsidP="00115AB7">
      <w:pPr>
        <w:pStyle w:val="BodyText"/>
      </w:pPr>
      <w:r w:rsidRPr="00975E6B">
        <w:t xml:space="preserve">The patient level costing process requires source data across a large range of hospital systems to enable the creation of intermediate products and total patient costs. There are two main input components: </w:t>
      </w:r>
    </w:p>
    <w:p w:rsidR="00115AB7" w:rsidRPr="00975E6B" w:rsidRDefault="00115AB7" w:rsidP="00E704E3">
      <w:pPr>
        <w:pStyle w:val="Heading3"/>
      </w:pPr>
      <w:r w:rsidRPr="00975E6B">
        <w:t>The General Ledger</w:t>
      </w:r>
    </w:p>
    <w:p w:rsidR="00115AB7" w:rsidRPr="00975E6B" w:rsidRDefault="00115AB7" w:rsidP="00115AB7">
      <w:pPr>
        <w:pStyle w:val="BodyText"/>
      </w:pPr>
      <w:r w:rsidRPr="00975E6B">
        <w:t>The general ledger (GL) is used by the hospital to record the level of expenditure by its own departments over a fiscal period, such as a financial year, or a quarter (if undertaking quarterly costing).</w:t>
      </w:r>
    </w:p>
    <w:p w:rsidR="00115AB7" w:rsidRPr="00975E6B" w:rsidRDefault="00115AB7" w:rsidP="00E704E3">
      <w:pPr>
        <w:pStyle w:val="Heading3"/>
      </w:pPr>
      <w:r w:rsidRPr="00975E6B">
        <w:t xml:space="preserve">Activity and Feeder data </w:t>
      </w:r>
    </w:p>
    <w:p w:rsidR="00115AB7" w:rsidRPr="00975E6B" w:rsidRDefault="00115AB7" w:rsidP="00115AB7">
      <w:pPr>
        <w:pStyle w:val="BodyText"/>
      </w:pPr>
      <w:r w:rsidRPr="00975E6B">
        <w:t xml:space="preserve">Activity data is used by the hospital to register the type of patient accessing services from their facility (such as admitted patients or emergency department administration systems and non-admitted registration or booking systems). </w:t>
      </w:r>
    </w:p>
    <w:p w:rsidR="00115AB7" w:rsidRPr="00975E6B" w:rsidRDefault="00115AB7" w:rsidP="00115AB7">
      <w:pPr>
        <w:pStyle w:val="BodyText"/>
      </w:pPr>
      <w:r w:rsidRPr="00975E6B">
        <w:t xml:space="preserve">Feeder data describes the type of service offered to the patient. Examples include: minutes on a ward; minutes in the operating room; minutes the surgical team are in the operating room; or the type and quantity of a drug test, imaging or pathology test. This data is extracted from standalone hospital departmental systems (such as the operating room, pathology and imaging). </w:t>
      </w:r>
    </w:p>
    <w:p w:rsidR="00E704E3" w:rsidRDefault="00E704E3">
      <w:pPr>
        <w:spacing w:line="240" w:lineRule="auto"/>
        <w:rPr>
          <w:b/>
          <w:bCs/>
          <w:color w:val="1F497D" w:themeColor="text2"/>
          <w:sz w:val="28"/>
          <w:szCs w:val="24"/>
        </w:rPr>
      </w:pPr>
      <w:r>
        <w:br w:type="page"/>
      </w:r>
    </w:p>
    <w:p w:rsidR="00115AB7" w:rsidRPr="00975E6B" w:rsidRDefault="004C085B" w:rsidP="00E704E3">
      <w:pPr>
        <w:pStyle w:val="Heading2"/>
      </w:pPr>
      <w:bookmarkStart w:id="863" w:name="_Toc444523697"/>
      <w:r>
        <w:lastRenderedPageBreak/>
        <w:t>A3</w:t>
      </w:r>
      <w:r w:rsidR="00423AB5">
        <w:tab/>
      </w:r>
      <w:r w:rsidR="00115AB7" w:rsidRPr="00975E6B">
        <w:t xml:space="preserve">The </w:t>
      </w:r>
      <w:r w:rsidR="00115AB7" w:rsidRPr="00691DD0">
        <w:t>costing</w:t>
      </w:r>
      <w:r w:rsidR="00115AB7" w:rsidRPr="00975E6B">
        <w:t xml:space="preserve"> process</w:t>
      </w:r>
      <w:bookmarkEnd w:id="863"/>
    </w:p>
    <w:p w:rsidR="00115AB7" w:rsidRPr="00975E6B" w:rsidRDefault="00115AB7" w:rsidP="00115AB7">
      <w:pPr>
        <w:pStyle w:val="BodyText"/>
      </w:pPr>
      <w:r w:rsidRPr="00975E6B">
        <w:t>The costing process generally takes the following steps:</w:t>
      </w:r>
    </w:p>
    <w:p w:rsidR="00115AB7" w:rsidRPr="00975E6B" w:rsidRDefault="00115AB7" w:rsidP="00E704E3">
      <w:pPr>
        <w:pStyle w:val="Heading3"/>
      </w:pPr>
      <w:r w:rsidRPr="00975E6B">
        <w:t>Step 1: Extraction of expenditure data and its alignment to hospital areas or departments</w:t>
      </w:r>
    </w:p>
    <w:p w:rsidR="00115AB7" w:rsidRPr="00975E6B" w:rsidRDefault="00115AB7" w:rsidP="00115AB7">
      <w:pPr>
        <w:pStyle w:val="BodyText"/>
      </w:pPr>
      <w:r w:rsidRPr="00975E6B">
        <w:t>During this process, costing staff examine the cost centres and the account codes within the GL and map them to the appropriate NHCDC cost centre line items. Costing staff will also define what areas are in scope to cost and determine if any offsets or expenditure transfers across cost centres are required.</w:t>
      </w:r>
    </w:p>
    <w:p w:rsidR="00115AB7" w:rsidRPr="00975E6B" w:rsidRDefault="00115AB7" w:rsidP="00115AB7">
      <w:pPr>
        <w:pStyle w:val="BodyText"/>
      </w:pPr>
      <w:r w:rsidRPr="00975E6B">
        <w:t>Furthermore, costing staff will assess which cost areas should be deemed an overhead or a direct care cost, and assign the appropriate allocation statistic, activity or cost driver (see Step 3: Allocating costs to patients) to enable costing.</w:t>
      </w:r>
    </w:p>
    <w:p w:rsidR="00115AB7" w:rsidRPr="00975E6B" w:rsidRDefault="00115AB7" w:rsidP="00E704E3">
      <w:pPr>
        <w:pStyle w:val="Heading3"/>
      </w:pPr>
      <w:r w:rsidRPr="00975E6B">
        <w:t xml:space="preserve">Step 2: Extraction of activity </w:t>
      </w:r>
      <w:r w:rsidR="005D5688">
        <w:t>and feeder data</w:t>
      </w:r>
    </w:p>
    <w:p w:rsidR="00115AB7" w:rsidRPr="00975E6B" w:rsidRDefault="00115AB7" w:rsidP="00115AB7">
      <w:pPr>
        <w:pStyle w:val="BodyText"/>
      </w:pPr>
      <w:r w:rsidRPr="00975E6B">
        <w:t xml:space="preserve">This stage requires costing staff to identify the types of activity to be costed. Data is extracted from the Patient Administration Systems (PAS) for admitted patients, emergency administration systems for emergency department presentations, and non-admitted booking systems for non-admitted presentations (which would become service events). These datasets are reviewed (this review could be against reported activity to jurisdictions or to ensure there are no duplicate records which require merging) and loaded into the costing system. This data only specifies the level of activity undertaken and further data </w:t>
      </w:r>
      <w:r w:rsidR="00FF09D7">
        <w:t xml:space="preserve">(referred to as intermediate products) </w:t>
      </w:r>
      <w:r w:rsidRPr="00975E6B">
        <w:t>is required to attach the type of resources consumed by that activity.</w:t>
      </w:r>
    </w:p>
    <w:p w:rsidR="00115AB7" w:rsidRPr="00975E6B" w:rsidRDefault="00FF09D7" w:rsidP="00115AB7">
      <w:pPr>
        <w:pStyle w:val="BodyText"/>
      </w:pPr>
      <w:r>
        <w:t>T</w:t>
      </w:r>
      <w:r w:rsidR="00115AB7" w:rsidRPr="00975E6B">
        <w:t>his data (or what is described as feeder data) is obtained from departmental systems within hospitals or health services. It can include: ward data, such as the patient time in the ward; pathology and imaging data, such as the volume and type of tests (such as a full blood evaluation performed in pathology); operating suite data, such as the time a patient is in the operating room; and data reflecting the type of goods and services consumed in the theatre or pharmacy such as the type, quantity and unit, drug or purchase price. Central to these feeders is the episode number and date of service the resource was utilised, which is instrumental in linking these resources back to the relevant activity.</w:t>
      </w:r>
    </w:p>
    <w:p w:rsidR="00115AB7" w:rsidRPr="00975E6B" w:rsidRDefault="00115AB7" w:rsidP="00E704E3">
      <w:pPr>
        <w:pStyle w:val="Heading3"/>
      </w:pPr>
      <w:r w:rsidRPr="00975E6B">
        <w:t xml:space="preserve">Step 3: Allocating costs to patients </w:t>
      </w:r>
    </w:p>
    <w:p w:rsidR="00115AB7" w:rsidRPr="00975E6B" w:rsidRDefault="00115AB7" w:rsidP="00115AB7">
      <w:pPr>
        <w:pStyle w:val="BodyText"/>
      </w:pPr>
      <w:r w:rsidRPr="00975E6B">
        <w:t>This process maps the relevant expenditure data to the activity and feeder data where costs are derived for each resource (such as a pathology full blood evaluation). This is undertaken for each department.</w:t>
      </w:r>
    </w:p>
    <w:p w:rsidR="00115AB7" w:rsidRPr="00975E6B" w:rsidRDefault="00115AB7" w:rsidP="00115AB7">
      <w:pPr>
        <w:pStyle w:val="BodyText"/>
      </w:pPr>
      <w:r w:rsidRPr="00975E6B">
        <w:t>These costs incorporate both an overhead cost and a direct (or final care) cost. Overhead costs typically accumulate costs for services (e.g. payroll) that are provided to organisational units in the hospital rather than to producing end-products (e.g. patients)</w:t>
      </w:r>
      <w:r w:rsidRPr="00975E6B">
        <w:rPr>
          <w:rStyle w:val="FootnoteReference"/>
        </w:rPr>
        <w:footnoteReference w:id="17"/>
      </w:r>
      <w:r w:rsidRPr="00975E6B">
        <w:t>. The costing process redistribute</w:t>
      </w:r>
      <w:r w:rsidR="00FF09D7">
        <w:t>s</w:t>
      </w:r>
      <w:r w:rsidRPr="00975E6B">
        <w:t xml:space="preserve"> all overhead costs across the final cost centres according to the allocation </w:t>
      </w:r>
      <w:r w:rsidRPr="00975E6B">
        <w:lastRenderedPageBreak/>
        <w:t>methodology defined for each overhead such as floor space for cleaning or the number of medical records for Health Information Services</w:t>
      </w:r>
      <w:r w:rsidRPr="00975E6B">
        <w:rPr>
          <w:rStyle w:val="FootnoteReference"/>
        </w:rPr>
        <w:footnoteReference w:id="18"/>
      </w:r>
      <w:r w:rsidRPr="00975E6B">
        <w:t xml:space="preserve">. </w:t>
      </w:r>
    </w:p>
    <w:p w:rsidR="00115AB7" w:rsidRPr="00975E6B" w:rsidRDefault="00115AB7" w:rsidP="00115AB7">
      <w:pPr>
        <w:pStyle w:val="BodyText"/>
      </w:pPr>
      <w:r w:rsidRPr="00975E6B">
        <w:t>The direct care costs relate to services that directly relate to patient care. These costs are allocated to patients using the most relevant cost driver such as the number of tests or patient ward time.</w:t>
      </w:r>
      <w:r w:rsidRPr="00975E6B">
        <w:rPr>
          <w:rStyle w:val="FootnoteReference"/>
        </w:rPr>
        <w:footnoteReference w:id="19"/>
      </w:r>
      <w:r w:rsidRPr="00975E6B">
        <w:t xml:space="preserve"> </w:t>
      </w:r>
    </w:p>
    <w:p w:rsidR="00115AB7" w:rsidRPr="00975E6B" w:rsidRDefault="00115AB7" w:rsidP="008B40BB">
      <w:pPr>
        <w:pStyle w:val="BodyText0"/>
        <w:jc w:val="both"/>
      </w:pPr>
      <w:r w:rsidRPr="00975E6B">
        <w:rPr>
          <w:sz w:val="20"/>
          <w:szCs w:val="22"/>
        </w:rPr>
        <w:t>These resources are then attached to each patient activity using defined linking criteria. A date and time algorithm is used to attach each relevant episode number in each of the feeders. For example, for admitted patients each feeder is examined to find if there is a matching episode number in the feeder, then the date of service of the resource. If there is an episode number match and the date of service of the resource is between the admission and discharge date of the patient, then this resource is attached to the episode number (or patient). This process also occurs for emergency presentations and non-admitted episodes, with the matching criteria defined for each. Finally, a sum of the resources at each episode number will deliver a total patient cost.</w:t>
      </w:r>
    </w:p>
    <w:p w:rsidR="00115AB7" w:rsidRPr="00975E6B" w:rsidRDefault="00115AB7" w:rsidP="0011456D">
      <w:pPr>
        <w:pStyle w:val="Appendixheading"/>
        <w:rPr>
          <w:rStyle w:val="Heading1Char"/>
          <w:b/>
          <w:color w:val="00338D"/>
          <w:szCs w:val="18"/>
        </w:rPr>
        <w:sectPr w:rsidR="00115AB7" w:rsidRPr="00975E6B" w:rsidSect="00835E8A">
          <w:endnotePr>
            <w:numFmt w:val="decimal"/>
          </w:endnotePr>
          <w:pgSz w:w="11907" w:h="16840" w:code="9"/>
          <w:pgMar w:top="1964" w:right="1474" w:bottom="1588" w:left="1474" w:header="958" w:footer="737" w:gutter="454"/>
          <w:cols w:space="720"/>
          <w:docGrid w:linePitch="272"/>
        </w:sectPr>
      </w:pPr>
    </w:p>
    <w:p w:rsidR="00F36B11" w:rsidRPr="00975E6B" w:rsidRDefault="00470EAC" w:rsidP="00691DD0">
      <w:pPr>
        <w:pStyle w:val="Heading1"/>
        <w:rPr>
          <w:rStyle w:val="Heading1Char"/>
          <w:b/>
          <w:color w:val="00338D"/>
          <w:szCs w:val="18"/>
        </w:rPr>
      </w:pPr>
      <w:bookmarkStart w:id="864" w:name="_Ref435454128"/>
      <w:bookmarkStart w:id="865" w:name="_Toc444523698"/>
      <w:r>
        <w:rPr>
          <w:rStyle w:val="Heading1Char"/>
          <w:b/>
          <w:color w:val="00338D"/>
          <w:szCs w:val="18"/>
        </w:rPr>
        <w:lastRenderedPageBreak/>
        <w:t xml:space="preserve">Appendix B </w:t>
      </w:r>
      <w:r w:rsidR="00656AB3" w:rsidRPr="00975E6B">
        <w:rPr>
          <w:rStyle w:val="Heading1Char"/>
          <w:b/>
          <w:color w:val="00338D"/>
          <w:szCs w:val="18"/>
        </w:rPr>
        <w:t>Site visit attendees</w:t>
      </w:r>
      <w:bookmarkEnd w:id="864"/>
      <w:bookmarkEnd w:id="865"/>
    </w:p>
    <w:tbl>
      <w:tblPr>
        <w:tblStyle w:val="ListTable4-Accent13"/>
        <w:tblW w:w="5000" w:type="pct"/>
        <w:tblLayout w:type="fixed"/>
        <w:tblLook w:val="0620" w:firstRow="1" w:lastRow="0" w:firstColumn="0" w:lastColumn="0" w:noHBand="1" w:noVBand="1"/>
        <w:tblCaption w:val="Site visit attendees"/>
        <w:tblDescription w:val="This table lists the site visit attendees for each jurisdiction  The first column is the Jurisdiction, the second column is the IHPA representative, the third column is the jurisdictional and hospital/LHN representatives, the fourth column is the peer representative and the fifth column is the KPMG representatives."/>
      </w:tblPr>
      <w:tblGrid>
        <w:gridCol w:w="2449"/>
        <w:gridCol w:w="2765"/>
        <w:gridCol w:w="2764"/>
        <w:gridCol w:w="2764"/>
        <w:gridCol w:w="2764"/>
      </w:tblGrid>
      <w:tr w:rsidR="00FF0DFD" w:rsidRPr="00975E6B" w:rsidTr="00692004">
        <w:trPr>
          <w:cnfStyle w:val="100000000000" w:firstRow="1" w:lastRow="0" w:firstColumn="0" w:lastColumn="0" w:oddVBand="0" w:evenVBand="0" w:oddHBand="0" w:evenHBand="0" w:firstRowFirstColumn="0" w:firstRowLastColumn="0" w:lastRowFirstColumn="0" w:lastRowLastColumn="0"/>
          <w:tblHeader/>
        </w:trPr>
        <w:tc>
          <w:tcPr>
            <w:tcW w:w="906" w:type="pct"/>
            <w:tcBorders>
              <w:right w:val="single" w:sz="4" w:space="0" w:color="548DD4" w:themeColor="text2" w:themeTint="99"/>
            </w:tcBorders>
            <w:shd w:val="clear" w:color="auto" w:fill="002060"/>
            <w:noWrap/>
          </w:tcPr>
          <w:p w:rsidR="00FF0DFD" w:rsidRPr="00975E6B" w:rsidRDefault="00FF0DFD" w:rsidP="00AF6CC3">
            <w:r w:rsidRPr="00975E6B">
              <w:t>Jurisdiction</w:t>
            </w:r>
          </w:p>
        </w:tc>
        <w:tc>
          <w:tcPr>
            <w:tcW w:w="1023" w:type="pct"/>
            <w:tcBorders>
              <w:left w:val="single" w:sz="4" w:space="0" w:color="548DD4" w:themeColor="text2" w:themeTint="99"/>
            </w:tcBorders>
            <w:shd w:val="clear" w:color="auto" w:fill="002060"/>
          </w:tcPr>
          <w:p w:rsidR="00FF0DFD" w:rsidRPr="00975E6B" w:rsidRDefault="00FF0DFD" w:rsidP="00AF6CC3">
            <w:pPr>
              <w:rPr>
                <w:sz w:val="18"/>
              </w:rPr>
            </w:pPr>
            <w:r w:rsidRPr="00975E6B">
              <w:rPr>
                <w:sz w:val="18"/>
              </w:rPr>
              <w:t>IHPA Representative</w:t>
            </w:r>
          </w:p>
        </w:tc>
        <w:tc>
          <w:tcPr>
            <w:tcW w:w="1023" w:type="pct"/>
            <w:tcBorders>
              <w:left w:val="single" w:sz="4" w:space="0" w:color="548DD4" w:themeColor="text2" w:themeTint="99"/>
            </w:tcBorders>
            <w:shd w:val="clear" w:color="auto" w:fill="002060"/>
          </w:tcPr>
          <w:p w:rsidR="00FF0DFD" w:rsidRPr="00975E6B" w:rsidRDefault="00FF0DFD" w:rsidP="008C53D9">
            <w:pPr>
              <w:rPr>
                <w:sz w:val="18"/>
              </w:rPr>
            </w:pPr>
            <w:r w:rsidRPr="00975E6B">
              <w:rPr>
                <w:sz w:val="18"/>
              </w:rPr>
              <w:t xml:space="preserve">Jurisdictional and </w:t>
            </w:r>
            <w:r w:rsidR="00B55CAA" w:rsidRPr="00975E6B">
              <w:rPr>
                <w:sz w:val="18"/>
              </w:rPr>
              <w:t xml:space="preserve">hospital </w:t>
            </w:r>
            <w:r w:rsidRPr="00975E6B">
              <w:rPr>
                <w:sz w:val="18"/>
              </w:rPr>
              <w:t>/</w:t>
            </w:r>
            <w:r w:rsidR="00B55CAA" w:rsidRPr="00975E6B">
              <w:rPr>
                <w:sz w:val="18"/>
              </w:rPr>
              <w:t xml:space="preserve"> </w:t>
            </w:r>
            <w:r w:rsidRPr="00975E6B">
              <w:rPr>
                <w:sz w:val="18"/>
              </w:rPr>
              <w:t>LHN representatives</w:t>
            </w:r>
          </w:p>
        </w:tc>
        <w:tc>
          <w:tcPr>
            <w:tcW w:w="1023" w:type="pct"/>
            <w:tcBorders>
              <w:left w:val="single" w:sz="4" w:space="0" w:color="548DD4" w:themeColor="text2" w:themeTint="99"/>
            </w:tcBorders>
            <w:shd w:val="clear" w:color="auto" w:fill="002060"/>
          </w:tcPr>
          <w:p w:rsidR="00FF0DFD" w:rsidRPr="00975E6B" w:rsidRDefault="00FF0DFD" w:rsidP="00AF6CC3">
            <w:pPr>
              <w:rPr>
                <w:sz w:val="18"/>
              </w:rPr>
            </w:pPr>
            <w:r w:rsidRPr="00975E6B">
              <w:rPr>
                <w:sz w:val="18"/>
              </w:rPr>
              <w:t>Peer representative</w:t>
            </w:r>
          </w:p>
        </w:tc>
        <w:tc>
          <w:tcPr>
            <w:tcW w:w="1023" w:type="pct"/>
            <w:tcBorders>
              <w:left w:val="single" w:sz="4" w:space="0" w:color="548DD4" w:themeColor="text2" w:themeTint="99"/>
            </w:tcBorders>
            <w:shd w:val="clear" w:color="auto" w:fill="002060"/>
          </w:tcPr>
          <w:p w:rsidR="00FF0DFD" w:rsidRPr="00975E6B" w:rsidRDefault="00FF0DFD" w:rsidP="00AF6CC3">
            <w:r w:rsidRPr="00975E6B">
              <w:t>KPMG</w:t>
            </w:r>
          </w:p>
        </w:tc>
      </w:tr>
      <w:tr w:rsidR="00FF0DFD" w:rsidRPr="00975E6B" w:rsidTr="00BA3F4B">
        <w:tc>
          <w:tcPr>
            <w:tcW w:w="906" w:type="pct"/>
            <w:tcBorders>
              <w:right w:val="single" w:sz="4" w:space="0" w:color="548DD4" w:themeColor="text2" w:themeTint="99"/>
            </w:tcBorders>
            <w:noWrap/>
          </w:tcPr>
          <w:p w:rsidR="00FF0DFD" w:rsidRPr="00975E6B" w:rsidRDefault="00B55CAA" w:rsidP="00B55CAA">
            <w:r w:rsidRPr="00975E6B">
              <w:t>New South Wales</w:t>
            </w:r>
          </w:p>
        </w:tc>
        <w:tc>
          <w:tcPr>
            <w:tcW w:w="1023" w:type="pct"/>
            <w:tcBorders>
              <w:left w:val="single" w:sz="4" w:space="0" w:color="548DD4" w:themeColor="text2" w:themeTint="99"/>
            </w:tcBorders>
          </w:tcPr>
          <w:p w:rsidR="00FF0DFD" w:rsidRPr="00975E6B" w:rsidRDefault="00FF0DFD" w:rsidP="00AF6CC3">
            <w:r w:rsidRPr="00975E6B">
              <w:t>Cherry Olorenshaw</w:t>
            </w:r>
          </w:p>
          <w:p w:rsidR="00FF0DFD" w:rsidRPr="00975E6B" w:rsidRDefault="00FF0DFD" w:rsidP="00AF6CC3">
            <w:r w:rsidRPr="00975E6B">
              <w:t>Myles Cover</w:t>
            </w:r>
          </w:p>
        </w:tc>
        <w:tc>
          <w:tcPr>
            <w:tcW w:w="1023" w:type="pct"/>
            <w:tcBorders>
              <w:left w:val="single" w:sz="4" w:space="0" w:color="548DD4" w:themeColor="text2" w:themeTint="99"/>
            </w:tcBorders>
            <w:shd w:val="clear" w:color="auto" w:fill="auto"/>
          </w:tcPr>
          <w:p w:rsidR="00FF0DFD" w:rsidRPr="00975E6B" w:rsidRDefault="00FF0DFD" w:rsidP="00BA3F4B">
            <w:proofErr w:type="spellStart"/>
            <w:r w:rsidRPr="00975E6B">
              <w:t>Suellen</w:t>
            </w:r>
            <w:proofErr w:type="spellEnd"/>
            <w:r w:rsidRPr="00975E6B">
              <w:t xml:space="preserve"> Fletcher</w:t>
            </w:r>
          </w:p>
          <w:p w:rsidR="00FF0DFD" w:rsidRPr="00975E6B" w:rsidRDefault="00FF0DFD" w:rsidP="00BA3F4B">
            <w:r w:rsidRPr="00975E6B">
              <w:t xml:space="preserve">Andrew McDonnell </w:t>
            </w:r>
          </w:p>
          <w:p w:rsidR="006912DE" w:rsidRPr="00975E6B" w:rsidRDefault="00FF0DFD" w:rsidP="00BA3F4B">
            <w:r w:rsidRPr="00975E6B">
              <w:t xml:space="preserve">Nada Shepherd </w:t>
            </w:r>
          </w:p>
          <w:p w:rsidR="00FF0DFD" w:rsidRPr="00975E6B" w:rsidRDefault="00FF0DFD" w:rsidP="00BA3F4B">
            <w:r w:rsidRPr="00975E6B">
              <w:t xml:space="preserve">Louise </w:t>
            </w:r>
            <w:proofErr w:type="spellStart"/>
            <w:r w:rsidRPr="00975E6B">
              <w:t>Savrda</w:t>
            </w:r>
            <w:proofErr w:type="spellEnd"/>
          </w:p>
          <w:p w:rsidR="006912DE" w:rsidRPr="00975E6B" w:rsidRDefault="006912DE" w:rsidP="00BA3F4B">
            <w:r w:rsidRPr="00975E6B">
              <w:t>Andrew Grice</w:t>
            </w:r>
          </w:p>
          <w:p w:rsidR="006912DE" w:rsidRPr="00975E6B" w:rsidRDefault="006912DE" w:rsidP="00AF6CC3">
            <w:r w:rsidRPr="00975E6B">
              <w:t>Jennifer Killen</w:t>
            </w:r>
          </w:p>
          <w:p w:rsidR="006912DE" w:rsidRPr="00975E6B" w:rsidRDefault="006912DE" w:rsidP="00AF6CC3">
            <w:r w:rsidRPr="00975E6B">
              <w:t xml:space="preserve">David </w:t>
            </w:r>
            <w:proofErr w:type="spellStart"/>
            <w:r w:rsidRPr="00975E6B">
              <w:t>Wijaya</w:t>
            </w:r>
            <w:proofErr w:type="spellEnd"/>
          </w:p>
        </w:tc>
        <w:tc>
          <w:tcPr>
            <w:tcW w:w="1023" w:type="pct"/>
            <w:tcBorders>
              <w:left w:val="single" w:sz="4" w:space="0" w:color="548DD4" w:themeColor="text2" w:themeTint="99"/>
            </w:tcBorders>
          </w:tcPr>
          <w:p w:rsidR="00FF0DFD" w:rsidRPr="00975E6B" w:rsidRDefault="00FF0DFD" w:rsidP="00AF6CC3">
            <w:r w:rsidRPr="00975E6B">
              <w:t>Leslie Edgerton (</w:t>
            </w:r>
            <w:r w:rsidR="00CA6430" w:rsidRPr="00975E6B">
              <w:t>Queensland</w:t>
            </w:r>
            <w:r w:rsidRPr="00975E6B">
              <w:t>)</w:t>
            </w:r>
          </w:p>
          <w:p w:rsidR="00FF0DFD" w:rsidRPr="00975E6B" w:rsidRDefault="00FF0DFD" w:rsidP="00AF6CC3">
            <w:r w:rsidRPr="00975E6B">
              <w:t>Colin McCrow (</w:t>
            </w:r>
            <w:r w:rsidR="00CA6430" w:rsidRPr="00975E6B">
              <w:t>Queensland</w:t>
            </w:r>
            <w:r w:rsidRPr="00975E6B">
              <w:t>)</w:t>
            </w:r>
          </w:p>
        </w:tc>
        <w:tc>
          <w:tcPr>
            <w:tcW w:w="1023" w:type="pct"/>
            <w:tcBorders>
              <w:left w:val="single" w:sz="4" w:space="0" w:color="548DD4" w:themeColor="text2" w:themeTint="99"/>
            </w:tcBorders>
          </w:tcPr>
          <w:p w:rsidR="00FF0DFD" w:rsidRPr="00975E6B" w:rsidRDefault="00FF0DFD" w:rsidP="00AF6CC3">
            <w:r w:rsidRPr="00975E6B">
              <w:t>David Debono</w:t>
            </w:r>
          </w:p>
          <w:p w:rsidR="00FF0DFD" w:rsidRPr="00975E6B" w:rsidRDefault="00FF0DFD" w:rsidP="00AF6CC3">
            <w:r w:rsidRPr="00975E6B">
              <w:t>Matthew Wright</w:t>
            </w:r>
          </w:p>
        </w:tc>
      </w:tr>
      <w:tr w:rsidR="00FF0DFD" w:rsidRPr="00975E6B" w:rsidTr="00985223">
        <w:tc>
          <w:tcPr>
            <w:tcW w:w="906" w:type="pct"/>
            <w:tcBorders>
              <w:right w:val="single" w:sz="4" w:space="0" w:color="548DD4" w:themeColor="text2" w:themeTint="99"/>
            </w:tcBorders>
            <w:noWrap/>
          </w:tcPr>
          <w:p w:rsidR="00FF0DFD" w:rsidRPr="00975E6B" w:rsidRDefault="00FF0DFD" w:rsidP="00AF6CC3">
            <w:r w:rsidRPr="00975E6B">
              <w:t>NT</w:t>
            </w:r>
          </w:p>
        </w:tc>
        <w:tc>
          <w:tcPr>
            <w:tcW w:w="1023" w:type="pct"/>
            <w:tcBorders>
              <w:left w:val="single" w:sz="4" w:space="0" w:color="548DD4" w:themeColor="text2" w:themeTint="99"/>
            </w:tcBorders>
          </w:tcPr>
          <w:p w:rsidR="00FF0DFD" w:rsidRPr="00975E6B" w:rsidRDefault="00FF0DFD" w:rsidP="00AF6CC3">
            <w:r w:rsidRPr="00975E6B">
              <w:t>Myles Cover</w:t>
            </w:r>
          </w:p>
        </w:tc>
        <w:tc>
          <w:tcPr>
            <w:tcW w:w="1023" w:type="pct"/>
            <w:tcBorders>
              <w:left w:val="single" w:sz="4" w:space="0" w:color="548DD4" w:themeColor="text2" w:themeTint="99"/>
            </w:tcBorders>
          </w:tcPr>
          <w:p w:rsidR="00FF0DFD" w:rsidRPr="00975E6B" w:rsidRDefault="00FF0DFD" w:rsidP="00AF6CC3">
            <w:r w:rsidRPr="00975E6B">
              <w:t xml:space="preserve">Kirsty </w:t>
            </w:r>
            <w:proofErr w:type="spellStart"/>
            <w:r w:rsidRPr="00975E6B">
              <w:t>Annesley</w:t>
            </w:r>
            <w:proofErr w:type="spellEnd"/>
          </w:p>
          <w:p w:rsidR="00FF0DFD" w:rsidRPr="00975E6B" w:rsidRDefault="00FF0DFD" w:rsidP="00AF6CC3">
            <w:r w:rsidRPr="00975E6B">
              <w:t>Garth Barnett</w:t>
            </w:r>
          </w:p>
        </w:tc>
        <w:tc>
          <w:tcPr>
            <w:tcW w:w="1023" w:type="pct"/>
            <w:tcBorders>
              <w:left w:val="single" w:sz="4" w:space="0" w:color="548DD4" w:themeColor="text2" w:themeTint="99"/>
            </w:tcBorders>
          </w:tcPr>
          <w:p w:rsidR="00FF0DFD" w:rsidRPr="00975E6B" w:rsidRDefault="00FF0DFD" w:rsidP="00AF6CC3">
            <w:r w:rsidRPr="00975E6B">
              <w:t>Kevin Frost (W</w:t>
            </w:r>
            <w:r w:rsidR="00B55CAA" w:rsidRPr="00975E6B">
              <w:t xml:space="preserve">estern </w:t>
            </w:r>
            <w:r w:rsidRPr="00975E6B">
              <w:t>A</w:t>
            </w:r>
            <w:r w:rsidR="00B55CAA" w:rsidRPr="00975E6B">
              <w:t>ustralia</w:t>
            </w:r>
            <w:r w:rsidRPr="00975E6B">
              <w:t>)</w:t>
            </w:r>
          </w:p>
        </w:tc>
        <w:tc>
          <w:tcPr>
            <w:tcW w:w="1023" w:type="pct"/>
            <w:tcBorders>
              <w:left w:val="single" w:sz="4" w:space="0" w:color="548DD4" w:themeColor="text2" w:themeTint="99"/>
            </w:tcBorders>
          </w:tcPr>
          <w:p w:rsidR="00FF0DFD" w:rsidRPr="00975E6B" w:rsidRDefault="00FF0DFD" w:rsidP="00AF6CC3">
            <w:r w:rsidRPr="00975E6B">
              <w:t>John O’Connor</w:t>
            </w:r>
          </w:p>
          <w:p w:rsidR="00FF0DFD" w:rsidRPr="00975E6B" w:rsidRDefault="00FF0DFD" w:rsidP="00AF6CC3">
            <w:r w:rsidRPr="00975E6B">
              <w:t>Luigi Viscariello</w:t>
            </w:r>
          </w:p>
        </w:tc>
      </w:tr>
      <w:tr w:rsidR="00FF0DFD" w:rsidRPr="00975E6B" w:rsidTr="00985223">
        <w:tc>
          <w:tcPr>
            <w:tcW w:w="906" w:type="pct"/>
            <w:tcBorders>
              <w:right w:val="single" w:sz="4" w:space="0" w:color="548DD4" w:themeColor="text2" w:themeTint="99"/>
            </w:tcBorders>
            <w:noWrap/>
          </w:tcPr>
          <w:p w:rsidR="00FF0DFD" w:rsidRPr="00975E6B" w:rsidRDefault="00CA6430" w:rsidP="00AF6CC3">
            <w:r w:rsidRPr="00975E6B">
              <w:t>Queensland</w:t>
            </w:r>
          </w:p>
        </w:tc>
        <w:tc>
          <w:tcPr>
            <w:tcW w:w="1023" w:type="pct"/>
            <w:tcBorders>
              <w:left w:val="single" w:sz="4" w:space="0" w:color="548DD4" w:themeColor="text2" w:themeTint="99"/>
            </w:tcBorders>
          </w:tcPr>
          <w:p w:rsidR="00FF0DFD" w:rsidRPr="00975E6B" w:rsidRDefault="00FF0DFD" w:rsidP="00AF6CC3">
            <w:r w:rsidRPr="00975E6B">
              <w:t>Joanne Siviloglou</w:t>
            </w:r>
          </w:p>
        </w:tc>
        <w:tc>
          <w:tcPr>
            <w:tcW w:w="1023" w:type="pct"/>
            <w:tcBorders>
              <w:left w:val="single" w:sz="4" w:space="0" w:color="548DD4" w:themeColor="text2" w:themeTint="99"/>
            </w:tcBorders>
          </w:tcPr>
          <w:p w:rsidR="00FF0DFD" w:rsidRPr="00975E6B" w:rsidRDefault="00FF0DFD" w:rsidP="00AF6CC3">
            <w:r w:rsidRPr="00975E6B">
              <w:t>Colin McCrow</w:t>
            </w:r>
          </w:p>
          <w:p w:rsidR="00FF0DFD" w:rsidRPr="00975E6B" w:rsidRDefault="00FF0DFD" w:rsidP="00AF6CC3">
            <w:r w:rsidRPr="00975E6B">
              <w:t>Leslie Edgerton</w:t>
            </w:r>
          </w:p>
          <w:p w:rsidR="00FF0DFD" w:rsidRPr="00975E6B" w:rsidRDefault="00FF0DFD" w:rsidP="00AF6CC3">
            <w:r w:rsidRPr="00975E6B">
              <w:t>Dominic Flynn</w:t>
            </w:r>
          </w:p>
          <w:p w:rsidR="00FF0DFD" w:rsidRPr="00975E6B" w:rsidRDefault="00FF0DFD" w:rsidP="00AF6CC3">
            <w:r w:rsidRPr="00975E6B">
              <w:t xml:space="preserve">Sharyn Wilson </w:t>
            </w:r>
          </w:p>
          <w:p w:rsidR="00E25ECF" w:rsidRPr="00975E6B" w:rsidRDefault="00E25ECF" w:rsidP="00AF6CC3">
            <w:r w:rsidRPr="00975E6B">
              <w:t xml:space="preserve">Lynette Gill </w:t>
            </w:r>
          </w:p>
          <w:p w:rsidR="00E25ECF" w:rsidRPr="00975E6B" w:rsidRDefault="00E25ECF" w:rsidP="00AF6CC3">
            <w:r w:rsidRPr="00975E6B">
              <w:t xml:space="preserve">Roslyn </w:t>
            </w:r>
            <w:proofErr w:type="spellStart"/>
            <w:r w:rsidRPr="00975E6B">
              <w:t>Coupland</w:t>
            </w:r>
            <w:proofErr w:type="spellEnd"/>
          </w:p>
          <w:p w:rsidR="00E25ECF" w:rsidRPr="00975E6B" w:rsidRDefault="00E25ECF" w:rsidP="00AF6CC3">
            <w:r w:rsidRPr="00975E6B">
              <w:t>Debbie Wenzel</w:t>
            </w:r>
          </w:p>
          <w:p w:rsidR="00E25ECF" w:rsidRPr="00975E6B" w:rsidRDefault="00E25ECF" w:rsidP="00AF6CC3">
            <w:r w:rsidRPr="00975E6B">
              <w:t>Michelle Rasmussen</w:t>
            </w:r>
          </w:p>
          <w:p w:rsidR="00FF0DFD" w:rsidRPr="00975E6B" w:rsidRDefault="00FF0DFD" w:rsidP="00AF6CC3">
            <w:r w:rsidRPr="00975E6B">
              <w:t>Kath</w:t>
            </w:r>
            <w:r w:rsidR="00E25ECF" w:rsidRPr="00975E6B">
              <w:t>leen</w:t>
            </w:r>
            <w:r w:rsidRPr="00975E6B">
              <w:t xml:space="preserve"> Mclean </w:t>
            </w:r>
          </w:p>
          <w:p w:rsidR="00FF0DFD" w:rsidRPr="00975E6B" w:rsidRDefault="00FF0DFD" w:rsidP="00AF6CC3">
            <w:proofErr w:type="spellStart"/>
            <w:r w:rsidRPr="00975E6B">
              <w:t>Delma</w:t>
            </w:r>
            <w:proofErr w:type="spellEnd"/>
            <w:r w:rsidRPr="00975E6B">
              <w:t xml:space="preserve"> </w:t>
            </w:r>
            <w:proofErr w:type="spellStart"/>
            <w:r w:rsidRPr="00975E6B">
              <w:t>Sellars</w:t>
            </w:r>
            <w:proofErr w:type="spellEnd"/>
            <w:r w:rsidRPr="00975E6B">
              <w:t xml:space="preserve"> </w:t>
            </w:r>
          </w:p>
          <w:p w:rsidR="00E25ECF" w:rsidRPr="00975E6B" w:rsidRDefault="00E25ECF" w:rsidP="00AF6CC3">
            <w:proofErr w:type="spellStart"/>
            <w:r w:rsidRPr="00975E6B">
              <w:t>Kayleen</w:t>
            </w:r>
            <w:proofErr w:type="spellEnd"/>
            <w:r w:rsidRPr="00975E6B">
              <w:t xml:space="preserve"> Go </w:t>
            </w:r>
          </w:p>
          <w:p w:rsidR="00E25ECF" w:rsidRPr="00975E6B" w:rsidRDefault="00E25ECF" w:rsidP="00AF6CC3">
            <w:r w:rsidRPr="00975E6B">
              <w:t xml:space="preserve">Abdullah </w:t>
            </w:r>
            <w:proofErr w:type="spellStart"/>
            <w:r w:rsidRPr="00975E6B">
              <w:t>Soufan</w:t>
            </w:r>
            <w:proofErr w:type="spellEnd"/>
            <w:r w:rsidRPr="00975E6B">
              <w:t xml:space="preserve"> </w:t>
            </w:r>
          </w:p>
          <w:p w:rsidR="00FF0DFD" w:rsidRPr="00975E6B" w:rsidRDefault="00FF0DFD" w:rsidP="00AF6CC3">
            <w:proofErr w:type="spellStart"/>
            <w:r w:rsidRPr="00975E6B">
              <w:t>Marney</w:t>
            </w:r>
            <w:proofErr w:type="spellEnd"/>
            <w:r w:rsidRPr="00975E6B">
              <w:t xml:space="preserve"> O’She</w:t>
            </w:r>
            <w:r w:rsidR="00E25ECF" w:rsidRPr="00975E6B">
              <w:t>a</w:t>
            </w:r>
          </w:p>
          <w:p w:rsidR="00FF0DFD" w:rsidRPr="00975E6B" w:rsidRDefault="00FF0DFD" w:rsidP="00AF6CC3">
            <w:r w:rsidRPr="00975E6B">
              <w:t xml:space="preserve">Steve Robinson </w:t>
            </w:r>
          </w:p>
        </w:tc>
        <w:tc>
          <w:tcPr>
            <w:tcW w:w="1023" w:type="pct"/>
            <w:tcBorders>
              <w:left w:val="single" w:sz="4" w:space="0" w:color="548DD4" w:themeColor="text2" w:themeTint="99"/>
            </w:tcBorders>
          </w:tcPr>
          <w:p w:rsidR="00FF0DFD" w:rsidRPr="00975E6B" w:rsidRDefault="00FF0DFD" w:rsidP="00AF6CC3">
            <w:r w:rsidRPr="00975E6B">
              <w:t>Ian Jordan (</w:t>
            </w:r>
            <w:r w:rsidR="00CA6430" w:rsidRPr="00975E6B">
              <w:t>Tasmania</w:t>
            </w:r>
            <w:r w:rsidRPr="00975E6B">
              <w:t>)</w:t>
            </w:r>
          </w:p>
        </w:tc>
        <w:tc>
          <w:tcPr>
            <w:tcW w:w="1023" w:type="pct"/>
            <w:tcBorders>
              <w:left w:val="single" w:sz="4" w:space="0" w:color="548DD4" w:themeColor="text2" w:themeTint="99"/>
            </w:tcBorders>
          </w:tcPr>
          <w:p w:rsidR="00FF0DFD" w:rsidRPr="00975E6B" w:rsidRDefault="00FF0DFD" w:rsidP="00AF6CC3">
            <w:r w:rsidRPr="00975E6B">
              <w:t>David Debono</w:t>
            </w:r>
          </w:p>
          <w:p w:rsidR="00FF0DFD" w:rsidRPr="00975E6B" w:rsidRDefault="00FF0DFD" w:rsidP="00AF6CC3">
            <w:r w:rsidRPr="00975E6B">
              <w:t>Lisa Strickland</w:t>
            </w:r>
          </w:p>
        </w:tc>
      </w:tr>
    </w:tbl>
    <w:p w:rsidR="00636A13" w:rsidRPr="00975E6B" w:rsidRDefault="00636A13"/>
    <w:p w:rsidR="00636A13" w:rsidRPr="00975E6B" w:rsidRDefault="00636A13">
      <w:r w:rsidRPr="00975E6B">
        <w:rPr>
          <w:b/>
          <w:bCs/>
        </w:rPr>
        <w:br w:type="page"/>
      </w:r>
    </w:p>
    <w:tbl>
      <w:tblPr>
        <w:tblStyle w:val="ListTable4-Accent13"/>
        <w:tblW w:w="5000" w:type="pct"/>
        <w:tblLayout w:type="fixed"/>
        <w:tblLook w:val="0620" w:firstRow="1" w:lastRow="0" w:firstColumn="0" w:lastColumn="0" w:noHBand="1" w:noVBand="1"/>
        <w:tblCaption w:val="Site visit attendees continued"/>
        <w:tblDescription w:val="This table lists the site visit attendees for each jurisdiction  The first column is the Jurisdiction, the second column is the IHPA representative, the third column is the jurisdictional and hospital/LHN representatives, the fourth column is the peer representative and the fifth column is the KPMG representatives."/>
      </w:tblPr>
      <w:tblGrid>
        <w:gridCol w:w="2449"/>
        <w:gridCol w:w="2765"/>
        <w:gridCol w:w="2764"/>
        <w:gridCol w:w="2764"/>
        <w:gridCol w:w="2764"/>
      </w:tblGrid>
      <w:tr w:rsidR="00636A13" w:rsidRPr="00975E6B" w:rsidTr="00692004">
        <w:trPr>
          <w:cnfStyle w:val="100000000000" w:firstRow="1" w:lastRow="0" w:firstColumn="0" w:lastColumn="0" w:oddVBand="0" w:evenVBand="0" w:oddHBand="0" w:evenHBand="0" w:firstRowFirstColumn="0" w:firstRowLastColumn="0" w:lastRowFirstColumn="0" w:lastRowLastColumn="0"/>
          <w:tblHeader/>
        </w:trPr>
        <w:tc>
          <w:tcPr>
            <w:tcW w:w="906" w:type="pct"/>
            <w:tcBorders>
              <w:right w:val="single" w:sz="4" w:space="0" w:color="548DD4" w:themeColor="text2" w:themeTint="99"/>
            </w:tcBorders>
            <w:shd w:val="clear" w:color="auto" w:fill="002060"/>
            <w:noWrap/>
          </w:tcPr>
          <w:p w:rsidR="00636A13" w:rsidRPr="00975E6B" w:rsidRDefault="00636A13" w:rsidP="00636A13">
            <w:r w:rsidRPr="00975E6B">
              <w:lastRenderedPageBreak/>
              <w:t>Jurisdiction</w:t>
            </w:r>
          </w:p>
        </w:tc>
        <w:tc>
          <w:tcPr>
            <w:tcW w:w="1023" w:type="pct"/>
            <w:tcBorders>
              <w:left w:val="single" w:sz="4" w:space="0" w:color="548DD4" w:themeColor="text2" w:themeTint="99"/>
            </w:tcBorders>
            <w:shd w:val="clear" w:color="auto" w:fill="002060"/>
          </w:tcPr>
          <w:p w:rsidR="00636A13" w:rsidRPr="00975E6B" w:rsidRDefault="00636A13" w:rsidP="00636A13">
            <w:r w:rsidRPr="00975E6B">
              <w:rPr>
                <w:sz w:val="18"/>
              </w:rPr>
              <w:t>IHPA Representative</w:t>
            </w:r>
          </w:p>
        </w:tc>
        <w:tc>
          <w:tcPr>
            <w:tcW w:w="1023" w:type="pct"/>
            <w:tcBorders>
              <w:left w:val="single" w:sz="4" w:space="0" w:color="548DD4" w:themeColor="text2" w:themeTint="99"/>
            </w:tcBorders>
            <w:shd w:val="clear" w:color="auto" w:fill="002060"/>
          </w:tcPr>
          <w:p w:rsidR="00636A13" w:rsidRPr="00975E6B" w:rsidRDefault="00636A13" w:rsidP="00636A13">
            <w:r w:rsidRPr="00975E6B">
              <w:rPr>
                <w:sz w:val="18"/>
              </w:rPr>
              <w:t>Jurisdictional and hospital</w:t>
            </w:r>
            <w:r w:rsidR="00B55CAA" w:rsidRPr="00975E6B">
              <w:rPr>
                <w:sz w:val="18"/>
              </w:rPr>
              <w:t xml:space="preserve"> </w:t>
            </w:r>
            <w:r w:rsidRPr="00975E6B">
              <w:rPr>
                <w:sz w:val="18"/>
              </w:rPr>
              <w:t>/</w:t>
            </w:r>
            <w:r w:rsidR="00B55CAA" w:rsidRPr="00975E6B">
              <w:rPr>
                <w:sz w:val="18"/>
              </w:rPr>
              <w:t xml:space="preserve"> </w:t>
            </w:r>
            <w:r w:rsidRPr="00975E6B">
              <w:rPr>
                <w:sz w:val="18"/>
              </w:rPr>
              <w:t>LHN representatives</w:t>
            </w:r>
          </w:p>
        </w:tc>
        <w:tc>
          <w:tcPr>
            <w:tcW w:w="1023" w:type="pct"/>
            <w:tcBorders>
              <w:left w:val="single" w:sz="4" w:space="0" w:color="548DD4" w:themeColor="text2" w:themeTint="99"/>
            </w:tcBorders>
            <w:shd w:val="clear" w:color="auto" w:fill="002060"/>
          </w:tcPr>
          <w:p w:rsidR="00636A13" w:rsidRPr="00975E6B" w:rsidRDefault="00636A13" w:rsidP="00636A13">
            <w:r w:rsidRPr="00975E6B">
              <w:rPr>
                <w:sz w:val="18"/>
              </w:rPr>
              <w:t>Peer representative</w:t>
            </w:r>
          </w:p>
        </w:tc>
        <w:tc>
          <w:tcPr>
            <w:tcW w:w="1023" w:type="pct"/>
            <w:tcBorders>
              <w:left w:val="single" w:sz="4" w:space="0" w:color="548DD4" w:themeColor="text2" w:themeTint="99"/>
            </w:tcBorders>
            <w:shd w:val="clear" w:color="auto" w:fill="002060"/>
          </w:tcPr>
          <w:p w:rsidR="00636A13" w:rsidRPr="00975E6B" w:rsidRDefault="00636A13" w:rsidP="00636A13">
            <w:r w:rsidRPr="00975E6B">
              <w:t>KPMG</w:t>
            </w:r>
          </w:p>
        </w:tc>
      </w:tr>
      <w:tr w:rsidR="00FF0DFD" w:rsidRPr="00975E6B" w:rsidTr="00985223">
        <w:tc>
          <w:tcPr>
            <w:tcW w:w="906" w:type="pct"/>
            <w:tcBorders>
              <w:right w:val="single" w:sz="4" w:space="0" w:color="548DD4" w:themeColor="text2" w:themeTint="99"/>
            </w:tcBorders>
            <w:noWrap/>
          </w:tcPr>
          <w:p w:rsidR="00FF0DFD" w:rsidRPr="00975E6B" w:rsidRDefault="00FF0DFD" w:rsidP="00AF6CC3">
            <w:r w:rsidRPr="00975E6B">
              <w:t>S</w:t>
            </w:r>
            <w:r w:rsidR="00B55CAA" w:rsidRPr="00975E6B">
              <w:t xml:space="preserve">outh </w:t>
            </w:r>
            <w:r w:rsidRPr="00975E6B">
              <w:t>A</w:t>
            </w:r>
            <w:r w:rsidR="00B55CAA" w:rsidRPr="00975E6B">
              <w:t>ustralia</w:t>
            </w:r>
          </w:p>
        </w:tc>
        <w:tc>
          <w:tcPr>
            <w:tcW w:w="1023" w:type="pct"/>
            <w:tcBorders>
              <w:left w:val="single" w:sz="4" w:space="0" w:color="548DD4" w:themeColor="text2" w:themeTint="99"/>
            </w:tcBorders>
          </w:tcPr>
          <w:p w:rsidR="00FF0DFD" w:rsidRPr="00975E6B" w:rsidRDefault="00FF0DFD" w:rsidP="00AF6CC3">
            <w:r w:rsidRPr="00975E6B">
              <w:t>Myles Cover</w:t>
            </w:r>
          </w:p>
        </w:tc>
        <w:tc>
          <w:tcPr>
            <w:tcW w:w="1023" w:type="pct"/>
            <w:tcBorders>
              <w:left w:val="single" w:sz="4" w:space="0" w:color="548DD4" w:themeColor="text2" w:themeTint="99"/>
            </w:tcBorders>
          </w:tcPr>
          <w:p w:rsidR="00FF0DFD" w:rsidRPr="00975E6B" w:rsidRDefault="00FF0DFD" w:rsidP="00AF6CC3">
            <w:r w:rsidRPr="00975E6B">
              <w:t>Phillip Battista</w:t>
            </w:r>
          </w:p>
          <w:p w:rsidR="00FF0DFD" w:rsidRPr="00975E6B" w:rsidRDefault="00FF0DFD" w:rsidP="00AF6CC3">
            <w:r w:rsidRPr="00975E6B">
              <w:t>Garry Wedlock</w:t>
            </w:r>
          </w:p>
          <w:p w:rsidR="00FF0DFD" w:rsidRPr="00975E6B" w:rsidRDefault="00FF0DFD" w:rsidP="00AF6CC3">
            <w:r w:rsidRPr="00975E6B">
              <w:t>Silvana Di Ciocco</w:t>
            </w:r>
          </w:p>
          <w:p w:rsidR="00FF0DFD" w:rsidRPr="00975E6B" w:rsidRDefault="00FF0DFD" w:rsidP="00AF6CC3">
            <w:r w:rsidRPr="00975E6B">
              <w:t xml:space="preserve">Chris </w:t>
            </w:r>
            <w:proofErr w:type="spellStart"/>
            <w:r w:rsidRPr="00975E6B">
              <w:t>Onderstal</w:t>
            </w:r>
            <w:proofErr w:type="spellEnd"/>
          </w:p>
          <w:p w:rsidR="00FF0DFD" w:rsidRPr="00975E6B" w:rsidRDefault="00FF0DFD" w:rsidP="00AF6CC3">
            <w:r w:rsidRPr="00975E6B">
              <w:t>Garth Barnett</w:t>
            </w:r>
          </w:p>
        </w:tc>
        <w:tc>
          <w:tcPr>
            <w:tcW w:w="1023" w:type="pct"/>
            <w:tcBorders>
              <w:left w:val="single" w:sz="4" w:space="0" w:color="548DD4" w:themeColor="text2" w:themeTint="99"/>
            </w:tcBorders>
          </w:tcPr>
          <w:p w:rsidR="00FF0DFD" w:rsidRPr="00975E6B" w:rsidRDefault="00FF0DFD" w:rsidP="00AF6CC3">
            <w:r w:rsidRPr="00975E6B">
              <w:t>Kevin Frost (WA)</w:t>
            </w:r>
          </w:p>
        </w:tc>
        <w:tc>
          <w:tcPr>
            <w:tcW w:w="1023" w:type="pct"/>
            <w:tcBorders>
              <w:left w:val="single" w:sz="4" w:space="0" w:color="548DD4" w:themeColor="text2" w:themeTint="99"/>
            </w:tcBorders>
          </w:tcPr>
          <w:p w:rsidR="00FF0DFD" w:rsidRPr="00975E6B" w:rsidRDefault="00FF0DFD" w:rsidP="00AF6CC3">
            <w:r w:rsidRPr="00975E6B">
              <w:t>John O’Connor</w:t>
            </w:r>
          </w:p>
          <w:p w:rsidR="00FF0DFD" w:rsidRPr="00975E6B" w:rsidRDefault="00FF0DFD" w:rsidP="00AF6CC3">
            <w:r w:rsidRPr="00975E6B">
              <w:t>Lisa Strickland</w:t>
            </w:r>
          </w:p>
        </w:tc>
      </w:tr>
      <w:tr w:rsidR="00FF0DFD" w:rsidRPr="00975E6B" w:rsidTr="00985223">
        <w:tc>
          <w:tcPr>
            <w:tcW w:w="906" w:type="pct"/>
            <w:tcBorders>
              <w:right w:val="single" w:sz="4" w:space="0" w:color="548DD4" w:themeColor="text2" w:themeTint="99"/>
            </w:tcBorders>
            <w:noWrap/>
          </w:tcPr>
          <w:p w:rsidR="00FF0DFD" w:rsidRPr="00975E6B" w:rsidRDefault="00CA6430" w:rsidP="00AF6CC3">
            <w:r w:rsidRPr="00975E6B">
              <w:t>Tasmania</w:t>
            </w:r>
          </w:p>
        </w:tc>
        <w:tc>
          <w:tcPr>
            <w:tcW w:w="1023" w:type="pct"/>
            <w:tcBorders>
              <w:left w:val="single" w:sz="4" w:space="0" w:color="548DD4" w:themeColor="text2" w:themeTint="99"/>
            </w:tcBorders>
          </w:tcPr>
          <w:p w:rsidR="00FF0DFD" w:rsidRPr="00975E6B" w:rsidRDefault="00FF0DFD" w:rsidP="00AF6CC3">
            <w:r w:rsidRPr="00975E6B">
              <w:t>Julia Hume</w:t>
            </w:r>
          </w:p>
        </w:tc>
        <w:tc>
          <w:tcPr>
            <w:tcW w:w="1023" w:type="pct"/>
            <w:tcBorders>
              <w:left w:val="single" w:sz="4" w:space="0" w:color="548DD4" w:themeColor="text2" w:themeTint="99"/>
            </w:tcBorders>
          </w:tcPr>
          <w:p w:rsidR="00FF0DFD" w:rsidRPr="00975E6B" w:rsidRDefault="00FF0DFD" w:rsidP="00AF6CC3">
            <w:r w:rsidRPr="00975E6B">
              <w:t>Kristian Murray</w:t>
            </w:r>
          </w:p>
          <w:p w:rsidR="00FF0DFD" w:rsidRPr="00975E6B" w:rsidRDefault="00FF0DFD" w:rsidP="00AF6CC3">
            <w:r w:rsidRPr="00975E6B">
              <w:t>Ian Jordan</w:t>
            </w:r>
          </w:p>
        </w:tc>
        <w:tc>
          <w:tcPr>
            <w:tcW w:w="1023" w:type="pct"/>
            <w:tcBorders>
              <w:left w:val="single" w:sz="4" w:space="0" w:color="548DD4" w:themeColor="text2" w:themeTint="99"/>
            </w:tcBorders>
          </w:tcPr>
          <w:p w:rsidR="00FF0DFD" w:rsidRPr="00975E6B" w:rsidRDefault="00636A13" w:rsidP="00AF6CC3">
            <w:r w:rsidRPr="00975E6B">
              <w:t>-</w:t>
            </w:r>
          </w:p>
        </w:tc>
        <w:tc>
          <w:tcPr>
            <w:tcW w:w="1023" w:type="pct"/>
            <w:tcBorders>
              <w:left w:val="single" w:sz="4" w:space="0" w:color="548DD4" w:themeColor="text2" w:themeTint="99"/>
            </w:tcBorders>
          </w:tcPr>
          <w:p w:rsidR="00FF0DFD" w:rsidRPr="00975E6B" w:rsidRDefault="00FF0DFD" w:rsidP="00AF6CC3">
            <w:r w:rsidRPr="00975E6B">
              <w:t>David Debono</w:t>
            </w:r>
          </w:p>
          <w:p w:rsidR="00FF0DFD" w:rsidRPr="00975E6B" w:rsidRDefault="00FF0DFD" w:rsidP="00AF6CC3">
            <w:r w:rsidRPr="00975E6B">
              <w:t>Luigi Viscariello</w:t>
            </w:r>
          </w:p>
        </w:tc>
      </w:tr>
      <w:tr w:rsidR="00FF0DFD" w:rsidRPr="00975E6B" w:rsidTr="00985223">
        <w:trPr>
          <w:trHeight w:val="285"/>
        </w:trPr>
        <w:tc>
          <w:tcPr>
            <w:tcW w:w="906" w:type="pct"/>
            <w:tcBorders>
              <w:right w:val="single" w:sz="4" w:space="0" w:color="548DD4" w:themeColor="text2" w:themeTint="99"/>
            </w:tcBorders>
            <w:noWrap/>
          </w:tcPr>
          <w:p w:rsidR="00FF0DFD" w:rsidRPr="00975E6B" w:rsidRDefault="00B64F77" w:rsidP="00AF6CC3">
            <w:r w:rsidRPr="00975E6B">
              <w:t>Victoria</w:t>
            </w:r>
          </w:p>
        </w:tc>
        <w:tc>
          <w:tcPr>
            <w:tcW w:w="1023" w:type="pct"/>
            <w:tcBorders>
              <w:left w:val="single" w:sz="4" w:space="0" w:color="548DD4" w:themeColor="text2" w:themeTint="99"/>
            </w:tcBorders>
          </w:tcPr>
          <w:p w:rsidR="00FF0DFD" w:rsidRPr="00975E6B" w:rsidRDefault="00FF0DFD" w:rsidP="00AF6CC3">
            <w:r w:rsidRPr="00975E6B">
              <w:t>Joanne Siviloglou</w:t>
            </w:r>
          </w:p>
        </w:tc>
        <w:tc>
          <w:tcPr>
            <w:tcW w:w="1023" w:type="pct"/>
            <w:tcBorders>
              <w:left w:val="single" w:sz="4" w:space="0" w:color="548DD4" w:themeColor="text2" w:themeTint="99"/>
            </w:tcBorders>
          </w:tcPr>
          <w:p w:rsidR="00FF0DFD" w:rsidRPr="00975E6B" w:rsidRDefault="00FF0DFD" w:rsidP="00AF6CC3">
            <w:r w:rsidRPr="00975E6B">
              <w:t>Richard Bolitho</w:t>
            </w:r>
          </w:p>
          <w:p w:rsidR="00FF0DFD" w:rsidRPr="00975E6B" w:rsidRDefault="00FF0DFD" w:rsidP="00AF6CC3">
            <w:r w:rsidRPr="00975E6B">
              <w:t>Ian Dobson</w:t>
            </w:r>
          </w:p>
          <w:p w:rsidR="00FF0DFD" w:rsidRPr="00975E6B" w:rsidRDefault="00FF0DFD" w:rsidP="00AF6CC3">
            <w:r w:rsidRPr="00975E6B">
              <w:t>Florence Chan</w:t>
            </w:r>
          </w:p>
          <w:p w:rsidR="00FF0DFD" w:rsidRPr="00975E6B" w:rsidRDefault="00FF0DFD" w:rsidP="00AF6CC3">
            <w:r w:rsidRPr="00975E6B">
              <w:t>Caleb Stewart</w:t>
            </w:r>
          </w:p>
          <w:p w:rsidR="00E25ECF" w:rsidRPr="00975E6B" w:rsidRDefault="00E25ECF" w:rsidP="00AF6CC3">
            <w:r w:rsidRPr="00975E6B">
              <w:t xml:space="preserve">Maura </w:t>
            </w:r>
            <w:proofErr w:type="spellStart"/>
            <w:r w:rsidRPr="00975E6B">
              <w:t>McSweeney</w:t>
            </w:r>
            <w:proofErr w:type="spellEnd"/>
            <w:r w:rsidRPr="00975E6B">
              <w:t xml:space="preserve"> </w:t>
            </w:r>
          </w:p>
        </w:tc>
        <w:tc>
          <w:tcPr>
            <w:tcW w:w="1023" w:type="pct"/>
            <w:tcBorders>
              <w:left w:val="single" w:sz="4" w:space="0" w:color="548DD4" w:themeColor="text2" w:themeTint="99"/>
            </w:tcBorders>
          </w:tcPr>
          <w:p w:rsidR="00FF0DFD" w:rsidRPr="00975E6B" w:rsidRDefault="00FF0DFD" w:rsidP="00AF6CC3">
            <w:r w:rsidRPr="00975E6B">
              <w:t>Phillip Battista (SA)</w:t>
            </w:r>
          </w:p>
        </w:tc>
        <w:tc>
          <w:tcPr>
            <w:tcW w:w="1023" w:type="pct"/>
            <w:tcBorders>
              <w:left w:val="single" w:sz="4" w:space="0" w:color="548DD4" w:themeColor="text2" w:themeTint="99"/>
            </w:tcBorders>
          </w:tcPr>
          <w:p w:rsidR="00FF0DFD" w:rsidRPr="00975E6B" w:rsidRDefault="00FF0DFD" w:rsidP="00AF6CC3">
            <w:r w:rsidRPr="00975E6B">
              <w:t>John O’Connor</w:t>
            </w:r>
          </w:p>
          <w:p w:rsidR="00FF0DFD" w:rsidRPr="00975E6B" w:rsidRDefault="00FF0DFD" w:rsidP="00AF6CC3">
            <w:r w:rsidRPr="00975E6B">
              <w:t>Luigi Viscariello</w:t>
            </w:r>
          </w:p>
        </w:tc>
      </w:tr>
      <w:tr w:rsidR="00FF0DFD" w:rsidRPr="00975E6B" w:rsidTr="00985223">
        <w:tc>
          <w:tcPr>
            <w:tcW w:w="906" w:type="pct"/>
            <w:tcBorders>
              <w:right w:val="single" w:sz="4" w:space="0" w:color="548DD4" w:themeColor="text2" w:themeTint="99"/>
            </w:tcBorders>
            <w:noWrap/>
          </w:tcPr>
          <w:p w:rsidR="00FF0DFD" w:rsidRPr="00975E6B" w:rsidRDefault="00B55CAA" w:rsidP="00AF6CC3">
            <w:r w:rsidRPr="00975E6B">
              <w:t>Western Australia</w:t>
            </w:r>
          </w:p>
        </w:tc>
        <w:tc>
          <w:tcPr>
            <w:tcW w:w="1023" w:type="pct"/>
            <w:tcBorders>
              <w:left w:val="single" w:sz="4" w:space="0" w:color="548DD4" w:themeColor="text2" w:themeTint="99"/>
            </w:tcBorders>
          </w:tcPr>
          <w:p w:rsidR="00FF0DFD" w:rsidRPr="00975E6B" w:rsidRDefault="00FF0DFD" w:rsidP="00AF6CC3">
            <w:r w:rsidRPr="00975E6B">
              <w:t>Cherry Olorenshaw</w:t>
            </w:r>
          </w:p>
        </w:tc>
        <w:tc>
          <w:tcPr>
            <w:tcW w:w="1023" w:type="pct"/>
            <w:tcBorders>
              <w:left w:val="single" w:sz="4" w:space="0" w:color="548DD4" w:themeColor="text2" w:themeTint="99"/>
            </w:tcBorders>
          </w:tcPr>
          <w:p w:rsidR="00FF0DFD" w:rsidRPr="00975E6B" w:rsidRDefault="00FF0DFD" w:rsidP="00AF6CC3">
            <w:r w:rsidRPr="00975E6B">
              <w:t>Kevin Frost</w:t>
            </w:r>
          </w:p>
          <w:p w:rsidR="00FF0DFD" w:rsidRPr="00975E6B" w:rsidRDefault="00BA3F4B" w:rsidP="00AF6CC3">
            <w:proofErr w:type="spellStart"/>
            <w:r w:rsidRPr="00975E6B">
              <w:t>Rinaldo</w:t>
            </w:r>
            <w:proofErr w:type="spellEnd"/>
            <w:r w:rsidRPr="00975E6B">
              <w:t xml:space="preserve"> </w:t>
            </w:r>
            <w:proofErr w:type="spellStart"/>
            <w:r w:rsidRPr="00975E6B">
              <w:t>L</w:t>
            </w:r>
            <w:r w:rsidR="00FF0DFD" w:rsidRPr="00975E6B">
              <w:t>enco</w:t>
            </w:r>
            <w:proofErr w:type="spellEnd"/>
          </w:p>
          <w:p w:rsidR="00FF0DFD" w:rsidRPr="00975E6B" w:rsidRDefault="00FF0DFD" w:rsidP="00AF6CC3">
            <w:r w:rsidRPr="00975E6B">
              <w:t>Judy Choi</w:t>
            </w:r>
          </w:p>
          <w:p w:rsidR="00FF0DFD" w:rsidRPr="00975E6B" w:rsidRDefault="00FF0DFD" w:rsidP="00AF6CC3">
            <w:r w:rsidRPr="00975E6B">
              <w:t xml:space="preserve">Lydia </w:t>
            </w:r>
            <w:proofErr w:type="spellStart"/>
            <w:r w:rsidRPr="00975E6B">
              <w:t>Bennetts</w:t>
            </w:r>
            <w:proofErr w:type="spellEnd"/>
          </w:p>
          <w:p w:rsidR="00FF0DFD" w:rsidRPr="00975E6B" w:rsidRDefault="00FF0DFD" w:rsidP="00AF6CC3">
            <w:r w:rsidRPr="00975E6B">
              <w:t xml:space="preserve">Ian </w:t>
            </w:r>
            <w:proofErr w:type="spellStart"/>
            <w:r w:rsidRPr="00975E6B">
              <w:t>Massingham</w:t>
            </w:r>
            <w:proofErr w:type="spellEnd"/>
          </w:p>
        </w:tc>
        <w:tc>
          <w:tcPr>
            <w:tcW w:w="1023" w:type="pct"/>
            <w:tcBorders>
              <w:left w:val="single" w:sz="4" w:space="0" w:color="548DD4" w:themeColor="text2" w:themeTint="99"/>
            </w:tcBorders>
          </w:tcPr>
          <w:p w:rsidR="00FF0DFD" w:rsidRPr="00975E6B" w:rsidRDefault="00FF0DFD" w:rsidP="00AF6CC3">
            <w:r w:rsidRPr="00975E6B">
              <w:t>Colin McCrow (</w:t>
            </w:r>
            <w:r w:rsidR="00CA6430" w:rsidRPr="00975E6B">
              <w:t>Queensland</w:t>
            </w:r>
            <w:r w:rsidRPr="00975E6B">
              <w:t>) (via teleconference)</w:t>
            </w:r>
          </w:p>
        </w:tc>
        <w:tc>
          <w:tcPr>
            <w:tcW w:w="1023" w:type="pct"/>
            <w:tcBorders>
              <w:left w:val="single" w:sz="4" w:space="0" w:color="548DD4" w:themeColor="text2" w:themeTint="99"/>
            </w:tcBorders>
          </w:tcPr>
          <w:p w:rsidR="00FF0DFD" w:rsidRPr="00975E6B" w:rsidRDefault="00FF0DFD" w:rsidP="00AF6CC3">
            <w:r w:rsidRPr="00975E6B">
              <w:t>David Debono</w:t>
            </w:r>
          </w:p>
          <w:p w:rsidR="00FF0DFD" w:rsidRPr="00975E6B" w:rsidRDefault="00FF0DFD" w:rsidP="00AF6CC3">
            <w:r w:rsidRPr="00975E6B">
              <w:t>Luigi Viscariello</w:t>
            </w:r>
          </w:p>
        </w:tc>
      </w:tr>
    </w:tbl>
    <w:p w:rsidR="00D978FE" w:rsidRPr="00636A13" w:rsidRDefault="00636A13" w:rsidP="00636A13">
      <w:pPr>
        <w:pStyle w:val="FootnoteText"/>
        <w:rPr>
          <w:bCs/>
          <w:i/>
          <w:sz w:val="16"/>
          <w:szCs w:val="16"/>
        </w:rPr>
      </w:pPr>
      <w:r w:rsidRPr="00975E6B">
        <w:rPr>
          <w:bCs/>
          <w:i/>
          <w:sz w:val="16"/>
          <w:szCs w:val="16"/>
        </w:rPr>
        <w:t>Source: KPMG</w:t>
      </w:r>
      <w:r>
        <w:rPr>
          <w:bCs/>
          <w:i/>
          <w:sz w:val="16"/>
          <w:szCs w:val="16"/>
        </w:rPr>
        <w:t xml:space="preserve"> </w:t>
      </w:r>
    </w:p>
    <w:sectPr w:rsidR="00D978FE" w:rsidRPr="00636A13" w:rsidSect="00AC3838">
      <w:endnotePr>
        <w:numFmt w:val="decimal"/>
      </w:endnotePr>
      <w:pgSz w:w="16840" w:h="11907" w:orient="landscape" w:code="9"/>
      <w:pgMar w:top="1474" w:right="1962" w:bottom="1474" w:left="1588" w:header="958" w:footer="737" w:gutter="454"/>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1A1E" w:rsidRDefault="009D1A1E">
      <w:r>
        <w:separator/>
      </w:r>
    </w:p>
    <w:p w:rsidR="009D1A1E" w:rsidRDefault="009D1A1E"/>
    <w:p w:rsidR="009D1A1E" w:rsidRDefault="009D1A1E"/>
  </w:endnote>
  <w:endnote w:type="continuationSeparator" w:id="0">
    <w:p w:rsidR="009D1A1E" w:rsidRDefault="009D1A1E">
      <w:r>
        <w:continuationSeparator/>
      </w:r>
    </w:p>
    <w:p w:rsidR="009D1A1E" w:rsidRDefault="009D1A1E"/>
    <w:p w:rsidR="009D1A1E" w:rsidRDefault="009D1A1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9999999">
    <w:altName w:val="Times New Roman"/>
    <w:panose1 w:val="00000000000000000000"/>
    <w:charset w:val="00"/>
    <w:family w:val="roman"/>
    <w:notTrueType/>
    <w:pitch w:val="default"/>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Univers 45 Light">
    <w:charset w:val="00"/>
    <w:family w:val="auto"/>
    <w:pitch w:val="variable"/>
    <w:sig w:usb0="80000023" w:usb1="00000000" w:usb2="00000000" w:usb3="00000000" w:csb0="00000001" w:csb1="00000000"/>
  </w:font>
  <w:font w:name="Univers for KPMG Light">
    <w:charset w:val="00"/>
    <w:family w:val="swiss"/>
    <w:pitch w:val="variable"/>
    <w:sig w:usb0="800002AF" w:usb1="5000204A" w:usb2="00000000" w:usb3="00000000" w:csb0="0000009F" w:csb1="00000000"/>
  </w:font>
  <w:font w:name="Arial Bold">
    <w:panose1 w:val="020B0704020202020204"/>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Univers 55">
    <w:altName w:val="Times New Roman"/>
    <w:charset w:val="00"/>
    <w:family w:val="auto"/>
    <w:pitch w:val="variable"/>
    <w:sig w:usb0="80000023" w:usb1="00000000" w:usb2="00000000" w:usb3="00000000" w:csb0="00000001" w:csb1="00000000"/>
  </w:font>
  <w:font w:name="Univers 55 Oblique">
    <w:charset w:val="00"/>
    <w:family w:val="swiss"/>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Osaka">
    <w:altName w:val="Arial Unicode MS"/>
    <w:panose1 w:val="00000000000000000000"/>
    <w:charset w:val="80"/>
    <w:family w:val="auto"/>
    <w:notTrueType/>
    <w:pitch w:val="variable"/>
    <w:sig w:usb0="00000001"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Microsoft Sans Serif">
    <w:panose1 w:val="020B0604020202020204"/>
    <w:charset w:val="00"/>
    <w:family w:val="swiss"/>
    <w:pitch w:val="variable"/>
    <w:sig w:usb0="E1002AFF" w:usb1="C0000002" w:usb2="00000008" w:usb3="00000000" w:csb0="000101FF" w:csb1="00000000"/>
  </w:font>
  <w:font w:name="Helvetica">
    <w:panose1 w:val="020B0604020202020204"/>
    <w:charset w:val="00"/>
    <w:family w:val="swiss"/>
    <w:notTrueType/>
    <w:pitch w:val="variable"/>
    <w:sig w:usb0="00000003" w:usb1="00000000" w:usb2="00000000" w:usb3="00000000" w:csb0="00000001" w:csb1="00000000"/>
  </w:font>
  <w:font w:name="KPMG Logo">
    <w:charset w:val="00"/>
    <w:family w:val="auto"/>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38" w:rsidRDefault="00AC3838" w:rsidP="004F374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66</w:t>
    </w:r>
    <w:r>
      <w:rPr>
        <w:rStyle w:val="PageNumber"/>
      </w:rPr>
      <w:fldChar w:fldCharType="end"/>
    </w:r>
  </w:p>
  <w:p w:rsidR="00AC3838" w:rsidRDefault="00AC3838" w:rsidP="004F374E">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38" w:rsidRDefault="00AC3838">
    <w:pPr>
      <w:pStyle w:val="BodyText"/>
    </w:pPr>
  </w:p>
  <w:tbl>
    <w:tblPr>
      <w:tblW w:w="0" w:type="auto"/>
      <w:tblLayout w:type="fixed"/>
      <w:tblLook w:val="0000" w:firstRow="0" w:lastRow="0" w:firstColumn="0" w:lastColumn="0" w:noHBand="0" w:noVBand="0"/>
    </w:tblPr>
    <w:tblGrid>
      <w:gridCol w:w="3572"/>
    </w:tblGrid>
    <w:tr w:rsidR="00AC3838">
      <w:trPr>
        <w:trHeight w:hRule="exact" w:val="539"/>
      </w:trPr>
      <w:tc>
        <w:tcPr>
          <w:tcW w:w="3572" w:type="dxa"/>
          <w:vAlign w:val="bottom"/>
        </w:tcPr>
        <w:p w:rsidR="00AC3838" w:rsidRDefault="00AC3838">
          <w:pPr>
            <w:pStyle w:val="zKISDescFooter"/>
            <w:framePr w:wrap="around"/>
          </w:pPr>
          <w:r>
            <w:fldChar w:fldCharType="begin"/>
          </w:r>
          <w:r>
            <w:instrText xml:space="preserve"> DocProperty KISFirmDesc \* charformat </w:instrText>
          </w:r>
          <w:r>
            <w:fldChar w:fldCharType="separate"/>
          </w:r>
          <w:r w:rsidR="00154CF7">
            <w:rPr>
              <w:b/>
              <w:bCs/>
              <w:lang w:val="en-US"/>
            </w:rPr>
            <w:t>Error! Unknown document property name.</w:t>
          </w:r>
          <w:r>
            <w:fldChar w:fldCharType="end"/>
          </w:r>
        </w:p>
      </w:tc>
    </w:tr>
  </w:tbl>
  <w:tbl>
    <w:tblPr>
      <w:tblW w:w="0" w:type="auto"/>
      <w:tblLayout w:type="fixed"/>
      <w:tblLook w:val="0000" w:firstRow="0" w:lastRow="0" w:firstColumn="0" w:lastColumn="0" w:noHBand="0" w:noVBand="0"/>
    </w:tblPr>
    <w:tblGrid>
      <w:gridCol w:w="2518"/>
    </w:tblGrid>
    <w:tr w:rsidR="00AC3838">
      <w:trPr>
        <w:cantSplit/>
        <w:trHeight w:hRule="exact" w:val="652"/>
      </w:trPr>
      <w:tc>
        <w:tcPr>
          <w:tcW w:w="2518" w:type="dxa"/>
          <w:vAlign w:val="bottom"/>
        </w:tcPr>
        <w:p w:rsidR="00AC3838" w:rsidRDefault="00AC3838">
          <w:pPr>
            <w:pStyle w:val="zKISDescFooter"/>
            <w:framePr w:wrap="around" w:x="7854" w:y="15792"/>
          </w:pPr>
          <w:r w:rsidRPr="00D20E98">
            <w:fldChar w:fldCharType="begin"/>
          </w:r>
          <w:r w:rsidRPr="00D20E98">
            <w:instrText xml:space="preserve"> IF </w:instrText>
          </w:r>
          <w:r>
            <w:fldChar w:fldCharType="begin"/>
          </w:r>
          <w:r>
            <w:instrText xml:space="preserve"> DOCPROPERTY  KISSvcInfoC</w:instrText>
          </w:r>
          <w:r>
            <w:fldChar w:fldCharType="separate"/>
          </w:r>
          <w:r w:rsidR="00154CF7">
            <w:rPr>
              <w:b/>
              <w:bCs/>
              <w:lang w:val="en-US"/>
            </w:rPr>
            <w:instrText>Error! Unknown document property name.</w:instrText>
          </w:r>
          <w:r>
            <w:fldChar w:fldCharType="end"/>
          </w:r>
          <w:r w:rsidRPr="00D20E98">
            <w:instrText xml:space="preserve">&lt;&gt;"" </w:instrText>
          </w:r>
          <w:r>
            <w:fldChar w:fldCharType="begin"/>
          </w:r>
          <w:r>
            <w:instrText xml:space="preserve"> DOCPROPERTY  KISSvcInfoC</w:instrText>
          </w:r>
          <w:r>
            <w:fldChar w:fldCharType="separate"/>
          </w:r>
          <w:r w:rsidR="00154CF7">
            <w:rPr>
              <w:b/>
              <w:bCs/>
              <w:lang w:val="en-US"/>
            </w:rPr>
            <w:instrText>Error! Unknown document property name.</w:instrText>
          </w:r>
          <w:r>
            <w:fldChar w:fldCharType="end"/>
          </w:r>
          <w:r w:rsidRPr="00D20E98">
            <w:fldChar w:fldCharType="separate"/>
          </w:r>
          <w:r w:rsidR="00154CF7">
            <w:rPr>
              <w:b/>
              <w:bCs/>
              <w:noProof/>
              <w:lang w:val="en-US"/>
            </w:rPr>
            <w:t>Error! Unknown document property name.</w:t>
          </w:r>
          <w:r w:rsidRPr="00D20E98">
            <w:fldChar w:fldCharType="end"/>
          </w:r>
        </w:p>
      </w:tc>
    </w:tr>
  </w:tbl>
  <w:p w:rsidR="00AC3838" w:rsidRPr="00FE7218" w:rsidRDefault="00AC3838" w:rsidP="00FE7218">
    <w:pPr>
      <w:pStyle w:val="zKISDescFooter2"/>
      <w:framePr w:wrap="around"/>
    </w:pPr>
    <w:r w:rsidRPr="00FE7218">
      <w:fldChar w:fldCharType="begin"/>
    </w:r>
    <w:r w:rsidRPr="00FE7218">
      <w:instrText xml:space="preserve"> SET stdNSW "Liability limited by the Accountants Scheme, approved under the Professional Standards Act 1994 (NSW)." </w:instrText>
    </w:r>
    <w:r w:rsidRPr="00FE7218">
      <w:fldChar w:fldCharType="separate"/>
    </w:r>
    <w:r w:rsidRPr="00FE7218">
      <w:rPr>
        <w:noProof/>
      </w:rPr>
      <w:t>Liability limited by the Accountants Scheme, approved under the Professional Standards Act 1994 (NSW).</w:t>
    </w:r>
    <w:r w:rsidRPr="00FE7218">
      <w:fldChar w:fldCharType="end"/>
    </w:r>
    <w:r w:rsidRPr="00FE7218">
      <w:fldChar w:fldCharType="begin"/>
    </w:r>
    <w:r w:rsidRPr="00FE7218">
      <w:instrText xml:space="preserve"> SET stdNSW "Liability limited by the Accountants Scheme, approved under the Professional Standards Act 1994 (NSW)." </w:instrText>
    </w:r>
    <w:r w:rsidRPr="00FE7218">
      <w:fldChar w:fldCharType="separate"/>
    </w:r>
    <w:bookmarkStart w:id="1" w:name="stdNSW"/>
    <w:r w:rsidRPr="00FE7218">
      <w:rPr>
        <w:noProof/>
      </w:rPr>
      <w:t>Liability limited by the Accountants Scheme, approved under the Professional Standards Act 1994 (NSW).</w:t>
    </w:r>
    <w:bookmarkEnd w:id="1"/>
    <w:r w:rsidRPr="00FE7218">
      <w:fldChar w:fldCharType="end"/>
    </w:r>
  </w:p>
  <w:p w:rsidR="00AC3838" w:rsidRDefault="00AC3838">
    <w:pPr>
      <w:pStyle w:val="Footer"/>
    </w:pPr>
  </w:p>
  <w:p w:rsidR="00AC3838" w:rsidRPr="00FE7218" w:rsidRDefault="00AC3838" w:rsidP="00FE7218">
    <w:pPr>
      <w:pStyle w:val="Footer"/>
    </w:pPr>
    <w:r>
      <w:rPr>
        <w:noProof/>
        <w:lang w:eastAsia="en-AU"/>
      </w:rPr>
      <w:drawing>
        <wp:anchor distT="0" distB="0" distL="114300" distR="114300" simplePos="0" relativeHeight="251664896" behindDoc="0" locked="0" layoutInCell="1" allowOverlap="1" wp14:anchorId="491E9561" wp14:editId="355576E4">
          <wp:simplePos x="0" y="0"/>
          <wp:positionH relativeFrom="margin">
            <wp:posOffset>-409575</wp:posOffset>
          </wp:positionH>
          <wp:positionV relativeFrom="page">
            <wp:posOffset>1080135</wp:posOffset>
          </wp:positionV>
          <wp:extent cx="1332230" cy="454025"/>
          <wp:effectExtent l="19050" t="0" r="1270" b="0"/>
          <wp:wrapNone/>
          <wp:docPr id="48" name="Picture 8" descr="KPMG_footer 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KPMG_footer graphic"/>
                  <pic:cNvPicPr>
                    <a:picLocks noChangeAspect="1" noChangeArrowheads="1"/>
                  </pic:cNvPicPr>
                </pic:nvPicPr>
                <pic:blipFill>
                  <a:blip r:embed="rId1"/>
                  <a:srcRect/>
                  <a:stretch>
                    <a:fillRect/>
                  </a:stretch>
                </pic:blipFill>
                <pic:spPr bwMode="auto">
                  <a:xfrm>
                    <a:off x="0" y="0"/>
                    <a:ext cx="1332230" cy="454025"/>
                  </a:xfrm>
                  <a:prstGeom prst="rect">
                    <a:avLst/>
                  </a:prstGeom>
                  <a:noFill/>
                  <a:ln w="9525">
                    <a:noFill/>
                    <a:miter lim="800000"/>
                    <a:headEnd/>
                    <a:tailEnd/>
                  </a:ln>
                </pic:spPr>
              </pic:pic>
            </a:graphicData>
          </a:graphic>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38" w:rsidRPr="00A736D7" w:rsidRDefault="00AC3838" w:rsidP="004826B6">
    <w:pPr>
      <w:pStyle w:val="Footer"/>
      <w:jc w:val="center"/>
    </w:pPr>
    <w:r w:rsidRPr="00A736D7">
      <w:fldChar w:fldCharType="begin"/>
    </w:r>
    <w:r w:rsidRPr="00A736D7">
      <w:instrText xml:space="preserve"> PAGE  \* MERGEFORMAT </w:instrText>
    </w:r>
    <w:r w:rsidRPr="00A736D7">
      <w:fldChar w:fldCharType="separate"/>
    </w:r>
    <w:r w:rsidR="006C6044">
      <w:rPr>
        <w:noProof/>
      </w:rPr>
      <w:t>i</w:t>
    </w:r>
    <w:r w:rsidRPr="00A736D7">
      <w:fldChar w:fldCharType="end"/>
    </w:r>
  </w:p>
  <w:p w:rsidR="00AC3838" w:rsidRPr="00A736D7" w:rsidRDefault="00AC3838" w:rsidP="00A736D7">
    <w:pPr>
      <w:spacing w:line="240" w:lineRule="auto"/>
      <w:jc w:val="center"/>
      <w:rPr>
        <w:color w:val="000000"/>
        <w:sz w:val="13"/>
        <w:szCs w:val="15"/>
        <w:lang w:eastAsia="en-AU"/>
      </w:rPr>
    </w:pPr>
    <w:r w:rsidRPr="00A736D7">
      <w:rPr>
        <w:color w:val="000000"/>
        <w:sz w:val="13"/>
        <w:szCs w:val="15"/>
        <w:lang w:eastAsia="en-AU"/>
      </w:rPr>
      <w:t xml:space="preserve">© 2016 KPMG, an Australian partnership and a member firm of the KPMG network of independent member firms affiliated with KPMG International Cooperative (“KPMG International”), a Swiss entity. </w:t>
    </w:r>
  </w:p>
  <w:p w:rsidR="00AC3838" w:rsidRPr="00A736D7" w:rsidRDefault="00AC3838" w:rsidP="00A736D7">
    <w:pPr>
      <w:spacing w:line="240" w:lineRule="auto"/>
      <w:jc w:val="center"/>
      <w:rPr>
        <w:color w:val="000000"/>
        <w:sz w:val="13"/>
        <w:szCs w:val="15"/>
        <w:lang w:eastAsia="en-AU"/>
      </w:rPr>
    </w:pPr>
    <w:r w:rsidRPr="00A736D7">
      <w:rPr>
        <w:color w:val="000000"/>
        <w:sz w:val="13"/>
        <w:szCs w:val="15"/>
        <w:lang w:eastAsia="en-AU"/>
      </w:rPr>
      <w:t>All rights reserved.</w:t>
    </w:r>
  </w:p>
  <w:p w:rsidR="00AC3838" w:rsidRPr="00A736D7" w:rsidRDefault="00AC3838" w:rsidP="00A736D7">
    <w:pPr>
      <w:spacing w:line="240" w:lineRule="auto"/>
      <w:jc w:val="center"/>
      <w:rPr>
        <w:color w:val="000000"/>
        <w:sz w:val="13"/>
        <w:szCs w:val="15"/>
        <w:lang w:eastAsia="en-AU"/>
      </w:rPr>
    </w:pPr>
    <w:r w:rsidRPr="00A736D7">
      <w:rPr>
        <w:color w:val="000000"/>
        <w:sz w:val="13"/>
        <w:szCs w:val="15"/>
        <w:lang w:eastAsia="en-AU"/>
      </w:rPr>
      <w:t>KPMG and the KPMG logo are registered trademarks of KPMG International.</w:t>
    </w:r>
  </w:p>
  <w:p w:rsidR="00AC3838" w:rsidRPr="00A736D7" w:rsidRDefault="00AC3838" w:rsidP="00A736D7">
    <w:pPr>
      <w:spacing w:line="240" w:lineRule="auto"/>
      <w:jc w:val="center"/>
      <w:rPr>
        <w:color w:val="000000"/>
        <w:sz w:val="13"/>
        <w:szCs w:val="15"/>
        <w:lang w:eastAsia="en-AU"/>
      </w:rPr>
    </w:pPr>
    <w:r w:rsidRPr="00A736D7">
      <w:rPr>
        <w:color w:val="000000"/>
        <w:sz w:val="13"/>
        <w:szCs w:val="15"/>
        <w:lang w:eastAsia="en-AU"/>
      </w:rPr>
      <w:t>Liability limited by a scheme approved under Professional Standards Legislation</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38" w:rsidRPr="003B387A" w:rsidRDefault="00AC3838" w:rsidP="003B387A">
    <w:pPr>
      <w:pStyle w:val="Footer"/>
      <w:jc w:val="center"/>
      <w:rPr>
        <w:sz w:val="13"/>
        <w:szCs w:val="13"/>
      </w:rPr>
    </w:pPr>
    <w:r w:rsidRPr="003B387A">
      <w:rPr>
        <w:sz w:val="13"/>
        <w:szCs w:val="13"/>
      </w:rPr>
      <w:fldChar w:fldCharType="begin"/>
    </w:r>
    <w:r w:rsidRPr="003B387A">
      <w:rPr>
        <w:sz w:val="13"/>
        <w:szCs w:val="13"/>
      </w:rPr>
      <w:instrText xml:space="preserve"> PAGE  \* MERGEFORMAT </w:instrText>
    </w:r>
    <w:r w:rsidRPr="003B387A">
      <w:rPr>
        <w:sz w:val="13"/>
        <w:szCs w:val="13"/>
      </w:rPr>
      <w:fldChar w:fldCharType="separate"/>
    </w:r>
    <w:r w:rsidR="006C6044">
      <w:rPr>
        <w:noProof/>
        <w:sz w:val="13"/>
        <w:szCs w:val="13"/>
      </w:rPr>
      <w:t>170</w:t>
    </w:r>
    <w:r w:rsidRPr="003B387A">
      <w:rPr>
        <w:sz w:val="13"/>
        <w:szCs w:val="13"/>
      </w:rPr>
      <w:fldChar w:fldCharType="end"/>
    </w:r>
  </w:p>
  <w:p w:rsidR="00AC3838" w:rsidRPr="003B387A" w:rsidRDefault="00AC3838" w:rsidP="003B387A">
    <w:pPr>
      <w:spacing w:line="240" w:lineRule="auto"/>
      <w:jc w:val="center"/>
      <w:rPr>
        <w:sz w:val="13"/>
        <w:szCs w:val="13"/>
      </w:rPr>
    </w:pPr>
    <w:r w:rsidRPr="003B387A">
      <w:rPr>
        <w:sz w:val="13"/>
        <w:szCs w:val="13"/>
      </w:rPr>
      <w:t xml:space="preserve">© 2016 KPMG, an Australian partnership and a member firm of the KPMG network of independent member firms affiliated with KPMG International Cooperative (“KPMG International”), a Swiss entity. </w:t>
    </w:r>
    <w:r w:rsidRPr="003B387A">
      <w:rPr>
        <w:sz w:val="13"/>
        <w:szCs w:val="13"/>
      </w:rPr>
      <w:br/>
      <w:t>All rights reserved.</w:t>
    </w:r>
  </w:p>
  <w:p w:rsidR="00AC3838" w:rsidRPr="003B387A" w:rsidRDefault="00AC3838" w:rsidP="003B387A">
    <w:pPr>
      <w:spacing w:line="240" w:lineRule="auto"/>
      <w:jc w:val="center"/>
      <w:rPr>
        <w:sz w:val="13"/>
        <w:szCs w:val="13"/>
      </w:rPr>
    </w:pPr>
    <w:r w:rsidRPr="003B387A">
      <w:rPr>
        <w:sz w:val="13"/>
        <w:szCs w:val="13"/>
      </w:rPr>
      <w:t>KPMG and the KPMG logo are registered trademarks of KPMG International.</w:t>
    </w:r>
  </w:p>
  <w:p w:rsidR="00AC3838" w:rsidRPr="003B387A" w:rsidRDefault="00AC3838" w:rsidP="003B387A">
    <w:pPr>
      <w:spacing w:line="240" w:lineRule="auto"/>
      <w:jc w:val="center"/>
      <w:rPr>
        <w:sz w:val="13"/>
        <w:szCs w:val="13"/>
      </w:rPr>
    </w:pPr>
    <w:r w:rsidRPr="003B387A">
      <w:rPr>
        <w:sz w:val="13"/>
        <w:szCs w:val="13"/>
      </w:rPr>
      <w:t>Liability limited by a scheme approved under Professional Standards Legislation</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1A1E" w:rsidRDefault="009D1A1E">
      <w:r>
        <w:separator/>
      </w:r>
    </w:p>
    <w:p w:rsidR="009D1A1E" w:rsidRDefault="009D1A1E"/>
    <w:p w:rsidR="009D1A1E" w:rsidRDefault="009D1A1E"/>
  </w:footnote>
  <w:footnote w:type="continuationSeparator" w:id="0">
    <w:p w:rsidR="009D1A1E" w:rsidRDefault="009D1A1E">
      <w:r>
        <w:continuationSeparator/>
      </w:r>
    </w:p>
    <w:p w:rsidR="009D1A1E" w:rsidRDefault="009D1A1E"/>
    <w:p w:rsidR="009D1A1E" w:rsidRDefault="009D1A1E"/>
  </w:footnote>
  <w:footnote w:id="1">
    <w:p w:rsidR="00AC3838" w:rsidRPr="00D252D8" w:rsidRDefault="00AC3838" w:rsidP="00972129">
      <w:pPr>
        <w:pStyle w:val="FootnoteText"/>
        <w:rPr>
          <w:sz w:val="20"/>
          <w:szCs w:val="22"/>
        </w:rPr>
      </w:pPr>
      <w:r>
        <w:rPr>
          <w:rStyle w:val="FootnoteReference"/>
        </w:rPr>
        <w:footnoteRef/>
      </w:r>
      <w:r>
        <w:t xml:space="preserve"> </w:t>
      </w:r>
      <w:hyperlink r:id="rId1" w:history="1">
        <w:r w:rsidRPr="00F70F30">
          <w:rPr>
            <w:rStyle w:val="Hyperlink"/>
          </w:rPr>
          <w:t>Western Sydney Local Health District – NSW Government</w:t>
        </w:r>
      </w:hyperlink>
      <w:r>
        <w:t xml:space="preserve"> [</w:t>
      </w:r>
      <w:r w:rsidRPr="00F70F30">
        <w:t>http://www.wslhd.health.nsw.gov.au</w:t>
      </w:r>
      <w:r>
        <w:rPr>
          <w:rStyle w:val="Hyperlink"/>
        </w:rPr>
        <w:t>]</w:t>
      </w:r>
      <w:r>
        <w:rPr>
          <w:szCs w:val="22"/>
        </w:rPr>
        <w:t>.</w:t>
      </w:r>
      <w:r w:rsidRPr="00D252D8">
        <w:rPr>
          <w:szCs w:val="22"/>
        </w:rPr>
        <w:t xml:space="preserve"> </w:t>
      </w:r>
      <w:r w:rsidRPr="00F70F30">
        <w:rPr>
          <w:i/>
          <w:szCs w:val="22"/>
        </w:rPr>
        <w:t>Accessed 9 October 2015</w:t>
      </w:r>
    </w:p>
  </w:footnote>
  <w:footnote w:id="2">
    <w:p w:rsidR="00AC3838" w:rsidRDefault="00AC3838" w:rsidP="00972129">
      <w:pPr>
        <w:pStyle w:val="FootnoteText"/>
      </w:pPr>
      <w:r>
        <w:rPr>
          <w:rStyle w:val="FootnoteReference"/>
        </w:rPr>
        <w:footnoteRef/>
      </w:r>
      <w:r>
        <w:t xml:space="preserve"> </w:t>
      </w:r>
      <w:hyperlink r:id="rId2" w:history="1">
        <w:r w:rsidRPr="007B474A">
          <w:rPr>
            <w:rStyle w:val="Hyperlink"/>
            <w:szCs w:val="18"/>
          </w:rPr>
          <w:t>Illawarra Shoalhaven Local Health District NSW Government</w:t>
        </w:r>
      </w:hyperlink>
      <w:r w:rsidRPr="007B474A">
        <w:rPr>
          <w:szCs w:val="18"/>
        </w:rPr>
        <w:t xml:space="preserve"> [https://www.islhd.health.nsw.gov.au/Hospitals.asp]</w:t>
      </w:r>
      <w:r w:rsidRPr="007B474A">
        <w:rPr>
          <w:rStyle w:val="Hyperlink"/>
          <w:szCs w:val="18"/>
          <w:u w:val="none"/>
        </w:rPr>
        <w:t xml:space="preserve">. </w:t>
      </w:r>
      <w:r w:rsidRPr="007B474A">
        <w:rPr>
          <w:i/>
          <w:szCs w:val="18"/>
        </w:rPr>
        <w:t>Accessed 9 October 2015</w:t>
      </w:r>
    </w:p>
  </w:footnote>
  <w:footnote w:id="3">
    <w:p w:rsidR="00AC3838" w:rsidRPr="005F17B8" w:rsidRDefault="00AC3838" w:rsidP="00972129">
      <w:pPr>
        <w:pStyle w:val="FootnoteText"/>
        <w:rPr>
          <w:sz w:val="16"/>
        </w:rPr>
      </w:pPr>
      <w:r>
        <w:rPr>
          <w:rStyle w:val="FootnoteReference"/>
        </w:rPr>
        <w:footnoteRef/>
      </w:r>
      <w:r>
        <w:t xml:space="preserve"> </w:t>
      </w:r>
      <w:hyperlink r:id="rId3" w:history="1">
        <w:r w:rsidRPr="001E14FA">
          <w:rPr>
            <w:rStyle w:val="Hyperlink"/>
          </w:rPr>
          <w:t>Northern NSW Local Health District – NSW Government</w:t>
        </w:r>
      </w:hyperlink>
      <w:r>
        <w:t xml:space="preserve"> [</w:t>
      </w:r>
      <w:r w:rsidRPr="001E14FA">
        <w:t>http://www.health.nsw.gov.au/lhd/Pages/nnswlhd.aspx</w:t>
      </w:r>
      <w:r>
        <w:t>].</w:t>
      </w:r>
      <w:r w:rsidRPr="005F17B8">
        <w:rPr>
          <w:szCs w:val="22"/>
        </w:rPr>
        <w:t xml:space="preserve"> </w:t>
      </w:r>
      <w:r w:rsidRPr="001E14FA">
        <w:rPr>
          <w:i/>
          <w:szCs w:val="22"/>
        </w:rPr>
        <w:t>Accessed 9 October 2015</w:t>
      </w:r>
    </w:p>
  </w:footnote>
  <w:footnote w:id="4">
    <w:p w:rsidR="00AC3838" w:rsidRPr="00FD2BA0" w:rsidRDefault="00AC3838" w:rsidP="002E59FA">
      <w:pPr>
        <w:pStyle w:val="FootnoteText"/>
        <w:rPr>
          <w:sz w:val="20"/>
          <w:szCs w:val="22"/>
        </w:rPr>
      </w:pPr>
      <w:r>
        <w:rPr>
          <w:rStyle w:val="FootnoteReference"/>
        </w:rPr>
        <w:footnoteRef/>
      </w:r>
      <w:r>
        <w:t xml:space="preserve"> </w:t>
      </w:r>
      <w:hyperlink r:id="rId4" w:history="1">
        <w:r w:rsidRPr="001E14FA">
          <w:rPr>
            <w:rStyle w:val="Hyperlink"/>
          </w:rPr>
          <w:t>Royal Darwin Hospital – Department of Health Northern Territory Government</w:t>
        </w:r>
      </w:hyperlink>
      <w:r>
        <w:t xml:space="preserve"> [</w:t>
      </w:r>
      <w:r w:rsidRPr="001E14FA">
        <w:rPr>
          <w:szCs w:val="18"/>
        </w:rPr>
        <w:t>http://www.health.nt.gov.au/Hospitals/Royal_Darwin_Hospital/index.aspx</w:t>
      </w:r>
      <w:r>
        <w:rPr>
          <w:szCs w:val="18"/>
        </w:rPr>
        <w:t xml:space="preserve">]. </w:t>
      </w:r>
      <w:r w:rsidRPr="00630305">
        <w:rPr>
          <w:i/>
          <w:szCs w:val="18"/>
        </w:rPr>
        <w:t>Accessed 9 October 2015</w:t>
      </w:r>
    </w:p>
  </w:footnote>
  <w:footnote w:id="5">
    <w:p w:rsidR="00AC3838" w:rsidRDefault="00AC3838" w:rsidP="00273A0D">
      <w:pPr>
        <w:pStyle w:val="FootnoteText"/>
      </w:pPr>
      <w:r>
        <w:rPr>
          <w:rStyle w:val="FootnoteReference"/>
        </w:rPr>
        <w:footnoteRef/>
      </w:r>
      <w:r>
        <w:t xml:space="preserve"> </w:t>
      </w:r>
      <w:hyperlink r:id="rId5" w:history="1">
        <w:r w:rsidRPr="003D2E47">
          <w:rPr>
            <w:rStyle w:val="Hyperlink"/>
          </w:rPr>
          <w:t>Ipswich Hospital Queensland Health – Queensland Government</w:t>
        </w:r>
      </w:hyperlink>
      <w:r>
        <w:t xml:space="preserve"> [</w:t>
      </w:r>
      <w:r w:rsidRPr="003D2E47">
        <w:t>https://www.health.qld.gov.au/services/westmoreton/ipswich-hosp.asp</w:t>
      </w:r>
      <w:r>
        <w:t>].</w:t>
      </w:r>
      <w:r w:rsidRPr="00993201">
        <w:rPr>
          <w:szCs w:val="18"/>
        </w:rPr>
        <w:t xml:space="preserve"> </w:t>
      </w:r>
      <w:proofErr w:type="gramStart"/>
      <w:r w:rsidRPr="00993201">
        <w:rPr>
          <w:i/>
          <w:szCs w:val="18"/>
        </w:rPr>
        <w:t>Accessed 9 October 2015</w:t>
      </w:r>
      <w:r w:rsidRPr="00993201">
        <w:rPr>
          <w:szCs w:val="18"/>
        </w:rPr>
        <w:t>.</w:t>
      </w:r>
      <w:proofErr w:type="gramEnd"/>
    </w:p>
  </w:footnote>
  <w:footnote w:id="6">
    <w:p w:rsidR="00AC3838" w:rsidRDefault="00AC3838" w:rsidP="00273A0D">
      <w:pPr>
        <w:pStyle w:val="FootnoteText"/>
      </w:pPr>
      <w:r>
        <w:rPr>
          <w:rStyle w:val="FootnoteReference"/>
        </w:rPr>
        <w:footnoteRef/>
      </w:r>
      <w:r>
        <w:t xml:space="preserve"> </w:t>
      </w:r>
      <w:hyperlink r:id="rId6" w:history="1">
        <w:proofErr w:type="gramStart"/>
        <w:r w:rsidRPr="007B474A">
          <w:rPr>
            <w:rStyle w:val="Hyperlink"/>
            <w:szCs w:val="18"/>
          </w:rPr>
          <w:t>Mackay Hospital and Health Service 2014/15 Annual Report</w:t>
        </w:r>
      </w:hyperlink>
      <w:r w:rsidRPr="007B474A">
        <w:rPr>
          <w:szCs w:val="18"/>
        </w:rPr>
        <w:t xml:space="preserve"> [https://www.health.qld.gov.au/mackay/docs/annual-report/mhhs-annual-report-14-15.pdf].</w:t>
      </w:r>
      <w:proofErr w:type="gramEnd"/>
      <w:r w:rsidRPr="007B474A">
        <w:rPr>
          <w:szCs w:val="18"/>
        </w:rPr>
        <w:t xml:space="preserve"> </w:t>
      </w:r>
      <w:proofErr w:type="gramStart"/>
      <w:r w:rsidRPr="007B474A">
        <w:rPr>
          <w:i/>
          <w:szCs w:val="18"/>
        </w:rPr>
        <w:t>Accessed 9 October 2015</w:t>
      </w:r>
      <w:r w:rsidRPr="007B474A">
        <w:rPr>
          <w:szCs w:val="18"/>
        </w:rPr>
        <w:t>.</w:t>
      </w:r>
      <w:proofErr w:type="gramEnd"/>
    </w:p>
  </w:footnote>
  <w:footnote w:id="7">
    <w:p w:rsidR="00AC3838" w:rsidRPr="00787DAE" w:rsidRDefault="00AC3838" w:rsidP="00273A0D">
      <w:pPr>
        <w:pStyle w:val="FootnoteText"/>
        <w:rPr>
          <w:sz w:val="20"/>
        </w:rPr>
      </w:pPr>
      <w:r>
        <w:rPr>
          <w:rStyle w:val="FootnoteReference"/>
        </w:rPr>
        <w:footnoteRef/>
      </w:r>
      <w:r>
        <w:t xml:space="preserve"> </w:t>
      </w:r>
      <w:hyperlink r:id="rId7" w:history="1">
        <w:r w:rsidRPr="007B474A">
          <w:rPr>
            <w:rStyle w:val="Hyperlink"/>
            <w:szCs w:val="18"/>
          </w:rPr>
          <w:t>The Princes Charles Hospital Queensland Health – Queensland Government</w:t>
        </w:r>
      </w:hyperlink>
      <w:r w:rsidRPr="007B474A">
        <w:rPr>
          <w:szCs w:val="18"/>
        </w:rPr>
        <w:t xml:space="preserve"> [https://www.health.qld.gov.au/tpch/]. </w:t>
      </w:r>
      <w:proofErr w:type="gramStart"/>
      <w:r w:rsidRPr="007B474A">
        <w:rPr>
          <w:i/>
          <w:szCs w:val="18"/>
        </w:rPr>
        <w:t>Accessed 9 October 2015</w:t>
      </w:r>
      <w:r w:rsidRPr="007B474A">
        <w:rPr>
          <w:szCs w:val="18"/>
        </w:rPr>
        <w:t>.</w:t>
      </w:r>
      <w:proofErr w:type="gramEnd"/>
    </w:p>
  </w:footnote>
  <w:footnote w:id="8">
    <w:p w:rsidR="00AC3838" w:rsidRPr="00787DAE" w:rsidRDefault="00AC3838" w:rsidP="002E59FA">
      <w:pPr>
        <w:pStyle w:val="FootnoteText"/>
        <w:rPr>
          <w:sz w:val="20"/>
        </w:rPr>
      </w:pPr>
      <w:r>
        <w:rPr>
          <w:rStyle w:val="FootnoteReference"/>
        </w:rPr>
        <w:footnoteRef/>
      </w:r>
      <w:r>
        <w:t xml:space="preserve"> </w:t>
      </w:r>
      <w:hyperlink r:id="rId8" w:history="1">
        <w:proofErr w:type="gramStart"/>
        <w:r w:rsidRPr="007B474A">
          <w:rPr>
            <w:rStyle w:val="Hyperlink"/>
            <w:szCs w:val="18"/>
          </w:rPr>
          <w:t xml:space="preserve">Fast Facts Lyell </w:t>
        </w:r>
        <w:proofErr w:type="spellStart"/>
        <w:r w:rsidRPr="007B474A">
          <w:rPr>
            <w:rStyle w:val="Hyperlink"/>
            <w:szCs w:val="18"/>
          </w:rPr>
          <w:t>McEwin</w:t>
        </w:r>
        <w:proofErr w:type="spellEnd"/>
        <w:r w:rsidRPr="007B474A">
          <w:rPr>
            <w:rStyle w:val="Hyperlink"/>
            <w:szCs w:val="18"/>
          </w:rPr>
          <w:t xml:space="preserve"> Hospital</w:t>
        </w:r>
      </w:hyperlink>
      <w:r w:rsidRPr="007B474A">
        <w:rPr>
          <w:szCs w:val="18"/>
        </w:rPr>
        <w:t xml:space="preserve"> [http://www.sahealth.sa.gov.au/wps/wcm/connect/422b6f0042b6ee039e06be30a4818ec3/lmh_fast_facts_july_2015.pdf?MOD=AJPERES&amp;CACHEID=422b6f0042b6ee039e06be30a4818ec3</w:t>
      </w:r>
      <w:r w:rsidRPr="007B474A">
        <w:rPr>
          <w:rStyle w:val="Hyperlink"/>
          <w:szCs w:val="18"/>
        </w:rPr>
        <w:t>].</w:t>
      </w:r>
      <w:proofErr w:type="gramEnd"/>
      <w:r w:rsidRPr="007B474A">
        <w:rPr>
          <w:rStyle w:val="Hyperlink"/>
          <w:szCs w:val="18"/>
        </w:rPr>
        <w:t xml:space="preserve"> </w:t>
      </w:r>
      <w:r w:rsidRPr="007B474A">
        <w:rPr>
          <w:i/>
          <w:szCs w:val="18"/>
        </w:rPr>
        <w:t>Accessed 9 October 2015</w:t>
      </w:r>
    </w:p>
  </w:footnote>
  <w:footnote w:id="9">
    <w:p w:rsidR="00AC3838" w:rsidRPr="00787DAE" w:rsidRDefault="00AC3838" w:rsidP="002E59FA">
      <w:pPr>
        <w:pStyle w:val="FootnoteText"/>
        <w:rPr>
          <w:sz w:val="20"/>
        </w:rPr>
      </w:pPr>
      <w:r>
        <w:rPr>
          <w:rStyle w:val="FootnoteReference"/>
        </w:rPr>
        <w:footnoteRef/>
      </w:r>
      <w:r>
        <w:t xml:space="preserve"> </w:t>
      </w:r>
      <w:hyperlink r:id="rId9" w:history="1">
        <w:proofErr w:type="gramStart"/>
        <w:r w:rsidRPr="007B474A">
          <w:rPr>
            <w:rStyle w:val="Hyperlink"/>
            <w:szCs w:val="18"/>
          </w:rPr>
          <w:t>Fast Facts Modbury Hospital</w:t>
        </w:r>
      </w:hyperlink>
      <w:r w:rsidRPr="007B474A">
        <w:rPr>
          <w:szCs w:val="18"/>
        </w:rPr>
        <w:t xml:space="preserve"> [http://www.sahealth.sa.gov.au/wps/wcm/connect/61e0aa8042b0b01bbb8fbb30a4818ec3/mod_fast_facts_july_2015_.pdf?MOD=AJPERES&amp;CACHEID=61e0aa8042b0b01bbb8fbb30a4818ec3].</w:t>
      </w:r>
      <w:proofErr w:type="gramEnd"/>
      <w:r w:rsidRPr="007B474A">
        <w:rPr>
          <w:szCs w:val="18"/>
        </w:rPr>
        <w:t xml:space="preserve"> </w:t>
      </w:r>
      <w:r w:rsidRPr="007B474A">
        <w:rPr>
          <w:i/>
          <w:szCs w:val="18"/>
        </w:rPr>
        <w:t>Accessed 9 October 2015</w:t>
      </w:r>
    </w:p>
  </w:footnote>
  <w:footnote w:id="10">
    <w:p w:rsidR="00AC3838" w:rsidRDefault="00AC3838" w:rsidP="00763A20">
      <w:pPr>
        <w:pStyle w:val="FootnoteText"/>
      </w:pPr>
      <w:r>
        <w:rPr>
          <w:rStyle w:val="FootnoteReference"/>
        </w:rPr>
        <w:footnoteRef/>
      </w:r>
      <w:r>
        <w:t xml:space="preserve"> </w:t>
      </w:r>
      <w:hyperlink r:id="rId10" w:history="1">
        <w:r w:rsidRPr="007B474A">
          <w:rPr>
            <w:rStyle w:val="Hyperlink"/>
            <w:szCs w:val="18"/>
          </w:rPr>
          <w:t>Royal Hobart Hospital – Department of Health and Human Services - Tasmania Government</w:t>
        </w:r>
      </w:hyperlink>
      <w:r w:rsidRPr="007B474A">
        <w:rPr>
          <w:szCs w:val="18"/>
        </w:rPr>
        <w:t xml:space="preserve"> [http://www.dhhs.tas.gov.au/hospital/royal-hobart-hospital</w:t>
      </w:r>
      <w:r w:rsidRPr="007B474A">
        <w:t>]</w:t>
      </w:r>
      <w:r>
        <w:t>.</w:t>
      </w:r>
      <w:r w:rsidRPr="007B474A">
        <w:t xml:space="preserve"> </w:t>
      </w:r>
      <w:proofErr w:type="gramStart"/>
      <w:r w:rsidRPr="007B474A">
        <w:rPr>
          <w:i/>
          <w:szCs w:val="18"/>
        </w:rPr>
        <w:t>Accessed 9 October 2015</w:t>
      </w:r>
      <w:r w:rsidRPr="007B474A">
        <w:rPr>
          <w:szCs w:val="18"/>
        </w:rPr>
        <w:t>.</w:t>
      </w:r>
      <w:proofErr w:type="gramEnd"/>
    </w:p>
  </w:footnote>
  <w:footnote w:id="11">
    <w:p w:rsidR="00AC3838" w:rsidRDefault="00AC3838" w:rsidP="00FC0F41">
      <w:pPr>
        <w:pStyle w:val="FootnoteText"/>
      </w:pPr>
      <w:r>
        <w:rPr>
          <w:rStyle w:val="FootnoteReference"/>
        </w:rPr>
        <w:footnoteRef/>
      </w:r>
      <w:r>
        <w:t xml:space="preserve"> </w:t>
      </w:r>
      <w:hyperlink r:id="rId11" w:history="1">
        <w:r w:rsidRPr="00541CBC">
          <w:rPr>
            <w:rStyle w:val="Hyperlink"/>
            <w:szCs w:val="18"/>
          </w:rPr>
          <w:t>St Vincent’s Hospital Melbourne</w:t>
        </w:r>
      </w:hyperlink>
      <w:r w:rsidRPr="00541CBC">
        <w:rPr>
          <w:szCs w:val="18"/>
        </w:rPr>
        <w:t xml:space="preserve"> [http://www.svhm.org.au/aboutus/Pages/aboutus.aspx</w:t>
      </w:r>
      <w:r w:rsidRPr="00541CBC">
        <w:rPr>
          <w:rStyle w:val="Hyperlink"/>
          <w:szCs w:val="18"/>
          <w:u w:val="none"/>
        </w:rPr>
        <w:t xml:space="preserve">]. </w:t>
      </w:r>
      <w:r w:rsidRPr="00541CBC">
        <w:rPr>
          <w:i/>
          <w:szCs w:val="18"/>
        </w:rPr>
        <w:t>Accessed 9 October 2015</w:t>
      </w:r>
    </w:p>
  </w:footnote>
  <w:footnote w:id="12">
    <w:p w:rsidR="00AC3838" w:rsidRDefault="00AC3838" w:rsidP="00FC0F41">
      <w:pPr>
        <w:pStyle w:val="FootnoteText"/>
      </w:pPr>
      <w:r>
        <w:rPr>
          <w:rStyle w:val="FootnoteReference"/>
        </w:rPr>
        <w:footnoteRef/>
      </w:r>
      <w:r>
        <w:t xml:space="preserve"> </w:t>
      </w:r>
      <w:hyperlink r:id="rId12" w:history="1">
        <w:proofErr w:type="gramStart"/>
        <w:r w:rsidRPr="00541CBC">
          <w:rPr>
            <w:rStyle w:val="Hyperlink"/>
            <w:szCs w:val="18"/>
          </w:rPr>
          <w:t>The Royal Victorian Ear and Eye Hospital</w:t>
        </w:r>
      </w:hyperlink>
      <w:r w:rsidRPr="00541CBC">
        <w:rPr>
          <w:szCs w:val="18"/>
        </w:rPr>
        <w:t xml:space="preserve"> [http://www.eyeandear.org.au/page/About_Us/</w:t>
      </w:r>
      <w:r w:rsidRPr="00541CBC">
        <w:rPr>
          <w:rStyle w:val="Hyperlink"/>
          <w:szCs w:val="18"/>
        </w:rPr>
        <w:t>].</w:t>
      </w:r>
      <w:proofErr w:type="gramEnd"/>
      <w:r w:rsidRPr="00541CBC">
        <w:rPr>
          <w:rStyle w:val="Hyperlink"/>
          <w:szCs w:val="18"/>
        </w:rPr>
        <w:t xml:space="preserve"> </w:t>
      </w:r>
      <w:r w:rsidRPr="00541CBC">
        <w:rPr>
          <w:i/>
          <w:szCs w:val="18"/>
        </w:rPr>
        <w:t>Accessed 9 October 2015</w:t>
      </w:r>
    </w:p>
  </w:footnote>
  <w:footnote w:id="13">
    <w:p w:rsidR="00AC3838" w:rsidRPr="00716C5F" w:rsidRDefault="00AC3838" w:rsidP="00FC0F41">
      <w:pPr>
        <w:pStyle w:val="FootnoteText"/>
      </w:pPr>
      <w:r>
        <w:rPr>
          <w:rStyle w:val="FootnoteReference"/>
        </w:rPr>
        <w:footnoteRef/>
      </w:r>
      <w:r>
        <w:t xml:space="preserve"> </w:t>
      </w:r>
      <w:hyperlink r:id="rId13" w:history="1">
        <w:proofErr w:type="gramStart"/>
        <w:r w:rsidRPr="00541CBC">
          <w:rPr>
            <w:rStyle w:val="Hyperlink"/>
            <w:szCs w:val="18"/>
          </w:rPr>
          <w:t>The Royal Victorian Ear and Eye Hospital 2014/15 Annual Review</w:t>
        </w:r>
      </w:hyperlink>
      <w:r w:rsidRPr="00541CBC">
        <w:rPr>
          <w:szCs w:val="18"/>
        </w:rPr>
        <w:t xml:space="preserve"> [http://www.eyeandear.org.au/icms_docs/221654_Annual_Review_2014-15.pdf].</w:t>
      </w:r>
      <w:proofErr w:type="gramEnd"/>
      <w:r w:rsidRPr="00541CBC">
        <w:rPr>
          <w:szCs w:val="18"/>
        </w:rPr>
        <w:t xml:space="preserve"> </w:t>
      </w:r>
      <w:r w:rsidRPr="00541CBC">
        <w:rPr>
          <w:i/>
          <w:szCs w:val="18"/>
        </w:rPr>
        <w:t>Accessed 9 October 2015</w:t>
      </w:r>
    </w:p>
  </w:footnote>
  <w:footnote w:id="14">
    <w:p w:rsidR="00AC3838" w:rsidRDefault="00AC3838">
      <w:pPr>
        <w:pStyle w:val="FootnoteText"/>
      </w:pPr>
      <w:r>
        <w:rPr>
          <w:rStyle w:val="FootnoteReference"/>
        </w:rPr>
        <w:footnoteRef/>
      </w:r>
      <w:r>
        <w:t xml:space="preserve"> </w:t>
      </w:r>
      <w:r w:rsidRPr="00277B23">
        <w:rPr>
          <w:i/>
        </w:rPr>
        <w:t>Patient Costing Standards Compliance Audit – 2013/14: WA Health NHCDC Submission Round 18 (2013/14) compliance with Australian Hospital Patient Costing Standards Version 3.1</w:t>
      </w:r>
      <w:r>
        <w:t>. – Government of Western Australia, Department of Health</w:t>
      </w:r>
    </w:p>
  </w:footnote>
  <w:footnote w:id="15">
    <w:p w:rsidR="00AC3838" w:rsidRPr="00560D27" w:rsidRDefault="00AC3838" w:rsidP="00B5276F">
      <w:pPr>
        <w:pStyle w:val="FootnoteText"/>
        <w:rPr>
          <w:sz w:val="20"/>
          <w:szCs w:val="22"/>
        </w:rPr>
      </w:pPr>
      <w:r>
        <w:rPr>
          <w:rStyle w:val="FootnoteReference"/>
        </w:rPr>
        <w:footnoteRef/>
      </w:r>
      <w:r>
        <w:t xml:space="preserve"> </w:t>
      </w:r>
      <w:hyperlink r:id="rId14" w:history="1">
        <w:r w:rsidRPr="00E03E03">
          <w:rPr>
            <w:rStyle w:val="Hyperlink"/>
            <w:szCs w:val="18"/>
          </w:rPr>
          <w:t>Rockingham Peel Group Department of Health - Government of Western Australia</w:t>
        </w:r>
      </w:hyperlink>
      <w:r w:rsidRPr="00E03E03">
        <w:rPr>
          <w:szCs w:val="18"/>
        </w:rPr>
        <w:t xml:space="preserve"> [http://www.rkpg.health.wa.gov.au/About-us</w:t>
      </w:r>
      <w:r w:rsidRPr="00E03E03">
        <w:rPr>
          <w:rStyle w:val="Hyperlink"/>
          <w:szCs w:val="18"/>
        </w:rPr>
        <w:t>]</w:t>
      </w:r>
      <w:r w:rsidRPr="00E03E03">
        <w:rPr>
          <w:szCs w:val="18"/>
        </w:rPr>
        <w:t xml:space="preserve"> - </w:t>
      </w:r>
      <w:r w:rsidRPr="00E03E03">
        <w:rPr>
          <w:i/>
          <w:szCs w:val="18"/>
        </w:rPr>
        <w:t>Accessed 9 October 2015</w:t>
      </w:r>
    </w:p>
  </w:footnote>
  <w:footnote w:id="16">
    <w:p w:rsidR="00AC3838" w:rsidRPr="00F452C7" w:rsidRDefault="00AC3838">
      <w:pPr>
        <w:pStyle w:val="FootnoteText"/>
        <w:rPr>
          <w:i/>
          <w:sz w:val="20"/>
        </w:rPr>
      </w:pPr>
      <w:r>
        <w:rPr>
          <w:rStyle w:val="FootnoteReference"/>
        </w:rPr>
        <w:footnoteRef/>
      </w:r>
      <w:r>
        <w:t xml:space="preserve"> </w:t>
      </w:r>
      <w:hyperlink r:id="rId15" w:history="1">
        <w:r w:rsidRPr="007937BF">
          <w:rPr>
            <w:rStyle w:val="Hyperlink"/>
            <w:szCs w:val="18"/>
          </w:rPr>
          <w:t>Princess Margaret Hospital Department of Health - Government of Western Australia</w:t>
        </w:r>
      </w:hyperlink>
      <w:r w:rsidRPr="007937BF">
        <w:rPr>
          <w:szCs w:val="18"/>
        </w:rPr>
        <w:t xml:space="preserve"> [http://www.pmh.health.wa.gov.au/general/about_us/]. </w:t>
      </w:r>
      <w:r w:rsidRPr="007937BF">
        <w:rPr>
          <w:i/>
          <w:szCs w:val="18"/>
        </w:rPr>
        <w:t>Accessed 9 October 2015</w:t>
      </w:r>
    </w:p>
  </w:footnote>
  <w:footnote w:id="17">
    <w:p w:rsidR="00AC3838" w:rsidRDefault="00AC3838" w:rsidP="00115AB7">
      <w:pPr>
        <w:pStyle w:val="FootnoteText"/>
      </w:pPr>
      <w:r>
        <w:rPr>
          <w:rStyle w:val="FootnoteReference"/>
        </w:rPr>
        <w:footnoteRef/>
      </w:r>
      <w:r>
        <w:t xml:space="preserve"> </w:t>
      </w:r>
      <w:r w:rsidRPr="0061120F">
        <w:rPr>
          <w:szCs w:val="22"/>
        </w:rPr>
        <w:t xml:space="preserve">AHPCS </w:t>
      </w:r>
      <w:r>
        <w:rPr>
          <w:szCs w:val="22"/>
        </w:rPr>
        <w:t>Version 3.1 SCP 3A.001</w:t>
      </w:r>
    </w:p>
  </w:footnote>
  <w:footnote w:id="18">
    <w:p w:rsidR="00AC3838" w:rsidRDefault="00AC3838" w:rsidP="00115AB7">
      <w:pPr>
        <w:pStyle w:val="FootnoteText"/>
      </w:pPr>
      <w:r>
        <w:rPr>
          <w:rStyle w:val="FootnoteReference"/>
        </w:rPr>
        <w:footnoteRef/>
      </w:r>
      <w:r>
        <w:t xml:space="preserve"> AHPCS Version 3.1 Attachment D; AHPCS Version 3.1 COST 1.002</w:t>
      </w:r>
    </w:p>
  </w:footnote>
  <w:footnote w:id="19">
    <w:p w:rsidR="00AC3838" w:rsidRDefault="00AC3838" w:rsidP="00115AB7">
      <w:pPr>
        <w:pStyle w:val="FootnoteText"/>
      </w:pPr>
      <w:r>
        <w:rPr>
          <w:rStyle w:val="FootnoteReference"/>
        </w:rPr>
        <w:footnoteRef/>
      </w:r>
      <w:r>
        <w:t xml:space="preserve"> AHPCS Version 3.1 COST 3.004; AHPCS Version 3.1 Attachment 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38" w:rsidRDefault="00AC3838" w:rsidP="00FE7218">
    <w:pPr>
      <w:pStyle w:val="Header"/>
      <w:framePr w:hSpace="181" w:wrap="around" w:vAnchor="text" w:hAnchor="margin" w:y="1"/>
      <w:spacing w:line="240" w:lineRule="auto"/>
      <w:jc w:val="left"/>
      <w:rPr>
        <w:i w:val="0"/>
        <w:color w:val="0C2D83"/>
        <w:sz w:val="20"/>
      </w:rPr>
    </w:pPr>
    <w:r>
      <w:rPr>
        <w:rFonts w:ascii="KPMG Logo" w:hAnsi="KPMG Logo"/>
        <w:i w:val="0"/>
        <w:color w:val="0C2D83"/>
        <w:sz w:val="20"/>
      </w:rPr>
      <w:t>ABCD</w:t>
    </w:r>
  </w:p>
  <w:p w:rsidR="00AC3838" w:rsidRPr="00FE7218" w:rsidRDefault="00AC3838" w:rsidP="00FE7218">
    <w:pPr>
      <w:pStyle w:val="Header"/>
    </w:pPr>
    <w:r>
      <w:rPr>
        <w:noProof/>
        <w:lang w:eastAsia="en-AU"/>
      </w:rPr>
      <mc:AlternateContent>
        <mc:Choice Requires="wps">
          <w:drawing>
            <wp:anchor distT="0" distB="0" distL="114300" distR="114300" simplePos="0" relativeHeight="251679232" behindDoc="1" locked="0" layoutInCell="1" allowOverlap="1" wp14:anchorId="4260AF27" wp14:editId="122C4D67">
              <wp:simplePos x="0" y="0"/>
              <wp:positionH relativeFrom="margin">
                <wp:align>left</wp:align>
              </wp:positionH>
              <wp:positionV relativeFrom="page">
                <wp:align>center</wp:align>
              </wp:positionV>
              <wp:extent cx="4964430" cy="1724025"/>
              <wp:effectExtent l="0" t="0" r="0" b="0"/>
              <wp:wrapNone/>
              <wp:docPr id="9" name="Text Box 9 KISDraft"/>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4964430" cy="1724025"/>
                      </a:xfrm>
                      <a:prstGeom prst="rect">
                        <a:avLst/>
                      </a:prstGeom>
                      <a:extLst>
                        <a:ext uri="{AF507438-7753-43E0-B8FC-AC1667EBCBE1}">
                          <a14:hiddenEffects xmlns:a14="http://schemas.microsoft.com/office/drawing/2010/main">
                            <a:effectLst/>
                          </a14:hiddenEffects>
                        </a:ext>
                      </a:extLst>
                    </wps:spPr>
                    <wps:txbx>
                      <w:txbxContent>
                        <w:p w:rsidR="00AC3838" w:rsidRDefault="00AC3838" w:rsidP="008F6776">
                          <w:pPr>
                            <w:pStyle w:val="NormalWeb"/>
                            <w:jc w:val="center"/>
                            <w:rPr>
                              <w:sz w:val="24"/>
                              <w:szCs w:val="24"/>
                            </w:rPr>
                          </w:pPr>
                          <w:r>
                            <w:rPr>
                              <w:rFonts w:ascii="Arial Black" w:hAnsi="Arial Black"/>
                              <w:color w:val="DDDDDD"/>
                              <w:sz w:val="192"/>
                              <w:szCs w:val="192"/>
                              <w14:textOutline w14:w="9525" w14:cap="flat" w14:cmpd="sng" w14:algn="ctr">
                                <w14:solidFill>
                                  <w14:srgbClr w14:val="DDDDDD"/>
                                </w14:solidFill>
                                <w14:prstDash w14:val="solid"/>
                                <w14:round/>
                              </w14:textOutline>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KISDraft" o:spid="_x0000_s1026" type="#_x0000_t202" style="position:absolute;left:0;text-align:left;margin-left:0;margin-top:0;width:390.9pt;height:135.75pt;rotation:-45;z-index:-251637248;visibility:visible;mso-wrap-style:square;mso-width-percent:0;mso-height-percent:0;mso-wrap-distance-left:9pt;mso-wrap-distance-top:0;mso-wrap-distance-right:9pt;mso-wrap-distance-bottom:0;mso-position-horizontal:left;mso-position-horizontal-relative:margin;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" filled="f" stroked="f">
              <o:lock v:ext="edit" text="t" shapetype="t"/>
              <v:textbox style="mso-fit-shape-to-text:t">
                <w:txbxContent>
                  <w:p w:rsidR="00AC3838" w:rsidRDefault="00AC3838" w:rsidP="008F6776">
                    <w:pPr>
                      <w:pStyle w:val="NormalWeb"/>
                      <w:jc w:val="center"/>
                      <w:rPr>
                        <w:sz w:val="24"/>
                        <w:szCs w:val="24"/>
                      </w:rPr>
                    </w:pPr>
                    <w:r>
                      <w:rPr>
                        <w:rFonts w:ascii="Arial Black" w:hAnsi="Arial Black"/>
                        <w:color w:val="DDDDDD"/>
                        <w:sz w:val="192"/>
                        <w:szCs w:val="192"/>
                        <w14:textOutline w14:w="9525" w14:cap="flat" w14:cmpd="sng" w14:algn="ctr">
                          <w14:solidFill>
                            <w14:srgbClr w14:val="DDDDDD"/>
                          </w14:solidFill>
                          <w14:prstDash w14:val="solid"/>
                          <w14:round/>
                        </w14:textOutline>
                      </w:rPr>
                      <w:t>DRAFT</w:t>
                    </w:r>
                  </w:p>
                </w:txbxContent>
              </v:textbox>
              <w10:wrap anchorx="margin"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38" w:rsidRDefault="00AC3838">
    <w:pPr>
      <w:pStyle w:val="Header"/>
    </w:pPr>
    <w:r>
      <w:rPr>
        <w:noProof/>
        <w:lang w:eastAsia="en-AU"/>
      </w:rPr>
      <mc:AlternateContent>
        <mc:Choice Requires="wps">
          <w:drawing>
            <wp:anchor distT="0" distB="0" distL="114300" distR="114300" simplePos="0" relativeHeight="251677184" behindDoc="1" locked="0" layoutInCell="1" allowOverlap="1" wp14:anchorId="30FD3B5A" wp14:editId="7DDAACA8">
              <wp:simplePos x="0" y="0"/>
              <wp:positionH relativeFrom="margin">
                <wp:align>left</wp:align>
              </wp:positionH>
              <wp:positionV relativeFrom="page">
                <wp:align>center</wp:align>
              </wp:positionV>
              <wp:extent cx="4964430" cy="1724025"/>
              <wp:effectExtent l="0" t="0" r="0" b="0"/>
              <wp:wrapNone/>
              <wp:docPr id="8" name="Text Box 8 KISDraft"/>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4964430" cy="1724025"/>
                      </a:xfrm>
                      <a:prstGeom prst="rect">
                        <a:avLst/>
                      </a:prstGeom>
                      <a:extLst>
                        <a:ext uri="{AF507438-7753-43E0-B8FC-AC1667EBCBE1}">
                          <a14:hiddenEffects xmlns:a14="http://schemas.microsoft.com/office/drawing/2010/main">
                            <a:effectLst/>
                          </a14:hiddenEffects>
                        </a:ext>
                      </a:extLst>
                    </wps:spPr>
                    <wps:txbx>
                      <w:txbxContent>
                        <w:p w:rsidR="00AC3838" w:rsidRDefault="00AC3838" w:rsidP="008F6776">
                          <w:pPr>
                            <w:pStyle w:val="NormalWeb"/>
                            <w:jc w:val="center"/>
                            <w:rPr>
                              <w:sz w:val="24"/>
                              <w:szCs w:val="24"/>
                            </w:rPr>
                          </w:pPr>
                          <w:r>
                            <w:rPr>
                              <w:rFonts w:ascii="Arial Black" w:hAnsi="Arial Black"/>
                              <w:color w:val="DDDDDD"/>
                              <w:sz w:val="192"/>
                              <w:szCs w:val="192"/>
                              <w14:textOutline w14:w="9525" w14:cap="flat" w14:cmpd="sng" w14:algn="ctr">
                                <w14:solidFill>
                                  <w14:srgbClr w14:val="DDDDDD"/>
                                </w14:solidFill>
                                <w14:prstDash w14:val="solid"/>
                                <w14:round/>
                              </w14:textOutline>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KISDraft" o:spid="_x0000_s1027" type="#_x0000_t202" style="position:absolute;left:0;text-align:left;margin-left:0;margin-top:0;width:390.9pt;height:135.75pt;rotation:-45;z-index:-251639296;visibility:visible;mso-wrap-style:square;mso-width-percent:0;mso-height-percent:0;mso-wrap-distance-left:9pt;mso-wrap-distance-top:0;mso-wrap-distance-right:9pt;mso-wrap-distance-bottom:0;mso-position-horizontal:left;mso-position-horizontal-relative:margin;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" filled="f" stroked="f">
              <o:lock v:ext="edit" text="t" shapetype="t"/>
              <v:textbox style="mso-fit-shape-to-text:t">
                <w:txbxContent>
                  <w:p w:rsidR="00AC3838" w:rsidRDefault="00AC3838" w:rsidP="008F6776">
                    <w:pPr>
                      <w:pStyle w:val="NormalWeb"/>
                      <w:jc w:val="center"/>
                      <w:rPr>
                        <w:sz w:val="24"/>
                        <w:szCs w:val="24"/>
                      </w:rPr>
                    </w:pPr>
                    <w:r>
                      <w:rPr>
                        <w:rFonts w:ascii="Arial Black" w:hAnsi="Arial Black"/>
                        <w:color w:val="DDDDDD"/>
                        <w:sz w:val="192"/>
                        <w:szCs w:val="192"/>
                        <w14:textOutline w14:w="9525" w14:cap="flat" w14:cmpd="sng" w14:algn="ctr">
                          <w14:solidFill>
                            <w14:srgbClr w14:val="DDDDDD"/>
                          </w14:solidFill>
                          <w14:prstDash w14:val="solid"/>
                          <w14:round/>
                        </w14:textOutline>
                      </w:rPr>
                      <w:t>DRAFT</w:t>
                    </w:r>
                  </w:p>
                </w:txbxContent>
              </v:textbox>
              <w10:wrap anchorx="margin" anchory="page"/>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38" w:rsidRDefault="00AC3838" w:rsidP="00596937">
    <w:pPr>
      <w:pStyle w:val="Header"/>
    </w:pPr>
    <w:r>
      <w:t>Independent Hospital Pricing Authority</w:t>
    </w:r>
  </w:p>
  <w:p w:rsidR="00AC3838" w:rsidRPr="00596937" w:rsidRDefault="00AC3838" w:rsidP="00596937">
    <w:pPr>
      <w:pStyle w:val="Header"/>
    </w:pPr>
    <w:r>
      <w:t>Round 18 – NHCDC Independent Financial Review</w:t>
    </w:r>
  </w:p>
  <w:p w:rsidR="00AC3838" w:rsidRPr="0087772C" w:rsidRDefault="00AC3838" w:rsidP="0056248E">
    <w:pPr>
      <w:pStyle w:val="Header"/>
      <w:ind w:left="1134" w:firstLine="567"/>
    </w:pPr>
    <w:r>
      <w:t xml:space="preserve">March </w:t>
    </w:r>
    <w:r w:rsidRPr="0087772C">
      <w:t>2016</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38" w:rsidRDefault="00AC3838" w:rsidP="00596937">
    <w:pPr>
      <w:pStyle w:val="Header"/>
    </w:pPr>
    <w:r>
      <w:t>Independent Hospital Pricing Authority</w:t>
    </w:r>
  </w:p>
  <w:p w:rsidR="00AC3838" w:rsidRPr="00596937" w:rsidRDefault="00AC3838" w:rsidP="00596937">
    <w:pPr>
      <w:pStyle w:val="Header"/>
    </w:pPr>
    <w:r>
      <w:t>Round 18 – NHCDC Independent Financial Review</w:t>
    </w:r>
  </w:p>
  <w:p w:rsidR="00AC3838" w:rsidRDefault="00AC3838" w:rsidP="00596937">
    <w:pPr>
      <w:pStyle w:val="Header"/>
    </w:pPr>
    <w:r>
      <w:t>March 2016</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838" w:rsidRDefault="00AC3838" w:rsidP="00596937">
    <w:pPr>
      <w:pStyle w:val="Header"/>
    </w:pPr>
    <w:r>
      <w:t>Independent Hospital Pricing Authority</w:t>
    </w:r>
  </w:p>
  <w:p w:rsidR="00AC3838" w:rsidRPr="00596937" w:rsidRDefault="00AC3838" w:rsidP="00596937">
    <w:pPr>
      <w:pStyle w:val="Header"/>
    </w:pPr>
    <w:r>
      <w:t>Round 18 – NHCDC Independent Financial Review</w:t>
    </w:r>
  </w:p>
  <w:p w:rsidR="00AC3838" w:rsidRDefault="00AC3838" w:rsidP="00596937">
    <w:pPr>
      <w:pStyle w:val="Header"/>
    </w:pPr>
    <w:r>
      <w:t>March 2016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1"/>
    <w:multiLevelType w:val="singleLevel"/>
    <w:tmpl w:val="FA1E05FC"/>
    <w:lvl w:ilvl="0">
      <w:start w:val="1"/>
      <w:numFmt w:val="bullet"/>
      <w:pStyle w:val="ListBullet4"/>
      <w:lvlText w:val="-"/>
      <w:lvlJc w:val="left"/>
      <w:pPr>
        <w:tabs>
          <w:tab w:val="num" w:pos="765"/>
        </w:tabs>
        <w:ind w:left="765" w:hanging="340"/>
      </w:pPr>
      <w:rPr>
        <w:rFonts w:ascii="9999999" w:hAnsi="9999999" w:cs="Courier New" w:hint="default"/>
      </w:rPr>
    </w:lvl>
  </w:abstractNum>
  <w:abstractNum w:abstractNumId="1">
    <w:nsid w:val="FFFFFF83"/>
    <w:multiLevelType w:val="singleLevel"/>
    <w:tmpl w:val="4C5E42F4"/>
    <w:lvl w:ilvl="0">
      <w:start w:val="1"/>
      <w:numFmt w:val="bullet"/>
      <w:pStyle w:val="ListBullet2"/>
      <w:lvlText w:val="-"/>
      <w:lvlJc w:val="left"/>
      <w:pPr>
        <w:tabs>
          <w:tab w:val="num" w:pos="680"/>
        </w:tabs>
        <w:ind w:left="680" w:hanging="340"/>
      </w:pPr>
      <w:rPr>
        <w:rFonts w:ascii="9999999" w:hAnsi="9999999" w:cs="Courier New" w:hint="default"/>
        <w:color w:val="00338D"/>
      </w:rPr>
    </w:lvl>
  </w:abstractNum>
  <w:abstractNum w:abstractNumId="2">
    <w:nsid w:val="FFFFFF89"/>
    <w:multiLevelType w:val="singleLevel"/>
    <w:tmpl w:val="D87E1B8E"/>
    <w:lvl w:ilvl="0">
      <w:start w:val="1"/>
      <w:numFmt w:val="bullet"/>
      <w:pStyle w:val="ListBullet"/>
      <w:lvlText w:val=""/>
      <w:lvlJc w:val="left"/>
      <w:pPr>
        <w:tabs>
          <w:tab w:val="num" w:pos="340"/>
        </w:tabs>
        <w:ind w:left="340" w:hanging="340"/>
      </w:pPr>
      <w:rPr>
        <w:rFonts w:ascii="Symbol" w:hAnsi="Symbol" w:hint="default"/>
        <w:color w:val="auto"/>
        <w:sz w:val="22"/>
      </w:rPr>
    </w:lvl>
  </w:abstractNum>
  <w:abstractNum w:abstractNumId="3">
    <w:nsid w:val="01A9657B"/>
    <w:multiLevelType w:val="singleLevel"/>
    <w:tmpl w:val="30102DB0"/>
    <w:lvl w:ilvl="0">
      <w:start w:val="1"/>
      <w:numFmt w:val="bullet"/>
      <w:lvlText w:val=""/>
      <w:lvlJc w:val="left"/>
      <w:pPr>
        <w:tabs>
          <w:tab w:val="num" w:pos="340"/>
        </w:tabs>
        <w:ind w:left="340" w:hanging="340"/>
      </w:pPr>
      <w:rPr>
        <w:rFonts w:ascii="Symbol" w:hAnsi="Symbol" w:hint="default"/>
        <w:color w:val="auto"/>
        <w:sz w:val="22"/>
      </w:rPr>
    </w:lvl>
  </w:abstractNum>
  <w:abstractNum w:abstractNumId="4">
    <w:nsid w:val="023E3AC0"/>
    <w:multiLevelType w:val="singleLevel"/>
    <w:tmpl w:val="18E21A58"/>
    <w:lvl w:ilvl="0">
      <w:start w:val="1"/>
      <w:numFmt w:val="bullet"/>
      <w:lvlText w:val=""/>
      <w:lvlJc w:val="left"/>
      <w:pPr>
        <w:tabs>
          <w:tab w:val="num" w:pos="340"/>
        </w:tabs>
        <w:ind w:left="340" w:hanging="340"/>
      </w:pPr>
      <w:rPr>
        <w:rFonts w:ascii="Symbol" w:hAnsi="Symbol" w:hint="default"/>
        <w:color w:val="auto"/>
        <w:sz w:val="22"/>
      </w:rPr>
    </w:lvl>
  </w:abstractNum>
  <w:abstractNum w:abstractNumId="5">
    <w:nsid w:val="03963916"/>
    <w:multiLevelType w:val="hybridMultilevel"/>
    <w:tmpl w:val="70C24884"/>
    <w:lvl w:ilvl="0" w:tplc="AFF02454">
      <w:start w:val="1"/>
      <w:numFmt w:val="bullet"/>
      <w:lvlText w:val=""/>
      <w:lvlJc w:val="left"/>
      <w:pPr>
        <w:tabs>
          <w:tab w:val="num" w:pos="340"/>
        </w:tabs>
        <w:ind w:left="340" w:hanging="340"/>
      </w:pPr>
      <w:rPr>
        <w:rFonts w:ascii="Symbol" w:hAnsi="Symbol" w:hint="default"/>
        <w:color w:val="auto"/>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04BB2143"/>
    <w:multiLevelType w:val="hybridMultilevel"/>
    <w:tmpl w:val="E944959C"/>
    <w:lvl w:ilvl="0" w:tplc="464C38FE">
      <w:start w:val="1"/>
      <w:numFmt w:val="decimal"/>
      <w:lvlText w:val="%1."/>
      <w:lvlJc w:val="left"/>
      <w:pPr>
        <w:tabs>
          <w:tab w:val="num" w:pos="360"/>
        </w:tabs>
        <w:ind w:left="360" w:hanging="360"/>
      </w:pPr>
      <w:rPr>
        <w:rFonts w:hint="default"/>
      </w:rPr>
    </w:lvl>
    <w:lvl w:ilvl="1" w:tplc="CFEC16FC">
      <w:start w:val="1"/>
      <w:numFmt w:val="bullet"/>
      <w:pStyle w:val="bodyindentbullet1"/>
      <w:lvlText w:val=""/>
      <w:lvlJc w:val="left"/>
      <w:pPr>
        <w:tabs>
          <w:tab w:val="num" w:pos="340"/>
        </w:tabs>
        <w:ind w:left="340" w:hanging="340"/>
      </w:pPr>
      <w:rPr>
        <w:rFonts w:ascii="Symbol" w:hAnsi="Symbol" w:hint="default"/>
        <w:color w:val="000080"/>
        <w:sz w:val="22"/>
      </w:rPr>
    </w:lvl>
    <w:lvl w:ilvl="2" w:tplc="34D43578">
      <w:start w:val="1"/>
      <w:numFmt w:val="lowerRoman"/>
      <w:lvlText w:val="%3."/>
      <w:lvlJc w:val="right"/>
      <w:pPr>
        <w:tabs>
          <w:tab w:val="num" w:pos="1800"/>
        </w:tabs>
        <w:ind w:left="1800" w:hanging="180"/>
      </w:pPr>
    </w:lvl>
    <w:lvl w:ilvl="3" w:tplc="91749B22" w:tentative="1">
      <w:start w:val="1"/>
      <w:numFmt w:val="decimal"/>
      <w:lvlText w:val="%4."/>
      <w:lvlJc w:val="left"/>
      <w:pPr>
        <w:tabs>
          <w:tab w:val="num" w:pos="2520"/>
        </w:tabs>
        <w:ind w:left="2520" w:hanging="360"/>
      </w:pPr>
    </w:lvl>
    <w:lvl w:ilvl="4" w:tplc="F8847D60" w:tentative="1">
      <w:start w:val="1"/>
      <w:numFmt w:val="lowerLetter"/>
      <w:lvlText w:val="%5."/>
      <w:lvlJc w:val="left"/>
      <w:pPr>
        <w:tabs>
          <w:tab w:val="num" w:pos="3240"/>
        </w:tabs>
        <w:ind w:left="3240" w:hanging="360"/>
      </w:pPr>
    </w:lvl>
    <w:lvl w:ilvl="5" w:tplc="2F0650CE" w:tentative="1">
      <w:start w:val="1"/>
      <w:numFmt w:val="lowerRoman"/>
      <w:lvlText w:val="%6."/>
      <w:lvlJc w:val="right"/>
      <w:pPr>
        <w:tabs>
          <w:tab w:val="num" w:pos="3960"/>
        </w:tabs>
        <w:ind w:left="3960" w:hanging="180"/>
      </w:pPr>
    </w:lvl>
    <w:lvl w:ilvl="6" w:tplc="5FFCAF8E" w:tentative="1">
      <w:start w:val="1"/>
      <w:numFmt w:val="decimal"/>
      <w:lvlText w:val="%7."/>
      <w:lvlJc w:val="left"/>
      <w:pPr>
        <w:tabs>
          <w:tab w:val="num" w:pos="4680"/>
        </w:tabs>
        <w:ind w:left="4680" w:hanging="360"/>
      </w:pPr>
    </w:lvl>
    <w:lvl w:ilvl="7" w:tplc="68888034" w:tentative="1">
      <w:start w:val="1"/>
      <w:numFmt w:val="lowerLetter"/>
      <w:lvlText w:val="%8."/>
      <w:lvlJc w:val="left"/>
      <w:pPr>
        <w:tabs>
          <w:tab w:val="num" w:pos="5400"/>
        </w:tabs>
        <w:ind w:left="5400" w:hanging="360"/>
      </w:pPr>
    </w:lvl>
    <w:lvl w:ilvl="8" w:tplc="E3A49EE6" w:tentative="1">
      <w:start w:val="1"/>
      <w:numFmt w:val="lowerRoman"/>
      <w:lvlText w:val="%9."/>
      <w:lvlJc w:val="right"/>
      <w:pPr>
        <w:tabs>
          <w:tab w:val="num" w:pos="6120"/>
        </w:tabs>
        <w:ind w:left="6120" w:hanging="180"/>
      </w:pPr>
    </w:lvl>
  </w:abstractNum>
  <w:abstractNum w:abstractNumId="7">
    <w:nsid w:val="06B9158B"/>
    <w:multiLevelType w:val="hybridMultilevel"/>
    <w:tmpl w:val="5DB8AF7E"/>
    <w:lvl w:ilvl="0" w:tplc="C572476A">
      <w:start w:val="1"/>
      <w:numFmt w:val="decimal"/>
      <w:pStyle w:val="Heading4"/>
      <w:lvlText w:val="%1."/>
      <w:lvlJc w:val="left"/>
      <w:pPr>
        <w:ind w:left="720" w:hanging="360"/>
      </w:pPr>
      <w:rPr>
        <w:rFonts w:ascii="Univers 45 Light" w:hAnsi="Univers 45 Light" w:hint="default"/>
        <w:b w:val="0"/>
        <w:i/>
        <w:color w:val="1F497D"/>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06FF08E8"/>
    <w:multiLevelType w:val="hybridMultilevel"/>
    <w:tmpl w:val="40263CEC"/>
    <w:lvl w:ilvl="0" w:tplc="7968F046">
      <w:start w:val="1"/>
      <w:numFmt w:val="bullet"/>
      <w:pStyle w:val="Tablebullets"/>
      <w:lvlText w:val=""/>
      <w:lvlJc w:val="left"/>
      <w:pPr>
        <w:tabs>
          <w:tab w:val="num" w:pos="357"/>
        </w:tabs>
        <w:ind w:left="357" w:hanging="357"/>
      </w:pPr>
      <w:rPr>
        <w:rFonts w:ascii="Symbol" w:hAnsi="Symbol" w:hint="default"/>
        <w:color w:val="00338D"/>
      </w:rPr>
    </w:lvl>
    <w:lvl w:ilvl="1" w:tplc="6F4C22E2" w:tentative="1">
      <w:start w:val="1"/>
      <w:numFmt w:val="bullet"/>
      <w:lvlText w:val="o"/>
      <w:lvlJc w:val="left"/>
      <w:pPr>
        <w:tabs>
          <w:tab w:val="num" w:pos="1440"/>
        </w:tabs>
        <w:ind w:left="1440" w:hanging="360"/>
      </w:pPr>
      <w:rPr>
        <w:rFonts w:ascii="Courier New" w:hAnsi="Courier New" w:cs="Courier New" w:hint="default"/>
      </w:rPr>
    </w:lvl>
    <w:lvl w:ilvl="2" w:tplc="9B547F0C" w:tentative="1">
      <w:start w:val="1"/>
      <w:numFmt w:val="bullet"/>
      <w:lvlText w:val=""/>
      <w:lvlJc w:val="left"/>
      <w:pPr>
        <w:tabs>
          <w:tab w:val="num" w:pos="2160"/>
        </w:tabs>
        <w:ind w:left="2160" w:hanging="360"/>
      </w:pPr>
      <w:rPr>
        <w:rFonts w:ascii="Wingdings" w:hAnsi="Wingdings" w:hint="default"/>
      </w:rPr>
    </w:lvl>
    <w:lvl w:ilvl="3" w:tplc="91061238" w:tentative="1">
      <w:start w:val="1"/>
      <w:numFmt w:val="bullet"/>
      <w:lvlText w:val=""/>
      <w:lvlJc w:val="left"/>
      <w:pPr>
        <w:tabs>
          <w:tab w:val="num" w:pos="2880"/>
        </w:tabs>
        <w:ind w:left="2880" w:hanging="360"/>
      </w:pPr>
      <w:rPr>
        <w:rFonts w:ascii="Symbol" w:hAnsi="Symbol" w:hint="default"/>
      </w:rPr>
    </w:lvl>
    <w:lvl w:ilvl="4" w:tplc="51FA6284" w:tentative="1">
      <w:start w:val="1"/>
      <w:numFmt w:val="bullet"/>
      <w:lvlText w:val="o"/>
      <w:lvlJc w:val="left"/>
      <w:pPr>
        <w:tabs>
          <w:tab w:val="num" w:pos="3600"/>
        </w:tabs>
        <w:ind w:left="3600" w:hanging="360"/>
      </w:pPr>
      <w:rPr>
        <w:rFonts w:ascii="Courier New" w:hAnsi="Courier New" w:cs="Courier New" w:hint="default"/>
      </w:rPr>
    </w:lvl>
    <w:lvl w:ilvl="5" w:tplc="D1E6033A" w:tentative="1">
      <w:start w:val="1"/>
      <w:numFmt w:val="bullet"/>
      <w:lvlText w:val=""/>
      <w:lvlJc w:val="left"/>
      <w:pPr>
        <w:tabs>
          <w:tab w:val="num" w:pos="4320"/>
        </w:tabs>
        <w:ind w:left="4320" w:hanging="360"/>
      </w:pPr>
      <w:rPr>
        <w:rFonts w:ascii="Wingdings" w:hAnsi="Wingdings" w:hint="default"/>
      </w:rPr>
    </w:lvl>
    <w:lvl w:ilvl="6" w:tplc="2D70992A" w:tentative="1">
      <w:start w:val="1"/>
      <w:numFmt w:val="bullet"/>
      <w:lvlText w:val=""/>
      <w:lvlJc w:val="left"/>
      <w:pPr>
        <w:tabs>
          <w:tab w:val="num" w:pos="5040"/>
        </w:tabs>
        <w:ind w:left="5040" w:hanging="360"/>
      </w:pPr>
      <w:rPr>
        <w:rFonts w:ascii="Symbol" w:hAnsi="Symbol" w:hint="default"/>
      </w:rPr>
    </w:lvl>
    <w:lvl w:ilvl="7" w:tplc="75E8BEDA" w:tentative="1">
      <w:start w:val="1"/>
      <w:numFmt w:val="bullet"/>
      <w:lvlText w:val="o"/>
      <w:lvlJc w:val="left"/>
      <w:pPr>
        <w:tabs>
          <w:tab w:val="num" w:pos="5760"/>
        </w:tabs>
        <w:ind w:left="5760" w:hanging="360"/>
      </w:pPr>
      <w:rPr>
        <w:rFonts w:ascii="Courier New" w:hAnsi="Courier New" w:cs="Courier New" w:hint="default"/>
      </w:rPr>
    </w:lvl>
    <w:lvl w:ilvl="8" w:tplc="62C81694" w:tentative="1">
      <w:start w:val="1"/>
      <w:numFmt w:val="bullet"/>
      <w:lvlText w:val=""/>
      <w:lvlJc w:val="left"/>
      <w:pPr>
        <w:tabs>
          <w:tab w:val="num" w:pos="6480"/>
        </w:tabs>
        <w:ind w:left="6480" w:hanging="360"/>
      </w:pPr>
      <w:rPr>
        <w:rFonts w:ascii="Wingdings" w:hAnsi="Wingdings" w:hint="default"/>
      </w:rPr>
    </w:lvl>
  </w:abstractNum>
  <w:abstractNum w:abstractNumId="9">
    <w:nsid w:val="089319D6"/>
    <w:multiLevelType w:val="singleLevel"/>
    <w:tmpl w:val="AFF02454"/>
    <w:lvl w:ilvl="0">
      <w:start w:val="1"/>
      <w:numFmt w:val="bullet"/>
      <w:lvlText w:val=""/>
      <w:lvlJc w:val="left"/>
      <w:pPr>
        <w:tabs>
          <w:tab w:val="num" w:pos="340"/>
        </w:tabs>
        <w:ind w:left="340" w:hanging="340"/>
      </w:pPr>
      <w:rPr>
        <w:rFonts w:ascii="Symbol" w:hAnsi="Symbol" w:hint="default"/>
        <w:color w:val="auto"/>
        <w:sz w:val="22"/>
      </w:rPr>
    </w:lvl>
  </w:abstractNum>
  <w:abstractNum w:abstractNumId="10">
    <w:nsid w:val="0B697A45"/>
    <w:multiLevelType w:val="singleLevel"/>
    <w:tmpl w:val="B948992E"/>
    <w:lvl w:ilvl="0">
      <w:start w:val="1"/>
      <w:numFmt w:val="bullet"/>
      <w:lvlText w:val=""/>
      <w:lvlJc w:val="left"/>
      <w:pPr>
        <w:tabs>
          <w:tab w:val="num" w:pos="340"/>
        </w:tabs>
        <w:ind w:left="340" w:hanging="340"/>
      </w:pPr>
      <w:rPr>
        <w:rFonts w:ascii="Symbol" w:hAnsi="Symbol" w:hint="default"/>
        <w:color w:val="auto"/>
        <w:sz w:val="22"/>
      </w:rPr>
    </w:lvl>
  </w:abstractNum>
  <w:abstractNum w:abstractNumId="11">
    <w:nsid w:val="0D411E44"/>
    <w:multiLevelType w:val="singleLevel"/>
    <w:tmpl w:val="5CDAA51E"/>
    <w:lvl w:ilvl="0">
      <w:start w:val="1"/>
      <w:numFmt w:val="bullet"/>
      <w:lvlText w:val=""/>
      <w:lvlJc w:val="left"/>
      <w:pPr>
        <w:tabs>
          <w:tab w:val="num" w:pos="340"/>
        </w:tabs>
        <w:ind w:left="340" w:hanging="340"/>
      </w:pPr>
      <w:rPr>
        <w:rFonts w:ascii="Symbol" w:hAnsi="Symbol" w:hint="default"/>
        <w:color w:val="auto"/>
        <w:sz w:val="22"/>
      </w:rPr>
    </w:lvl>
  </w:abstractNum>
  <w:abstractNum w:abstractNumId="12">
    <w:nsid w:val="0DF474A1"/>
    <w:multiLevelType w:val="hybridMultilevel"/>
    <w:tmpl w:val="7B7EFBE0"/>
    <w:lvl w:ilvl="0" w:tplc="6E02BD9C">
      <w:start w:val="1"/>
      <w:numFmt w:val="bullet"/>
      <w:pStyle w:val="StyleHeading1Justified"/>
      <w:lvlText w:val=""/>
      <w:lvlJc w:val="left"/>
      <w:pPr>
        <w:tabs>
          <w:tab w:val="num" w:pos="340"/>
        </w:tabs>
        <w:ind w:left="340" w:hanging="340"/>
      </w:pPr>
      <w:rPr>
        <w:rFonts w:ascii="Symbol" w:hAnsi="Symbol" w:hint="default"/>
        <w:color w:val="333399"/>
        <w:sz w:val="22"/>
      </w:rPr>
    </w:lvl>
    <w:lvl w:ilvl="1" w:tplc="BFB40B1A">
      <w:start w:val="1"/>
      <w:numFmt w:val="bullet"/>
      <w:lvlText w:val=""/>
      <w:lvlJc w:val="left"/>
      <w:pPr>
        <w:tabs>
          <w:tab w:val="num" w:pos="340"/>
        </w:tabs>
        <w:ind w:left="340" w:hanging="340"/>
      </w:pPr>
      <w:rPr>
        <w:rFonts w:ascii="Symbol" w:hAnsi="Symbol" w:hint="default"/>
        <w:color w:val="auto"/>
        <w:sz w:val="22"/>
      </w:rPr>
    </w:lvl>
    <w:lvl w:ilvl="2" w:tplc="5BDC61AE">
      <w:start w:val="1"/>
      <w:numFmt w:val="bullet"/>
      <w:lvlText w:val=""/>
      <w:lvlJc w:val="left"/>
      <w:pPr>
        <w:tabs>
          <w:tab w:val="num" w:pos="2160"/>
        </w:tabs>
        <w:ind w:left="2160" w:hanging="360"/>
      </w:pPr>
      <w:rPr>
        <w:rFonts w:ascii="Wingdings" w:hAnsi="Wingdings" w:hint="default"/>
      </w:rPr>
    </w:lvl>
    <w:lvl w:ilvl="3" w:tplc="ED48AD0A">
      <w:start w:val="1"/>
      <w:numFmt w:val="bullet"/>
      <w:lvlText w:val=""/>
      <w:lvlJc w:val="left"/>
      <w:pPr>
        <w:tabs>
          <w:tab w:val="num" w:pos="340"/>
        </w:tabs>
        <w:ind w:left="340" w:hanging="340"/>
      </w:pPr>
      <w:rPr>
        <w:rFonts w:ascii="Symbol" w:hAnsi="Symbol" w:hint="default"/>
        <w:color w:val="auto"/>
        <w:sz w:val="22"/>
      </w:rPr>
    </w:lvl>
    <w:lvl w:ilvl="4" w:tplc="F216C834" w:tentative="1">
      <w:start w:val="1"/>
      <w:numFmt w:val="bullet"/>
      <w:lvlText w:val="o"/>
      <w:lvlJc w:val="left"/>
      <w:pPr>
        <w:tabs>
          <w:tab w:val="num" w:pos="3600"/>
        </w:tabs>
        <w:ind w:left="3600" w:hanging="360"/>
      </w:pPr>
      <w:rPr>
        <w:rFonts w:ascii="Courier New" w:hAnsi="Courier New" w:cs="Courier New" w:hint="default"/>
      </w:rPr>
    </w:lvl>
    <w:lvl w:ilvl="5" w:tplc="0D5CF1B0" w:tentative="1">
      <w:start w:val="1"/>
      <w:numFmt w:val="bullet"/>
      <w:lvlText w:val=""/>
      <w:lvlJc w:val="left"/>
      <w:pPr>
        <w:tabs>
          <w:tab w:val="num" w:pos="4320"/>
        </w:tabs>
        <w:ind w:left="4320" w:hanging="360"/>
      </w:pPr>
      <w:rPr>
        <w:rFonts w:ascii="Wingdings" w:hAnsi="Wingdings" w:hint="default"/>
      </w:rPr>
    </w:lvl>
    <w:lvl w:ilvl="6" w:tplc="936E473A" w:tentative="1">
      <w:start w:val="1"/>
      <w:numFmt w:val="bullet"/>
      <w:lvlText w:val=""/>
      <w:lvlJc w:val="left"/>
      <w:pPr>
        <w:tabs>
          <w:tab w:val="num" w:pos="5040"/>
        </w:tabs>
        <w:ind w:left="5040" w:hanging="360"/>
      </w:pPr>
      <w:rPr>
        <w:rFonts w:ascii="Symbol" w:hAnsi="Symbol" w:hint="default"/>
      </w:rPr>
    </w:lvl>
    <w:lvl w:ilvl="7" w:tplc="0ADACD10" w:tentative="1">
      <w:start w:val="1"/>
      <w:numFmt w:val="bullet"/>
      <w:lvlText w:val="o"/>
      <w:lvlJc w:val="left"/>
      <w:pPr>
        <w:tabs>
          <w:tab w:val="num" w:pos="5760"/>
        </w:tabs>
        <w:ind w:left="5760" w:hanging="360"/>
      </w:pPr>
      <w:rPr>
        <w:rFonts w:ascii="Courier New" w:hAnsi="Courier New" w:cs="Courier New" w:hint="default"/>
      </w:rPr>
    </w:lvl>
    <w:lvl w:ilvl="8" w:tplc="65E45A4E" w:tentative="1">
      <w:start w:val="1"/>
      <w:numFmt w:val="bullet"/>
      <w:lvlText w:val=""/>
      <w:lvlJc w:val="left"/>
      <w:pPr>
        <w:tabs>
          <w:tab w:val="num" w:pos="6480"/>
        </w:tabs>
        <w:ind w:left="6480" w:hanging="360"/>
      </w:pPr>
      <w:rPr>
        <w:rFonts w:ascii="Wingdings" w:hAnsi="Wingdings" w:hint="default"/>
      </w:rPr>
    </w:lvl>
  </w:abstractNum>
  <w:abstractNum w:abstractNumId="13">
    <w:nsid w:val="135016AE"/>
    <w:multiLevelType w:val="singleLevel"/>
    <w:tmpl w:val="251269B8"/>
    <w:lvl w:ilvl="0">
      <w:start w:val="1"/>
      <w:numFmt w:val="bullet"/>
      <w:lvlText w:val=""/>
      <w:lvlJc w:val="left"/>
      <w:pPr>
        <w:tabs>
          <w:tab w:val="num" w:pos="340"/>
        </w:tabs>
        <w:ind w:left="340" w:hanging="340"/>
      </w:pPr>
      <w:rPr>
        <w:rFonts w:ascii="Symbol" w:hAnsi="Symbol" w:hint="default"/>
        <w:color w:val="auto"/>
        <w:sz w:val="22"/>
      </w:rPr>
    </w:lvl>
  </w:abstractNum>
  <w:abstractNum w:abstractNumId="14">
    <w:nsid w:val="15BA3C20"/>
    <w:multiLevelType w:val="singleLevel"/>
    <w:tmpl w:val="05A0324E"/>
    <w:lvl w:ilvl="0">
      <w:start w:val="1"/>
      <w:numFmt w:val="bullet"/>
      <w:lvlText w:val=""/>
      <w:lvlJc w:val="left"/>
      <w:pPr>
        <w:tabs>
          <w:tab w:val="num" w:pos="340"/>
        </w:tabs>
        <w:ind w:left="340" w:hanging="340"/>
      </w:pPr>
      <w:rPr>
        <w:rFonts w:ascii="Symbol" w:hAnsi="Symbol" w:hint="default"/>
        <w:color w:val="auto"/>
        <w:sz w:val="22"/>
      </w:rPr>
    </w:lvl>
  </w:abstractNum>
  <w:abstractNum w:abstractNumId="15">
    <w:nsid w:val="18192E4A"/>
    <w:multiLevelType w:val="singleLevel"/>
    <w:tmpl w:val="6D3C23E4"/>
    <w:lvl w:ilvl="0">
      <w:start w:val="1"/>
      <w:numFmt w:val="bullet"/>
      <w:lvlText w:val=""/>
      <w:lvlJc w:val="left"/>
      <w:pPr>
        <w:tabs>
          <w:tab w:val="num" w:pos="340"/>
        </w:tabs>
        <w:ind w:left="340" w:hanging="340"/>
      </w:pPr>
      <w:rPr>
        <w:rFonts w:ascii="Symbol" w:hAnsi="Symbol" w:hint="default"/>
        <w:color w:val="auto"/>
        <w:sz w:val="22"/>
      </w:rPr>
    </w:lvl>
  </w:abstractNum>
  <w:abstractNum w:abstractNumId="16">
    <w:nsid w:val="1A450D94"/>
    <w:multiLevelType w:val="singleLevel"/>
    <w:tmpl w:val="EA4867C4"/>
    <w:lvl w:ilvl="0">
      <w:start w:val="1"/>
      <w:numFmt w:val="bullet"/>
      <w:lvlText w:val=""/>
      <w:lvlJc w:val="left"/>
      <w:pPr>
        <w:tabs>
          <w:tab w:val="num" w:pos="340"/>
        </w:tabs>
        <w:ind w:left="340" w:hanging="340"/>
      </w:pPr>
      <w:rPr>
        <w:rFonts w:ascii="Symbol" w:hAnsi="Symbol" w:hint="default"/>
        <w:color w:val="auto"/>
        <w:sz w:val="22"/>
      </w:rPr>
    </w:lvl>
  </w:abstractNum>
  <w:abstractNum w:abstractNumId="17">
    <w:nsid w:val="1D6C63F5"/>
    <w:multiLevelType w:val="singleLevel"/>
    <w:tmpl w:val="F06E3498"/>
    <w:lvl w:ilvl="0">
      <w:start w:val="1"/>
      <w:numFmt w:val="bullet"/>
      <w:lvlText w:val=""/>
      <w:lvlJc w:val="left"/>
      <w:pPr>
        <w:tabs>
          <w:tab w:val="num" w:pos="340"/>
        </w:tabs>
        <w:ind w:left="340" w:hanging="340"/>
      </w:pPr>
      <w:rPr>
        <w:rFonts w:ascii="Symbol" w:hAnsi="Symbol" w:hint="default"/>
        <w:color w:val="auto"/>
        <w:sz w:val="22"/>
      </w:rPr>
    </w:lvl>
  </w:abstractNum>
  <w:abstractNum w:abstractNumId="18">
    <w:nsid w:val="1DB605AF"/>
    <w:multiLevelType w:val="multilevel"/>
    <w:tmpl w:val="C964B4B0"/>
    <w:styleLink w:val="Leftnumbers"/>
    <w:lvl w:ilvl="0">
      <w:start w:val="1"/>
      <w:numFmt w:val="decimal"/>
      <w:lvlText w:val="%1."/>
      <w:lvlJc w:val="left"/>
      <w:pPr>
        <w:tabs>
          <w:tab w:val="num" w:pos="720"/>
        </w:tabs>
        <w:ind w:left="720" w:hanging="720"/>
      </w:pPr>
      <w:rPr>
        <w:rFonts w:ascii="Univers for KPMG Light" w:hAnsi="Univers for KPMG Light" w:hint="default"/>
        <w:b/>
        <w:i w:val="0"/>
        <w:color w:val="1F497D"/>
        <w:sz w:val="32"/>
      </w:rPr>
    </w:lvl>
    <w:lvl w:ilvl="1">
      <w:start w:val="1"/>
      <w:numFmt w:val="decimal"/>
      <w:lvlText w:val="%1.%2"/>
      <w:lvlJc w:val="left"/>
      <w:pPr>
        <w:tabs>
          <w:tab w:val="num" w:pos="720"/>
        </w:tabs>
        <w:ind w:left="720" w:hanging="720"/>
      </w:pPr>
      <w:rPr>
        <w:rFonts w:ascii="Univers for KPMG Light" w:hAnsi="Univers for KPMG Light" w:hint="default"/>
        <w:b/>
        <w:i w:val="0"/>
        <w:color w:val="1F497D"/>
        <w:sz w:val="28"/>
      </w:rPr>
    </w:lvl>
    <w:lvl w:ilvl="2">
      <w:start w:val="1"/>
      <w:numFmt w:val="decimal"/>
      <w:lvlText w:val="%1.%2.%3"/>
      <w:lvlJc w:val="left"/>
      <w:pPr>
        <w:tabs>
          <w:tab w:val="num" w:pos="720"/>
        </w:tabs>
        <w:ind w:left="720" w:hanging="720"/>
      </w:pPr>
      <w:rPr>
        <w:rFonts w:ascii="Univers for KPMG Light" w:hAnsi="Univers for KPMG Light" w:hint="default"/>
        <w:b/>
        <w:i w:val="0"/>
        <w:color w:val="1F497D"/>
        <w:sz w:val="24"/>
      </w:rPr>
    </w:lvl>
    <w:lvl w:ilvl="3">
      <w:start w:val="1"/>
      <w:numFmt w:val="decimal"/>
      <w:lvlText w:val="%1.%2.%3.%4"/>
      <w:lvlJc w:val="left"/>
      <w:pPr>
        <w:tabs>
          <w:tab w:val="num" w:pos="720"/>
        </w:tabs>
        <w:ind w:left="720" w:hanging="720"/>
      </w:pPr>
      <w:rPr>
        <w:rFonts w:ascii="Univers for KPMG Light" w:hAnsi="Univers for KPMG Light" w:hint="default"/>
        <w:b w:val="0"/>
        <w:i/>
        <w:sz w:val="22"/>
      </w:rPr>
    </w:lvl>
    <w:lvl w:ilvl="4">
      <w:start w:val="1"/>
      <w:numFmt w:val="none"/>
      <w:suff w:val="nothing"/>
      <w:lvlText w:val=""/>
      <w:lvlJc w:val="left"/>
      <w:pPr>
        <w:ind w:left="720" w:hanging="720"/>
      </w:pPr>
      <w:rPr>
        <w:rFonts w:hint="default"/>
      </w:rPr>
    </w:lvl>
    <w:lvl w:ilvl="5">
      <w:start w:val="1"/>
      <w:numFmt w:val="none"/>
      <w:lvlText w:val=""/>
      <w:lvlJc w:val="left"/>
      <w:pPr>
        <w:tabs>
          <w:tab w:val="num" w:pos="720"/>
        </w:tabs>
        <w:ind w:left="720" w:hanging="720"/>
      </w:pPr>
      <w:rPr>
        <w:rFonts w:hint="default"/>
      </w:rPr>
    </w:lvl>
    <w:lvl w:ilvl="6">
      <w:start w:val="1"/>
      <w:numFmt w:val="none"/>
      <w:lvlText w:val="%7"/>
      <w:lvlJc w:val="left"/>
      <w:pPr>
        <w:tabs>
          <w:tab w:val="num" w:pos="720"/>
        </w:tabs>
        <w:ind w:left="720" w:hanging="720"/>
      </w:pPr>
      <w:rPr>
        <w:rFonts w:hint="default"/>
      </w:rPr>
    </w:lvl>
    <w:lvl w:ilvl="7">
      <w:start w:val="1"/>
      <w:numFmt w:val="none"/>
      <w:lvlText w:val="%8"/>
      <w:lvlJc w:val="left"/>
      <w:pPr>
        <w:tabs>
          <w:tab w:val="num" w:pos="720"/>
        </w:tabs>
        <w:ind w:left="720" w:hanging="720"/>
      </w:pPr>
      <w:rPr>
        <w:rFonts w:hint="default"/>
      </w:rPr>
    </w:lvl>
    <w:lvl w:ilvl="8">
      <w:start w:val="1"/>
      <w:numFmt w:val="none"/>
      <w:lvlText w:val="%9"/>
      <w:lvlJc w:val="left"/>
      <w:pPr>
        <w:tabs>
          <w:tab w:val="num" w:pos="720"/>
        </w:tabs>
        <w:ind w:left="720" w:hanging="720"/>
      </w:pPr>
      <w:rPr>
        <w:rFonts w:hint="default"/>
      </w:rPr>
    </w:lvl>
  </w:abstractNum>
  <w:abstractNum w:abstractNumId="19">
    <w:nsid w:val="1DCC4582"/>
    <w:multiLevelType w:val="singleLevel"/>
    <w:tmpl w:val="703A0558"/>
    <w:lvl w:ilvl="0">
      <w:start w:val="1"/>
      <w:numFmt w:val="bullet"/>
      <w:lvlText w:val=""/>
      <w:lvlJc w:val="left"/>
      <w:pPr>
        <w:tabs>
          <w:tab w:val="num" w:pos="340"/>
        </w:tabs>
        <w:ind w:left="340" w:hanging="340"/>
      </w:pPr>
      <w:rPr>
        <w:rFonts w:ascii="Symbol" w:hAnsi="Symbol" w:hint="default"/>
        <w:color w:val="auto"/>
        <w:sz w:val="22"/>
      </w:rPr>
    </w:lvl>
  </w:abstractNum>
  <w:abstractNum w:abstractNumId="20">
    <w:nsid w:val="1FF407BF"/>
    <w:multiLevelType w:val="multilevel"/>
    <w:tmpl w:val="C9B60996"/>
    <w:lvl w:ilvl="0">
      <w:start w:val="1"/>
      <w:numFmt w:val="decimal"/>
      <w:lvlText w:val="%1."/>
      <w:lvlJc w:val="left"/>
      <w:pPr>
        <w:tabs>
          <w:tab w:val="num" w:pos="720"/>
        </w:tabs>
        <w:ind w:left="720" w:hanging="720"/>
      </w:pPr>
      <w:rPr>
        <w:rFonts w:ascii="Univers 45 Light" w:hAnsi="Univers 45 Light" w:hint="default"/>
        <w:b/>
        <w:i w:val="0"/>
        <w:color w:val="1F497D"/>
        <w:sz w:val="32"/>
      </w:rPr>
    </w:lvl>
    <w:lvl w:ilvl="1">
      <w:start w:val="1"/>
      <w:numFmt w:val="decimal"/>
      <w:lvlText w:val="%1.%2"/>
      <w:lvlJc w:val="left"/>
      <w:pPr>
        <w:tabs>
          <w:tab w:val="num" w:pos="720"/>
        </w:tabs>
        <w:ind w:left="720" w:hanging="720"/>
      </w:pPr>
      <w:rPr>
        <w:rFonts w:ascii="Univers 45 Light" w:hAnsi="Univers 45 Light" w:hint="default"/>
        <w:b/>
        <w:i w:val="0"/>
        <w:color w:val="1F497D"/>
        <w:sz w:val="28"/>
      </w:rPr>
    </w:lvl>
    <w:lvl w:ilvl="2">
      <w:start w:val="1"/>
      <w:numFmt w:val="decimal"/>
      <w:lvlText w:val="%1.%2.%3"/>
      <w:lvlJc w:val="left"/>
      <w:pPr>
        <w:tabs>
          <w:tab w:val="num" w:pos="720"/>
        </w:tabs>
        <w:ind w:left="720" w:hanging="720"/>
      </w:pPr>
      <w:rPr>
        <w:rFonts w:ascii="Univers 45 Light" w:hAnsi="Univers 45 Light" w:hint="default"/>
        <w:b/>
        <w:i w:val="0"/>
        <w:color w:val="1F497D"/>
        <w:sz w:val="24"/>
      </w:rPr>
    </w:lvl>
    <w:lvl w:ilvl="3">
      <w:start w:val="1"/>
      <w:numFmt w:val="decimal"/>
      <w:lvlText w:val="%1.%2.%3.%4"/>
      <w:lvlJc w:val="left"/>
      <w:pPr>
        <w:tabs>
          <w:tab w:val="num" w:pos="720"/>
        </w:tabs>
        <w:ind w:left="720" w:hanging="720"/>
      </w:pPr>
      <w:rPr>
        <w:rFonts w:ascii="Univers 45 Light" w:hAnsi="Univers 45 Light" w:hint="default"/>
        <w:b w:val="0"/>
        <w:i/>
        <w:sz w:val="22"/>
      </w:rPr>
    </w:lvl>
    <w:lvl w:ilvl="4">
      <w:start w:val="1"/>
      <w:numFmt w:val="none"/>
      <w:suff w:val="nothing"/>
      <w:lvlText w:val=""/>
      <w:lvlJc w:val="left"/>
      <w:pPr>
        <w:ind w:left="720" w:hanging="720"/>
      </w:pPr>
      <w:rPr>
        <w:rFonts w:hint="default"/>
      </w:rPr>
    </w:lvl>
    <w:lvl w:ilvl="5">
      <w:start w:val="1"/>
      <w:numFmt w:val="none"/>
      <w:lvlText w:val=""/>
      <w:lvlJc w:val="left"/>
      <w:pPr>
        <w:tabs>
          <w:tab w:val="num" w:pos="720"/>
        </w:tabs>
        <w:ind w:left="720" w:hanging="720"/>
      </w:pPr>
      <w:rPr>
        <w:rFonts w:hint="default"/>
      </w:rPr>
    </w:lvl>
    <w:lvl w:ilvl="6">
      <w:start w:val="1"/>
      <w:numFmt w:val="none"/>
      <w:lvlText w:val="%7"/>
      <w:lvlJc w:val="left"/>
      <w:pPr>
        <w:tabs>
          <w:tab w:val="num" w:pos="720"/>
        </w:tabs>
        <w:ind w:left="720" w:hanging="720"/>
      </w:pPr>
      <w:rPr>
        <w:rFonts w:hint="default"/>
      </w:rPr>
    </w:lvl>
    <w:lvl w:ilvl="7">
      <w:start w:val="1"/>
      <w:numFmt w:val="none"/>
      <w:lvlText w:val="%8"/>
      <w:lvlJc w:val="left"/>
      <w:pPr>
        <w:tabs>
          <w:tab w:val="num" w:pos="720"/>
        </w:tabs>
        <w:ind w:left="720" w:hanging="720"/>
      </w:pPr>
      <w:rPr>
        <w:rFonts w:hint="default"/>
      </w:rPr>
    </w:lvl>
    <w:lvl w:ilvl="8">
      <w:start w:val="1"/>
      <w:numFmt w:val="none"/>
      <w:lvlText w:val="%9"/>
      <w:lvlJc w:val="left"/>
      <w:pPr>
        <w:tabs>
          <w:tab w:val="num" w:pos="720"/>
        </w:tabs>
        <w:ind w:left="720" w:hanging="720"/>
      </w:pPr>
      <w:rPr>
        <w:rFonts w:hint="default"/>
      </w:rPr>
    </w:lvl>
  </w:abstractNum>
  <w:abstractNum w:abstractNumId="21">
    <w:nsid w:val="22166480"/>
    <w:multiLevelType w:val="hybridMultilevel"/>
    <w:tmpl w:val="6FE2D1D6"/>
    <w:lvl w:ilvl="0" w:tplc="B5922D10">
      <w:start w:val="1"/>
      <w:numFmt w:val="upperLetter"/>
      <w:pStyle w:val="Appendixheading"/>
      <w:lvlText w:val="Appendix %1"/>
      <w:lvlJc w:val="left"/>
      <w:pPr>
        <w:ind w:left="1920" w:hanging="360"/>
      </w:pPr>
      <w:rPr>
        <w:b/>
        <w:bCs w:val="0"/>
        <w:i w:val="0"/>
        <w:iCs w:val="0"/>
        <w:caps w:val="0"/>
        <w:smallCaps w:val="0"/>
        <w:strike w:val="0"/>
        <w:dstrike w:val="0"/>
        <w:noProof w:val="0"/>
        <w:vanish w:val="0"/>
        <w:color w:val="1F497D" w:themeColor="text2"/>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95D48722" w:tentative="1">
      <w:start w:val="1"/>
      <w:numFmt w:val="lowerLetter"/>
      <w:lvlText w:val="%2."/>
      <w:lvlJc w:val="left"/>
      <w:pPr>
        <w:ind w:left="5759" w:hanging="360"/>
      </w:pPr>
    </w:lvl>
    <w:lvl w:ilvl="2" w:tplc="BCD242C8" w:tentative="1">
      <w:start w:val="1"/>
      <w:numFmt w:val="lowerRoman"/>
      <w:lvlText w:val="%3."/>
      <w:lvlJc w:val="right"/>
      <w:pPr>
        <w:ind w:left="6479" w:hanging="180"/>
      </w:pPr>
    </w:lvl>
    <w:lvl w:ilvl="3" w:tplc="6FB617A6" w:tentative="1">
      <w:start w:val="1"/>
      <w:numFmt w:val="decimal"/>
      <w:lvlText w:val="%4."/>
      <w:lvlJc w:val="left"/>
      <w:pPr>
        <w:ind w:left="7199" w:hanging="360"/>
      </w:pPr>
    </w:lvl>
    <w:lvl w:ilvl="4" w:tplc="7A885920" w:tentative="1">
      <w:start w:val="1"/>
      <w:numFmt w:val="lowerLetter"/>
      <w:lvlText w:val="%5."/>
      <w:lvlJc w:val="left"/>
      <w:pPr>
        <w:ind w:left="7919" w:hanging="360"/>
      </w:pPr>
    </w:lvl>
    <w:lvl w:ilvl="5" w:tplc="7E3074E2" w:tentative="1">
      <w:start w:val="1"/>
      <w:numFmt w:val="lowerRoman"/>
      <w:lvlText w:val="%6."/>
      <w:lvlJc w:val="right"/>
      <w:pPr>
        <w:ind w:left="8639" w:hanging="180"/>
      </w:pPr>
    </w:lvl>
    <w:lvl w:ilvl="6" w:tplc="8EEECCAE" w:tentative="1">
      <w:start w:val="1"/>
      <w:numFmt w:val="decimal"/>
      <w:lvlText w:val="%7."/>
      <w:lvlJc w:val="left"/>
      <w:pPr>
        <w:ind w:left="9359" w:hanging="360"/>
      </w:pPr>
    </w:lvl>
    <w:lvl w:ilvl="7" w:tplc="C73C0632" w:tentative="1">
      <w:start w:val="1"/>
      <w:numFmt w:val="lowerLetter"/>
      <w:lvlText w:val="%8."/>
      <w:lvlJc w:val="left"/>
      <w:pPr>
        <w:ind w:left="10079" w:hanging="360"/>
      </w:pPr>
    </w:lvl>
    <w:lvl w:ilvl="8" w:tplc="0DEA2DAE" w:tentative="1">
      <w:start w:val="1"/>
      <w:numFmt w:val="lowerRoman"/>
      <w:lvlText w:val="%9."/>
      <w:lvlJc w:val="right"/>
      <w:pPr>
        <w:ind w:left="10799" w:hanging="180"/>
      </w:pPr>
    </w:lvl>
  </w:abstractNum>
  <w:abstractNum w:abstractNumId="22">
    <w:nsid w:val="2414543A"/>
    <w:multiLevelType w:val="singleLevel"/>
    <w:tmpl w:val="DB086B84"/>
    <w:lvl w:ilvl="0">
      <w:start w:val="1"/>
      <w:numFmt w:val="bullet"/>
      <w:lvlText w:val=""/>
      <w:lvlJc w:val="left"/>
      <w:pPr>
        <w:tabs>
          <w:tab w:val="num" w:pos="340"/>
        </w:tabs>
        <w:ind w:left="340" w:hanging="340"/>
      </w:pPr>
      <w:rPr>
        <w:rFonts w:ascii="Symbol" w:hAnsi="Symbol" w:hint="default"/>
        <w:color w:val="auto"/>
        <w:sz w:val="22"/>
      </w:rPr>
    </w:lvl>
  </w:abstractNum>
  <w:abstractNum w:abstractNumId="23">
    <w:nsid w:val="24E800D4"/>
    <w:multiLevelType w:val="singleLevel"/>
    <w:tmpl w:val="7918E906"/>
    <w:lvl w:ilvl="0">
      <w:start w:val="1"/>
      <w:numFmt w:val="bullet"/>
      <w:lvlText w:val=""/>
      <w:lvlJc w:val="left"/>
      <w:pPr>
        <w:tabs>
          <w:tab w:val="num" w:pos="340"/>
        </w:tabs>
        <w:ind w:left="340" w:hanging="340"/>
      </w:pPr>
      <w:rPr>
        <w:rFonts w:ascii="Symbol" w:hAnsi="Symbol" w:hint="default"/>
        <w:color w:val="auto"/>
        <w:sz w:val="22"/>
      </w:rPr>
    </w:lvl>
  </w:abstractNum>
  <w:abstractNum w:abstractNumId="24">
    <w:nsid w:val="275B1109"/>
    <w:multiLevelType w:val="singleLevel"/>
    <w:tmpl w:val="FB7E9AB2"/>
    <w:lvl w:ilvl="0">
      <w:start w:val="1"/>
      <w:numFmt w:val="bullet"/>
      <w:lvlText w:val=""/>
      <w:lvlJc w:val="left"/>
      <w:pPr>
        <w:tabs>
          <w:tab w:val="num" w:pos="340"/>
        </w:tabs>
        <w:ind w:left="340" w:hanging="340"/>
      </w:pPr>
      <w:rPr>
        <w:rFonts w:ascii="Symbol" w:hAnsi="Symbol" w:hint="default"/>
        <w:color w:val="auto"/>
        <w:sz w:val="22"/>
      </w:rPr>
    </w:lvl>
  </w:abstractNum>
  <w:abstractNum w:abstractNumId="25">
    <w:nsid w:val="27D5402F"/>
    <w:multiLevelType w:val="singleLevel"/>
    <w:tmpl w:val="D54A0176"/>
    <w:lvl w:ilvl="0">
      <w:start w:val="1"/>
      <w:numFmt w:val="bullet"/>
      <w:lvlText w:val=""/>
      <w:lvlJc w:val="left"/>
      <w:pPr>
        <w:tabs>
          <w:tab w:val="num" w:pos="340"/>
        </w:tabs>
        <w:ind w:left="340" w:hanging="340"/>
      </w:pPr>
      <w:rPr>
        <w:rFonts w:ascii="Symbol" w:hAnsi="Symbol" w:hint="default"/>
        <w:color w:val="auto"/>
        <w:sz w:val="22"/>
      </w:rPr>
    </w:lvl>
  </w:abstractNum>
  <w:abstractNum w:abstractNumId="26">
    <w:nsid w:val="27DB3A13"/>
    <w:multiLevelType w:val="multilevel"/>
    <w:tmpl w:val="84845D76"/>
    <w:lvl w:ilvl="0">
      <w:start w:val="1"/>
      <w:numFmt w:val="decimal"/>
      <w:pStyle w:val="Numberedlevel1"/>
      <w:suff w:val="space"/>
      <w:lvlText w:val="%1."/>
      <w:lvlJc w:val="left"/>
      <w:pPr>
        <w:ind w:left="170" w:hanging="170"/>
      </w:pPr>
      <w:rPr>
        <w:rFonts w:ascii="Arial Bold" w:hAnsi="Arial Bold" w:hint="default"/>
        <w:b/>
        <w:i w:val="0"/>
        <w:color w:val="auto"/>
        <w:sz w:val="17"/>
      </w:rPr>
    </w:lvl>
    <w:lvl w:ilvl="1">
      <w:start w:val="1"/>
      <w:numFmt w:val="decimal"/>
      <w:pStyle w:val="Numberedlevel2"/>
      <w:lvlText w:val="%1.%2"/>
      <w:lvlJc w:val="left"/>
      <w:pPr>
        <w:tabs>
          <w:tab w:val="num" w:pos="340"/>
        </w:tabs>
        <w:ind w:left="340" w:hanging="340"/>
      </w:pPr>
      <w:rPr>
        <w:rFonts w:ascii="Arial" w:hAnsi="Arial" w:hint="default"/>
        <w:b w:val="0"/>
        <w:i w:val="0"/>
        <w:color w:val="auto"/>
        <w:sz w:val="14"/>
      </w:rPr>
    </w:lvl>
    <w:lvl w:ilvl="2">
      <w:start w:val="1"/>
      <w:numFmt w:val="decimal"/>
      <w:pStyle w:val="Numberedlevel3"/>
      <w:lvlText w:val="%1.%2.%3"/>
      <w:lvlJc w:val="left"/>
      <w:pPr>
        <w:tabs>
          <w:tab w:val="num" w:pos="737"/>
        </w:tabs>
        <w:ind w:left="737" w:hanging="397"/>
      </w:pPr>
      <w:rPr>
        <w:rFonts w:hint="default"/>
      </w:rPr>
    </w:lvl>
    <w:lvl w:ilvl="3">
      <w:start w:val="1"/>
      <w:numFmt w:val="decimal"/>
      <w:lvlText w:val="%1.%2.%3.%4."/>
      <w:lvlJc w:val="left"/>
      <w:pPr>
        <w:tabs>
          <w:tab w:val="num" w:pos="2520"/>
        </w:tabs>
        <w:ind w:left="1728" w:hanging="648"/>
      </w:pPr>
      <w:rPr>
        <w:rFonts w:hint="default"/>
      </w:rPr>
    </w:lvl>
    <w:lvl w:ilvl="4">
      <w:start w:val="1"/>
      <w:numFmt w:val="decimal"/>
      <w:lvlText w:val="%1.%2.%3.%4.%5."/>
      <w:lvlJc w:val="left"/>
      <w:pPr>
        <w:tabs>
          <w:tab w:val="num" w:pos="3240"/>
        </w:tabs>
        <w:ind w:left="2232" w:hanging="792"/>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27">
    <w:nsid w:val="27E2492D"/>
    <w:multiLevelType w:val="multilevel"/>
    <w:tmpl w:val="882A3B8C"/>
    <w:lvl w:ilvl="0">
      <w:start w:val="1"/>
      <w:numFmt w:val="decimal"/>
      <w:lvlText w:val="%1."/>
      <w:lvlJc w:val="left"/>
      <w:pPr>
        <w:tabs>
          <w:tab w:val="num" w:pos="720"/>
        </w:tabs>
        <w:ind w:left="720" w:hanging="720"/>
      </w:pPr>
      <w:rPr>
        <w:rFonts w:hint="default"/>
        <w:b/>
        <w:i w:val="0"/>
        <w:sz w:val="28"/>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5257"/>
        </w:tabs>
        <w:ind w:left="5257" w:hanging="720"/>
      </w:pPr>
      <w:rPr>
        <w:rFonts w:hint="default"/>
      </w:rPr>
    </w:lvl>
    <w:lvl w:ilvl="3">
      <w:start w:val="1"/>
      <w:numFmt w:val="decimal"/>
      <w:lvlText w:val="%1.%2.%3.%4"/>
      <w:lvlJc w:val="left"/>
      <w:pPr>
        <w:tabs>
          <w:tab w:val="num" w:pos="720"/>
        </w:tabs>
        <w:ind w:left="720" w:hanging="720"/>
      </w:pPr>
      <w:rPr>
        <w:rFonts w:hint="default"/>
      </w:rPr>
    </w:lvl>
    <w:lvl w:ilvl="4">
      <w:start w:val="1"/>
      <w:numFmt w:val="none"/>
      <w:suff w:val="nothing"/>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7"/>
      <w:lvlJc w:val="left"/>
      <w:pPr>
        <w:ind w:left="0" w:firstLine="0"/>
      </w:pPr>
      <w:rPr>
        <w:rFonts w:hint="default"/>
      </w:rPr>
    </w:lvl>
    <w:lvl w:ilvl="7">
      <w:start w:val="1"/>
      <w:numFmt w:val="none"/>
      <w:lvlText w:val="%8"/>
      <w:lvlJc w:val="left"/>
      <w:pPr>
        <w:ind w:left="0" w:firstLine="0"/>
      </w:pPr>
      <w:rPr>
        <w:rFonts w:hint="default"/>
      </w:rPr>
    </w:lvl>
    <w:lvl w:ilvl="8">
      <w:start w:val="1"/>
      <w:numFmt w:val="none"/>
      <w:lvlText w:val="%9"/>
      <w:lvlJc w:val="left"/>
      <w:pPr>
        <w:ind w:left="0" w:firstLine="0"/>
      </w:pPr>
      <w:rPr>
        <w:rFonts w:hint="default"/>
      </w:rPr>
    </w:lvl>
  </w:abstractNum>
  <w:abstractNum w:abstractNumId="28">
    <w:nsid w:val="29C516E9"/>
    <w:multiLevelType w:val="singleLevel"/>
    <w:tmpl w:val="CCC8C26E"/>
    <w:lvl w:ilvl="0">
      <w:start w:val="1"/>
      <w:numFmt w:val="bullet"/>
      <w:pStyle w:val="CVBulletLevel1"/>
      <w:lvlText w:val=""/>
      <w:lvlJc w:val="left"/>
      <w:pPr>
        <w:tabs>
          <w:tab w:val="num" w:pos="340"/>
        </w:tabs>
        <w:ind w:left="340" w:hanging="340"/>
      </w:pPr>
      <w:rPr>
        <w:rFonts w:ascii="Symbol" w:hAnsi="Symbol" w:hint="default"/>
        <w:color w:val="000080"/>
        <w:sz w:val="22"/>
      </w:rPr>
    </w:lvl>
  </w:abstractNum>
  <w:abstractNum w:abstractNumId="29">
    <w:nsid w:val="2C7B1B54"/>
    <w:multiLevelType w:val="singleLevel"/>
    <w:tmpl w:val="A32C6126"/>
    <w:lvl w:ilvl="0">
      <w:start w:val="1"/>
      <w:numFmt w:val="bullet"/>
      <w:lvlText w:val=""/>
      <w:lvlJc w:val="left"/>
      <w:pPr>
        <w:tabs>
          <w:tab w:val="num" w:pos="340"/>
        </w:tabs>
        <w:ind w:left="340" w:hanging="340"/>
      </w:pPr>
      <w:rPr>
        <w:rFonts w:ascii="Symbol" w:hAnsi="Symbol" w:hint="default"/>
        <w:color w:val="auto"/>
        <w:sz w:val="22"/>
      </w:rPr>
    </w:lvl>
  </w:abstractNum>
  <w:abstractNum w:abstractNumId="30">
    <w:nsid w:val="2D984BF6"/>
    <w:multiLevelType w:val="singleLevel"/>
    <w:tmpl w:val="7D70AD5E"/>
    <w:lvl w:ilvl="0">
      <w:start w:val="1"/>
      <w:numFmt w:val="bullet"/>
      <w:lvlText w:val=""/>
      <w:lvlJc w:val="left"/>
      <w:pPr>
        <w:tabs>
          <w:tab w:val="num" w:pos="340"/>
        </w:tabs>
        <w:ind w:left="340" w:hanging="340"/>
      </w:pPr>
      <w:rPr>
        <w:rFonts w:ascii="Symbol" w:hAnsi="Symbol" w:hint="default"/>
        <w:color w:val="auto"/>
        <w:sz w:val="22"/>
      </w:rPr>
    </w:lvl>
  </w:abstractNum>
  <w:abstractNum w:abstractNumId="31">
    <w:nsid w:val="2FF868E9"/>
    <w:multiLevelType w:val="multilevel"/>
    <w:tmpl w:val="1F4E5C96"/>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5257"/>
        </w:tabs>
        <w:ind w:left="5257" w:hanging="720"/>
      </w:pPr>
      <w:rPr>
        <w:rFonts w:hint="default"/>
        <w:b/>
      </w:rPr>
    </w:lvl>
    <w:lvl w:ilvl="3">
      <w:start w:val="1"/>
      <w:numFmt w:val="decimal"/>
      <w:lvlText w:val="%1.%2.%3.%4"/>
      <w:lvlJc w:val="left"/>
      <w:pPr>
        <w:tabs>
          <w:tab w:val="num" w:pos="720"/>
        </w:tabs>
        <w:ind w:left="720" w:hanging="720"/>
      </w:pPr>
      <w:rPr>
        <w:rFonts w:hint="default"/>
      </w:rPr>
    </w:lvl>
    <w:lvl w:ilvl="4">
      <w:start w:val="1"/>
      <w:numFmt w:val="none"/>
      <w:suff w:val="nothing"/>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7"/>
      <w:lvlJc w:val="left"/>
      <w:pPr>
        <w:ind w:left="0" w:firstLine="0"/>
      </w:pPr>
      <w:rPr>
        <w:rFonts w:hint="default"/>
      </w:rPr>
    </w:lvl>
    <w:lvl w:ilvl="7">
      <w:start w:val="1"/>
      <w:numFmt w:val="none"/>
      <w:lvlText w:val="%8"/>
      <w:lvlJc w:val="left"/>
      <w:pPr>
        <w:ind w:left="0" w:firstLine="0"/>
      </w:pPr>
      <w:rPr>
        <w:rFonts w:hint="default"/>
      </w:rPr>
    </w:lvl>
    <w:lvl w:ilvl="8">
      <w:start w:val="1"/>
      <w:numFmt w:val="none"/>
      <w:lvlText w:val="%9"/>
      <w:lvlJc w:val="left"/>
      <w:pPr>
        <w:ind w:left="0" w:firstLine="0"/>
      </w:pPr>
      <w:rPr>
        <w:rFonts w:hint="default"/>
      </w:rPr>
    </w:lvl>
  </w:abstractNum>
  <w:abstractNum w:abstractNumId="32">
    <w:nsid w:val="314565BA"/>
    <w:multiLevelType w:val="singleLevel"/>
    <w:tmpl w:val="0434A27E"/>
    <w:lvl w:ilvl="0">
      <w:start w:val="1"/>
      <w:numFmt w:val="bullet"/>
      <w:lvlText w:val=""/>
      <w:lvlJc w:val="left"/>
      <w:pPr>
        <w:tabs>
          <w:tab w:val="num" w:pos="340"/>
        </w:tabs>
        <w:ind w:left="340" w:hanging="340"/>
      </w:pPr>
      <w:rPr>
        <w:rFonts w:ascii="Symbol" w:hAnsi="Symbol" w:hint="default"/>
        <w:color w:val="auto"/>
        <w:sz w:val="22"/>
      </w:rPr>
    </w:lvl>
  </w:abstractNum>
  <w:abstractNum w:abstractNumId="33">
    <w:nsid w:val="330501FD"/>
    <w:multiLevelType w:val="singleLevel"/>
    <w:tmpl w:val="3BE09382"/>
    <w:lvl w:ilvl="0">
      <w:start w:val="1"/>
      <w:numFmt w:val="bullet"/>
      <w:lvlText w:val=""/>
      <w:lvlJc w:val="left"/>
      <w:pPr>
        <w:tabs>
          <w:tab w:val="num" w:pos="340"/>
        </w:tabs>
        <w:ind w:left="340" w:hanging="340"/>
      </w:pPr>
      <w:rPr>
        <w:rFonts w:ascii="Symbol" w:hAnsi="Symbol" w:hint="default"/>
        <w:color w:val="auto"/>
        <w:sz w:val="22"/>
      </w:rPr>
    </w:lvl>
  </w:abstractNum>
  <w:abstractNum w:abstractNumId="34">
    <w:nsid w:val="335B681F"/>
    <w:multiLevelType w:val="hybridMultilevel"/>
    <w:tmpl w:val="6D40912A"/>
    <w:lvl w:ilvl="0" w:tplc="FFF04AF6">
      <w:start w:val="1"/>
      <w:numFmt w:val="bullet"/>
      <w:pStyle w:val="CVbullet"/>
      <w:lvlText w:val=""/>
      <w:lvlJc w:val="left"/>
      <w:pPr>
        <w:tabs>
          <w:tab w:val="num" w:pos="284"/>
        </w:tabs>
        <w:ind w:left="284" w:hanging="284"/>
      </w:pPr>
      <w:rPr>
        <w:rFonts w:ascii="Symbol" w:hAnsi="Symbol" w:hint="default"/>
        <w:color w:val="0C2D83"/>
        <w:sz w:val="18"/>
      </w:rPr>
    </w:lvl>
    <w:lvl w:ilvl="1" w:tplc="1332DDB0" w:tentative="1">
      <w:start w:val="1"/>
      <w:numFmt w:val="bullet"/>
      <w:lvlText w:val="o"/>
      <w:lvlJc w:val="left"/>
      <w:pPr>
        <w:tabs>
          <w:tab w:val="num" w:pos="1440"/>
        </w:tabs>
        <w:ind w:left="1440" w:hanging="360"/>
      </w:pPr>
      <w:rPr>
        <w:rFonts w:ascii="Courier New" w:hAnsi="Courier New" w:cs="Courier New" w:hint="default"/>
      </w:rPr>
    </w:lvl>
    <w:lvl w:ilvl="2" w:tplc="61F2FA96" w:tentative="1">
      <w:start w:val="1"/>
      <w:numFmt w:val="bullet"/>
      <w:lvlText w:val=""/>
      <w:lvlJc w:val="left"/>
      <w:pPr>
        <w:tabs>
          <w:tab w:val="num" w:pos="2160"/>
        </w:tabs>
        <w:ind w:left="2160" w:hanging="360"/>
      </w:pPr>
      <w:rPr>
        <w:rFonts w:ascii="Wingdings" w:hAnsi="Wingdings" w:hint="default"/>
      </w:rPr>
    </w:lvl>
    <w:lvl w:ilvl="3" w:tplc="D45661A8" w:tentative="1">
      <w:start w:val="1"/>
      <w:numFmt w:val="bullet"/>
      <w:lvlText w:val=""/>
      <w:lvlJc w:val="left"/>
      <w:pPr>
        <w:tabs>
          <w:tab w:val="num" w:pos="2880"/>
        </w:tabs>
        <w:ind w:left="2880" w:hanging="360"/>
      </w:pPr>
      <w:rPr>
        <w:rFonts w:ascii="Symbol" w:hAnsi="Symbol" w:hint="default"/>
      </w:rPr>
    </w:lvl>
    <w:lvl w:ilvl="4" w:tplc="E244CF36" w:tentative="1">
      <w:start w:val="1"/>
      <w:numFmt w:val="bullet"/>
      <w:lvlText w:val="o"/>
      <w:lvlJc w:val="left"/>
      <w:pPr>
        <w:tabs>
          <w:tab w:val="num" w:pos="3600"/>
        </w:tabs>
        <w:ind w:left="3600" w:hanging="360"/>
      </w:pPr>
      <w:rPr>
        <w:rFonts w:ascii="Courier New" w:hAnsi="Courier New" w:cs="Courier New" w:hint="default"/>
      </w:rPr>
    </w:lvl>
    <w:lvl w:ilvl="5" w:tplc="C792E30A" w:tentative="1">
      <w:start w:val="1"/>
      <w:numFmt w:val="bullet"/>
      <w:lvlText w:val=""/>
      <w:lvlJc w:val="left"/>
      <w:pPr>
        <w:tabs>
          <w:tab w:val="num" w:pos="4320"/>
        </w:tabs>
        <w:ind w:left="4320" w:hanging="360"/>
      </w:pPr>
      <w:rPr>
        <w:rFonts w:ascii="Wingdings" w:hAnsi="Wingdings" w:hint="default"/>
      </w:rPr>
    </w:lvl>
    <w:lvl w:ilvl="6" w:tplc="72AC9DA6" w:tentative="1">
      <w:start w:val="1"/>
      <w:numFmt w:val="bullet"/>
      <w:lvlText w:val=""/>
      <w:lvlJc w:val="left"/>
      <w:pPr>
        <w:tabs>
          <w:tab w:val="num" w:pos="5040"/>
        </w:tabs>
        <w:ind w:left="5040" w:hanging="360"/>
      </w:pPr>
      <w:rPr>
        <w:rFonts w:ascii="Symbol" w:hAnsi="Symbol" w:hint="default"/>
      </w:rPr>
    </w:lvl>
    <w:lvl w:ilvl="7" w:tplc="806654C4" w:tentative="1">
      <w:start w:val="1"/>
      <w:numFmt w:val="bullet"/>
      <w:lvlText w:val="o"/>
      <w:lvlJc w:val="left"/>
      <w:pPr>
        <w:tabs>
          <w:tab w:val="num" w:pos="5760"/>
        </w:tabs>
        <w:ind w:left="5760" w:hanging="360"/>
      </w:pPr>
      <w:rPr>
        <w:rFonts w:ascii="Courier New" w:hAnsi="Courier New" w:cs="Courier New" w:hint="default"/>
      </w:rPr>
    </w:lvl>
    <w:lvl w:ilvl="8" w:tplc="45D091BA" w:tentative="1">
      <w:start w:val="1"/>
      <w:numFmt w:val="bullet"/>
      <w:lvlText w:val=""/>
      <w:lvlJc w:val="left"/>
      <w:pPr>
        <w:tabs>
          <w:tab w:val="num" w:pos="6480"/>
        </w:tabs>
        <w:ind w:left="6480" w:hanging="360"/>
      </w:pPr>
      <w:rPr>
        <w:rFonts w:ascii="Wingdings" w:hAnsi="Wingdings" w:hint="default"/>
      </w:rPr>
    </w:lvl>
  </w:abstractNum>
  <w:abstractNum w:abstractNumId="35">
    <w:nsid w:val="3395080F"/>
    <w:multiLevelType w:val="singleLevel"/>
    <w:tmpl w:val="C1903AF6"/>
    <w:lvl w:ilvl="0">
      <w:start w:val="1"/>
      <w:numFmt w:val="bullet"/>
      <w:lvlText w:val=""/>
      <w:lvlJc w:val="left"/>
      <w:pPr>
        <w:tabs>
          <w:tab w:val="num" w:pos="340"/>
        </w:tabs>
        <w:ind w:left="340" w:hanging="340"/>
      </w:pPr>
      <w:rPr>
        <w:rFonts w:ascii="Symbol" w:hAnsi="Symbol" w:hint="default"/>
        <w:color w:val="auto"/>
        <w:sz w:val="22"/>
      </w:rPr>
    </w:lvl>
  </w:abstractNum>
  <w:abstractNum w:abstractNumId="36">
    <w:nsid w:val="34427DC5"/>
    <w:multiLevelType w:val="singleLevel"/>
    <w:tmpl w:val="AB380328"/>
    <w:lvl w:ilvl="0">
      <w:start w:val="1"/>
      <w:numFmt w:val="bullet"/>
      <w:lvlText w:val=""/>
      <w:lvlJc w:val="left"/>
      <w:pPr>
        <w:tabs>
          <w:tab w:val="num" w:pos="340"/>
        </w:tabs>
        <w:ind w:left="340" w:hanging="340"/>
      </w:pPr>
      <w:rPr>
        <w:rFonts w:ascii="Symbol" w:hAnsi="Symbol" w:hint="default"/>
        <w:color w:val="auto"/>
        <w:sz w:val="22"/>
      </w:rPr>
    </w:lvl>
  </w:abstractNum>
  <w:abstractNum w:abstractNumId="37">
    <w:nsid w:val="352A3C7B"/>
    <w:multiLevelType w:val="singleLevel"/>
    <w:tmpl w:val="404AB932"/>
    <w:lvl w:ilvl="0">
      <w:start w:val="1"/>
      <w:numFmt w:val="bullet"/>
      <w:lvlText w:val=""/>
      <w:lvlJc w:val="left"/>
      <w:pPr>
        <w:tabs>
          <w:tab w:val="num" w:pos="340"/>
        </w:tabs>
        <w:ind w:left="340" w:hanging="340"/>
      </w:pPr>
      <w:rPr>
        <w:rFonts w:ascii="Symbol" w:hAnsi="Symbol" w:hint="default"/>
        <w:color w:val="auto"/>
        <w:sz w:val="22"/>
      </w:rPr>
    </w:lvl>
  </w:abstractNum>
  <w:abstractNum w:abstractNumId="38">
    <w:nsid w:val="3A2D2256"/>
    <w:multiLevelType w:val="hybridMultilevel"/>
    <w:tmpl w:val="E8FA3D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nsid w:val="3AC14C37"/>
    <w:multiLevelType w:val="multilevel"/>
    <w:tmpl w:val="C9B60996"/>
    <w:lvl w:ilvl="0">
      <w:start w:val="1"/>
      <w:numFmt w:val="decimal"/>
      <w:lvlText w:val="%1."/>
      <w:lvlJc w:val="left"/>
      <w:pPr>
        <w:tabs>
          <w:tab w:val="num" w:pos="720"/>
        </w:tabs>
        <w:ind w:left="720" w:hanging="720"/>
      </w:pPr>
      <w:rPr>
        <w:rFonts w:ascii="Univers 45 Light" w:hAnsi="Univers 45 Light" w:hint="default"/>
        <w:b/>
        <w:i w:val="0"/>
        <w:color w:val="1F497D"/>
        <w:sz w:val="32"/>
      </w:rPr>
    </w:lvl>
    <w:lvl w:ilvl="1">
      <w:start w:val="1"/>
      <w:numFmt w:val="decimal"/>
      <w:lvlText w:val="%1.%2"/>
      <w:lvlJc w:val="left"/>
      <w:pPr>
        <w:tabs>
          <w:tab w:val="num" w:pos="720"/>
        </w:tabs>
        <w:ind w:left="720" w:hanging="720"/>
      </w:pPr>
      <w:rPr>
        <w:rFonts w:ascii="Univers 45 Light" w:hAnsi="Univers 45 Light" w:hint="default"/>
        <w:b/>
        <w:i w:val="0"/>
        <w:color w:val="1F497D"/>
        <w:sz w:val="28"/>
      </w:rPr>
    </w:lvl>
    <w:lvl w:ilvl="2">
      <w:start w:val="1"/>
      <w:numFmt w:val="decimal"/>
      <w:lvlText w:val="%1.%2.%3"/>
      <w:lvlJc w:val="left"/>
      <w:pPr>
        <w:tabs>
          <w:tab w:val="num" w:pos="720"/>
        </w:tabs>
        <w:ind w:left="720" w:hanging="720"/>
      </w:pPr>
      <w:rPr>
        <w:rFonts w:ascii="Univers 45 Light" w:hAnsi="Univers 45 Light" w:hint="default"/>
        <w:b/>
        <w:i w:val="0"/>
        <w:color w:val="1F497D"/>
        <w:sz w:val="24"/>
      </w:rPr>
    </w:lvl>
    <w:lvl w:ilvl="3">
      <w:start w:val="1"/>
      <w:numFmt w:val="decimal"/>
      <w:lvlText w:val="%1.%2.%3.%4"/>
      <w:lvlJc w:val="left"/>
      <w:pPr>
        <w:tabs>
          <w:tab w:val="num" w:pos="720"/>
        </w:tabs>
        <w:ind w:left="720" w:hanging="720"/>
      </w:pPr>
      <w:rPr>
        <w:rFonts w:ascii="Univers 45 Light" w:hAnsi="Univers 45 Light" w:hint="default"/>
        <w:b w:val="0"/>
        <w:i/>
        <w:sz w:val="22"/>
      </w:rPr>
    </w:lvl>
    <w:lvl w:ilvl="4">
      <w:start w:val="1"/>
      <w:numFmt w:val="none"/>
      <w:suff w:val="nothing"/>
      <w:lvlText w:val=""/>
      <w:lvlJc w:val="left"/>
      <w:pPr>
        <w:ind w:left="720" w:hanging="720"/>
      </w:pPr>
      <w:rPr>
        <w:rFonts w:hint="default"/>
      </w:rPr>
    </w:lvl>
    <w:lvl w:ilvl="5">
      <w:start w:val="1"/>
      <w:numFmt w:val="none"/>
      <w:lvlText w:val=""/>
      <w:lvlJc w:val="left"/>
      <w:pPr>
        <w:tabs>
          <w:tab w:val="num" w:pos="720"/>
        </w:tabs>
        <w:ind w:left="720" w:hanging="720"/>
      </w:pPr>
      <w:rPr>
        <w:rFonts w:hint="default"/>
      </w:rPr>
    </w:lvl>
    <w:lvl w:ilvl="6">
      <w:start w:val="1"/>
      <w:numFmt w:val="none"/>
      <w:lvlText w:val="%7"/>
      <w:lvlJc w:val="left"/>
      <w:pPr>
        <w:tabs>
          <w:tab w:val="num" w:pos="720"/>
        </w:tabs>
        <w:ind w:left="720" w:hanging="720"/>
      </w:pPr>
      <w:rPr>
        <w:rFonts w:hint="default"/>
      </w:rPr>
    </w:lvl>
    <w:lvl w:ilvl="7">
      <w:start w:val="1"/>
      <w:numFmt w:val="none"/>
      <w:lvlText w:val="%8"/>
      <w:lvlJc w:val="left"/>
      <w:pPr>
        <w:tabs>
          <w:tab w:val="num" w:pos="720"/>
        </w:tabs>
        <w:ind w:left="720" w:hanging="720"/>
      </w:pPr>
      <w:rPr>
        <w:rFonts w:hint="default"/>
      </w:rPr>
    </w:lvl>
    <w:lvl w:ilvl="8">
      <w:start w:val="1"/>
      <w:numFmt w:val="none"/>
      <w:lvlText w:val="%9"/>
      <w:lvlJc w:val="left"/>
      <w:pPr>
        <w:tabs>
          <w:tab w:val="num" w:pos="720"/>
        </w:tabs>
        <w:ind w:left="720" w:hanging="720"/>
      </w:pPr>
      <w:rPr>
        <w:rFonts w:hint="default"/>
      </w:rPr>
    </w:lvl>
  </w:abstractNum>
  <w:abstractNum w:abstractNumId="40">
    <w:nsid w:val="41D679F7"/>
    <w:multiLevelType w:val="singleLevel"/>
    <w:tmpl w:val="2C842B96"/>
    <w:lvl w:ilvl="0">
      <w:start w:val="1"/>
      <w:numFmt w:val="bullet"/>
      <w:lvlText w:val=""/>
      <w:lvlJc w:val="left"/>
      <w:pPr>
        <w:tabs>
          <w:tab w:val="num" w:pos="340"/>
        </w:tabs>
        <w:ind w:left="340" w:hanging="340"/>
      </w:pPr>
      <w:rPr>
        <w:rFonts w:ascii="Symbol" w:hAnsi="Symbol" w:hint="default"/>
        <w:color w:val="auto"/>
        <w:sz w:val="22"/>
      </w:rPr>
    </w:lvl>
  </w:abstractNum>
  <w:abstractNum w:abstractNumId="41">
    <w:nsid w:val="41E83462"/>
    <w:multiLevelType w:val="singleLevel"/>
    <w:tmpl w:val="E0804996"/>
    <w:lvl w:ilvl="0">
      <w:start w:val="1"/>
      <w:numFmt w:val="bullet"/>
      <w:lvlText w:val=""/>
      <w:lvlJc w:val="left"/>
      <w:pPr>
        <w:tabs>
          <w:tab w:val="num" w:pos="340"/>
        </w:tabs>
        <w:ind w:left="340" w:hanging="340"/>
      </w:pPr>
      <w:rPr>
        <w:rFonts w:ascii="Symbol" w:hAnsi="Symbol" w:hint="default"/>
        <w:color w:val="auto"/>
        <w:sz w:val="22"/>
      </w:rPr>
    </w:lvl>
  </w:abstractNum>
  <w:abstractNum w:abstractNumId="42">
    <w:nsid w:val="43056BED"/>
    <w:multiLevelType w:val="hybridMultilevel"/>
    <w:tmpl w:val="3E1627E4"/>
    <w:lvl w:ilvl="0" w:tplc="C7AA523C">
      <w:start w:val="1"/>
      <w:numFmt w:val="decimal"/>
      <w:pStyle w:val="NumberedTableBullets"/>
      <w:lvlText w:val="%1."/>
      <w:lvlJc w:val="left"/>
      <w:pPr>
        <w:tabs>
          <w:tab w:val="num" w:pos="360"/>
        </w:tabs>
        <w:ind w:left="360" w:hanging="360"/>
      </w:pPr>
      <w:rPr>
        <w:rFonts w:ascii="Univers 45 Light" w:hAnsi="Univers 45 Light" w:hint="default"/>
        <w:sz w:val="16"/>
      </w:rPr>
    </w:lvl>
    <w:lvl w:ilvl="1" w:tplc="4CD0521C" w:tentative="1">
      <w:start w:val="1"/>
      <w:numFmt w:val="lowerLetter"/>
      <w:lvlText w:val="%2."/>
      <w:lvlJc w:val="left"/>
      <w:pPr>
        <w:tabs>
          <w:tab w:val="num" w:pos="1440"/>
        </w:tabs>
        <w:ind w:left="1440" w:hanging="360"/>
      </w:pPr>
    </w:lvl>
    <w:lvl w:ilvl="2" w:tplc="66C88B40" w:tentative="1">
      <w:start w:val="1"/>
      <w:numFmt w:val="lowerRoman"/>
      <w:lvlText w:val="%3."/>
      <w:lvlJc w:val="right"/>
      <w:pPr>
        <w:tabs>
          <w:tab w:val="num" w:pos="2160"/>
        </w:tabs>
        <w:ind w:left="2160" w:hanging="180"/>
      </w:pPr>
    </w:lvl>
    <w:lvl w:ilvl="3" w:tplc="BA3E9456" w:tentative="1">
      <w:start w:val="1"/>
      <w:numFmt w:val="decimal"/>
      <w:lvlText w:val="%4."/>
      <w:lvlJc w:val="left"/>
      <w:pPr>
        <w:tabs>
          <w:tab w:val="num" w:pos="2880"/>
        </w:tabs>
        <w:ind w:left="2880" w:hanging="360"/>
      </w:pPr>
    </w:lvl>
    <w:lvl w:ilvl="4" w:tplc="0AFA62F2" w:tentative="1">
      <w:start w:val="1"/>
      <w:numFmt w:val="lowerLetter"/>
      <w:lvlText w:val="%5."/>
      <w:lvlJc w:val="left"/>
      <w:pPr>
        <w:tabs>
          <w:tab w:val="num" w:pos="3600"/>
        </w:tabs>
        <w:ind w:left="3600" w:hanging="360"/>
      </w:pPr>
    </w:lvl>
    <w:lvl w:ilvl="5" w:tplc="6A386EBA" w:tentative="1">
      <w:start w:val="1"/>
      <w:numFmt w:val="lowerRoman"/>
      <w:lvlText w:val="%6."/>
      <w:lvlJc w:val="right"/>
      <w:pPr>
        <w:tabs>
          <w:tab w:val="num" w:pos="4320"/>
        </w:tabs>
        <w:ind w:left="4320" w:hanging="180"/>
      </w:pPr>
    </w:lvl>
    <w:lvl w:ilvl="6" w:tplc="75802C86" w:tentative="1">
      <w:start w:val="1"/>
      <w:numFmt w:val="decimal"/>
      <w:lvlText w:val="%7."/>
      <w:lvlJc w:val="left"/>
      <w:pPr>
        <w:tabs>
          <w:tab w:val="num" w:pos="5040"/>
        </w:tabs>
        <w:ind w:left="5040" w:hanging="360"/>
      </w:pPr>
    </w:lvl>
    <w:lvl w:ilvl="7" w:tplc="7B5052FA" w:tentative="1">
      <w:start w:val="1"/>
      <w:numFmt w:val="lowerLetter"/>
      <w:lvlText w:val="%8."/>
      <w:lvlJc w:val="left"/>
      <w:pPr>
        <w:tabs>
          <w:tab w:val="num" w:pos="5760"/>
        </w:tabs>
        <w:ind w:left="5760" w:hanging="360"/>
      </w:pPr>
    </w:lvl>
    <w:lvl w:ilvl="8" w:tplc="D57804E4" w:tentative="1">
      <w:start w:val="1"/>
      <w:numFmt w:val="lowerRoman"/>
      <w:lvlText w:val="%9."/>
      <w:lvlJc w:val="right"/>
      <w:pPr>
        <w:tabs>
          <w:tab w:val="num" w:pos="6480"/>
        </w:tabs>
        <w:ind w:left="6480" w:hanging="180"/>
      </w:pPr>
    </w:lvl>
  </w:abstractNum>
  <w:abstractNum w:abstractNumId="43">
    <w:nsid w:val="45A47ABC"/>
    <w:multiLevelType w:val="singleLevel"/>
    <w:tmpl w:val="BE926642"/>
    <w:lvl w:ilvl="0">
      <w:start w:val="1"/>
      <w:numFmt w:val="bullet"/>
      <w:lvlText w:val=""/>
      <w:lvlJc w:val="left"/>
      <w:pPr>
        <w:tabs>
          <w:tab w:val="num" w:pos="340"/>
        </w:tabs>
        <w:ind w:left="340" w:hanging="340"/>
      </w:pPr>
      <w:rPr>
        <w:rFonts w:ascii="Symbol" w:hAnsi="Symbol" w:hint="default"/>
        <w:color w:val="auto"/>
        <w:sz w:val="22"/>
      </w:rPr>
    </w:lvl>
  </w:abstractNum>
  <w:abstractNum w:abstractNumId="44">
    <w:nsid w:val="45D133F5"/>
    <w:multiLevelType w:val="singleLevel"/>
    <w:tmpl w:val="4C46907C"/>
    <w:lvl w:ilvl="0">
      <w:start w:val="1"/>
      <w:numFmt w:val="bullet"/>
      <w:lvlText w:val=""/>
      <w:lvlJc w:val="left"/>
      <w:pPr>
        <w:tabs>
          <w:tab w:val="num" w:pos="340"/>
        </w:tabs>
        <w:ind w:left="340" w:hanging="340"/>
      </w:pPr>
      <w:rPr>
        <w:rFonts w:ascii="Symbol" w:hAnsi="Symbol" w:hint="default"/>
        <w:color w:val="auto"/>
        <w:sz w:val="22"/>
      </w:rPr>
    </w:lvl>
  </w:abstractNum>
  <w:abstractNum w:abstractNumId="45">
    <w:nsid w:val="46B96DF7"/>
    <w:multiLevelType w:val="hybridMultilevel"/>
    <w:tmpl w:val="C6CE5A76"/>
    <w:lvl w:ilvl="0" w:tplc="6C4C10B4">
      <w:start w:val="1"/>
      <w:numFmt w:val="bullet"/>
      <w:pStyle w:val="Bodysubbullet1"/>
      <w:lvlText w:val=""/>
      <w:lvlJc w:val="left"/>
      <w:pPr>
        <w:tabs>
          <w:tab w:val="num" w:pos="567"/>
        </w:tabs>
        <w:ind w:left="567" w:hanging="283"/>
      </w:pPr>
      <w:rPr>
        <w:rFonts w:ascii="Symbol" w:hAnsi="Symbol" w:hint="default"/>
        <w:color w:val="auto"/>
        <w:sz w:val="20"/>
      </w:rPr>
    </w:lvl>
    <w:lvl w:ilvl="1" w:tplc="28BADC8A" w:tentative="1">
      <w:start w:val="1"/>
      <w:numFmt w:val="bullet"/>
      <w:lvlText w:val="o"/>
      <w:lvlJc w:val="left"/>
      <w:pPr>
        <w:tabs>
          <w:tab w:val="num" w:pos="1440"/>
        </w:tabs>
        <w:ind w:left="1440" w:hanging="360"/>
      </w:pPr>
      <w:rPr>
        <w:rFonts w:ascii="Courier New" w:hAnsi="Courier New" w:cs="Courier New" w:hint="default"/>
      </w:rPr>
    </w:lvl>
    <w:lvl w:ilvl="2" w:tplc="4E741986" w:tentative="1">
      <w:start w:val="1"/>
      <w:numFmt w:val="bullet"/>
      <w:lvlText w:val=""/>
      <w:lvlJc w:val="left"/>
      <w:pPr>
        <w:tabs>
          <w:tab w:val="num" w:pos="2160"/>
        </w:tabs>
        <w:ind w:left="2160" w:hanging="360"/>
      </w:pPr>
      <w:rPr>
        <w:rFonts w:ascii="Wingdings" w:hAnsi="Wingdings" w:hint="default"/>
      </w:rPr>
    </w:lvl>
    <w:lvl w:ilvl="3" w:tplc="83003154" w:tentative="1">
      <w:start w:val="1"/>
      <w:numFmt w:val="bullet"/>
      <w:lvlText w:val=""/>
      <w:lvlJc w:val="left"/>
      <w:pPr>
        <w:tabs>
          <w:tab w:val="num" w:pos="2880"/>
        </w:tabs>
        <w:ind w:left="2880" w:hanging="360"/>
      </w:pPr>
      <w:rPr>
        <w:rFonts w:ascii="Symbol" w:hAnsi="Symbol" w:hint="default"/>
      </w:rPr>
    </w:lvl>
    <w:lvl w:ilvl="4" w:tplc="CF08DE8A" w:tentative="1">
      <w:start w:val="1"/>
      <w:numFmt w:val="bullet"/>
      <w:lvlText w:val="o"/>
      <w:lvlJc w:val="left"/>
      <w:pPr>
        <w:tabs>
          <w:tab w:val="num" w:pos="3600"/>
        </w:tabs>
        <w:ind w:left="3600" w:hanging="360"/>
      </w:pPr>
      <w:rPr>
        <w:rFonts w:ascii="Courier New" w:hAnsi="Courier New" w:cs="Courier New" w:hint="default"/>
      </w:rPr>
    </w:lvl>
    <w:lvl w:ilvl="5" w:tplc="F2A681E2" w:tentative="1">
      <w:start w:val="1"/>
      <w:numFmt w:val="bullet"/>
      <w:lvlText w:val=""/>
      <w:lvlJc w:val="left"/>
      <w:pPr>
        <w:tabs>
          <w:tab w:val="num" w:pos="4320"/>
        </w:tabs>
        <w:ind w:left="4320" w:hanging="360"/>
      </w:pPr>
      <w:rPr>
        <w:rFonts w:ascii="Wingdings" w:hAnsi="Wingdings" w:hint="default"/>
      </w:rPr>
    </w:lvl>
    <w:lvl w:ilvl="6" w:tplc="5C7A263A" w:tentative="1">
      <w:start w:val="1"/>
      <w:numFmt w:val="bullet"/>
      <w:lvlText w:val=""/>
      <w:lvlJc w:val="left"/>
      <w:pPr>
        <w:tabs>
          <w:tab w:val="num" w:pos="5040"/>
        </w:tabs>
        <w:ind w:left="5040" w:hanging="360"/>
      </w:pPr>
      <w:rPr>
        <w:rFonts w:ascii="Symbol" w:hAnsi="Symbol" w:hint="default"/>
      </w:rPr>
    </w:lvl>
    <w:lvl w:ilvl="7" w:tplc="E52C7EBA" w:tentative="1">
      <w:start w:val="1"/>
      <w:numFmt w:val="bullet"/>
      <w:lvlText w:val="o"/>
      <w:lvlJc w:val="left"/>
      <w:pPr>
        <w:tabs>
          <w:tab w:val="num" w:pos="5760"/>
        </w:tabs>
        <w:ind w:left="5760" w:hanging="360"/>
      </w:pPr>
      <w:rPr>
        <w:rFonts w:ascii="Courier New" w:hAnsi="Courier New" w:cs="Courier New" w:hint="default"/>
      </w:rPr>
    </w:lvl>
    <w:lvl w:ilvl="8" w:tplc="2690E47C" w:tentative="1">
      <w:start w:val="1"/>
      <w:numFmt w:val="bullet"/>
      <w:lvlText w:val=""/>
      <w:lvlJc w:val="left"/>
      <w:pPr>
        <w:tabs>
          <w:tab w:val="num" w:pos="6480"/>
        </w:tabs>
        <w:ind w:left="6480" w:hanging="360"/>
      </w:pPr>
      <w:rPr>
        <w:rFonts w:ascii="Wingdings" w:hAnsi="Wingdings" w:hint="default"/>
      </w:rPr>
    </w:lvl>
  </w:abstractNum>
  <w:abstractNum w:abstractNumId="46">
    <w:nsid w:val="46BF4A28"/>
    <w:multiLevelType w:val="singleLevel"/>
    <w:tmpl w:val="990841C4"/>
    <w:lvl w:ilvl="0">
      <w:start w:val="1"/>
      <w:numFmt w:val="bullet"/>
      <w:lvlText w:val=""/>
      <w:lvlJc w:val="left"/>
      <w:pPr>
        <w:tabs>
          <w:tab w:val="num" w:pos="340"/>
        </w:tabs>
        <w:ind w:left="340" w:hanging="340"/>
      </w:pPr>
      <w:rPr>
        <w:rFonts w:ascii="Symbol" w:hAnsi="Symbol" w:hint="default"/>
        <w:color w:val="auto"/>
        <w:sz w:val="22"/>
      </w:rPr>
    </w:lvl>
  </w:abstractNum>
  <w:abstractNum w:abstractNumId="47">
    <w:nsid w:val="491905EE"/>
    <w:multiLevelType w:val="multilevel"/>
    <w:tmpl w:val="3E28F594"/>
    <w:lvl w:ilvl="0">
      <w:start w:val="1"/>
      <w:numFmt w:val="decimal"/>
      <w:lvlText w:val="%1."/>
      <w:lvlJc w:val="left"/>
      <w:pPr>
        <w:tabs>
          <w:tab w:val="num" w:pos="720"/>
        </w:tabs>
        <w:ind w:left="720" w:hanging="720"/>
      </w:pPr>
      <w:rPr>
        <w:rFonts w:ascii="Univers 45 Light" w:hAnsi="Univers 45 Light" w:hint="default"/>
        <w:b/>
        <w:i w:val="0"/>
        <w:color w:val="1F497D"/>
        <w:sz w:val="32"/>
      </w:rPr>
    </w:lvl>
    <w:lvl w:ilvl="1">
      <w:start w:val="1"/>
      <w:numFmt w:val="decimal"/>
      <w:lvlText w:val="%1.%2"/>
      <w:lvlJc w:val="left"/>
      <w:pPr>
        <w:tabs>
          <w:tab w:val="num" w:pos="720"/>
        </w:tabs>
        <w:ind w:left="720" w:hanging="720"/>
      </w:pPr>
      <w:rPr>
        <w:rFonts w:ascii="Univers 45 Light" w:hAnsi="Univers 45 Light" w:hint="default"/>
        <w:b/>
        <w:i w:val="0"/>
        <w:color w:val="1F497D"/>
        <w:sz w:val="28"/>
      </w:rPr>
    </w:lvl>
    <w:lvl w:ilvl="2">
      <w:start w:val="1"/>
      <w:numFmt w:val="decimal"/>
      <w:lvlText w:val="%1.%2.%3"/>
      <w:lvlJc w:val="left"/>
      <w:pPr>
        <w:tabs>
          <w:tab w:val="num" w:pos="720"/>
        </w:tabs>
        <w:ind w:left="720" w:hanging="720"/>
      </w:pPr>
      <w:rPr>
        <w:rFonts w:ascii="Univers 45 Light" w:hAnsi="Univers 45 Light" w:hint="default"/>
        <w:b/>
        <w:i w:val="0"/>
        <w:color w:val="1F497D"/>
        <w:sz w:val="24"/>
      </w:rPr>
    </w:lvl>
    <w:lvl w:ilvl="3">
      <w:start w:val="1"/>
      <w:numFmt w:val="decimal"/>
      <w:lvlText w:val="%1.%2.%3.%4"/>
      <w:lvlJc w:val="left"/>
      <w:pPr>
        <w:tabs>
          <w:tab w:val="num" w:pos="720"/>
        </w:tabs>
        <w:ind w:left="720" w:hanging="720"/>
      </w:pPr>
      <w:rPr>
        <w:rFonts w:ascii="Univers 45 Light" w:hAnsi="Univers 45 Light" w:hint="default"/>
        <w:b w:val="0"/>
        <w:i/>
        <w:sz w:val="22"/>
      </w:rPr>
    </w:lvl>
    <w:lvl w:ilvl="4">
      <w:start w:val="1"/>
      <w:numFmt w:val="none"/>
      <w:suff w:val="nothing"/>
      <w:lvlText w:val=""/>
      <w:lvlJc w:val="left"/>
      <w:pPr>
        <w:ind w:left="720" w:hanging="720"/>
      </w:pPr>
      <w:rPr>
        <w:rFonts w:hint="default"/>
      </w:rPr>
    </w:lvl>
    <w:lvl w:ilvl="5">
      <w:start w:val="1"/>
      <w:numFmt w:val="none"/>
      <w:lvlText w:val=""/>
      <w:lvlJc w:val="left"/>
      <w:pPr>
        <w:tabs>
          <w:tab w:val="num" w:pos="720"/>
        </w:tabs>
        <w:ind w:left="720" w:hanging="720"/>
      </w:pPr>
      <w:rPr>
        <w:rFonts w:hint="default"/>
      </w:rPr>
    </w:lvl>
    <w:lvl w:ilvl="6">
      <w:start w:val="1"/>
      <w:numFmt w:val="none"/>
      <w:lvlText w:val="%7"/>
      <w:lvlJc w:val="left"/>
      <w:pPr>
        <w:tabs>
          <w:tab w:val="num" w:pos="720"/>
        </w:tabs>
        <w:ind w:left="720" w:hanging="720"/>
      </w:pPr>
      <w:rPr>
        <w:rFonts w:hint="default"/>
      </w:rPr>
    </w:lvl>
    <w:lvl w:ilvl="7">
      <w:start w:val="1"/>
      <w:numFmt w:val="none"/>
      <w:lvlText w:val="%8"/>
      <w:lvlJc w:val="left"/>
      <w:pPr>
        <w:tabs>
          <w:tab w:val="num" w:pos="720"/>
        </w:tabs>
        <w:ind w:left="720" w:hanging="720"/>
      </w:pPr>
      <w:rPr>
        <w:rFonts w:hint="default"/>
      </w:rPr>
    </w:lvl>
    <w:lvl w:ilvl="8">
      <w:start w:val="1"/>
      <w:numFmt w:val="none"/>
      <w:lvlText w:val="%9"/>
      <w:lvlJc w:val="left"/>
      <w:pPr>
        <w:tabs>
          <w:tab w:val="num" w:pos="720"/>
        </w:tabs>
        <w:ind w:left="720" w:hanging="720"/>
      </w:pPr>
      <w:rPr>
        <w:rFonts w:hint="default"/>
      </w:rPr>
    </w:lvl>
  </w:abstractNum>
  <w:abstractNum w:abstractNumId="48">
    <w:nsid w:val="4A747A24"/>
    <w:multiLevelType w:val="singleLevel"/>
    <w:tmpl w:val="1DEE7944"/>
    <w:lvl w:ilvl="0">
      <w:start w:val="1"/>
      <w:numFmt w:val="bullet"/>
      <w:lvlText w:val=""/>
      <w:lvlJc w:val="left"/>
      <w:pPr>
        <w:tabs>
          <w:tab w:val="num" w:pos="340"/>
        </w:tabs>
        <w:ind w:left="340" w:hanging="340"/>
      </w:pPr>
      <w:rPr>
        <w:rFonts w:ascii="Symbol" w:hAnsi="Symbol" w:hint="default"/>
        <w:color w:val="auto"/>
        <w:sz w:val="22"/>
      </w:rPr>
    </w:lvl>
  </w:abstractNum>
  <w:abstractNum w:abstractNumId="49">
    <w:nsid w:val="4A9A4BFB"/>
    <w:multiLevelType w:val="singleLevel"/>
    <w:tmpl w:val="E82A5642"/>
    <w:lvl w:ilvl="0">
      <w:start w:val="1"/>
      <w:numFmt w:val="bullet"/>
      <w:lvlText w:val=""/>
      <w:lvlJc w:val="left"/>
      <w:pPr>
        <w:tabs>
          <w:tab w:val="num" w:pos="340"/>
        </w:tabs>
        <w:ind w:left="340" w:hanging="340"/>
      </w:pPr>
      <w:rPr>
        <w:rFonts w:ascii="Symbol" w:hAnsi="Symbol" w:hint="default"/>
        <w:color w:val="auto"/>
        <w:sz w:val="22"/>
      </w:rPr>
    </w:lvl>
  </w:abstractNum>
  <w:abstractNum w:abstractNumId="50">
    <w:nsid w:val="4BFB33C2"/>
    <w:multiLevelType w:val="hybridMultilevel"/>
    <w:tmpl w:val="5D6C8368"/>
    <w:lvl w:ilvl="0" w:tplc="BDF2925A">
      <w:start w:val="1"/>
      <w:numFmt w:val="bullet"/>
      <w:pStyle w:val="TableBullets2"/>
      <w:lvlText w:val="–"/>
      <w:lvlJc w:val="left"/>
      <w:pPr>
        <w:tabs>
          <w:tab w:val="num" w:pos="692"/>
        </w:tabs>
        <w:ind w:left="692" w:hanging="335"/>
      </w:pPr>
      <w:rPr>
        <w:rFonts w:ascii="Times New Roman" w:hAnsi="Times New Roman" w:cs="Times New Roman" w:hint="default"/>
        <w:color w:val="00338D"/>
        <w:sz w:val="19"/>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nsid w:val="4DD47D11"/>
    <w:multiLevelType w:val="multilevel"/>
    <w:tmpl w:val="C9B60996"/>
    <w:lvl w:ilvl="0">
      <w:start w:val="1"/>
      <w:numFmt w:val="decimal"/>
      <w:lvlText w:val="%1."/>
      <w:lvlJc w:val="left"/>
      <w:pPr>
        <w:tabs>
          <w:tab w:val="num" w:pos="720"/>
        </w:tabs>
        <w:ind w:left="720" w:hanging="720"/>
      </w:pPr>
      <w:rPr>
        <w:rFonts w:ascii="Univers 45 Light" w:hAnsi="Univers 45 Light" w:hint="default"/>
        <w:b/>
        <w:i w:val="0"/>
        <w:color w:val="1F497D"/>
        <w:sz w:val="32"/>
      </w:rPr>
    </w:lvl>
    <w:lvl w:ilvl="1">
      <w:start w:val="1"/>
      <w:numFmt w:val="decimal"/>
      <w:lvlText w:val="%1.%2"/>
      <w:lvlJc w:val="left"/>
      <w:pPr>
        <w:tabs>
          <w:tab w:val="num" w:pos="720"/>
        </w:tabs>
        <w:ind w:left="720" w:hanging="720"/>
      </w:pPr>
      <w:rPr>
        <w:rFonts w:ascii="Univers 45 Light" w:hAnsi="Univers 45 Light" w:hint="default"/>
        <w:b/>
        <w:i w:val="0"/>
        <w:color w:val="1F497D"/>
        <w:sz w:val="28"/>
      </w:rPr>
    </w:lvl>
    <w:lvl w:ilvl="2">
      <w:start w:val="1"/>
      <w:numFmt w:val="decimal"/>
      <w:lvlText w:val="%1.%2.%3"/>
      <w:lvlJc w:val="left"/>
      <w:pPr>
        <w:tabs>
          <w:tab w:val="num" w:pos="720"/>
        </w:tabs>
        <w:ind w:left="720" w:hanging="720"/>
      </w:pPr>
      <w:rPr>
        <w:rFonts w:ascii="Univers 45 Light" w:hAnsi="Univers 45 Light" w:hint="default"/>
        <w:b/>
        <w:i w:val="0"/>
        <w:color w:val="1F497D"/>
        <w:sz w:val="24"/>
      </w:rPr>
    </w:lvl>
    <w:lvl w:ilvl="3">
      <w:start w:val="1"/>
      <w:numFmt w:val="decimal"/>
      <w:lvlText w:val="%1.%2.%3.%4"/>
      <w:lvlJc w:val="left"/>
      <w:pPr>
        <w:tabs>
          <w:tab w:val="num" w:pos="720"/>
        </w:tabs>
        <w:ind w:left="720" w:hanging="720"/>
      </w:pPr>
      <w:rPr>
        <w:rFonts w:ascii="Univers 45 Light" w:hAnsi="Univers 45 Light" w:hint="default"/>
        <w:b w:val="0"/>
        <w:i/>
        <w:sz w:val="22"/>
      </w:rPr>
    </w:lvl>
    <w:lvl w:ilvl="4">
      <w:start w:val="1"/>
      <w:numFmt w:val="none"/>
      <w:suff w:val="nothing"/>
      <w:lvlText w:val=""/>
      <w:lvlJc w:val="left"/>
      <w:pPr>
        <w:ind w:left="720" w:hanging="720"/>
      </w:pPr>
      <w:rPr>
        <w:rFonts w:hint="default"/>
      </w:rPr>
    </w:lvl>
    <w:lvl w:ilvl="5">
      <w:start w:val="1"/>
      <w:numFmt w:val="none"/>
      <w:lvlText w:val=""/>
      <w:lvlJc w:val="left"/>
      <w:pPr>
        <w:tabs>
          <w:tab w:val="num" w:pos="720"/>
        </w:tabs>
        <w:ind w:left="720" w:hanging="720"/>
      </w:pPr>
      <w:rPr>
        <w:rFonts w:hint="default"/>
      </w:rPr>
    </w:lvl>
    <w:lvl w:ilvl="6">
      <w:start w:val="1"/>
      <w:numFmt w:val="none"/>
      <w:lvlText w:val="%7"/>
      <w:lvlJc w:val="left"/>
      <w:pPr>
        <w:tabs>
          <w:tab w:val="num" w:pos="720"/>
        </w:tabs>
        <w:ind w:left="720" w:hanging="720"/>
      </w:pPr>
      <w:rPr>
        <w:rFonts w:hint="default"/>
      </w:rPr>
    </w:lvl>
    <w:lvl w:ilvl="7">
      <w:start w:val="1"/>
      <w:numFmt w:val="none"/>
      <w:lvlText w:val="%8"/>
      <w:lvlJc w:val="left"/>
      <w:pPr>
        <w:tabs>
          <w:tab w:val="num" w:pos="720"/>
        </w:tabs>
        <w:ind w:left="720" w:hanging="720"/>
      </w:pPr>
      <w:rPr>
        <w:rFonts w:hint="default"/>
      </w:rPr>
    </w:lvl>
    <w:lvl w:ilvl="8">
      <w:start w:val="1"/>
      <w:numFmt w:val="none"/>
      <w:lvlText w:val="%9"/>
      <w:lvlJc w:val="left"/>
      <w:pPr>
        <w:tabs>
          <w:tab w:val="num" w:pos="720"/>
        </w:tabs>
        <w:ind w:left="720" w:hanging="720"/>
      </w:pPr>
      <w:rPr>
        <w:rFonts w:hint="default"/>
      </w:rPr>
    </w:lvl>
  </w:abstractNum>
  <w:abstractNum w:abstractNumId="52">
    <w:nsid w:val="520133A4"/>
    <w:multiLevelType w:val="singleLevel"/>
    <w:tmpl w:val="D6C86D32"/>
    <w:lvl w:ilvl="0">
      <w:start w:val="1"/>
      <w:numFmt w:val="bullet"/>
      <w:lvlText w:val=""/>
      <w:lvlJc w:val="left"/>
      <w:pPr>
        <w:tabs>
          <w:tab w:val="num" w:pos="340"/>
        </w:tabs>
        <w:ind w:left="340" w:hanging="340"/>
      </w:pPr>
      <w:rPr>
        <w:rFonts w:ascii="Symbol" w:hAnsi="Symbol" w:hint="default"/>
        <w:color w:val="auto"/>
        <w:sz w:val="22"/>
      </w:rPr>
    </w:lvl>
  </w:abstractNum>
  <w:abstractNum w:abstractNumId="53">
    <w:nsid w:val="53DC5714"/>
    <w:multiLevelType w:val="singleLevel"/>
    <w:tmpl w:val="EEF6FB8E"/>
    <w:lvl w:ilvl="0">
      <w:start w:val="1"/>
      <w:numFmt w:val="decimal"/>
      <w:pStyle w:val="NumberedBullets"/>
      <w:lvlText w:val="%1"/>
      <w:lvlJc w:val="left"/>
      <w:pPr>
        <w:ind w:left="0" w:firstLine="0"/>
      </w:pPr>
      <w:rPr>
        <w:rFonts w:ascii="Tms Rmn" w:hAnsi="Tms Rmn" w:hint="default"/>
      </w:rPr>
    </w:lvl>
  </w:abstractNum>
  <w:abstractNum w:abstractNumId="54">
    <w:nsid w:val="549118A5"/>
    <w:multiLevelType w:val="multilevel"/>
    <w:tmpl w:val="C9B60996"/>
    <w:lvl w:ilvl="0">
      <w:start w:val="1"/>
      <w:numFmt w:val="decimal"/>
      <w:lvlText w:val="%1."/>
      <w:lvlJc w:val="left"/>
      <w:pPr>
        <w:tabs>
          <w:tab w:val="num" w:pos="720"/>
        </w:tabs>
        <w:ind w:left="720" w:hanging="720"/>
      </w:pPr>
      <w:rPr>
        <w:rFonts w:ascii="Univers 45 Light" w:hAnsi="Univers 45 Light" w:hint="default"/>
        <w:b/>
        <w:i w:val="0"/>
        <w:color w:val="1F497D"/>
        <w:sz w:val="32"/>
      </w:rPr>
    </w:lvl>
    <w:lvl w:ilvl="1">
      <w:start w:val="1"/>
      <w:numFmt w:val="decimal"/>
      <w:lvlText w:val="%1.%2"/>
      <w:lvlJc w:val="left"/>
      <w:pPr>
        <w:tabs>
          <w:tab w:val="num" w:pos="720"/>
        </w:tabs>
        <w:ind w:left="720" w:hanging="720"/>
      </w:pPr>
      <w:rPr>
        <w:rFonts w:ascii="Univers 45 Light" w:hAnsi="Univers 45 Light" w:hint="default"/>
        <w:b/>
        <w:i w:val="0"/>
        <w:color w:val="1F497D"/>
        <w:sz w:val="28"/>
      </w:rPr>
    </w:lvl>
    <w:lvl w:ilvl="2">
      <w:start w:val="1"/>
      <w:numFmt w:val="decimal"/>
      <w:lvlText w:val="%1.%2.%3"/>
      <w:lvlJc w:val="left"/>
      <w:pPr>
        <w:tabs>
          <w:tab w:val="num" w:pos="720"/>
        </w:tabs>
        <w:ind w:left="720" w:hanging="720"/>
      </w:pPr>
      <w:rPr>
        <w:rFonts w:ascii="Univers 45 Light" w:hAnsi="Univers 45 Light" w:hint="default"/>
        <w:b/>
        <w:i w:val="0"/>
        <w:color w:val="1F497D"/>
        <w:sz w:val="24"/>
      </w:rPr>
    </w:lvl>
    <w:lvl w:ilvl="3">
      <w:start w:val="1"/>
      <w:numFmt w:val="decimal"/>
      <w:lvlText w:val="%1.%2.%3.%4"/>
      <w:lvlJc w:val="left"/>
      <w:pPr>
        <w:tabs>
          <w:tab w:val="num" w:pos="720"/>
        </w:tabs>
        <w:ind w:left="720" w:hanging="720"/>
      </w:pPr>
      <w:rPr>
        <w:rFonts w:ascii="Univers 45 Light" w:hAnsi="Univers 45 Light" w:hint="default"/>
        <w:b w:val="0"/>
        <w:i/>
        <w:sz w:val="22"/>
      </w:rPr>
    </w:lvl>
    <w:lvl w:ilvl="4">
      <w:start w:val="1"/>
      <w:numFmt w:val="none"/>
      <w:suff w:val="nothing"/>
      <w:lvlText w:val=""/>
      <w:lvlJc w:val="left"/>
      <w:pPr>
        <w:ind w:left="720" w:hanging="720"/>
      </w:pPr>
      <w:rPr>
        <w:rFonts w:hint="default"/>
      </w:rPr>
    </w:lvl>
    <w:lvl w:ilvl="5">
      <w:start w:val="1"/>
      <w:numFmt w:val="none"/>
      <w:lvlText w:val=""/>
      <w:lvlJc w:val="left"/>
      <w:pPr>
        <w:tabs>
          <w:tab w:val="num" w:pos="720"/>
        </w:tabs>
        <w:ind w:left="720" w:hanging="720"/>
      </w:pPr>
      <w:rPr>
        <w:rFonts w:hint="default"/>
      </w:rPr>
    </w:lvl>
    <w:lvl w:ilvl="6">
      <w:start w:val="1"/>
      <w:numFmt w:val="none"/>
      <w:lvlText w:val="%7"/>
      <w:lvlJc w:val="left"/>
      <w:pPr>
        <w:tabs>
          <w:tab w:val="num" w:pos="720"/>
        </w:tabs>
        <w:ind w:left="720" w:hanging="720"/>
      </w:pPr>
      <w:rPr>
        <w:rFonts w:hint="default"/>
      </w:rPr>
    </w:lvl>
    <w:lvl w:ilvl="7">
      <w:start w:val="1"/>
      <w:numFmt w:val="none"/>
      <w:lvlText w:val="%8"/>
      <w:lvlJc w:val="left"/>
      <w:pPr>
        <w:tabs>
          <w:tab w:val="num" w:pos="720"/>
        </w:tabs>
        <w:ind w:left="720" w:hanging="720"/>
      </w:pPr>
      <w:rPr>
        <w:rFonts w:hint="default"/>
      </w:rPr>
    </w:lvl>
    <w:lvl w:ilvl="8">
      <w:start w:val="1"/>
      <w:numFmt w:val="none"/>
      <w:lvlText w:val="%9"/>
      <w:lvlJc w:val="left"/>
      <w:pPr>
        <w:tabs>
          <w:tab w:val="num" w:pos="720"/>
        </w:tabs>
        <w:ind w:left="720" w:hanging="720"/>
      </w:pPr>
      <w:rPr>
        <w:rFonts w:hint="default"/>
      </w:rPr>
    </w:lvl>
  </w:abstractNum>
  <w:abstractNum w:abstractNumId="55">
    <w:nsid w:val="57970ED6"/>
    <w:multiLevelType w:val="hybridMultilevel"/>
    <w:tmpl w:val="BC00D7A8"/>
    <w:lvl w:ilvl="0" w:tplc="670A5A4E">
      <w:start w:val="1"/>
      <w:numFmt w:val="bullet"/>
      <w:pStyle w:val="Bodybullet"/>
      <w:lvlText w:val=""/>
      <w:lvlJc w:val="left"/>
      <w:pPr>
        <w:tabs>
          <w:tab w:val="num" w:pos="284"/>
        </w:tabs>
        <w:ind w:left="284" w:hanging="284"/>
      </w:pPr>
      <w:rPr>
        <w:rFonts w:ascii="Symbol" w:hAnsi="Symbol" w:hint="default"/>
        <w:color w:val="0C2D83"/>
        <w:sz w:val="20"/>
      </w:rPr>
    </w:lvl>
    <w:lvl w:ilvl="1" w:tplc="B7C6A3DE" w:tentative="1">
      <w:start w:val="1"/>
      <w:numFmt w:val="bullet"/>
      <w:lvlText w:val="o"/>
      <w:lvlJc w:val="left"/>
      <w:pPr>
        <w:tabs>
          <w:tab w:val="num" w:pos="1440"/>
        </w:tabs>
        <w:ind w:left="1440" w:hanging="360"/>
      </w:pPr>
      <w:rPr>
        <w:rFonts w:ascii="Courier New" w:hAnsi="Courier New" w:cs="Courier New" w:hint="default"/>
      </w:rPr>
    </w:lvl>
    <w:lvl w:ilvl="2" w:tplc="0276DE12" w:tentative="1">
      <w:start w:val="1"/>
      <w:numFmt w:val="bullet"/>
      <w:lvlText w:val=""/>
      <w:lvlJc w:val="left"/>
      <w:pPr>
        <w:tabs>
          <w:tab w:val="num" w:pos="2160"/>
        </w:tabs>
        <w:ind w:left="2160" w:hanging="360"/>
      </w:pPr>
      <w:rPr>
        <w:rFonts w:ascii="Wingdings" w:hAnsi="Wingdings" w:hint="default"/>
      </w:rPr>
    </w:lvl>
    <w:lvl w:ilvl="3" w:tplc="0FF696EC" w:tentative="1">
      <w:start w:val="1"/>
      <w:numFmt w:val="bullet"/>
      <w:lvlText w:val=""/>
      <w:lvlJc w:val="left"/>
      <w:pPr>
        <w:tabs>
          <w:tab w:val="num" w:pos="2880"/>
        </w:tabs>
        <w:ind w:left="2880" w:hanging="360"/>
      </w:pPr>
      <w:rPr>
        <w:rFonts w:ascii="Symbol" w:hAnsi="Symbol" w:hint="default"/>
      </w:rPr>
    </w:lvl>
    <w:lvl w:ilvl="4" w:tplc="7C485AAC" w:tentative="1">
      <w:start w:val="1"/>
      <w:numFmt w:val="bullet"/>
      <w:lvlText w:val="o"/>
      <w:lvlJc w:val="left"/>
      <w:pPr>
        <w:tabs>
          <w:tab w:val="num" w:pos="3600"/>
        </w:tabs>
        <w:ind w:left="3600" w:hanging="360"/>
      </w:pPr>
      <w:rPr>
        <w:rFonts w:ascii="Courier New" w:hAnsi="Courier New" w:cs="Courier New" w:hint="default"/>
      </w:rPr>
    </w:lvl>
    <w:lvl w:ilvl="5" w:tplc="D7D47F38" w:tentative="1">
      <w:start w:val="1"/>
      <w:numFmt w:val="bullet"/>
      <w:lvlText w:val=""/>
      <w:lvlJc w:val="left"/>
      <w:pPr>
        <w:tabs>
          <w:tab w:val="num" w:pos="4320"/>
        </w:tabs>
        <w:ind w:left="4320" w:hanging="360"/>
      </w:pPr>
      <w:rPr>
        <w:rFonts w:ascii="Wingdings" w:hAnsi="Wingdings" w:hint="default"/>
      </w:rPr>
    </w:lvl>
    <w:lvl w:ilvl="6" w:tplc="FE34C112" w:tentative="1">
      <w:start w:val="1"/>
      <w:numFmt w:val="bullet"/>
      <w:lvlText w:val=""/>
      <w:lvlJc w:val="left"/>
      <w:pPr>
        <w:tabs>
          <w:tab w:val="num" w:pos="5040"/>
        </w:tabs>
        <w:ind w:left="5040" w:hanging="360"/>
      </w:pPr>
      <w:rPr>
        <w:rFonts w:ascii="Symbol" w:hAnsi="Symbol" w:hint="default"/>
      </w:rPr>
    </w:lvl>
    <w:lvl w:ilvl="7" w:tplc="46302C74" w:tentative="1">
      <w:start w:val="1"/>
      <w:numFmt w:val="bullet"/>
      <w:lvlText w:val="o"/>
      <w:lvlJc w:val="left"/>
      <w:pPr>
        <w:tabs>
          <w:tab w:val="num" w:pos="5760"/>
        </w:tabs>
        <w:ind w:left="5760" w:hanging="360"/>
      </w:pPr>
      <w:rPr>
        <w:rFonts w:ascii="Courier New" w:hAnsi="Courier New" w:cs="Courier New" w:hint="default"/>
      </w:rPr>
    </w:lvl>
    <w:lvl w:ilvl="8" w:tplc="DFC065C0" w:tentative="1">
      <w:start w:val="1"/>
      <w:numFmt w:val="bullet"/>
      <w:lvlText w:val=""/>
      <w:lvlJc w:val="left"/>
      <w:pPr>
        <w:tabs>
          <w:tab w:val="num" w:pos="6480"/>
        </w:tabs>
        <w:ind w:left="6480" w:hanging="360"/>
      </w:pPr>
      <w:rPr>
        <w:rFonts w:ascii="Wingdings" w:hAnsi="Wingdings" w:hint="default"/>
      </w:rPr>
    </w:lvl>
  </w:abstractNum>
  <w:abstractNum w:abstractNumId="56">
    <w:nsid w:val="57BF72E6"/>
    <w:multiLevelType w:val="hybridMultilevel"/>
    <w:tmpl w:val="4086D1E2"/>
    <w:lvl w:ilvl="0" w:tplc="4FC6CDB8">
      <w:start w:val="1"/>
      <w:numFmt w:val="bullet"/>
      <w:pStyle w:val="Tablesubbullet"/>
      <w:lvlText w:val=""/>
      <w:lvlJc w:val="left"/>
      <w:pPr>
        <w:tabs>
          <w:tab w:val="num" w:pos="567"/>
        </w:tabs>
        <w:ind w:left="567" w:hanging="283"/>
      </w:pPr>
      <w:rPr>
        <w:rFonts w:ascii="Symbol" w:hAnsi="Symbol" w:hint="default"/>
        <w:color w:val="auto"/>
        <w:sz w:val="18"/>
      </w:rPr>
    </w:lvl>
    <w:lvl w:ilvl="1" w:tplc="C11A7FEA" w:tentative="1">
      <w:start w:val="1"/>
      <w:numFmt w:val="bullet"/>
      <w:lvlText w:val="o"/>
      <w:lvlJc w:val="left"/>
      <w:pPr>
        <w:tabs>
          <w:tab w:val="num" w:pos="1440"/>
        </w:tabs>
        <w:ind w:left="1440" w:hanging="360"/>
      </w:pPr>
      <w:rPr>
        <w:rFonts w:ascii="Courier New" w:hAnsi="Courier New" w:cs="Courier New" w:hint="default"/>
      </w:rPr>
    </w:lvl>
    <w:lvl w:ilvl="2" w:tplc="D056FD6A" w:tentative="1">
      <w:start w:val="1"/>
      <w:numFmt w:val="bullet"/>
      <w:lvlText w:val=""/>
      <w:lvlJc w:val="left"/>
      <w:pPr>
        <w:tabs>
          <w:tab w:val="num" w:pos="2160"/>
        </w:tabs>
        <w:ind w:left="2160" w:hanging="360"/>
      </w:pPr>
      <w:rPr>
        <w:rFonts w:ascii="Wingdings" w:hAnsi="Wingdings" w:hint="default"/>
      </w:rPr>
    </w:lvl>
    <w:lvl w:ilvl="3" w:tplc="70AE53BA" w:tentative="1">
      <w:start w:val="1"/>
      <w:numFmt w:val="bullet"/>
      <w:lvlText w:val=""/>
      <w:lvlJc w:val="left"/>
      <w:pPr>
        <w:tabs>
          <w:tab w:val="num" w:pos="2880"/>
        </w:tabs>
        <w:ind w:left="2880" w:hanging="360"/>
      </w:pPr>
      <w:rPr>
        <w:rFonts w:ascii="Symbol" w:hAnsi="Symbol" w:hint="default"/>
      </w:rPr>
    </w:lvl>
    <w:lvl w:ilvl="4" w:tplc="9AF42F82" w:tentative="1">
      <w:start w:val="1"/>
      <w:numFmt w:val="bullet"/>
      <w:lvlText w:val="o"/>
      <w:lvlJc w:val="left"/>
      <w:pPr>
        <w:tabs>
          <w:tab w:val="num" w:pos="3600"/>
        </w:tabs>
        <w:ind w:left="3600" w:hanging="360"/>
      </w:pPr>
      <w:rPr>
        <w:rFonts w:ascii="Courier New" w:hAnsi="Courier New" w:cs="Courier New" w:hint="default"/>
      </w:rPr>
    </w:lvl>
    <w:lvl w:ilvl="5" w:tplc="D7DCB004" w:tentative="1">
      <w:start w:val="1"/>
      <w:numFmt w:val="bullet"/>
      <w:lvlText w:val=""/>
      <w:lvlJc w:val="left"/>
      <w:pPr>
        <w:tabs>
          <w:tab w:val="num" w:pos="4320"/>
        </w:tabs>
        <w:ind w:left="4320" w:hanging="360"/>
      </w:pPr>
      <w:rPr>
        <w:rFonts w:ascii="Wingdings" w:hAnsi="Wingdings" w:hint="default"/>
      </w:rPr>
    </w:lvl>
    <w:lvl w:ilvl="6" w:tplc="40A4295E" w:tentative="1">
      <w:start w:val="1"/>
      <w:numFmt w:val="bullet"/>
      <w:lvlText w:val=""/>
      <w:lvlJc w:val="left"/>
      <w:pPr>
        <w:tabs>
          <w:tab w:val="num" w:pos="5040"/>
        </w:tabs>
        <w:ind w:left="5040" w:hanging="360"/>
      </w:pPr>
      <w:rPr>
        <w:rFonts w:ascii="Symbol" w:hAnsi="Symbol" w:hint="default"/>
      </w:rPr>
    </w:lvl>
    <w:lvl w:ilvl="7" w:tplc="46AE0D22" w:tentative="1">
      <w:start w:val="1"/>
      <w:numFmt w:val="bullet"/>
      <w:lvlText w:val="o"/>
      <w:lvlJc w:val="left"/>
      <w:pPr>
        <w:tabs>
          <w:tab w:val="num" w:pos="5760"/>
        </w:tabs>
        <w:ind w:left="5760" w:hanging="360"/>
      </w:pPr>
      <w:rPr>
        <w:rFonts w:ascii="Courier New" w:hAnsi="Courier New" w:cs="Courier New" w:hint="default"/>
      </w:rPr>
    </w:lvl>
    <w:lvl w:ilvl="8" w:tplc="563E1760" w:tentative="1">
      <w:start w:val="1"/>
      <w:numFmt w:val="bullet"/>
      <w:lvlText w:val=""/>
      <w:lvlJc w:val="left"/>
      <w:pPr>
        <w:tabs>
          <w:tab w:val="num" w:pos="6480"/>
        </w:tabs>
        <w:ind w:left="6480" w:hanging="360"/>
      </w:pPr>
      <w:rPr>
        <w:rFonts w:ascii="Wingdings" w:hAnsi="Wingdings" w:hint="default"/>
      </w:rPr>
    </w:lvl>
  </w:abstractNum>
  <w:abstractNum w:abstractNumId="57">
    <w:nsid w:val="5D931B21"/>
    <w:multiLevelType w:val="multilevel"/>
    <w:tmpl w:val="C9B60996"/>
    <w:lvl w:ilvl="0">
      <w:start w:val="1"/>
      <w:numFmt w:val="decimal"/>
      <w:lvlText w:val="%1."/>
      <w:lvlJc w:val="left"/>
      <w:pPr>
        <w:tabs>
          <w:tab w:val="num" w:pos="720"/>
        </w:tabs>
        <w:ind w:left="720" w:hanging="720"/>
      </w:pPr>
      <w:rPr>
        <w:rFonts w:ascii="Univers 45 Light" w:hAnsi="Univers 45 Light" w:hint="default"/>
        <w:b/>
        <w:i w:val="0"/>
        <w:color w:val="1F497D"/>
        <w:sz w:val="32"/>
      </w:rPr>
    </w:lvl>
    <w:lvl w:ilvl="1">
      <w:start w:val="1"/>
      <w:numFmt w:val="decimal"/>
      <w:lvlText w:val="%1.%2"/>
      <w:lvlJc w:val="left"/>
      <w:pPr>
        <w:tabs>
          <w:tab w:val="num" w:pos="720"/>
        </w:tabs>
        <w:ind w:left="720" w:hanging="720"/>
      </w:pPr>
      <w:rPr>
        <w:rFonts w:ascii="Univers 45 Light" w:hAnsi="Univers 45 Light" w:hint="default"/>
        <w:b/>
        <w:i w:val="0"/>
        <w:color w:val="1F497D"/>
        <w:sz w:val="28"/>
      </w:rPr>
    </w:lvl>
    <w:lvl w:ilvl="2">
      <w:start w:val="1"/>
      <w:numFmt w:val="decimal"/>
      <w:lvlText w:val="%1.%2.%3"/>
      <w:lvlJc w:val="left"/>
      <w:pPr>
        <w:tabs>
          <w:tab w:val="num" w:pos="720"/>
        </w:tabs>
        <w:ind w:left="720" w:hanging="720"/>
      </w:pPr>
      <w:rPr>
        <w:rFonts w:ascii="Univers 45 Light" w:hAnsi="Univers 45 Light" w:hint="default"/>
        <w:b/>
        <w:i w:val="0"/>
        <w:color w:val="1F497D"/>
        <w:sz w:val="24"/>
      </w:rPr>
    </w:lvl>
    <w:lvl w:ilvl="3">
      <w:start w:val="1"/>
      <w:numFmt w:val="decimal"/>
      <w:lvlText w:val="%1.%2.%3.%4"/>
      <w:lvlJc w:val="left"/>
      <w:pPr>
        <w:tabs>
          <w:tab w:val="num" w:pos="720"/>
        </w:tabs>
        <w:ind w:left="720" w:hanging="720"/>
      </w:pPr>
      <w:rPr>
        <w:rFonts w:ascii="Univers 45 Light" w:hAnsi="Univers 45 Light" w:hint="default"/>
        <w:b w:val="0"/>
        <w:i/>
        <w:sz w:val="22"/>
      </w:rPr>
    </w:lvl>
    <w:lvl w:ilvl="4">
      <w:start w:val="1"/>
      <w:numFmt w:val="none"/>
      <w:suff w:val="nothing"/>
      <w:lvlText w:val=""/>
      <w:lvlJc w:val="left"/>
      <w:pPr>
        <w:ind w:left="720" w:hanging="720"/>
      </w:pPr>
      <w:rPr>
        <w:rFonts w:hint="default"/>
      </w:rPr>
    </w:lvl>
    <w:lvl w:ilvl="5">
      <w:start w:val="1"/>
      <w:numFmt w:val="none"/>
      <w:lvlText w:val=""/>
      <w:lvlJc w:val="left"/>
      <w:pPr>
        <w:tabs>
          <w:tab w:val="num" w:pos="720"/>
        </w:tabs>
        <w:ind w:left="720" w:hanging="720"/>
      </w:pPr>
      <w:rPr>
        <w:rFonts w:hint="default"/>
      </w:rPr>
    </w:lvl>
    <w:lvl w:ilvl="6">
      <w:start w:val="1"/>
      <w:numFmt w:val="none"/>
      <w:lvlText w:val="%7"/>
      <w:lvlJc w:val="left"/>
      <w:pPr>
        <w:tabs>
          <w:tab w:val="num" w:pos="720"/>
        </w:tabs>
        <w:ind w:left="720" w:hanging="720"/>
      </w:pPr>
      <w:rPr>
        <w:rFonts w:hint="default"/>
      </w:rPr>
    </w:lvl>
    <w:lvl w:ilvl="7">
      <w:start w:val="1"/>
      <w:numFmt w:val="none"/>
      <w:lvlText w:val="%8"/>
      <w:lvlJc w:val="left"/>
      <w:pPr>
        <w:tabs>
          <w:tab w:val="num" w:pos="720"/>
        </w:tabs>
        <w:ind w:left="720" w:hanging="720"/>
      </w:pPr>
      <w:rPr>
        <w:rFonts w:hint="default"/>
      </w:rPr>
    </w:lvl>
    <w:lvl w:ilvl="8">
      <w:start w:val="1"/>
      <w:numFmt w:val="none"/>
      <w:lvlText w:val="%9"/>
      <w:lvlJc w:val="left"/>
      <w:pPr>
        <w:tabs>
          <w:tab w:val="num" w:pos="720"/>
        </w:tabs>
        <w:ind w:left="720" w:hanging="720"/>
      </w:pPr>
      <w:rPr>
        <w:rFonts w:hint="default"/>
      </w:rPr>
    </w:lvl>
  </w:abstractNum>
  <w:abstractNum w:abstractNumId="58">
    <w:nsid w:val="5E36097F"/>
    <w:multiLevelType w:val="singleLevel"/>
    <w:tmpl w:val="4276F7B0"/>
    <w:lvl w:ilvl="0">
      <w:start w:val="1"/>
      <w:numFmt w:val="bullet"/>
      <w:lvlText w:val=""/>
      <w:lvlJc w:val="left"/>
      <w:pPr>
        <w:tabs>
          <w:tab w:val="num" w:pos="340"/>
        </w:tabs>
        <w:ind w:left="340" w:hanging="340"/>
      </w:pPr>
      <w:rPr>
        <w:rFonts w:ascii="Symbol" w:hAnsi="Symbol" w:hint="default"/>
        <w:color w:val="auto"/>
        <w:sz w:val="22"/>
      </w:rPr>
    </w:lvl>
  </w:abstractNum>
  <w:abstractNum w:abstractNumId="59">
    <w:nsid w:val="5F993167"/>
    <w:multiLevelType w:val="hybridMultilevel"/>
    <w:tmpl w:val="09D0E3A2"/>
    <w:lvl w:ilvl="0" w:tplc="3A9E47D2">
      <w:start w:val="1"/>
      <w:numFmt w:val="bullet"/>
      <w:pStyle w:val="Bodysubbullet2"/>
      <w:lvlText w:val=""/>
      <w:lvlJc w:val="left"/>
      <w:pPr>
        <w:tabs>
          <w:tab w:val="num" w:pos="851"/>
        </w:tabs>
        <w:ind w:left="851" w:hanging="284"/>
      </w:pPr>
      <w:rPr>
        <w:rFonts w:ascii="Symbol" w:hAnsi="Symbol" w:hint="default"/>
        <w:color w:val="auto"/>
        <w:sz w:val="20"/>
      </w:rPr>
    </w:lvl>
    <w:lvl w:ilvl="1" w:tplc="B0EA87BE" w:tentative="1">
      <w:start w:val="1"/>
      <w:numFmt w:val="bullet"/>
      <w:lvlText w:val="o"/>
      <w:lvlJc w:val="left"/>
      <w:pPr>
        <w:tabs>
          <w:tab w:val="num" w:pos="1440"/>
        </w:tabs>
        <w:ind w:left="1440" w:hanging="360"/>
      </w:pPr>
      <w:rPr>
        <w:rFonts w:ascii="Courier New" w:hAnsi="Courier New" w:cs="Courier New" w:hint="default"/>
      </w:rPr>
    </w:lvl>
    <w:lvl w:ilvl="2" w:tplc="1BF4C8B6" w:tentative="1">
      <w:start w:val="1"/>
      <w:numFmt w:val="bullet"/>
      <w:lvlText w:val=""/>
      <w:lvlJc w:val="left"/>
      <w:pPr>
        <w:tabs>
          <w:tab w:val="num" w:pos="2160"/>
        </w:tabs>
        <w:ind w:left="2160" w:hanging="360"/>
      </w:pPr>
      <w:rPr>
        <w:rFonts w:ascii="Wingdings" w:hAnsi="Wingdings" w:hint="default"/>
      </w:rPr>
    </w:lvl>
    <w:lvl w:ilvl="3" w:tplc="91C22F84" w:tentative="1">
      <w:start w:val="1"/>
      <w:numFmt w:val="bullet"/>
      <w:lvlText w:val=""/>
      <w:lvlJc w:val="left"/>
      <w:pPr>
        <w:tabs>
          <w:tab w:val="num" w:pos="2880"/>
        </w:tabs>
        <w:ind w:left="2880" w:hanging="360"/>
      </w:pPr>
      <w:rPr>
        <w:rFonts w:ascii="Symbol" w:hAnsi="Symbol" w:hint="default"/>
      </w:rPr>
    </w:lvl>
    <w:lvl w:ilvl="4" w:tplc="4AE82F3E" w:tentative="1">
      <w:start w:val="1"/>
      <w:numFmt w:val="bullet"/>
      <w:lvlText w:val="o"/>
      <w:lvlJc w:val="left"/>
      <w:pPr>
        <w:tabs>
          <w:tab w:val="num" w:pos="3600"/>
        </w:tabs>
        <w:ind w:left="3600" w:hanging="360"/>
      </w:pPr>
      <w:rPr>
        <w:rFonts w:ascii="Courier New" w:hAnsi="Courier New" w:cs="Courier New" w:hint="default"/>
      </w:rPr>
    </w:lvl>
    <w:lvl w:ilvl="5" w:tplc="EA3216DA" w:tentative="1">
      <w:start w:val="1"/>
      <w:numFmt w:val="bullet"/>
      <w:lvlText w:val=""/>
      <w:lvlJc w:val="left"/>
      <w:pPr>
        <w:tabs>
          <w:tab w:val="num" w:pos="4320"/>
        </w:tabs>
        <w:ind w:left="4320" w:hanging="360"/>
      </w:pPr>
      <w:rPr>
        <w:rFonts w:ascii="Wingdings" w:hAnsi="Wingdings" w:hint="default"/>
      </w:rPr>
    </w:lvl>
    <w:lvl w:ilvl="6" w:tplc="1D8285C8" w:tentative="1">
      <w:start w:val="1"/>
      <w:numFmt w:val="bullet"/>
      <w:lvlText w:val=""/>
      <w:lvlJc w:val="left"/>
      <w:pPr>
        <w:tabs>
          <w:tab w:val="num" w:pos="5040"/>
        </w:tabs>
        <w:ind w:left="5040" w:hanging="360"/>
      </w:pPr>
      <w:rPr>
        <w:rFonts w:ascii="Symbol" w:hAnsi="Symbol" w:hint="default"/>
      </w:rPr>
    </w:lvl>
    <w:lvl w:ilvl="7" w:tplc="AB14BBF8" w:tentative="1">
      <w:start w:val="1"/>
      <w:numFmt w:val="bullet"/>
      <w:lvlText w:val="o"/>
      <w:lvlJc w:val="left"/>
      <w:pPr>
        <w:tabs>
          <w:tab w:val="num" w:pos="5760"/>
        </w:tabs>
        <w:ind w:left="5760" w:hanging="360"/>
      </w:pPr>
      <w:rPr>
        <w:rFonts w:ascii="Courier New" w:hAnsi="Courier New" w:cs="Courier New" w:hint="default"/>
      </w:rPr>
    </w:lvl>
    <w:lvl w:ilvl="8" w:tplc="A68266E0" w:tentative="1">
      <w:start w:val="1"/>
      <w:numFmt w:val="bullet"/>
      <w:lvlText w:val=""/>
      <w:lvlJc w:val="left"/>
      <w:pPr>
        <w:tabs>
          <w:tab w:val="num" w:pos="6480"/>
        </w:tabs>
        <w:ind w:left="6480" w:hanging="360"/>
      </w:pPr>
      <w:rPr>
        <w:rFonts w:ascii="Wingdings" w:hAnsi="Wingdings" w:hint="default"/>
      </w:rPr>
    </w:lvl>
  </w:abstractNum>
  <w:abstractNum w:abstractNumId="60">
    <w:nsid w:val="65042560"/>
    <w:multiLevelType w:val="hybridMultilevel"/>
    <w:tmpl w:val="3BACC320"/>
    <w:lvl w:ilvl="0" w:tplc="A8A2F254">
      <w:start w:val="1"/>
      <w:numFmt w:val="bullet"/>
      <w:pStyle w:val="CVbullet0"/>
      <w:lvlText w:val=""/>
      <w:lvlJc w:val="left"/>
      <w:pPr>
        <w:tabs>
          <w:tab w:val="num" w:pos="284"/>
        </w:tabs>
        <w:ind w:left="284" w:hanging="284"/>
      </w:pPr>
      <w:rPr>
        <w:rFonts w:ascii="Symbol" w:hAnsi="Symbol" w:hint="default"/>
        <w:color w:val="0C2D83"/>
        <w:sz w:val="18"/>
      </w:rPr>
    </w:lvl>
    <w:lvl w:ilvl="1" w:tplc="3D76490A">
      <w:start w:val="1"/>
      <w:numFmt w:val="bullet"/>
      <w:lvlText w:val=""/>
      <w:lvlJc w:val="left"/>
      <w:pPr>
        <w:tabs>
          <w:tab w:val="num" w:pos="340"/>
        </w:tabs>
        <w:ind w:left="340" w:hanging="340"/>
      </w:pPr>
      <w:rPr>
        <w:rFonts w:ascii="Symbol" w:hAnsi="Symbol" w:hint="default"/>
        <w:color w:val="auto"/>
        <w:sz w:val="22"/>
      </w:rPr>
    </w:lvl>
    <w:lvl w:ilvl="2" w:tplc="7C56562C">
      <w:start w:val="1"/>
      <w:numFmt w:val="bullet"/>
      <w:lvlText w:val=""/>
      <w:lvlJc w:val="left"/>
      <w:pPr>
        <w:tabs>
          <w:tab w:val="num" w:pos="340"/>
        </w:tabs>
        <w:ind w:left="340" w:hanging="340"/>
      </w:pPr>
      <w:rPr>
        <w:rFonts w:ascii="Symbol" w:hAnsi="Symbol" w:hint="default"/>
        <w:color w:val="auto"/>
        <w:sz w:val="22"/>
      </w:rPr>
    </w:lvl>
    <w:lvl w:ilvl="3" w:tplc="424E00D8">
      <w:start w:val="1"/>
      <w:numFmt w:val="bullet"/>
      <w:lvlText w:val=""/>
      <w:lvlJc w:val="left"/>
      <w:pPr>
        <w:tabs>
          <w:tab w:val="num" w:pos="340"/>
        </w:tabs>
        <w:ind w:left="340" w:hanging="340"/>
      </w:pPr>
      <w:rPr>
        <w:rFonts w:ascii="Symbol" w:hAnsi="Symbol" w:hint="default"/>
        <w:color w:val="auto"/>
        <w:sz w:val="22"/>
      </w:rPr>
    </w:lvl>
    <w:lvl w:ilvl="4" w:tplc="C2B2C7E8">
      <w:start w:val="1"/>
      <w:numFmt w:val="bullet"/>
      <w:lvlText w:val=""/>
      <w:lvlJc w:val="left"/>
      <w:pPr>
        <w:tabs>
          <w:tab w:val="num" w:pos="340"/>
        </w:tabs>
        <w:ind w:left="340" w:hanging="340"/>
      </w:pPr>
      <w:rPr>
        <w:rFonts w:ascii="Symbol" w:hAnsi="Symbol" w:hint="default"/>
        <w:color w:val="auto"/>
        <w:sz w:val="22"/>
      </w:rPr>
    </w:lvl>
    <w:lvl w:ilvl="5" w:tplc="82DA6618">
      <w:start w:val="1"/>
      <w:numFmt w:val="bullet"/>
      <w:lvlText w:val=""/>
      <w:lvlJc w:val="left"/>
      <w:pPr>
        <w:tabs>
          <w:tab w:val="num" w:pos="340"/>
        </w:tabs>
        <w:ind w:left="340" w:hanging="340"/>
      </w:pPr>
      <w:rPr>
        <w:rFonts w:ascii="Symbol" w:hAnsi="Symbol" w:hint="default"/>
        <w:color w:val="auto"/>
        <w:sz w:val="22"/>
      </w:rPr>
    </w:lvl>
    <w:lvl w:ilvl="6" w:tplc="407AFD14">
      <w:start w:val="1"/>
      <w:numFmt w:val="bullet"/>
      <w:lvlText w:val=""/>
      <w:lvlJc w:val="left"/>
      <w:pPr>
        <w:tabs>
          <w:tab w:val="num" w:pos="340"/>
        </w:tabs>
        <w:ind w:left="340" w:hanging="340"/>
      </w:pPr>
      <w:rPr>
        <w:rFonts w:ascii="Symbol" w:hAnsi="Symbol" w:hint="default"/>
        <w:color w:val="auto"/>
        <w:sz w:val="22"/>
      </w:rPr>
    </w:lvl>
    <w:lvl w:ilvl="7" w:tplc="9D7C2C0C">
      <w:start w:val="1"/>
      <w:numFmt w:val="bullet"/>
      <w:lvlText w:val=""/>
      <w:lvlJc w:val="left"/>
      <w:pPr>
        <w:tabs>
          <w:tab w:val="num" w:pos="340"/>
        </w:tabs>
        <w:ind w:left="340" w:hanging="340"/>
      </w:pPr>
      <w:rPr>
        <w:rFonts w:ascii="Symbol" w:hAnsi="Symbol" w:hint="default"/>
        <w:color w:val="auto"/>
        <w:sz w:val="22"/>
      </w:rPr>
    </w:lvl>
    <w:lvl w:ilvl="8" w:tplc="4890540A" w:tentative="1">
      <w:start w:val="1"/>
      <w:numFmt w:val="bullet"/>
      <w:lvlText w:val=""/>
      <w:lvlJc w:val="left"/>
      <w:pPr>
        <w:tabs>
          <w:tab w:val="num" w:pos="6480"/>
        </w:tabs>
        <w:ind w:left="6480" w:hanging="360"/>
      </w:pPr>
      <w:rPr>
        <w:rFonts w:ascii="Wingdings" w:hAnsi="Wingdings" w:hint="default"/>
      </w:rPr>
    </w:lvl>
  </w:abstractNum>
  <w:abstractNum w:abstractNumId="61">
    <w:nsid w:val="65065387"/>
    <w:multiLevelType w:val="singleLevel"/>
    <w:tmpl w:val="0F14BD54"/>
    <w:lvl w:ilvl="0">
      <w:start w:val="1"/>
      <w:numFmt w:val="bullet"/>
      <w:lvlText w:val=""/>
      <w:lvlJc w:val="left"/>
      <w:pPr>
        <w:tabs>
          <w:tab w:val="num" w:pos="340"/>
        </w:tabs>
        <w:ind w:left="340" w:hanging="340"/>
      </w:pPr>
      <w:rPr>
        <w:rFonts w:ascii="Symbol" w:hAnsi="Symbol" w:hint="default"/>
        <w:color w:val="auto"/>
        <w:sz w:val="22"/>
      </w:rPr>
    </w:lvl>
  </w:abstractNum>
  <w:abstractNum w:abstractNumId="62">
    <w:nsid w:val="6948347C"/>
    <w:multiLevelType w:val="singleLevel"/>
    <w:tmpl w:val="796A7BDA"/>
    <w:lvl w:ilvl="0">
      <w:start w:val="1"/>
      <w:numFmt w:val="bullet"/>
      <w:lvlText w:val=""/>
      <w:lvlJc w:val="left"/>
      <w:pPr>
        <w:tabs>
          <w:tab w:val="num" w:pos="340"/>
        </w:tabs>
        <w:ind w:left="340" w:hanging="340"/>
      </w:pPr>
      <w:rPr>
        <w:rFonts w:ascii="Symbol" w:hAnsi="Symbol" w:hint="default"/>
        <w:color w:val="auto"/>
        <w:sz w:val="22"/>
      </w:rPr>
    </w:lvl>
  </w:abstractNum>
  <w:abstractNum w:abstractNumId="63">
    <w:nsid w:val="6ADB160F"/>
    <w:multiLevelType w:val="singleLevel"/>
    <w:tmpl w:val="6A92FA96"/>
    <w:lvl w:ilvl="0">
      <w:start w:val="1"/>
      <w:numFmt w:val="bullet"/>
      <w:lvlText w:val=""/>
      <w:lvlJc w:val="left"/>
      <w:pPr>
        <w:tabs>
          <w:tab w:val="num" w:pos="340"/>
        </w:tabs>
        <w:ind w:left="340" w:hanging="340"/>
      </w:pPr>
      <w:rPr>
        <w:rFonts w:ascii="Symbol" w:hAnsi="Symbol" w:hint="default"/>
        <w:color w:val="auto"/>
        <w:sz w:val="22"/>
      </w:rPr>
    </w:lvl>
  </w:abstractNum>
  <w:abstractNum w:abstractNumId="64">
    <w:nsid w:val="6B235F39"/>
    <w:multiLevelType w:val="hybridMultilevel"/>
    <w:tmpl w:val="ADE6EF10"/>
    <w:lvl w:ilvl="0" w:tplc="A62EB17E">
      <w:start w:val="1"/>
      <w:numFmt w:val="bullet"/>
      <w:pStyle w:val="CVbullet1"/>
      <w:lvlText w:val=""/>
      <w:lvlJc w:val="left"/>
      <w:pPr>
        <w:tabs>
          <w:tab w:val="num" w:pos="340"/>
        </w:tabs>
        <w:ind w:left="340" w:hanging="340"/>
      </w:pPr>
      <w:rPr>
        <w:rFonts w:ascii="Symbol" w:hAnsi="Symbol" w:hint="default"/>
        <w:color w:val="000080"/>
        <w:sz w:val="22"/>
      </w:rPr>
    </w:lvl>
    <w:lvl w:ilvl="1" w:tplc="B8AAFE44" w:tentative="1">
      <w:start w:val="1"/>
      <w:numFmt w:val="bullet"/>
      <w:lvlText w:val="o"/>
      <w:lvlJc w:val="left"/>
      <w:pPr>
        <w:tabs>
          <w:tab w:val="num" w:pos="1440"/>
        </w:tabs>
        <w:ind w:left="1440" w:hanging="360"/>
      </w:pPr>
      <w:rPr>
        <w:rFonts w:ascii="Courier New" w:hAnsi="Courier New" w:hint="default"/>
      </w:rPr>
    </w:lvl>
    <w:lvl w:ilvl="2" w:tplc="FB64BA6A" w:tentative="1">
      <w:start w:val="1"/>
      <w:numFmt w:val="bullet"/>
      <w:lvlText w:val=""/>
      <w:lvlJc w:val="left"/>
      <w:pPr>
        <w:tabs>
          <w:tab w:val="num" w:pos="2160"/>
        </w:tabs>
        <w:ind w:left="2160" w:hanging="360"/>
      </w:pPr>
      <w:rPr>
        <w:rFonts w:ascii="Wingdings" w:hAnsi="Wingdings" w:hint="default"/>
      </w:rPr>
    </w:lvl>
    <w:lvl w:ilvl="3" w:tplc="F376BCC6" w:tentative="1">
      <w:start w:val="1"/>
      <w:numFmt w:val="bullet"/>
      <w:lvlText w:val=""/>
      <w:lvlJc w:val="left"/>
      <w:pPr>
        <w:tabs>
          <w:tab w:val="num" w:pos="2880"/>
        </w:tabs>
        <w:ind w:left="2880" w:hanging="360"/>
      </w:pPr>
      <w:rPr>
        <w:rFonts w:ascii="Symbol" w:hAnsi="Symbol" w:hint="default"/>
      </w:rPr>
    </w:lvl>
    <w:lvl w:ilvl="4" w:tplc="76D6617C" w:tentative="1">
      <w:start w:val="1"/>
      <w:numFmt w:val="bullet"/>
      <w:lvlText w:val="o"/>
      <w:lvlJc w:val="left"/>
      <w:pPr>
        <w:tabs>
          <w:tab w:val="num" w:pos="3600"/>
        </w:tabs>
        <w:ind w:left="3600" w:hanging="360"/>
      </w:pPr>
      <w:rPr>
        <w:rFonts w:ascii="Courier New" w:hAnsi="Courier New" w:hint="default"/>
      </w:rPr>
    </w:lvl>
    <w:lvl w:ilvl="5" w:tplc="3F7267B8" w:tentative="1">
      <w:start w:val="1"/>
      <w:numFmt w:val="bullet"/>
      <w:lvlText w:val=""/>
      <w:lvlJc w:val="left"/>
      <w:pPr>
        <w:tabs>
          <w:tab w:val="num" w:pos="4320"/>
        </w:tabs>
        <w:ind w:left="4320" w:hanging="360"/>
      </w:pPr>
      <w:rPr>
        <w:rFonts w:ascii="Wingdings" w:hAnsi="Wingdings" w:hint="default"/>
      </w:rPr>
    </w:lvl>
    <w:lvl w:ilvl="6" w:tplc="58DC4638" w:tentative="1">
      <w:start w:val="1"/>
      <w:numFmt w:val="bullet"/>
      <w:lvlText w:val=""/>
      <w:lvlJc w:val="left"/>
      <w:pPr>
        <w:tabs>
          <w:tab w:val="num" w:pos="5040"/>
        </w:tabs>
        <w:ind w:left="5040" w:hanging="360"/>
      </w:pPr>
      <w:rPr>
        <w:rFonts w:ascii="Symbol" w:hAnsi="Symbol" w:hint="default"/>
      </w:rPr>
    </w:lvl>
    <w:lvl w:ilvl="7" w:tplc="59D00992" w:tentative="1">
      <w:start w:val="1"/>
      <w:numFmt w:val="bullet"/>
      <w:lvlText w:val="o"/>
      <w:lvlJc w:val="left"/>
      <w:pPr>
        <w:tabs>
          <w:tab w:val="num" w:pos="5760"/>
        </w:tabs>
        <w:ind w:left="5760" w:hanging="360"/>
      </w:pPr>
      <w:rPr>
        <w:rFonts w:ascii="Courier New" w:hAnsi="Courier New" w:hint="default"/>
      </w:rPr>
    </w:lvl>
    <w:lvl w:ilvl="8" w:tplc="962EDF60" w:tentative="1">
      <w:start w:val="1"/>
      <w:numFmt w:val="bullet"/>
      <w:lvlText w:val=""/>
      <w:lvlJc w:val="left"/>
      <w:pPr>
        <w:tabs>
          <w:tab w:val="num" w:pos="6480"/>
        </w:tabs>
        <w:ind w:left="6480" w:hanging="360"/>
      </w:pPr>
      <w:rPr>
        <w:rFonts w:ascii="Wingdings" w:hAnsi="Wingdings" w:hint="default"/>
      </w:rPr>
    </w:lvl>
  </w:abstractNum>
  <w:abstractNum w:abstractNumId="65">
    <w:nsid w:val="6B2953A5"/>
    <w:multiLevelType w:val="hybridMultilevel"/>
    <w:tmpl w:val="A2121234"/>
    <w:lvl w:ilvl="0" w:tplc="4C608530">
      <w:start w:val="1"/>
      <w:numFmt w:val="decimal"/>
      <w:pStyle w:val="Numbering"/>
      <w:lvlText w:val="%1."/>
      <w:lvlJc w:val="left"/>
      <w:pPr>
        <w:tabs>
          <w:tab w:val="num" w:pos="357"/>
        </w:tabs>
        <w:ind w:left="357" w:hanging="357"/>
      </w:pPr>
      <w:rPr>
        <w:rFonts w:ascii="Times New Roman" w:hAnsi="Times New Roman" w:hint="default"/>
      </w:rPr>
    </w:lvl>
    <w:lvl w:ilvl="1" w:tplc="F1026046" w:tentative="1">
      <w:start w:val="1"/>
      <w:numFmt w:val="lowerLetter"/>
      <w:lvlText w:val="%2."/>
      <w:lvlJc w:val="left"/>
      <w:pPr>
        <w:tabs>
          <w:tab w:val="num" w:pos="1440"/>
        </w:tabs>
        <w:ind w:left="1440" w:hanging="360"/>
      </w:pPr>
    </w:lvl>
    <w:lvl w:ilvl="2" w:tplc="B4D28890" w:tentative="1">
      <w:start w:val="1"/>
      <w:numFmt w:val="lowerRoman"/>
      <w:lvlText w:val="%3."/>
      <w:lvlJc w:val="right"/>
      <w:pPr>
        <w:tabs>
          <w:tab w:val="num" w:pos="2160"/>
        </w:tabs>
        <w:ind w:left="2160" w:hanging="180"/>
      </w:pPr>
    </w:lvl>
    <w:lvl w:ilvl="3" w:tplc="916A3482" w:tentative="1">
      <w:start w:val="1"/>
      <w:numFmt w:val="decimal"/>
      <w:lvlText w:val="%4."/>
      <w:lvlJc w:val="left"/>
      <w:pPr>
        <w:tabs>
          <w:tab w:val="num" w:pos="2880"/>
        </w:tabs>
        <w:ind w:left="2880" w:hanging="360"/>
      </w:pPr>
    </w:lvl>
    <w:lvl w:ilvl="4" w:tplc="BCD6FB10" w:tentative="1">
      <w:start w:val="1"/>
      <w:numFmt w:val="lowerLetter"/>
      <w:lvlText w:val="%5."/>
      <w:lvlJc w:val="left"/>
      <w:pPr>
        <w:tabs>
          <w:tab w:val="num" w:pos="3600"/>
        </w:tabs>
        <w:ind w:left="3600" w:hanging="360"/>
      </w:pPr>
    </w:lvl>
    <w:lvl w:ilvl="5" w:tplc="25A21BC0" w:tentative="1">
      <w:start w:val="1"/>
      <w:numFmt w:val="lowerRoman"/>
      <w:lvlText w:val="%6."/>
      <w:lvlJc w:val="right"/>
      <w:pPr>
        <w:tabs>
          <w:tab w:val="num" w:pos="4320"/>
        </w:tabs>
        <w:ind w:left="4320" w:hanging="180"/>
      </w:pPr>
    </w:lvl>
    <w:lvl w:ilvl="6" w:tplc="E3CCC6C4" w:tentative="1">
      <w:start w:val="1"/>
      <w:numFmt w:val="decimal"/>
      <w:lvlText w:val="%7."/>
      <w:lvlJc w:val="left"/>
      <w:pPr>
        <w:tabs>
          <w:tab w:val="num" w:pos="5040"/>
        </w:tabs>
        <w:ind w:left="5040" w:hanging="360"/>
      </w:pPr>
    </w:lvl>
    <w:lvl w:ilvl="7" w:tplc="FCEC89E4" w:tentative="1">
      <w:start w:val="1"/>
      <w:numFmt w:val="lowerLetter"/>
      <w:lvlText w:val="%8."/>
      <w:lvlJc w:val="left"/>
      <w:pPr>
        <w:tabs>
          <w:tab w:val="num" w:pos="5760"/>
        </w:tabs>
        <w:ind w:left="5760" w:hanging="360"/>
      </w:pPr>
    </w:lvl>
    <w:lvl w:ilvl="8" w:tplc="91F0342E" w:tentative="1">
      <w:start w:val="1"/>
      <w:numFmt w:val="lowerRoman"/>
      <w:lvlText w:val="%9."/>
      <w:lvlJc w:val="right"/>
      <w:pPr>
        <w:tabs>
          <w:tab w:val="num" w:pos="6480"/>
        </w:tabs>
        <w:ind w:left="6480" w:hanging="180"/>
      </w:pPr>
    </w:lvl>
  </w:abstractNum>
  <w:abstractNum w:abstractNumId="66">
    <w:nsid w:val="6CE44190"/>
    <w:multiLevelType w:val="singleLevel"/>
    <w:tmpl w:val="B3703E5C"/>
    <w:lvl w:ilvl="0">
      <w:start w:val="1"/>
      <w:numFmt w:val="bullet"/>
      <w:lvlText w:val=""/>
      <w:lvlJc w:val="left"/>
      <w:pPr>
        <w:tabs>
          <w:tab w:val="num" w:pos="340"/>
        </w:tabs>
        <w:ind w:left="340" w:hanging="340"/>
      </w:pPr>
      <w:rPr>
        <w:rFonts w:ascii="Symbol" w:hAnsi="Symbol" w:hint="default"/>
        <w:color w:val="auto"/>
        <w:sz w:val="22"/>
      </w:rPr>
    </w:lvl>
  </w:abstractNum>
  <w:abstractNum w:abstractNumId="67">
    <w:nsid w:val="6DF05F7F"/>
    <w:multiLevelType w:val="singleLevel"/>
    <w:tmpl w:val="541ABD32"/>
    <w:lvl w:ilvl="0">
      <w:start w:val="1"/>
      <w:numFmt w:val="bullet"/>
      <w:lvlText w:val=""/>
      <w:lvlJc w:val="left"/>
      <w:pPr>
        <w:tabs>
          <w:tab w:val="num" w:pos="340"/>
        </w:tabs>
        <w:ind w:left="340" w:hanging="340"/>
      </w:pPr>
      <w:rPr>
        <w:rFonts w:ascii="Symbol" w:hAnsi="Symbol" w:hint="default"/>
        <w:color w:val="auto"/>
        <w:sz w:val="22"/>
      </w:rPr>
    </w:lvl>
  </w:abstractNum>
  <w:abstractNum w:abstractNumId="68">
    <w:nsid w:val="711E5D81"/>
    <w:multiLevelType w:val="singleLevel"/>
    <w:tmpl w:val="4CF248E4"/>
    <w:lvl w:ilvl="0">
      <w:start w:val="1"/>
      <w:numFmt w:val="bullet"/>
      <w:lvlText w:val=""/>
      <w:lvlJc w:val="left"/>
      <w:pPr>
        <w:tabs>
          <w:tab w:val="num" w:pos="340"/>
        </w:tabs>
        <w:ind w:left="340" w:hanging="340"/>
      </w:pPr>
      <w:rPr>
        <w:rFonts w:ascii="Symbol" w:hAnsi="Symbol" w:hint="default"/>
        <w:color w:val="auto"/>
        <w:sz w:val="22"/>
      </w:rPr>
    </w:lvl>
  </w:abstractNum>
  <w:abstractNum w:abstractNumId="69">
    <w:nsid w:val="72270BB4"/>
    <w:multiLevelType w:val="singleLevel"/>
    <w:tmpl w:val="A7B8EDBC"/>
    <w:lvl w:ilvl="0">
      <w:start w:val="1"/>
      <w:numFmt w:val="bullet"/>
      <w:lvlText w:val=""/>
      <w:lvlJc w:val="left"/>
      <w:pPr>
        <w:tabs>
          <w:tab w:val="num" w:pos="340"/>
        </w:tabs>
        <w:ind w:left="340" w:hanging="340"/>
      </w:pPr>
      <w:rPr>
        <w:rFonts w:ascii="Symbol" w:hAnsi="Symbol" w:hint="default"/>
        <w:color w:val="auto"/>
        <w:sz w:val="22"/>
      </w:rPr>
    </w:lvl>
  </w:abstractNum>
  <w:abstractNum w:abstractNumId="70">
    <w:nsid w:val="74010DFC"/>
    <w:multiLevelType w:val="singleLevel"/>
    <w:tmpl w:val="B212003A"/>
    <w:lvl w:ilvl="0">
      <w:start w:val="1"/>
      <w:numFmt w:val="bullet"/>
      <w:lvlText w:val=""/>
      <w:lvlJc w:val="left"/>
      <w:pPr>
        <w:tabs>
          <w:tab w:val="num" w:pos="340"/>
        </w:tabs>
        <w:ind w:left="340" w:hanging="340"/>
      </w:pPr>
      <w:rPr>
        <w:rFonts w:ascii="Symbol" w:hAnsi="Symbol" w:hint="default"/>
        <w:color w:val="auto"/>
        <w:sz w:val="22"/>
      </w:rPr>
    </w:lvl>
  </w:abstractNum>
  <w:abstractNum w:abstractNumId="71">
    <w:nsid w:val="74C166B2"/>
    <w:multiLevelType w:val="singleLevel"/>
    <w:tmpl w:val="EBB4FA96"/>
    <w:lvl w:ilvl="0">
      <w:start w:val="1"/>
      <w:numFmt w:val="bullet"/>
      <w:lvlText w:val=""/>
      <w:lvlJc w:val="left"/>
      <w:pPr>
        <w:tabs>
          <w:tab w:val="num" w:pos="340"/>
        </w:tabs>
        <w:ind w:left="340" w:hanging="340"/>
      </w:pPr>
      <w:rPr>
        <w:rFonts w:ascii="Symbol" w:hAnsi="Symbol" w:hint="default"/>
        <w:color w:val="auto"/>
        <w:sz w:val="22"/>
      </w:rPr>
    </w:lvl>
  </w:abstractNum>
  <w:abstractNum w:abstractNumId="72">
    <w:nsid w:val="75E65135"/>
    <w:multiLevelType w:val="hybridMultilevel"/>
    <w:tmpl w:val="285E27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3">
    <w:nsid w:val="766974F4"/>
    <w:multiLevelType w:val="singleLevel"/>
    <w:tmpl w:val="D7603558"/>
    <w:lvl w:ilvl="0">
      <w:start w:val="1"/>
      <w:numFmt w:val="bullet"/>
      <w:pStyle w:val="BulletText1"/>
      <w:lvlText w:val=""/>
      <w:lvlJc w:val="left"/>
      <w:pPr>
        <w:tabs>
          <w:tab w:val="num" w:pos="1134"/>
        </w:tabs>
        <w:ind w:left="1134" w:hanging="567"/>
      </w:pPr>
      <w:rPr>
        <w:rFonts w:ascii="Symbol" w:hAnsi="Symbol" w:hint="default"/>
      </w:rPr>
    </w:lvl>
  </w:abstractNum>
  <w:abstractNum w:abstractNumId="74">
    <w:nsid w:val="76EB67F8"/>
    <w:multiLevelType w:val="singleLevel"/>
    <w:tmpl w:val="ED324358"/>
    <w:lvl w:ilvl="0">
      <w:start w:val="1"/>
      <w:numFmt w:val="bullet"/>
      <w:lvlText w:val=""/>
      <w:lvlJc w:val="left"/>
      <w:pPr>
        <w:tabs>
          <w:tab w:val="num" w:pos="340"/>
        </w:tabs>
        <w:ind w:left="340" w:hanging="340"/>
      </w:pPr>
      <w:rPr>
        <w:rFonts w:ascii="Symbol" w:hAnsi="Symbol" w:hint="default"/>
        <w:color w:val="auto"/>
        <w:sz w:val="22"/>
      </w:rPr>
    </w:lvl>
  </w:abstractNum>
  <w:abstractNum w:abstractNumId="75">
    <w:nsid w:val="776F3477"/>
    <w:multiLevelType w:val="singleLevel"/>
    <w:tmpl w:val="E132F93A"/>
    <w:lvl w:ilvl="0">
      <w:start w:val="1"/>
      <w:numFmt w:val="bullet"/>
      <w:lvlText w:val=""/>
      <w:lvlJc w:val="left"/>
      <w:pPr>
        <w:tabs>
          <w:tab w:val="num" w:pos="340"/>
        </w:tabs>
        <w:ind w:left="340" w:hanging="340"/>
      </w:pPr>
      <w:rPr>
        <w:rFonts w:ascii="Symbol" w:hAnsi="Symbol" w:hint="default"/>
        <w:color w:val="auto"/>
        <w:sz w:val="22"/>
      </w:rPr>
    </w:lvl>
  </w:abstractNum>
  <w:abstractNum w:abstractNumId="76">
    <w:nsid w:val="777E5F97"/>
    <w:multiLevelType w:val="multilevel"/>
    <w:tmpl w:val="B196541E"/>
    <w:lvl w:ilvl="0">
      <w:start w:val="1"/>
      <w:numFmt w:val="upperLetter"/>
      <w:pStyle w:val="AppendixHeading2"/>
      <w:lvlText w:val="%1"/>
      <w:lvlJc w:val="left"/>
      <w:pPr>
        <w:tabs>
          <w:tab w:val="num" w:pos="964"/>
        </w:tabs>
        <w:ind w:left="964" w:hanging="964"/>
      </w:pPr>
    </w:lvl>
    <w:lvl w:ilvl="1">
      <w:start w:val="1"/>
      <w:numFmt w:val="decimal"/>
      <w:pStyle w:val="AppendixHeading2"/>
      <w:lvlText w:val="%1.%2"/>
      <w:lvlJc w:val="left"/>
      <w:pPr>
        <w:tabs>
          <w:tab w:val="num" w:pos="0"/>
        </w:tabs>
        <w:ind w:left="0" w:hanging="964"/>
      </w:pPr>
    </w:lvl>
    <w:lvl w:ilvl="2">
      <w:start w:val="1"/>
      <w:numFmt w:val="decimal"/>
      <w:lvlText w:val="%1.%2.%3"/>
      <w:lvlJc w:val="left"/>
      <w:pPr>
        <w:tabs>
          <w:tab w:val="num" w:pos="0"/>
        </w:tabs>
        <w:ind w:left="0" w:hanging="964"/>
      </w:pPr>
    </w:lvl>
    <w:lvl w:ilvl="3">
      <w:start w:val="1"/>
      <w:numFmt w:val="decimal"/>
      <w:lvlText w:val="%1.%2.%3.%4"/>
      <w:lvlJc w:val="left"/>
      <w:pPr>
        <w:tabs>
          <w:tab w:val="num" w:pos="0"/>
        </w:tabs>
        <w:ind w:left="0" w:hanging="964"/>
      </w:pPr>
    </w:lvl>
    <w:lvl w:ilvl="4">
      <w:start w:val="1"/>
      <w:numFmt w:val="decimal"/>
      <w:lvlText w:val="(%5)"/>
      <w:lvlJc w:val="left"/>
      <w:pPr>
        <w:tabs>
          <w:tab w:val="num" w:pos="3240"/>
        </w:tabs>
        <w:ind w:left="2880" w:firstLine="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77">
    <w:nsid w:val="79546EC9"/>
    <w:multiLevelType w:val="singleLevel"/>
    <w:tmpl w:val="E0547026"/>
    <w:lvl w:ilvl="0">
      <w:start w:val="1"/>
      <w:numFmt w:val="bullet"/>
      <w:pStyle w:val="BodyBullet0"/>
      <w:lvlText w:val=""/>
      <w:lvlJc w:val="left"/>
      <w:pPr>
        <w:tabs>
          <w:tab w:val="num" w:pos="284"/>
        </w:tabs>
        <w:ind w:left="284" w:hanging="284"/>
      </w:pPr>
      <w:rPr>
        <w:rFonts w:ascii="Symbol" w:hAnsi="Symbol" w:cs="Univers 45 Light" w:hint="default"/>
        <w:bCs w:val="0"/>
        <w:iCs w:val="0"/>
        <w:color w:val="0C2D83"/>
        <w:sz w:val="20"/>
        <w:szCs w:val="20"/>
      </w:rPr>
    </w:lvl>
  </w:abstractNum>
  <w:abstractNum w:abstractNumId="78">
    <w:nsid w:val="7A043660"/>
    <w:multiLevelType w:val="singleLevel"/>
    <w:tmpl w:val="B0AEA4AC"/>
    <w:lvl w:ilvl="0">
      <w:start w:val="1"/>
      <w:numFmt w:val="bullet"/>
      <w:lvlText w:val=""/>
      <w:lvlJc w:val="left"/>
      <w:pPr>
        <w:tabs>
          <w:tab w:val="num" w:pos="340"/>
        </w:tabs>
        <w:ind w:left="340" w:hanging="340"/>
      </w:pPr>
      <w:rPr>
        <w:rFonts w:ascii="Symbol" w:hAnsi="Symbol" w:hint="default"/>
        <w:color w:val="auto"/>
        <w:sz w:val="22"/>
      </w:rPr>
    </w:lvl>
  </w:abstractNum>
  <w:abstractNum w:abstractNumId="79">
    <w:nsid w:val="7D365B7F"/>
    <w:multiLevelType w:val="singleLevel"/>
    <w:tmpl w:val="D952A07A"/>
    <w:lvl w:ilvl="0">
      <w:start w:val="1"/>
      <w:numFmt w:val="bullet"/>
      <w:lvlText w:val=""/>
      <w:lvlJc w:val="left"/>
      <w:pPr>
        <w:tabs>
          <w:tab w:val="num" w:pos="340"/>
        </w:tabs>
        <w:ind w:left="340" w:hanging="340"/>
      </w:pPr>
      <w:rPr>
        <w:rFonts w:ascii="Symbol" w:hAnsi="Symbol" w:hint="default"/>
        <w:color w:val="auto"/>
        <w:sz w:val="22"/>
      </w:rPr>
    </w:lvl>
  </w:abstractNum>
  <w:abstractNum w:abstractNumId="80">
    <w:nsid w:val="7E887A5D"/>
    <w:multiLevelType w:val="singleLevel"/>
    <w:tmpl w:val="BC20CB68"/>
    <w:lvl w:ilvl="0">
      <w:start w:val="1"/>
      <w:numFmt w:val="bullet"/>
      <w:lvlText w:val=""/>
      <w:lvlJc w:val="left"/>
      <w:pPr>
        <w:tabs>
          <w:tab w:val="num" w:pos="340"/>
        </w:tabs>
        <w:ind w:left="340" w:hanging="340"/>
      </w:pPr>
      <w:rPr>
        <w:rFonts w:ascii="Symbol" w:hAnsi="Symbol" w:hint="default"/>
        <w:color w:val="auto"/>
        <w:sz w:val="22"/>
      </w:rPr>
    </w:lvl>
  </w:abstractNum>
  <w:num w:numId="1">
    <w:abstractNumId w:val="53"/>
  </w:num>
  <w:num w:numId="2">
    <w:abstractNumId w:val="2"/>
  </w:num>
  <w:num w:numId="3">
    <w:abstractNumId w:val="1"/>
  </w:num>
  <w:num w:numId="4">
    <w:abstractNumId w:val="65"/>
  </w:num>
  <w:num w:numId="5">
    <w:abstractNumId w:val="50"/>
  </w:num>
  <w:num w:numId="6">
    <w:abstractNumId w:val="8"/>
  </w:num>
  <w:num w:numId="7">
    <w:abstractNumId w:val="42"/>
  </w:num>
  <w:num w:numId="8">
    <w:abstractNumId w:val="21"/>
  </w:num>
  <w:num w:numId="9">
    <w:abstractNumId w:val="28"/>
  </w:num>
  <w:num w:numId="10">
    <w:abstractNumId w:val="64"/>
  </w:num>
  <w:num w:numId="11">
    <w:abstractNumId w:val="34"/>
  </w:num>
  <w:num w:numId="12">
    <w:abstractNumId w:val="55"/>
  </w:num>
  <w:num w:numId="13">
    <w:abstractNumId w:val="56"/>
  </w:num>
  <w:num w:numId="14">
    <w:abstractNumId w:val="45"/>
  </w:num>
  <w:num w:numId="15">
    <w:abstractNumId w:val="59"/>
  </w:num>
  <w:num w:numId="16">
    <w:abstractNumId w:val="26"/>
  </w:num>
  <w:num w:numId="17">
    <w:abstractNumId w:val="76"/>
  </w:num>
  <w:num w:numId="18">
    <w:abstractNumId w:val="77"/>
  </w:num>
  <w:num w:numId="19">
    <w:abstractNumId w:val="12"/>
  </w:num>
  <w:num w:numId="20">
    <w:abstractNumId w:val="60"/>
  </w:num>
  <w:num w:numId="21">
    <w:abstractNumId w:val="73"/>
  </w:num>
  <w:num w:numId="22">
    <w:abstractNumId w:val="0"/>
  </w:num>
  <w:num w:numId="23">
    <w:abstractNumId w:val="6"/>
  </w:num>
  <w:num w:numId="24">
    <w:abstractNumId w:val="44"/>
  </w:num>
  <w:num w:numId="25">
    <w:abstractNumId w:val="46"/>
  </w:num>
  <w:num w:numId="26">
    <w:abstractNumId w:val="36"/>
  </w:num>
  <w:num w:numId="27">
    <w:abstractNumId w:val="66"/>
  </w:num>
  <w:num w:numId="28">
    <w:abstractNumId w:val="37"/>
  </w:num>
  <w:num w:numId="29">
    <w:abstractNumId w:val="63"/>
  </w:num>
  <w:num w:numId="30">
    <w:abstractNumId w:val="71"/>
  </w:num>
  <w:num w:numId="31">
    <w:abstractNumId w:val="35"/>
  </w:num>
  <w:num w:numId="32">
    <w:abstractNumId w:val="80"/>
  </w:num>
  <w:num w:numId="33">
    <w:abstractNumId w:val="17"/>
  </w:num>
  <w:num w:numId="34">
    <w:abstractNumId w:val="62"/>
  </w:num>
  <w:num w:numId="35">
    <w:abstractNumId w:val="68"/>
  </w:num>
  <w:num w:numId="36">
    <w:abstractNumId w:val="72"/>
  </w:num>
  <w:num w:numId="37">
    <w:abstractNumId w:val="13"/>
  </w:num>
  <w:num w:numId="38">
    <w:abstractNumId w:val="9"/>
  </w:num>
  <w:num w:numId="39">
    <w:abstractNumId w:val="19"/>
  </w:num>
  <w:num w:numId="40">
    <w:abstractNumId w:val="70"/>
  </w:num>
  <w:num w:numId="41">
    <w:abstractNumId w:val="38"/>
  </w:num>
  <w:num w:numId="42">
    <w:abstractNumId w:val="33"/>
  </w:num>
  <w:num w:numId="43">
    <w:abstractNumId w:val="11"/>
  </w:num>
  <w:num w:numId="44">
    <w:abstractNumId w:val="52"/>
  </w:num>
  <w:num w:numId="45">
    <w:abstractNumId w:val="74"/>
  </w:num>
  <w:num w:numId="46">
    <w:abstractNumId w:val="30"/>
  </w:num>
  <w:num w:numId="47">
    <w:abstractNumId w:val="40"/>
  </w:num>
  <w:num w:numId="48">
    <w:abstractNumId w:val="24"/>
  </w:num>
  <w:num w:numId="49">
    <w:abstractNumId w:val="67"/>
  </w:num>
  <w:num w:numId="50">
    <w:abstractNumId w:val="32"/>
  </w:num>
  <w:num w:numId="51">
    <w:abstractNumId w:val="10"/>
  </w:num>
  <w:num w:numId="52">
    <w:abstractNumId w:val="78"/>
  </w:num>
  <w:num w:numId="53">
    <w:abstractNumId w:val="41"/>
  </w:num>
  <w:num w:numId="54">
    <w:abstractNumId w:val="29"/>
  </w:num>
  <w:num w:numId="55">
    <w:abstractNumId w:val="75"/>
  </w:num>
  <w:num w:numId="56">
    <w:abstractNumId w:val="15"/>
  </w:num>
  <w:num w:numId="57">
    <w:abstractNumId w:val="14"/>
  </w:num>
  <w:num w:numId="58">
    <w:abstractNumId w:val="61"/>
  </w:num>
  <w:num w:numId="59">
    <w:abstractNumId w:val="79"/>
  </w:num>
  <w:num w:numId="60">
    <w:abstractNumId w:val="49"/>
  </w:num>
  <w:num w:numId="61">
    <w:abstractNumId w:val="16"/>
  </w:num>
  <w:num w:numId="62">
    <w:abstractNumId w:val="22"/>
  </w:num>
  <w:num w:numId="63">
    <w:abstractNumId w:val="31"/>
  </w:num>
  <w:num w:numId="64">
    <w:abstractNumId w:val="5"/>
  </w:num>
  <w:num w:numId="65">
    <w:abstractNumId w:val="23"/>
  </w:num>
  <w:num w:numId="66">
    <w:abstractNumId w:val="69"/>
  </w:num>
  <w:num w:numId="67">
    <w:abstractNumId w:val="43"/>
  </w:num>
  <w:num w:numId="68">
    <w:abstractNumId w:val="3"/>
  </w:num>
  <w:num w:numId="69">
    <w:abstractNumId w:val="4"/>
  </w:num>
  <w:num w:numId="70">
    <w:abstractNumId w:val="48"/>
  </w:num>
  <w:num w:numId="71">
    <w:abstractNumId w:val="58"/>
  </w:num>
  <w:num w:numId="72">
    <w:abstractNumId w:val="25"/>
  </w:num>
  <w:num w:numId="73">
    <w:abstractNumId w:val="47"/>
  </w:num>
  <w:num w:numId="74">
    <w:abstractNumId w:val="27"/>
  </w:num>
  <w:num w:numId="75">
    <w:abstractNumId w:val="18"/>
  </w:num>
  <w:num w:numId="76">
    <w:abstractNumId w:val="7"/>
  </w:num>
  <w:num w:numId="77">
    <w:abstractNumId w:val="39"/>
  </w:num>
  <w:num w:numId="78">
    <w:abstractNumId w:val="51"/>
  </w:num>
  <w:num w:numId="79">
    <w:abstractNumId w:val="54"/>
  </w:num>
  <w:num w:numId="80">
    <w:abstractNumId w:val="20"/>
  </w:num>
  <w:num w:numId="81">
    <w:abstractNumId w:val="57"/>
  </w:num>
  <w:numIdMacAtCleanup w:val="7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activeWritingStyle w:appName="MSWord" w:lang="en-AU" w:vendorID="64" w:dllVersion="131077" w:nlCheck="1" w:checkStyle="1"/>
  <w:activeWritingStyle w:appName="MSWord" w:lang="en-US" w:vendorID="64" w:dllVersion="131077" w:nlCheck="1" w:checkStyle="1"/>
  <w:activeWritingStyle w:appName="MSWord" w:lang="en-AU" w:vendorID="64" w:dllVersion="131078" w:nlCheck="1" w:checkStyle="1"/>
  <w:activeWritingStyle w:appName="MSWord" w:lang="en-GB" w:vendorID="64" w:dllVersion="131077" w:nlCheck="1" w:checkStyle="1"/>
  <w:activeWritingStyle w:appName="MSWord" w:lang="en-US" w:vendorID="64" w:dllVersion="131078" w:nlCheck="1" w:checkStyle="1"/>
  <w:activeWritingStyle w:appName="MSWord" w:lang="en-GB" w:vendorID="64" w:dllVersion="131078" w:nlCheck="1" w:checkStyle="1"/>
  <w:activeWritingStyle w:appName="MSWord" w:lang="en-CA" w:vendorID="64" w:dllVersion="131078" w:nlCheck="1" w:checkStyle="1"/>
  <w:proofState w:spelling="clean" w:grammar="clean"/>
  <w:stylePaneFormatFilter w:val="3808" w:allStyles="0" w:customStyles="0" w:latentStyles="0" w:stylesInUse="1"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567"/>
  <w:drawingGridHorizontalSpacing w:val="100"/>
  <w:drawingGridVerticalSpacing w:val="181"/>
  <w:displayHorizontalDrawingGridEvery w:val="0"/>
  <w:displayVerticalDrawingGridEvery w:val="0"/>
  <w:noPunctuationKerning/>
  <w:characterSpacingControl w:val="doNotCompress"/>
  <w:hdrShapeDefaults>
    <o:shapedefaults v:ext="edit" spidmax="4097" style="v-text-anchor:middle" fillcolor="#dce2ec" stroke="f">
      <v:fill color="#dce2ec"/>
      <v:stroke on="f"/>
      <v:shadow color="#969696"/>
      <o:colormru v:ext="edit" colors="#dce2ec,#b3c085,#97a9c7"/>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verLetter" w:val="Y"/>
    <w:docVar w:name="Division" w:val="Government"/>
    <w:docVar w:name="DraftWatermark" w:val="1"/>
    <w:docVar w:name="Entity" w:val="KPMG"/>
    <w:docVar w:name="FilledIn" w:val="Y"/>
    <w:docVar w:name="FlagDuplex" w:val="1"/>
    <w:docVar w:name="IsPropDoc" w:val="Y"/>
    <w:docVar w:name="Office" w:val="Melbourne"/>
    <w:docVar w:name="OfficeIndex" w:val="10"/>
    <w:docVar w:name="PropCoverLetterSection" w:val="2"/>
    <w:docVar w:name="PropCoverLetterSectionNumber" w:val="2"/>
    <w:docVar w:name="PropLetterHeadInstalled" w:val="Y"/>
    <w:docVar w:name="PropLOBCount" w:val="5"/>
    <w:docVar w:name="PropLOBVal1" w:val="Audit||Financial Statement Audit||Middle Market Advisory||Accounting Advisory Services||Agribusiness||Food, Drink &amp; Consumer Products||Retail||Banking||Funds Management||Insurance||Private Equity||Real Estate||Superannuation||Automotive||Building Materials||Chemicals||Diversified Industrials||Healthcare||Pharmaceuticals||Transport||Communications &amp; Media||Electronics, Software &amp; Services||Defence||Government||Health &amp; Social Policy||Higher Education||Energy &amp; Mining Services||Forestry||Mining||Oil &amp; Gas||Power &amp; Utilities||Renewables||Water||Asia Markets||China Business Practice||India Business Practice||Japanese Practice||Korea Business Practice||Singapore/Malaysia Business Practice"/>
    <w:docVar w:name="PropLOBVal2" w:val="Advisory||Board Advisory Services||Business Performance Services||Corporate Finance||Executive Search &amp; Selection||Financial Risk Management, Regulation &amp; Compliance||Forensic||Government Advisory Services||Internal Audit, Risk &amp; Control Services||IT Advisory||Property Advisory Services||Restructuring Services||Sustainability, Climate Change &amp; Water||Transaction Services||Middle Market Advisory||Agribusiness||Food, Drink &amp; Consumer Products||Retail||Banking||Funds Management||Insurance||Private Equity||Real Estate||Superannuation||Automotive||Building Materials||Chemicals||Diversified Industrials||Healthcare||Pharmaceuticals||Transport||Communications &amp; Media||Electronics, Software &amp; Services||Defence||Government||Health &amp; Social Policy||Higher Education||Energy &amp; Mining Services||Forestry||Mining||Oil &amp; Gas||Power &amp; Utilities||Renewables||Water||Asia Markets||China Business Practice||India Business Practice||Japanese Practice||Korea Business Practice||Singapore/Malaysia Business Practice"/>
    <w:docVar w:name="PropLOBVal3" w:val="Tax||Corporate Tax||Global Transfer Pricing Services||Indirect Tax||International Corporate Tax||International Executive Services||Mergers &amp; Acquisitions Tax||Research &amp; Development||Superannuation &amp; Pension Funds||Middle Market Advisory||Agribusiness||Food, Drink &amp; Consumer Products||Retail||Banking||Funds Management||Insurance||Private Equity||Real Estate||Superannuation||Automotive||Building Materials||Chemicals||Diversified Industrials||Healthcare||Pharmaceuticals||Transport||Communications &amp; Media||Electronics, Software &amp; Services||Defence||Government||Health &amp; Social Policy||Higher Education||Energy &amp; Mining Services||Forestry||Mining||Oil &amp; Gas||Power &amp; Utilities||Renewables||Water||Asia Markets||China Business Practice||India Business Practice||Japanese Practice||Korea Business Practice||Singapore/Malaysia Business Practice"/>
    <w:docVar w:name="PropLOBVal4" w:val="Australia||Asia Markets||China Business Practice||India Business Practice||Japanese Practice||Korea Business Practice||Singapore/Malaysia Business Practice||Finance||Human Resources||ITS||Marketing||Markets||Risk Management||Agribusiness||Food, Drink &amp; Consumer Products||Retail||Banking||Funds Management||Insurance||Private Equity||Real Estate||Superannuation||Automotive||Building Materials||Chemicals||Diversified Industrials||Healthcare||Pharmaceuticals||Transport||Communications &amp; Media||Electronics, Software &amp; Services||Defence||Government||Health &amp; Social Policy||Higher Education||Energy &amp; Mining Services||Forestry||Mining||Oil &amp; Gas||Power &amp; Utilities||Renewables||Water||Not applicable"/>
    <w:docVar w:name="PropLOBVal5" w:val="Financial Services||Banking||Funds Management||Insurance||Private Equity||Real Estate||Superannuation"/>
    <w:docVar w:name="propTOCLevel" w:val="1"/>
    <w:docVar w:name="SelectedOffice" w:val="9"/>
    <w:docVar w:name="ToggleHeading" w:val="2"/>
  </w:docVars>
  <w:rsids>
    <w:rsidRoot w:val="00840D65"/>
    <w:rsid w:val="0000006B"/>
    <w:rsid w:val="000003F9"/>
    <w:rsid w:val="000009A8"/>
    <w:rsid w:val="000020E7"/>
    <w:rsid w:val="00002D8E"/>
    <w:rsid w:val="00003334"/>
    <w:rsid w:val="000035D9"/>
    <w:rsid w:val="0000376E"/>
    <w:rsid w:val="00006BCC"/>
    <w:rsid w:val="000116A5"/>
    <w:rsid w:val="00011966"/>
    <w:rsid w:val="000122B5"/>
    <w:rsid w:val="000122F5"/>
    <w:rsid w:val="0001322C"/>
    <w:rsid w:val="00013437"/>
    <w:rsid w:val="00013E5A"/>
    <w:rsid w:val="00014570"/>
    <w:rsid w:val="0001693B"/>
    <w:rsid w:val="00016ED9"/>
    <w:rsid w:val="00017513"/>
    <w:rsid w:val="00020775"/>
    <w:rsid w:val="00020D9F"/>
    <w:rsid w:val="00021DA2"/>
    <w:rsid w:val="00022A43"/>
    <w:rsid w:val="00022D4A"/>
    <w:rsid w:val="0002300E"/>
    <w:rsid w:val="00023F14"/>
    <w:rsid w:val="00025E4B"/>
    <w:rsid w:val="000278A6"/>
    <w:rsid w:val="0003156E"/>
    <w:rsid w:val="00031CDD"/>
    <w:rsid w:val="000326C2"/>
    <w:rsid w:val="00032D97"/>
    <w:rsid w:val="00033341"/>
    <w:rsid w:val="00033361"/>
    <w:rsid w:val="0003568E"/>
    <w:rsid w:val="00035BB6"/>
    <w:rsid w:val="000362AF"/>
    <w:rsid w:val="00036419"/>
    <w:rsid w:val="00036E93"/>
    <w:rsid w:val="00037EC0"/>
    <w:rsid w:val="00037F64"/>
    <w:rsid w:val="00040389"/>
    <w:rsid w:val="00042CE8"/>
    <w:rsid w:val="00042DE7"/>
    <w:rsid w:val="00046F27"/>
    <w:rsid w:val="00051F75"/>
    <w:rsid w:val="00053299"/>
    <w:rsid w:val="00053372"/>
    <w:rsid w:val="00053562"/>
    <w:rsid w:val="00053612"/>
    <w:rsid w:val="0005374C"/>
    <w:rsid w:val="00053A48"/>
    <w:rsid w:val="00053B5D"/>
    <w:rsid w:val="00053D30"/>
    <w:rsid w:val="00053D3B"/>
    <w:rsid w:val="000543C4"/>
    <w:rsid w:val="00055BBF"/>
    <w:rsid w:val="00056E23"/>
    <w:rsid w:val="00056EC6"/>
    <w:rsid w:val="0006074B"/>
    <w:rsid w:val="00061010"/>
    <w:rsid w:val="00062640"/>
    <w:rsid w:val="00062BB9"/>
    <w:rsid w:val="00063112"/>
    <w:rsid w:val="00064338"/>
    <w:rsid w:val="00064732"/>
    <w:rsid w:val="000649AC"/>
    <w:rsid w:val="00065283"/>
    <w:rsid w:val="000654F9"/>
    <w:rsid w:val="00065783"/>
    <w:rsid w:val="0006685C"/>
    <w:rsid w:val="000672C9"/>
    <w:rsid w:val="00070429"/>
    <w:rsid w:val="00071C67"/>
    <w:rsid w:val="000726BD"/>
    <w:rsid w:val="00072E43"/>
    <w:rsid w:val="0007444F"/>
    <w:rsid w:val="0008064C"/>
    <w:rsid w:val="00080873"/>
    <w:rsid w:val="00080D9E"/>
    <w:rsid w:val="00081DB0"/>
    <w:rsid w:val="00081EEE"/>
    <w:rsid w:val="000823D9"/>
    <w:rsid w:val="00082C19"/>
    <w:rsid w:val="00084DC4"/>
    <w:rsid w:val="00085A6C"/>
    <w:rsid w:val="00086BAB"/>
    <w:rsid w:val="00086C8F"/>
    <w:rsid w:val="0009020A"/>
    <w:rsid w:val="000912DF"/>
    <w:rsid w:val="00092BC6"/>
    <w:rsid w:val="00092BEB"/>
    <w:rsid w:val="00094ACE"/>
    <w:rsid w:val="00095453"/>
    <w:rsid w:val="00097A56"/>
    <w:rsid w:val="000A0F4E"/>
    <w:rsid w:val="000A13D9"/>
    <w:rsid w:val="000A1BBF"/>
    <w:rsid w:val="000A1D3F"/>
    <w:rsid w:val="000A265D"/>
    <w:rsid w:val="000A3158"/>
    <w:rsid w:val="000A3DF6"/>
    <w:rsid w:val="000A4EB2"/>
    <w:rsid w:val="000A5DDE"/>
    <w:rsid w:val="000A6568"/>
    <w:rsid w:val="000A6997"/>
    <w:rsid w:val="000A6AC3"/>
    <w:rsid w:val="000A6C9A"/>
    <w:rsid w:val="000A763F"/>
    <w:rsid w:val="000B0799"/>
    <w:rsid w:val="000B16CA"/>
    <w:rsid w:val="000B25DC"/>
    <w:rsid w:val="000B336F"/>
    <w:rsid w:val="000B3D31"/>
    <w:rsid w:val="000B4D00"/>
    <w:rsid w:val="000C0CE4"/>
    <w:rsid w:val="000C108F"/>
    <w:rsid w:val="000C1749"/>
    <w:rsid w:val="000C19A6"/>
    <w:rsid w:val="000C1DED"/>
    <w:rsid w:val="000C24B3"/>
    <w:rsid w:val="000C309E"/>
    <w:rsid w:val="000C3C17"/>
    <w:rsid w:val="000C4539"/>
    <w:rsid w:val="000C4F4E"/>
    <w:rsid w:val="000C68A1"/>
    <w:rsid w:val="000D068B"/>
    <w:rsid w:val="000D1C71"/>
    <w:rsid w:val="000D2056"/>
    <w:rsid w:val="000D34F7"/>
    <w:rsid w:val="000D3F30"/>
    <w:rsid w:val="000D4FFB"/>
    <w:rsid w:val="000D5163"/>
    <w:rsid w:val="000D6C72"/>
    <w:rsid w:val="000D7489"/>
    <w:rsid w:val="000D77E2"/>
    <w:rsid w:val="000D7B49"/>
    <w:rsid w:val="000E27E9"/>
    <w:rsid w:val="000E4CFA"/>
    <w:rsid w:val="000E580C"/>
    <w:rsid w:val="000E663B"/>
    <w:rsid w:val="000E67E6"/>
    <w:rsid w:val="000E68D4"/>
    <w:rsid w:val="000E6A41"/>
    <w:rsid w:val="000F04BA"/>
    <w:rsid w:val="000F29D4"/>
    <w:rsid w:val="000F4499"/>
    <w:rsid w:val="000F57A5"/>
    <w:rsid w:val="000F5BBF"/>
    <w:rsid w:val="000F6C8A"/>
    <w:rsid w:val="00100427"/>
    <w:rsid w:val="00101147"/>
    <w:rsid w:val="00102B0B"/>
    <w:rsid w:val="00102DB4"/>
    <w:rsid w:val="00103773"/>
    <w:rsid w:val="00103D98"/>
    <w:rsid w:val="001044F3"/>
    <w:rsid w:val="00104525"/>
    <w:rsid w:val="001048DA"/>
    <w:rsid w:val="001056F8"/>
    <w:rsid w:val="00105EC0"/>
    <w:rsid w:val="00107FCF"/>
    <w:rsid w:val="001109DD"/>
    <w:rsid w:val="00110EC0"/>
    <w:rsid w:val="0011120A"/>
    <w:rsid w:val="00111282"/>
    <w:rsid w:val="00112A9F"/>
    <w:rsid w:val="00112B97"/>
    <w:rsid w:val="001133D6"/>
    <w:rsid w:val="001140D3"/>
    <w:rsid w:val="0011456D"/>
    <w:rsid w:val="00114CCB"/>
    <w:rsid w:val="00115986"/>
    <w:rsid w:val="00115AB7"/>
    <w:rsid w:val="00117548"/>
    <w:rsid w:val="00117967"/>
    <w:rsid w:val="00117D93"/>
    <w:rsid w:val="00121C97"/>
    <w:rsid w:val="00122C74"/>
    <w:rsid w:val="00123829"/>
    <w:rsid w:val="00123A33"/>
    <w:rsid w:val="00124006"/>
    <w:rsid w:val="00124727"/>
    <w:rsid w:val="00125334"/>
    <w:rsid w:val="001265C2"/>
    <w:rsid w:val="0012783F"/>
    <w:rsid w:val="00130960"/>
    <w:rsid w:val="00130AA8"/>
    <w:rsid w:val="00130D1D"/>
    <w:rsid w:val="001316EF"/>
    <w:rsid w:val="0013325C"/>
    <w:rsid w:val="00133EA1"/>
    <w:rsid w:val="00136E57"/>
    <w:rsid w:val="00137227"/>
    <w:rsid w:val="0013790A"/>
    <w:rsid w:val="00137AC5"/>
    <w:rsid w:val="001400F3"/>
    <w:rsid w:val="00140C9F"/>
    <w:rsid w:val="00140E93"/>
    <w:rsid w:val="0014145B"/>
    <w:rsid w:val="00142252"/>
    <w:rsid w:val="001425D6"/>
    <w:rsid w:val="0014372C"/>
    <w:rsid w:val="00145FA0"/>
    <w:rsid w:val="001463CB"/>
    <w:rsid w:val="00146425"/>
    <w:rsid w:val="00150537"/>
    <w:rsid w:val="00151ED4"/>
    <w:rsid w:val="00152708"/>
    <w:rsid w:val="00153031"/>
    <w:rsid w:val="00153AB5"/>
    <w:rsid w:val="00153AF3"/>
    <w:rsid w:val="00154BF5"/>
    <w:rsid w:val="00154CF7"/>
    <w:rsid w:val="00155AF7"/>
    <w:rsid w:val="00155BD9"/>
    <w:rsid w:val="001561C2"/>
    <w:rsid w:val="001566AF"/>
    <w:rsid w:val="00156E49"/>
    <w:rsid w:val="00157536"/>
    <w:rsid w:val="001577BB"/>
    <w:rsid w:val="0016050D"/>
    <w:rsid w:val="0016221A"/>
    <w:rsid w:val="00163308"/>
    <w:rsid w:val="0016389B"/>
    <w:rsid w:val="00163A46"/>
    <w:rsid w:val="001665BE"/>
    <w:rsid w:val="001667E3"/>
    <w:rsid w:val="00166908"/>
    <w:rsid w:val="00166E95"/>
    <w:rsid w:val="00167A24"/>
    <w:rsid w:val="00167B07"/>
    <w:rsid w:val="00167E2C"/>
    <w:rsid w:val="0017085B"/>
    <w:rsid w:val="0017086C"/>
    <w:rsid w:val="00171DAC"/>
    <w:rsid w:val="00171F38"/>
    <w:rsid w:val="00172EBF"/>
    <w:rsid w:val="00173206"/>
    <w:rsid w:val="00173507"/>
    <w:rsid w:val="00175B94"/>
    <w:rsid w:val="00175CEB"/>
    <w:rsid w:val="00176483"/>
    <w:rsid w:val="001769D7"/>
    <w:rsid w:val="00176DC9"/>
    <w:rsid w:val="001771B1"/>
    <w:rsid w:val="00177AA9"/>
    <w:rsid w:val="00177F63"/>
    <w:rsid w:val="001804E0"/>
    <w:rsid w:val="0018059C"/>
    <w:rsid w:val="00181719"/>
    <w:rsid w:val="00183E31"/>
    <w:rsid w:val="00183E70"/>
    <w:rsid w:val="00185C88"/>
    <w:rsid w:val="00185E7B"/>
    <w:rsid w:val="0018695B"/>
    <w:rsid w:val="00187179"/>
    <w:rsid w:val="001877D4"/>
    <w:rsid w:val="001877F8"/>
    <w:rsid w:val="001910DB"/>
    <w:rsid w:val="001921EA"/>
    <w:rsid w:val="00192266"/>
    <w:rsid w:val="00192A65"/>
    <w:rsid w:val="001964FC"/>
    <w:rsid w:val="00196E06"/>
    <w:rsid w:val="00196F4A"/>
    <w:rsid w:val="00197C01"/>
    <w:rsid w:val="00197EE8"/>
    <w:rsid w:val="001A022E"/>
    <w:rsid w:val="001A1506"/>
    <w:rsid w:val="001A1747"/>
    <w:rsid w:val="001A2194"/>
    <w:rsid w:val="001A4468"/>
    <w:rsid w:val="001A53C7"/>
    <w:rsid w:val="001A6C2C"/>
    <w:rsid w:val="001A70B5"/>
    <w:rsid w:val="001A71EF"/>
    <w:rsid w:val="001A7D52"/>
    <w:rsid w:val="001B0B00"/>
    <w:rsid w:val="001B18CC"/>
    <w:rsid w:val="001B18E1"/>
    <w:rsid w:val="001B19F1"/>
    <w:rsid w:val="001B3CBE"/>
    <w:rsid w:val="001B5D03"/>
    <w:rsid w:val="001B6671"/>
    <w:rsid w:val="001B6DA3"/>
    <w:rsid w:val="001C0646"/>
    <w:rsid w:val="001C0D31"/>
    <w:rsid w:val="001C10BA"/>
    <w:rsid w:val="001C281E"/>
    <w:rsid w:val="001C3B82"/>
    <w:rsid w:val="001C4346"/>
    <w:rsid w:val="001C5315"/>
    <w:rsid w:val="001C6D41"/>
    <w:rsid w:val="001C7B86"/>
    <w:rsid w:val="001C7C90"/>
    <w:rsid w:val="001C7D1A"/>
    <w:rsid w:val="001D0896"/>
    <w:rsid w:val="001D19B3"/>
    <w:rsid w:val="001D312E"/>
    <w:rsid w:val="001D3EDD"/>
    <w:rsid w:val="001D74F3"/>
    <w:rsid w:val="001E034E"/>
    <w:rsid w:val="001E1597"/>
    <w:rsid w:val="001E23A5"/>
    <w:rsid w:val="001E2C63"/>
    <w:rsid w:val="001E2D16"/>
    <w:rsid w:val="001E2D76"/>
    <w:rsid w:val="001E3226"/>
    <w:rsid w:val="001E3CFA"/>
    <w:rsid w:val="001E42D5"/>
    <w:rsid w:val="001E4464"/>
    <w:rsid w:val="001E4752"/>
    <w:rsid w:val="001E4F5B"/>
    <w:rsid w:val="001E5990"/>
    <w:rsid w:val="001E74E6"/>
    <w:rsid w:val="001E79EF"/>
    <w:rsid w:val="001F15B9"/>
    <w:rsid w:val="001F1821"/>
    <w:rsid w:val="001F1ACC"/>
    <w:rsid w:val="001F2D34"/>
    <w:rsid w:val="001F35A2"/>
    <w:rsid w:val="001F380F"/>
    <w:rsid w:val="001F4589"/>
    <w:rsid w:val="001F527A"/>
    <w:rsid w:val="001F5C08"/>
    <w:rsid w:val="001F75E6"/>
    <w:rsid w:val="001F79D3"/>
    <w:rsid w:val="001F7A65"/>
    <w:rsid w:val="00200666"/>
    <w:rsid w:val="0020096E"/>
    <w:rsid w:val="00200C12"/>
    <w:rsid w:val="00203C69"/>
    <w:rsid w:val="00204703"/>
    <w:rsid w:val="00204A5B"/>
    <w:rsid w:val="00204AEF"/>
    <w:rsid w:val="00204E3C"/>
    <w:rsid w:val="002050B2"/>
    <w:rsid w:val="00205F95"/>
    <w:rsid w:val="002065CC"/>
    <w:rsid w:val="002067EB"/>
    <w:rsid w:val="00206B4E"/>
    <w:rsid w:val="002071F7"/>
    <w:rsid w:val="002076B3"/>
    <w:rsid w:val="00207AD3"/>
    <w:rsid w:val="002100C8"/>
    <w:rsid w:val="00210E3C"/>
    <w:rsid w:val="00211088"/>
    <w:rsid w:val="002110D0"/>
    <w:rsid w:val="00211DEF"/>
    <w:rsid w:val="00212158"/>
    <w:rsid w:val="00212735"/>
    <w:rsid w:val="00213482"/>
    <w:rsid w:val="00214335"/>
    <w:rsid w:val="00214BB3"/>
    <w:rsid w:val="00214C3C"/>
    <w:rsid w:val="0021597C"/>
    <w:rsid w:val="00216CD9"/>
    <w:rsid w:val="00217AB2"/>
    <w:rsid w:val="002210E6"/>
    <w:rsid w:val="00221405"/>
    <w:rsid w:val="00222468"/>
    <w:rsid w:val="00222CB1"/>
    <w:rsid w:val="00226934"/>
    <w:rsid w:val="0022704D"/>
    <w:rsid w:val="00227332"/>
    <w:rsid w:val="00227972"/>
    <w:rsid w:val="00227A6C"/>
    <w:rsid w:val="00230F75"/>
    <w:rsid w:val="0023192F"/>
    <w:rsid w:val="00233772"/>
    <w:rsid w:val="00234527"/>
    <w:rsid w:val="002355BF"/>
    <w:rsid w:val="00235E86"/>
    <w:rsid w:val="002365A2"/>
    <w:rsid w:val="002376DE"/>
    <w:rsid w:val="00243F57"/>
    <w:rsid w:val="00244BB4"/>
    <w:rsid w:val="00244DB1"/>
    <w:rsid w:val="00245251"/>
    <w:rsid w:val="002455D6"/>
    <w:rsid w:val="00245824"/>
    <w:rsid w:val="00245BAC"/>
    <w:rsid w:val="002462F2"/>
    <w:rsid w:val="00246CFD"/>
    <w:rsid w:val="00246D7B"/>
    <w:rsid w:val="00251547"/>
    <w:rsid w:val="00251AA8"/>
    <w:rsid w:val="0025345F"/>
    <w:rsid w:val="002542E4"/>
    <w:rsid w:val="0025431B"/>
    <w:rsid w:val="00254CEE"/>
    <w:rsid w:val="00256028"/>
    <w:rsid w:val="00256952"/>
    <w:rsid w:val="00256A12"/>
    <w:rsid w:val="00257392"/>
    <w:rsid w:val="0026008B"/>
    <w:rsid w:val="00260FCC"/>
    <w:rsid w:val="002613FB"/>
    <w:rsid w:val="00261E9A"/>
    <w:rsid w:val="002620D5"/>
    <w:rsid w:val="00262668"/>
    <w:rsid w:val="00262963"/>
    <w:rsid w:val="00263680"/>
    <w:rsid w:val="00263F39"/>
    <w:rsid w:val="002647C2"/>
    <w:rsid w:val="00265AE6"/>
    <w:rsid w:val="002661C2"/>
    <w:rsid w:val="0026742C"/>
    <w:rsid w:val="00267703"/>
    <w:rsid w:val="00267786"/>
    <w:rsid w:val="00267AE6"/>
    <w:rsid w:val="00271995"/>
    <w:rsid w:val="002728FB"/>
    <w:rsid w:val="00273A0D"/>
    <w:rsid w:val="00273C15"/>
    <w:rsid w:val="002745FE"/>
    <w:rsid w:val="0027465D"/>
    <w:rsid w:val="00274CCD"/>
    <w:rsid w:val="00274DE3"/>
    <w:rsid w:val="0027545E"/>
    <w:rsid w:val="00275527"/>
    <w:rsid w:val="0027595C"/>
    <w:rsid w:val="00275C87"/>
    <w:rsid w:val="002761F8"/>
    <w:rsid w:val="002767D3"/>
    <w:rsid w:val="00277054"/>
    <w:rsid w:val="00277431"/>
    <w:rsid w:val="00277B23"/>
    <w:rsid w:val="00277D3B"/>
    <w:rsid w:val="00280085"/>
    <w:rsid w:val="00280A23"/>
    <w:rsid w:val="00281FFE"/>
    <w:rsid w:val="002827BC"/>
    <w:rsid w:val="00284D57"/>
    <w:rsid w:val="002854C0"/>
    <w:rsid w:val="00285983"/>
    <w:rsid w:val="00285B41"/>
    <w:rsid w:val="00286C6E"/>
    <w:rsid w:val="00287958"/>
    <w:rsid w:val="00291629"/>
    <w:rsid w:val="002920B5"/>
    <w:rsid w:val="00292200"/>
    <w:rsid w:val="00292868"/>
    <w:rsid w:val="002929B5"/>
    <w:rsid w:val="00292B3A"/>
    <w:rsid w:val="002931F5"/>
    <w:rsid w:val="0029344A"/>
    <w:rsid w:val="0029369C"/>
    <w:rsid w:val="00293A51"/>
    <w:rsid w:val="00295213"/>
    <w:rsid w:val="00295314"/>
    <w:rsid w:val="0029551D"/>
    <w:rsid w:val="00295EC7"/>
    <w:rsid w:val="0029620D"/>
    <w:rsid w:val="00296376"/>
    <w:rsid w:val="00296D65"/>
    <w:rsid w:val="00297BBC"/>
    <w:rsid w:val="002A13C0"/>
    <w:rsid w:val="002A1F00"/>
    <w:rsid w:val="002A25A7"/>
    <w:rsid w:val="002A31BE"/>
    <w:rsid w:val="002A3D9D"/>
    <w:rsid w:val="002A47FC"/>
    <w:rsid w:val="002A59CB"/>
    <w:rsid w:val="002A6787"/>
    <w:rsid w:val="002B3322"/>
    <w:rsid w:val="002B3554"/>
    <w:rsid w:val="002B3A62"/>
    <w:rsid w:val="002B5094"/>
    <w:rsid w:val="002B50CB"/>
    <w:rsid w:val="002B5667"/>
    <w:rsid w:val="002B6021"/>
    <w:rsid w:val="002B711E"/>
    <w:rsid w:val="002B7238"/>
    <w:rsid w:val="002B75E0"/>
    <w:rsid w:val="002B7A34"/>
    <w:rsid w:val="002C058E"/>
    <w:rsid w:val="002C0FB8"/>
    <w:rsid w:val="002C188E"/>
    <w:rsid w:val="002C1BAF"/>
    <w:rsid w:val="002C24CE"/>
    <w:rsid w:val="002C28E6"/>
    <w:rsid w:val="002C2AD0"/>
    <w:rsid w:val="002C3354"/>
    <w:rsid w:val="002C412E"/>
    <w:rsid w:val="002C4A70"/>
    <w:rsid w:val="002C64D4"/>
    <w:rsid w:val="002D00A1"/>
    <w:rsid w:val="002D0A40"/>
    <w:rsid w:val="002D157D"/>
    <w:rsid w:val="002D2424"/>
    <w:rsid w:val="002D2746"/>
    <w:rsid w:val="002D2E33"/>
    <w:rsid w:val="002D3C58"/>
    <w:rsid w:val="002D4F5C"/>
    <w:rsid w:val="002D5AC3"/>
    <w:rsid w:val="002D636A"/>
    <w:rsid w:val="002D788F"/>
    <w:rsid w:val="002E0713"/>
    <w:rsid w:val="002E3CC9"/>
    <w:rsid w:val="002E4A4B"/>
    <w:rsid w:val="002E59FA"/>
    <w:rsid w:val="002E6555"/>
    <w:rsid w:val="002E7877"/>
    <w:rsid w:val="002E797F"/>
    <w:rsid w:val="002F35DC"/>
    <w:rsid w:val="002F53AD"/>
    <w:rsid w:val="002F5934"/>
    <w:rsid w:val="002F5F6C"/>
    <w:rsid w:val="003009F8"/>
    <w:rsid w:val="0030108F"/>
    <w:rsid w:val="00301F29"/>
    <w:rsid w:val="00301F78"/>
    <w:rsid w:val="0030227C"/>
    <w:rsid w:val="0030242A"/>
    <w:rsid w:val="00302A14"/>
    <w:rsid w:val="0030422A"/>
    <w:rsid w:val="00304A0C"/>
    <w:rsid w:val="0030638F"/>
    <w:rsid w:val="00307A90"/>
    <w:rsid w:val="003100E5"/>
    <w:rsid w:val="00311294"/>
    <w:rsid w:val="003112D3"/>
    <w:rsid w:val="0031210D"/>
    <w:rsid w:val="00312380"/>
    <w:rsid w:val="0031252F"/>
    <w:rsid w:val="00312B27"/>
    <w:rsid w:val="00313866"/>
    <w:rsid w:val="0031397B"/>
    <w:rsid w:val="00314B5A"/>
    <w:rsid w:val="00314BB4"/>
    <w:rsid w:val="00314C6C"/>
    <w:rsid w:val="00315D90"/>
    <w:rsid w:val="0032189C"/>
    <w:rsid w:val="00321C6A"/>
    <w:rsid w:val="00322B82"/>
    <w:rsid w:val="00322C40"/>
    <w:rsid w:val="0032300A"/>
    <w:rsid w:val="00323218"/>
    <w:rsid w:val="0032321F"/>
    <w:rsid w:val="0032404D"/>
    <w:rsid w:val="003243E0"/>
    <w:rsid w:val="00324645"/>
    <w:rsid w:val="00324C96"/>
    <w:rsid w:val="00324FBB"/>
    <w:rsid w:val="0032515E"/>
    <w:rsid w:val="00325700"/>
    <w:rsid w:val="00325BE6"/>
    <w:rsid w:val="00326CE7"/>
    <w:rsid w:val="00327437"/>
    <w:rsid w:val="00330835"/>
    <w:rsid w:val="00331161"/>
    <w:rsid w:val="00331969"/>
    <w:rsid w:val="00332317"/>
    <w:rsid w:val="00333204"/>
    <w:rsid w:val="00333378"/>
    <w:rsid w:val="003339C4"/>
    <w:rsid w:val="00333AA5"/>
    <w:rsid w:val="00333C71"/>
    <w:rsid w:val="00334C36"/>
    <w:rsid w:val="0033686C"/>
    <w:rsid w:val="003400F4"/>
    <w:rsid w:val="003417EC"/>
    <w:rsid w:val="0034225F"/>
    <w:rsid w:val="00342BAD"/>
    <w:rsid w:val="003430A0"/>
    <w:rsid w:val="0034313F"/>
    <w:rsid w:val="00343375"/>
    <w:rsid w:val="0034470F"/>
    <w:rsid w:val="0034551F"/>
    <w:rsid w:val="00345F2F"/>
    <w:rsid w:val="00346AAF"/>
    <w:rsid w:val="003479ED"/>
    <w:rsid w:val="00350D82"/>
    <w:rsid w:val="003512EF"/>
    <w:rsid w:val="003521F9"/>
    <w:rsid w:val="00353554"/>
    <w:rsid w:val="003543E7"/>
    <w:rsid w:val="00354EC6"/>
    <w:rsid w:val="00355B74"/>
    <w:rsid w:val="003563E6"/>
    <w:rsid w:val="00356EEF"/>
    <w:rsid w:val="00357F99"/>
    <w:rsid w:val="00360F79"/>
    <w:rsid w:val="0036121B"/>
    <w:rsid w:val="00361EA7"/>
    <w:rsid w:val="00362B73"/>
    <w:rsid w:val="0036328E"/>
    <w:rsid w:val="0036360C"/>
    <w:rsid w:val="00363A0E"/>
    <w:rsid w:val="00365F07"/>
    <w:rsid w:val="00366E35"/>
    <w:rsid w:val="00366F39"/>
    <w:rsid w:val="00367090"/>
    <w:rsid w:val="00367F7B"/>
    <w:rsid w:val="00370BFE"/>
    <w:rsid w:val="003710BF"/>
    <w:rsid w:val="00372387"/>
    <w:rsid w:val="00372AE1"/>
    <w:rsid w:val="00372D54"/>
    <w:rsid w:val="00372FA0"/>
    <w:rsid w:val="003749E0"/>
    <w:rsid w:val="00376C19"/>
    <w:rsid w:val="00376E38"/>
    <w:rsid w:val="00377241"/>
    <w:rsid w:val="00377FB7"/>
    <w:rsid w:val="003806B6"/>
    <w:rsid w:val="00380B89"/>
    <w:rsid w:val="00384308"/>
    <w:rsid w:val="00384576"/>
    <w:rsid w:val="00384D40"/>
    <w:rsid w:val="0038548D"/>
    <w:rsid w:val="003854E3"/>
    <w:rsid w:val="00385F05"/>
    <w:rsid w:val="00386571"/>
    <w:rsid w:val="00387C65"/>
    <w:rsid w:val="00391F6C"/>
    <w:rsid w:val="00392E75"/>
    <w:rsid w:val="00393A5A"/>
    <w:rsid w:val="00393AFE"/>
    <w:rsid w:val="00393BBE"/>
    <w:rsid w:val="003940A4"/>
    <w:rsid w:val="003948F3"/>
    <w:rsid w:val="00394FEB"/>
    <w:rsid w:val="00395058"/>
    <w:rsid w:val="003951B0"/>
    <w:rsid w:val="00395439"/>
    <w:rsid w:val="00395C44"/>
    <w:rsid w:val="00396095"/>
    <w:rsid w:val="00396B58"/>
    <w:rsid w:val="00397E0E"/>
    <w:rsid w:val="003A1167"/>
    <w:rsid w:val="003A1695"/>
    <w:rsid w:val="003A1C48"/>
    <w:rsid w:val="003A290E"/>
    <w:rsid w:val="003A4512"/>
    <w:rsid w:val="003A4D7B"/>
    <w:rsid w:val="003A5104"/>
    <w:rsid w:val="003A52C4"/>
    <w:rsid w:val="003A5CC8"/>
    <w:rsid w:val="003A5FD7"/>
    <w:rsid w:val="003A68DD"/>
    <w:rsid w:val="003A710E"/>
    <w:rsid w:val="003A7C62"/>
    <w:rsid w:val="003B017A"/>
    <w:rsid w:val="003B076A"/>
    <w:rsid w:val="003B0F33"/>
    <w:rsid w:val="003B11A9"/>
    <w:rsid w:val="003B1362"/>
    <w:rsid w:val="003B1D61"/>
    <w:rsid w:val="003B224E"/>
    <w:rsid w:val="003B387A"/>
    <w:rsid w:val="003B3E8B"/>
    <w:rsid w:val="003B4C16"/>
    <w:rsid w:val="003B5AC0"/>
    <w:rsid w:val="003B65E1"/>
    <w:rsid w:val="003B6AC0"/>
    <w:rsid w:val="003B6B45"/>
    <w:rsid w:val="003C0585"/>
    <w:rsid w:val="003C0F97"/>
    <w:rsid w:val="003C2A7F"/>
    <w:rsid w:val="003C55A1"/>
    <w:rsid w:val="003D07C4"/>
    <w:rsid w:val="003D0AAB"/>
    <w:rsid w:val="003D1169"/>
    <w:rsid w:val="003D1D52"/>
    <w:rsid w:val="003D346B"/>
    <w:rsid w:val="003D564F"/>
    <w:rsid w:val="003D6323"/>
    <w:rsid w:val="003D64E1"/>
    <w:rsid w:val="003D6C71"/>
    <w:rsid w:val="003D7241"/>
    <w:rsid w:val="003D7909"/>
    <w:rsid w:val="003E05ED"/>
    <w:rsid w:val="003E0F40"/>
    <w:rsid w:val="003E20BB"/>
    <w:rsid w:val="003E3288"/>
    <w:rsid w:val="003E3359"/>
    <w:rsid w:val="003E377F"/>
    <w:rsid w:val="003E3D0B"/>
    <w:rsid w:val="003E402E"/>
    <w:rsid w:val="003E44C0"/>
    <w:rsid w:val="003E4ADF"/>
    <w:rsid w:val="003E63A8"/>
    <w:rsid w:val="003E67CF"/>
    <w:rsid w:val="003E7BF7"/>
    <w:rsid w:val="003F00EB"/>
    <w:rsid w:val="003F167A"/>
    <w:rsid w:val="003F16E6"/>
    <w:rsid w:val="003F1852"/>
    <w:rsid w:val="003F1DC0"/>
    <w:rsid w:val="003F2787"/>
    <w:rsid w:val="003F38F9"/>
    <w:rsid w:val="003F3CF5"/>
    <w:rsid w:val="003F44DE"/>
    <w:rsid w:val="003F573E"/>
    <w:rsid w:val="003F5B80"/>
    <w:rsid w:val="003F63E2"/>
    <w:rsid w:val="003F7775"/>
    <w:rsid w:val="0040035E"/>
    <w:rsid w:val="00400838"/>
    <w:rsid w:val="004040C8"/>
    <w:rsid w:val="00404C1B"/>
    <w:rsid w:val="00404E4F"/>
    <w:rsid w:val="00405784"/>
    <w:rsid w:val="00406473"/>
    <w:rsid w:val="00410EEB"/>
    <w:rsid w:val="004127FA"/>
    <w:rsid w:val="00412848"/>
    <w:rsid w:val="004128EA"/>
    <w:rsid w:val="0041322A"/>
    <w:rsid w:val="004136B5"/>
    <w:rsid w:val="00414F15"/>
    <w:rsid w:val="00415032"/>
    <w:rsid w:val="00416328"/>
    <w:rsid w:val="004163BE"/>
    <w:rsid w:val="00417884"/>
    <w:rsid w:val="00417C9E"/>
    <w:rsid w:val="00420E41"/>
    <w:rsid w:val="00421E95"/>
    <w:rsid w:val="004224B5"/>
    <w:rsid w:val="00423771"/>
    <w:rsid w:val="00423AB5"/>
    <w:rsid w:val="00424277"/>
    <w:rsid w:val="004262DB"/>
    <w:rsid w:val="004266A4"/>
    <w:rsid w:val="00426E9E"/>
    <w:rsid w:val="00430D3F"/>
    <w:rsid w:val="0043135F"/>
    <w:rsid w:val="00431399"/>
    <w:rsid w:val="00431631"/>
    <w:rsid w:val="00432995"/>
    <w:rsid w:val="00433298"/>
    <w:rsid w:val="00434089"/>
    <w:rsid w:val="00434E5B"/>
    <w:rsid w:val="004353B2"/>
    <w:rsid w:val="00435B3F"/>
    <w:rsid w:val="004361F3"/>
    <w:rsid w:val="00436AC3"/>
    <w:rsid w:val="004370BB"/>
    <w:rsid w:val="004374CA"/>
    <w:rsid w:val="00437D23"/>
    <w:rsid w:val="004403C0"/>
    <w:rsid w:val="00442D23"/>
    <w:rsid w:val="00443D64"/>
    <w:rsid w:val="00443E63"/>
    <w:rsid w:val="00444280"/>
    <w:rsid w:val="004459D3"/>
    <w:rsid w:val="0044637D"/>
    <w:rsid w:val="00446453"/>
    <w:rsid w:val="00446701"/>
    <w:rsid w:val="00453315"/>
    <w:rsid w:val="00454FB7"/>
    <w:rsid w:val="00455125"/>
    <w:rsid w:val="004565A4"/>
    <w:rsid w:val="00456F52"/>
    <w:rsid w:val="004570B2"/>
    <w:rsid w:val="00460386"/>
    <w:rsid w:val="00460743"/>
    <w:rsid w:val="00460F73"/>
    <w:rsid w:val="004612B8"/>
    <w:rsid w:val="004628A2"/>
    <w:rsid w:val="00464004"/>
    <w:rsid w:val="00465417"/>
    <w:rsid w:val="00465FF1"/>
    <w:rsid w:val="00467415"/>
    <w:rsid w:val="00467DF0"/>
    <w:rsid w:val="00470EAC"/>
    <w:rsid w:val="0047115A"/>
    <w:rsid w:val="00471239"/>
    <w:rsid w:val="00471D0A"/>
    <w:rsid w:val="00471E5C"/>
    <w:rsid w:val="00472946"/>
    <w:rsid w:val="00472F9F"/>
    <w:rsid w:val="0047392C"/>
    <w:rsid w:val="0047489C"/>
    <w:rsid w:val="004749EE"/>
    <w:rsid w:val="00474A3F"/>
    <w:rsid w:val="00474AC8"/>
    <w:rsid w:val="00475293"/>
    <w:rsid w:val="00475692"/>
    <w:rsid w:val="00475B33"/>
    <w:rsid w:val="004764E4"/>
    <w:rsid w:val="00476681"/>
    <w:rsid w:val="0047726C"/>
    <w:rsid w:val="0047770D"/>
    <w:rsid w:val="00480AEA"/>
    <w:rsid w:val="004819DC"/>
    <w:rsid w:val="004826B6"/>
    <w:rsid w:val="004832DF"/>
    <w:rsid w:val="004839F1"/>
    <w:rsid w:val="00484720"/>
    <w:rsid w:val="004862C4"/>
    <w:rsid w:val="00486425"/>
    <w:rsid w:val="00486570"/>
    <w:rsid w:val="00486DA7"/>
    <w:rsid w:val="004875C1"/>
    <w:rsid w:val="0049210D"/>
    <w:rsid w:val="00493EB6"/>
    <w:rsid w:val="0049430F"/>
    <w:rsid w:val="00495054"/>
    <w:rsid w:val="00495E9A"/>
    <w:rsid w:val="00496CA1"/>
    <w:rsid w:val="00497714"/>
    <w:rsid w:val="00497F12"/>
    <w:rsid w:val="004A00EE"/>
    <w:rsid w:val="004A085C"/>
    <w:rsid w:val="004A113E"/>
    <w:rsid w:val="004A2B50"/>
    <w:rsid w:val="004A3599"/>
    <w:rsid w:val="004A3B41"/>
    <w:rsid w:val="004A4CD2"/>
    <w:rsid w:val="004A564A"/>
    <w:rsid w:val="004A6016"/>
    <w:rsid w:val="004A6768"/>
    <w:rsid w:val="004A6992"/>
    <w:rsid w:val="004A6C85"/>
    <w:rsid w:val="004A6C8D"/>
    <w:rsid w:val="004A7439"/>
    <w:rsid w:val="004B31EB"/>
    <w:rsid w:val="004B38BF"/>
    <w:rsid w:val="004B3F7E"/>
    <w:rsid w:val="004B5156"/>
    <w:rsid w:val="004C085B"/>
    <w:rsid w:val="004C0FE5"/>
    <w:rsid w:val="004C1220"/>
    <w:rsid w:val="004C14CA"/>
    <w:rsid w:val="004C278C"/>
    <w:rsid w:val="004C2A99"/>
    <w:rsid w:val="004C34CE"/>
    <w:rsid w:val="004C375C"/>
    <w:rsid w:val="004C3837"/>
    <w:rsid w:val="004C3D61"/>
    <w:rsid w:val="004C4A3F"/>
    <w:rsid w:val="004C5945"/>
    <w:rsid w:val="004C6268"/>
    <w:rsid w:val="004C6801"/>
    <w:rsid w:val="004C7CE7"/>
    <w:rsid w:val="004D0865"/>
    <w:rsid w:val="004D0B2D"/>
    <w:rsid w:val="004D1C76"/>
    <w:rsid w:val="004D3BA0"/>
    <w:rsid w:val="004D42A6"/>
    <w:rsid w:val="004D597D"/>
    <w:rsid w:val="004D5F7B"/>
    <w:rsid w:val="004D7D0D"/>
    <w:rsid w:val="004E014D"/>
    <w:rsid w:val="004E0249"/>
    <w:rsid w:val="004E0E7A"/>
    <w:rsid w:val="004E267C"/>
    <w:rsid w:val="004E28EC"/>
    <w:rsid w:val="004E393A"/>
    <w:rsid w:val="004E3B55"/>
    <w:rsid w:val="004E6E7C"/>
    <w:rsid w:val="004E7CCC"/>
    <w:rsid w:val="004F0805"/>
    <w:rsid w:val="004F0FC8"/>
    <w:rsid w:val="004F2075"/>
    <w:rsid w:val="004F2769"/>
    <w:rsid w:val="004F2DFF"/>
    <w:rsid w:val="004F374E"/>
    <w:rsid w:val="004F479E"/>
    <w:rsid w:val="004F4B0C"/>
    <w:rsid w:val="004F4D5D"/>
    <w:rsid w:val="004F4DCB"/>
    <w:rsid w:val="004F5281"/>
    <w:rsid w:val="004F5A67"/>
    <w:rsid w:val="004F6069"/>
    <w:rsid w:val="004F637E"/>
    <w:rsid w:val="004F6A11"/>
    <w:rsid w:val="004F7660"/>
    <w:rsid w:val="004F7C20"/>
    <w:rsid w:val="004F7C89"/>
    <w:rsid w:val="0050038A"/>
    <w:rsid w:val="00500F19"/>
    <w:rsid w:val="00501DB0"/>
    <w:rsid w:val="00501E2F"/>
    <w:rsid w:val="00503BE9"/>
    <w:rsid w:val="00506A3C"/>
    <w:rsid w:val="005071C2"/>
    <w:rsid w:val="00510C9A"/>
    <w:rsid w:val="005120C0"/>
    <w:rsid w:val="00514BF9"/>
    <w:rsid w:val="00516726"/>
    <w:rsid w:val="00517276"/>
    <w:rsid w:val="00517E65"/>
    <w:rsid w:val="00520E31"/>
    <w:rsid w:val="005215D0"/>
    <w:rsid w:val="00521CA0"/>
    <w:rsid w:val="00521CE2"/>
    <w:rsid w:val="00524052"/>
    <w:rsid w:val="00525036"/>
    <w:rsid w:val="00525106"/>
    <w:rsid w:val="00525E2A"/>
    <w:rsid w:val="0052663C"/>
    <w:rsid w:val="00526C5B"/>
    <w:rsid w:val="005272F5"/>
    <w:rsid w:val="0053138F"/>
    <w:rsid w:val="00531A72"/>
    <w:rsid w:val="00531F84"/>
    <w:rsid w:val="00532F1B"/>
    <w:rsid w:val="005339CE"/>
    <w:rsid w:val="00533C8A"/>
    <w:rsid w:val="00533FC7"/>
    <w:rsid w:val="005342FD"/>
    <w:rsid w:val="00534D25"/>
    <w:rsid w:val="0053699A"/>
    <w:rsid w:val="0053701E"/>
    <w:rsid w:val="00537066"/>
    <w:rsid w:val="00537806"/>
    <w:rsid w:val="00540418"/>
    <w:rsid w:val="00541CBC"/>
    <w:rsid w:val="00542922"/>
    <w:rsid w:val="0054344E"/>
    <w:rsid w:val="005434E3"/>
    <w:rsid w:val="0054373B"/>
    <w:rsid w:val="00544646"/>
    <w:rsid w:val="0054525B"/>
    <w:rsid w:val="0054534C"/>
    <w:rsid w:val="005454A3"/>
    <w:rsid w:val="005466AC"/>
    <w:rsid w:val="00546C5A"/>
    <w:rsid w:val="005471D6"/>
    <w:rsid w:val="005500CA"/>
    <w:rsid w:val="00551F0A"/>
    <w:rsid w:val="00552E8F"/>
    <w:rsid w:val="005538F7"/>
    <w:rsid w:val="00553B77"/>
    <w:rsid w:val="00553C5B"/>
    <w:rsid w:val="005543B6"/>
    <w:rsid w:val="00556144"/>
    <w:rsid w:val="00556713"/>
    <w:rsid w:val="00557180"/>
    <w:rsid w:val="005573C3"/>
    <w:rsid w:val="005603B2"/>
    <w:rsid w:val="00560755"/>
    <w:rsid w:val="00561B62"/>
    <w:rsid w:val="00561DC5"/>
    <w:rsid w:val="0056248E"/>
    <w:rsid w:val="00563F2C"/>
    <w:rsid w:val="00566F69"/>
    <w:rsid w:val="00570FEA"/>
    <w:rsid w:val="005715C6"/>
    <w:rsid w:val="005718F6"/>
    <w:rsid w:val="0057291A"/>
    <w:rsid w:val="00572C27"/>
    <w:rsid w:val="005742CA"/>
    <w:rsid w:val="00574738"/>
    <w:rsid w:val="00576ECF"/>
    <w:rsid w:val="005772FD"/>
    <w:rsid w:val="00577560"/>
    <w:rsid w:val="005778C2"/>
    <w:rsid w:val="00580F78"/>
    <w:rsid w:val="00580FDD"/>
    <w:rsid w:val="005823ED"/>
    <w:rsid w:val="0058464F"/>
    <w:rsid w:val="0058466A"/>
    <w:rsid w:val="00585527"/>
    <w:rsid w:val="00586178"/>
    <w:rsid w:val="005875AE"/>
    <w:rsid w:val="005878FC"/>
    <w:rsid w:val="00590F17"/>
    <w:rsid w:val="0059112C"/>
    <w:rsid w:val="0059297E"/>
    <w:rsid w:val="00592B92"/>
    <w:rsid w:val="00594708"/>
    <w:rsid w:val="00594855"/>
    <w:rsid w:val="005953C7"/>
    <w:rsid w:val="00595484"/>
    <w:rsid w:val="00595A99"/>
    <w:rsid w:val="00595E94"/>
    <w:rsid w:val="00595F20"/>
    <w:rsid w:val="0059627D"/>
    <w:rsid w:val="005968ED"/>
    <w:rsid w:val="00596937"/>
    <w:rsid w:val="00596AEC"/>
    <w:rsid w:val="00596BA7"/>
    <w:rsid w:val="005A0085"/>
    <w:rsid w:val="005A1305"/>
    <w:rsid w:val="005A15CA"/>
    <w:rsid w:val="005A1DCA"/>
    <w:rsid w:val="005A2B77"/>
    <w:rsid w:val="005A31A8"/>
    <w:rsid w:val="005A3746"/>
    <w:rsid w:val="005A48FB"/>
    <w:rsid w:val="005A49BD"/>
    <w:rsid w:val="005A4E06"/>
    <w:rsid w:val="005A50FE"/>
    <w:rsid w:val="005A64EB"/>
    <w:rsid w:val="005B055E"/>
    <w:rsid w:val="005B0B9D"/>
    <w:rsid w:val="005B0D03"/>
    <w:rsid w:val="005B2856"/>
    <w:rsid w:val="005B2A74"/>
    <w:rsid w:val="005B2D4E"/>
    <w:rsid w:val="005B2E50"/>
    <w:rsid w:val="005B3910"/>
    <w:rsid w:val="005B3E6B"/>
    <w:rsid w:val="005B454E"/>
    <w:rsid w:val="005B4F74"/>
    <w:rsid w:val="005B5083"/>
    <w:rsid w:val="005B56BE"/>
    <w:rsid w:val="005B5D4F"/>
    <w:rsid w:val="005B6B41"/>
    <w:rsid w:val="005C0F02"/>
    <w:rsid w:val="005C11DE"/>
    <w:rsid w:val="005C178F"/>
    <w:rsid w:val="005C19B8"/>
    <w:rsid w:val="005C318C"/>
    <w:rsid w:val="005C4445"/>
    <w:rsid w:val="005C5A8C"/>
    <w:rsid w:val="005C5D6B"/>
    <w:rsid w:val="005C6F34"/>
    <w:rsid w:val="005C7180"/>
    <w:rsid w:val="005C7447"/>
    <w:rsid w:val="005D12ED"/>
    <w:rsid w:val="005D2B16"/>
    <w:rsid w:val="005D2F17"/>
    <w:rsid w:val="005D3CB2"/>
    <w:rsid w:val="005D5688"/>
    <w:rsid w:val="005D6937"/>
    <w:rsid w:val="005E2379"/>
    <w:rsid w:val="005E2B65"/>
    <w:rsid w:val="005E2F3F"/>
    <w:rsid w:val="005E32A8"/>
    <w:rsid w:val="005E4165"/>
    <w:rsid w:val="005E5667"/>
    <w:rsid w:val="005E5FC2"/>
    <w:rsid w:val="005E7FD2"/>
    <w:rsid w:val="005F10C9"/>
    <w:rsid w:val="005F2E7A"/>
    <w:rsid w:val="005F3BE2"/>
    <w:rsid w:val="005F556A"/>
    <w:rsid w:val="005F5896"/>
    <w:rsid w:val="005F59B6"/>
    <w:rsid w:val="005F66CE"/>
    <w:rsid w:val="005F6AB1"/>
    <w:rsid w:val="005F7A22"/>
    <w:rsid w:val="006001A4"/>
    <w:rsid w:val="006033DF"/>
    <w:rsid w:val="006039C7"/>
    <w:rsid w:val="00603C34"/>
    <w:rsid w:val="006056B7"/>
    <w:rsid w:val="00605A22"/>
    <w:rsid w:val="006061C6"/>
    <w:rsid w:val="0060769A"/>
    <w:rsid w:val="00607D67"/>
    <w:rsid w:val="00607EB9"/>
    <w:rsid w:val="006100C7"/>
    <w:rsid w:val="00611BE5"/>
    <w:rsid w:val="00613518"/>
    <w:rsid w:val="00614290"/>
    <w:rsid w:val="00614AD7"/>
    <w:rsid w:val="00616472"/>
    <w:rsid w:val="00616E4D"/>
    <w:rsid w:val="00617A1C"/>
    <w:rsid w:val="00620B28"/>
    <w:rsid w:val="00620DAD"/>
    <w:rsid w:val="00620E0C"/>
    <w:rsid w:val="00620E34"/>
    <w:rsid w:val="00621C2D"/>
    <w:rsid w:val="006226E1"/>
    <w:rsid w:val="00622CC1"/>
    <w:rsid w:val="0062388B"/>
    <w:rsid w:val="00623A8A"/>
    <w:rsid w:val="00624B13"/>
    <w:rsid w:val="0062567F"/>
    <w:rsid w:val="00625C35"/>
    <w:rsid w:val="0063037D"/>
    <w:rsid w:val="006303B1"/>
    <w:rsid w:val="006306BC"/>
    <w:rsid w:val="006346EA"/>
    <w:rsid w:val="006347FE"/>
    <w:rsid w:val="00635605"/>
    <w:rsid w:val="00636377"/>
    <w:rsid w:val="00636738"/>
    <w:rsid w:val="00636A13"/>
    <w:rsid w:val="006400B4"/>
    <w:rsid w:val="00641353"/>
    <w:rsid w:val="0064183E"/>
    <w:rsid w:val="00641B35"/>
    <w:rsid w:val="0064284E"/>
    <w:rsid w:val="006437CB"/>
    <w:rsid w:val="00643900"/>
    <w:rsid w:val="0064526C"/>
    <w:rsid w:val="00645804"/>
    <w:rsid w:val="00646EFC"/>
    <w:rsid w:val="00646FB9"/>
    <w:rsid w:val="00647264"/>
    <w:rsid w:val="006502AC"/>
    <w:rsid w:val="006524DB"/>
    <w:rsid w:val="00652C8D"/>
    <w:rsid w:val="006543A9"/>
    <w:rsid w:val="006544B7"/>
    <w:rsid w:val="00654B47"/>
    <w:rsid w:val="00654BB8"/>
    <w:rsid w:val="00655488"/>
    <w:rsid w:val="00656368"/>
    <w:rsid w:val="00656AB3"/>
    <w:rsid w:val="0066050A"/>
    <w:rsid w:val="00660546"/>
    <w:rsid w:val="00661063"/>
    <w:rsid w:val="00661AB5"/>
    <w:rsid w:val="00661B9F"/>
    <w:rsid w:val="006623C7"/>
    <w:rsid w:val="00662BD6"/>
    <w:rsid w:val="00662E77"/>
    <w:rsid w:val="00663214"/>
    <w:rsid w:val="006633FA"/>
    <w:rsid w:val="00663623"/>
    <w:rsid w:val="0066374F"/>
    <w:rsid w:val="006639A4"/>
    <w:rsid w:val="00664258"/>
    <w:rsid w:val="00664CB0"/>
    <w:rsid w:val="00666382"/>
    <w:rsid w:val="00667BDD"/>
    <w:rsid w:val="00670AD2"/>
    <w:rsid w:val="00670D41"/>
    <w:rsid w:val="00673681"/>
    <w:rsid w:val="00673D88"/>
    <w:rsid w:val="00675342"/>
    <w:rsid w:val="00676192"/>
    <w:rsid w:val="006761F6"/>
    <w:rsid w:val="00676741"/>
    <w:rsid w:val="00680068"/>
    <w:rsid w:val="00680C5D"/>
    <w:rsid w:val="00681891"/>
    <w:rsid w:val="006821FB"/>
    <w:rsid w:val="0068301A"/>
    <w:rsid w:val="0068387E"/>
    <w:rsid w:val="00683B41"/>
    <w:rsid w:val="00683F1D"/>
    <w:rsid w:val="0068430C"/>
    <w:rsid w:val="006847BB"/>
    <w:rsid w:val="006850A5"/>
    <w:rsid w:val="00685481"/>
    <w:rsid w:val="006867D1"/>
    <w:rsid w:val="00686C2B"/>
    <w:rsid w:val="006876B0"/>
    <w:rsid w:val="006912DE"/>
    <w:rsid w:val="00691DD0"/>
    <w:rsid w:val="00692004"/>
    <w:rsid w:val="00692844"/>
    <w:rsid w:val="0069390E"/>
    <w:rsid w:val="0069391F"/>
    <w:rsid w:val="006945BF"/>
    <w:rsid w:val="00694DA1"/>
    <w:rsid w:val="006976E5"/>
    <w:rsid w:val="00697FD9"/>
    <w:rsid w:val="006A0668"/>
    <w:rsid w:val="006A118F"/>
    <w:rsid w:val="006A1609"/>
    <w:rsid w:val="006A221C"/>
    <w:rsid w:val="006A2681"/>
    <w:rsid w:val="006A3D0A"/>
    <w:rsid w:val="006A4436"/>
    <w:rsid w:val="006A4644"/>
    <w:rsid w:val="006A49C2"/>
    <w:rsid w:val="006A5620"/>
    <w:rsid w:val="006A585D"/>
    <w:rsid w:val="006A6551"/>
    <w:rsid w:val="006A71E2"/>
    <w:rsid w:val="006A747D"/>
    <w:rsid w:val="006B001F"/>
    <w:rsid w:val="006B0BC6"/>
    <w:rsid w:val="006B10A3"/>
    <w:rsid w:val="006B25E4"/>
    <w:rsid w:val="006B2629"/>
    <w:rsid w:val="006B2695"/>
    <w:rsid w:val="006B3EEC"/>
    <w:rsid w:val="006B5AC0"/>
    <w:rsid w:val="006B65FA"/>
    <w:rsid w:val="006B73AA"/>
    <w:rsid w:val="006C0BA5"/>
    <w:rsid w:val="006C142F"/>
    <w:rsid w:val="006C1C2A"/>
    <w:rsid w:val="006C3F19"/>
    <w:rsid w:val="006C4337"/>
    <w:rsid w:val="006C4A23"/>
    <w:rsid w:val="006C5495"/>
    <w:rsid w:val="006C6044"/>
    <w:rsid w:val="006C6724"/>
    <w:rsid w:val="006C6876"/>
    <w:rsid w:val="006C69F8"/>
    <w:rsid w:val="006C6D03"/>
    <w:rsid w:val="006D1580"/>
    <w:rsid w:val="006D1AD3"/>
    <w:rsid w:val="006D2E72"/>
    <w:rsid w:val="006D3DD1"/>
    <w:rsid w:val="006D41C8"/>
    <w:rsid w:val="006D4C4B"/>
    <w:rsid w:val="006D4F30"/>
    <w:rsid w:val="006E2055"/>
    <w:rsid w:val="006E2E65"/>
    <w:rsid w:val="006E30B8"/>
    <w:rsid w:val="006E33F1"/>
    <w:rsid w:val="006E345E"/>
    <w:rsid w:val="006E35B5"/>
    <w:rsid w:val="006E3B61"/>
    <w:rsid w:val="006E4055"/>
    <w:rsid w:val="006E48CA"/>
    <w:rsid w:val="006E4ABB"/>
    <w:rsid w:val="006E6EB9"/>
    <w:rsid w:val="006E7308"/>
    <w:rsid w:val="006F0436"/>
    <w:rsid w:val="006F0603"/>
    <w:rsid w:val="006F19D0"/>
    <w:rsid w:val="006F2B07"/>
    <w:rsid w:val="006F46F8"/>
    <w:rsid w:val="006F52DF"/>
    <w:rsid w:val="006F53C4"/>
    <w:rsid w:val="006F5D2A"/>
    <w:rsid w:val="006F7529"/>
    <w:rsid w:val="006F7AEA"/>
    <w:rsid w:val="006F7DDE"/>
    <w:rsid w:val="006F7F96"/>
    <w:rsid w:val="00700023"/>
    <w:rsid w:val="00701A33"/>
    <w:rsid w:val="00702341"/>
    <w:rsid w:val="00703833"/>
    <w:rsid w:val="00704779"/>
    <w:rsid w:val="00704A46"/>
    <w:rsid w:val="00704CFE"/>
    <w:rsid w:val="00705649"/>
    <w:rsid w:val="00705BE8"/>
    <w:rsid w:val="007068D5"/>
    <w:rsid w:val="0070798C"/>
    <w:rsid w:val="007109EB"/>
    <w:rsid w:val="007114E6"/>
    <w:rsid w:val="00711600"/>
    <w:rsid w:val="00711E3F"/>
    <w:rsid w:val="00711EFD"/>
    <w:rsid w:val="00711F7A"/>
    <w:rsid w:val="0071274F"/>
    <w:rsid w:val="00712B63"/>
    <w:rsid w:val="007155A1"/>
    <w:rsid w:val="0071594E"/>
    <w:rsid w:val="00715C24"/>
    <w:rsid w:val="007169B0"/>
    <w:rsid w:val="00716CD1"/>
    <w:rsid w:val="00716FB8"/>
    <w:rsid w:val="007205E4"/>
    <w:rsid w:val="00720A54"/>
    <w:rsid w:val="00721453"/>
    <w:rsid w:val="00722BFD"/>
    <w:rsid w:val="007238B5"/>
    <w:rsid w:val="00724373"/>
    <w:rsid w:val="0072499F"/>
    <w:rsid w:val="0072515F"/>
    <w:rsid w:val="007254F7"/>
    <w:rsid w:val="00725D3A"/>
    <w:rsid w:val="0072613E"/>
    <w:rsid w:val="0072626A"/>
    <w:rsid w:val="007266B2"/>
    <w:rsid w:val="007269FE"/>
    <w:rsid w:val="007278F8"/>
    <w:rsid w:val="00727A49"/>
    <w:rsid w:val="007301BB"/>
    <w:rsid w:val="00731305"/>
    <w:rsid w:val="007320B7"/>
    <w:rsid w:val="00732CCF"/>
    <w:rsid w:val="00736771"/>
    <w:rsid w:val="0073717D"/>
    <w:rsid w:val="0073726A"/>
    <w:rsid w:val="00737931"/>
    <w:rsid w:val="00737AC0"/>
    <w:rsid w:val="00737CB2"/>
    <w:rsid w:val="0074117C"/>
    <w:rsid w:val="007439CF"/>
    <w:rsid w:val="00744705"/>
    <w:rsid w:val="007451CD"/>
    <w:rsid w:val="00746197"/>
    <w:rsid w:val="007465AB"/>
    <w:rsid w:val="007468AE"/>
    <w:rsid w:val="00747371"/>
    <w:rsid w:val="00747874"/>
    <w:rsid w:val="00747994"/>
    <w:rsid w:val="00747B3A"/>
    <w:rsid w:val="00747DE7"/>
    <w:rsid w:val="007500A3"/>
    <w:rsid w:val="00751931"/>
    <w:rsid w:val="0075288E"/>
    <w:rsid w:val="00752E57"/>
    <w:rsid w:val="00753244"/>
    <w:rsid w:val="00753394"/>
    <w:rsid w:val="0075372A"/>
    <w:rsid w:val="00754449"/>
    <w:rsid w:val="00754C00"/>
    <w:rsid w:val="00756D19"/>
    <w:rsid w:val="00757C1F"/>
    <w:rsid w:val="00760285"/>
    <w:rsid w:val="00761D8E"/>
    <w:rsid w:val="00763518"/>
    <w:rsid w:val="00763A20"/>
    <w:rsid w:val="007655C3"/>
    <w:rsid w:val="0076595F"/>
    <w:rsid w:val="00765D3E"/>
    <w:rsid w:val="007663A0"/>
    <w:rsid w:val="00772B0F"/>
    <w:rsid w:val="00774BC8"/>
    <w:rsid w:val="00776377"/>
    <w:rsid w:val="00780636"/>
    <w:rsid w:val="007806D9"/>
    <w:rsid w:val="0078100C"/>
    <w:rsid w:val="00783399"/>
    <w:rsid w:val="007835E5"/>
    <w:rsid w:val="007839C8"/>
    <w:rsid w:val="0078416C"/>
    <w:rsid w:val="007844CB"/>
    <w:rsid w:val="007851D6"/>
    <w:rsid w:val="007857EA"/>
    <w:rsid w:val="00785E68"/>
    <w:rsid w:val="00786A90"/>
    <w:rsid w:val="00787C4E"/>
    <w:rsid w:val="00787CAF"/>
    <w:rsid w:val="00787DAE"/>
    <w:rsid w:val="00791709"/>
    <w:rsid w:val="007922F4"/>
    <w:rsid w:val="0079310C"/>
    <w:rsid w:val="0079312E"/>
    <w:rsid w:val="007937BF"/>
    <w:rsid w:val="007939A0"/>
    <w:rsid w:val="00795E6F"/>
    <w:rsid w:val="00795E97"/>
    <w:rsid w:val="007964DF"/>
    <w:rsid w:val="007A02EE"/>
    <w:rsid w:val="007A16C6"/>
    <w:rsid w:val="007A18B9"/>
    <w:rsid w:val="007A24FF"/>
    <w:rsid w:val="007A4311"/>
    <w:rsid w:val="007A43EF"/>
    <w:rsid w:val="007A6098"/>
    <w:rsid w:val="007A7056"/>
    <w:rsid w:val="007A76F4"/>
    <w:rsid w:val="007A7777"/>
    <w:rsid w:val="007B04BA"/>
    <w:rsid w:val="007B190C"/>
    <w:rsid w:val="007B2CFB"/>
    <w:rsid w:val="007B36A0"/>
    <w:rsid w:val="007B429D"/>
    <w:rsid w:val="007B474A"/>
    <w:rsid w:val="007B65A9"/>
    <w:rsid w:val="007B6D54"/>
    <w:rsid w:val="007B702E"/>
    <w:rsid w:val="007B788E"/>
    <w:rsid w:val="007C0AA3"/>
    <w:rsid w:val="007C0BC4"/>
    <w:rsid w:val="007C1102"/>
    <w:rsid w:val="007C1159"/>
    <w:rsid w:val="007C141A"/>
    <w:rsid w:val="007C2267"/>
    <w:rsid w:val="007C2631"/>
    <w:rsid w:val="007C3180"/>
    <w:rsid w:val="007C41A8"/>
    <w:rsid w:val="007C525F"/>
    <w:rsid w:val="007C74FD"/>
    <w:rsid w:val="007C7CFE"/>
    <w:rsid w:val="007D150E"/>
    <w:rsid w:val="007D251F"/>
    <w:rsid w:val="007D3173"/>
    <w:rsid w:val="007D3A55"/>
    <w:rsid w:val="007D4A83"/>
    <w:rsid w:val="007D6312"/>
    <w:rsid w:val="007E1A13"/>
    <w:rsid w:val="007E2D93"/>
    <w:rsid w:val="007E2E94"/>
    <w:rsid w:val="007E34D6"/>
    <w:rsid w:val="007E4396"/>
    <w:rsid w:val="007E5354"/>
    <w:rsid w:val="007E6F98"/>
    <w:rsid w:val="007F1647"/>
    <w:rsid w:val="007F2958"/>
    <w:rsid w:val="007F360D"/>
    <w:rsid w:val="007F4B7E"/>
    <w:rsid w:val="007F4EBA"/>
    <w:rsid w:val="007F6265"/>
    <w:rsid w:val="0080030D"/>
    <w:rsid w:val="008007D0"/>
    <w:rsid w:val="00800B2D"/>
    <w:rsid w:val="00800DAB"/>
    <w:rsid w:val="00800F68"/>
    <w:rsid w:val="00801D1D"/>
    <w:rsid w:val="008026DE"/>
    <w:rsid w:val="00802990"/>
    <w:rsid w:val="00803EFF"/>
    <w:rsid w:val="00803F48"/>
    <w:rsid w:val="008042FE"/>
    <w:rsid w:val="008055B3"/>
    <w:rsid w:val="00805C80"/>
    <w:rsid w:val="008073F9"/>
    <w:rsid w:val="0080753B"/>
    <w:rsid w:val="008101BA"/>
    <w:rsid w:val="00810C3A"/>
    <w:rsid w:val="0081231C"/>
    <w:rsid w:val="00812329"/>
    <w:rsid w:val="00812F97"/>
    <w:rsid w:val="00814FE2"/>
    <w:rsid w:val="008150F8"/>
    <w:rsid w:val="00821033"/>
    <w:rsid w:val="0082154B"/>
    <w:rsid w:val="00821FBD"/>
    <w:rsid w:val="0082378E"/>
    <w:rsid w:val="00825372"/>
    <w:rsid w:val="008267C9"/>
    <w:rsid w:val="00826973"/>
    <w:rsid w:val="0082787F"/>
    <w:rsid w:val="00827F86"/>
    <w:rsid w:val="00830894"/>
    <w:rsid w:val="008314C1"/>
    <w:rsid w:val="008321ED"/>
    <w:rsid w:val="008326B0"/>
    <w:rsid w:val="008329C3"/>
    <w:rsid w:val="00832D67"/>
    <w:rsid w:val="00833086"/>
    <w:rsid w:val="00834362"/>
    <w:rsid w:val="0083448F"/>
    <w:rsid w:val="00835E8A"/>
    <w:rsid w:val="008375B1"/>
    <w:rsid w:val="0084056F"/>
    <w:rsid w:val="00840D65"/>
    <w:rsid w:val="00841377"/>
    <w:rsid w:val="00841855"/>
    <w:rsid w:val="008418D2"/>
    <w:rsid w:val="00842D89"/>
    <w:rsid w:val="00843157"/>
    <w:rsid w:val="008435B7"/>
    <w:rsid w:val="00844B23"/>
    <w:rsid w:val="0084539A"/>
    <w:rsid w:val="00845B5B"/>
    <w:rsid w:val="00845D39"/>
    <w:rsid w:val="008465F0"/>
    <w:rsid w:val="00846982"/>
    <w:rsid w:val="00846B2A"/>
    <w:rsid w:val="00850523"/>
    <w:rsid w:val="00851875"/>
    <w:rsid w:val="00851A35"/>
    <w:rsid w:val="0085346D"/>
    <w:rsid w:val="00855D01"/>
    <w:rsid w:val="00855FFA"/>
    <w:rsid w:val="00856C63"/>
    <w:rsid w:val="00856D8A"/>
    <w:rsid w:val="00857D81"/>
    <w:rsid w:val="008600F8"/>
    <w:rsid w:val="008602E3"/>
    <w:rsid w:val="00860A66"/>
    <w:rsid w:val="00861D0E"/>
    <w:rsid w:val="00861E4C"/>
    <w:rsid w:val="00862F45"/>
    <w:rsid w:val="008641AC"/>
    <w:rsid w:val="00865095"/>
    <w:rsid w:val="00865F41"/>
    <w:rsid w:val="00865FF8"/>
    <w:rsid w:val="00870137"/>
    <w:rsid w:val="008711A3"/>
    <w:rsid w:val="00871C58"/>
    <w:rsid w:val="008725A5"/>
    <w:rsid w:val="00872CF9"/>
    <w:rsid w:val="00872D12"/>
    <w:rsid w:val="00873964"/>
    <w:rsid w:val="0087430C"/>
    <w:rsid w:val="00875846"/>
    <w:rsid w:val="0087772C"/>
    <w:rsid w:val="00881F55"/>
    <w:rsid w:val="00882D14"/>
    <w:rsid w:val="0088336F"/>
    <w:rsid w:val="008843A7"/>
    <w:rsid w:val="008848F8"/>
    <w:rsid w:val="008855B0"/>
    <w:rsid w:val="0088614F"/>
    <w:rsid w:val="0088655F"/>
    <w:rsid w:val="00887033"/>
    <w:rsid w:val="00887E43"/>
    <w:rsid w:val="00887EB1"/>
    <w:rsid w:val="008900DA"/>
    <w:rsid w:val="008900DD"/>
    <w:rsid w:val="00891675"/>
    <w:rsid w:val="00891DE5"/>
    <w:rsid w:val="00891EA3"/>
    <w:rsid w:val="0089328C"/>
    <w:rsid w:val="00893E73"/>
    <w:rsid w:val="0089605F"/>
    <w:rsid w:val="00896B62"/>
    <w:rsid w:val="008971A1"/>
    <w:rsid w:val="00897660"/>
    <w:rsid w:val="008977A0"/>
    <w:rsid w:val="008A0838"/>
    <w:rsid w:val="008A1624"/>
    <w:rsid w:val="008A18F8"/>
    <w:rsid w:val="008A5F27"/>
    <w:rsid w:val="008A669D"/>
    <w:rsid w:val="008A7A08"/>
    <w:rsid w:val="008B0B28"/>
    <w:rsid w:val="008B0EED"/>
    <w:rsid w:val="008B1707"/>
    <w:rsid w:val="008B29DB"/>
    <w:rsid w:val="008B40BB"/>
    <w:rsid w:val="008B4138"/>
    <w:rsid w:val="008B5077"/>
    <w:rsid w:val="008B51A6"/>
    <w:rsid w:val="008B55A5"/>
    <w:rsid w:val="008B560B"/>
    <w:rsid w:val="008B6973"/>
    <w:rsid w:val="008C008B"/>
    <w:rsid w:val="008C1973"/>
    <w:rsid w:val="008C4501"/>
    <w:rsid w:val="008C452E"/>
    <w:rsid w:val="008C53D9"/>
    <w:rsid w:val="008C670C"/>
    <w:rsid w:val="008D1686"/>
    <w:rsid w:val="008D327A"/>
    <w:rsid w:val="008D33C0"/>
    <w:rsid w:val="008D3590"/>
    <w:rsid w:val="008D560E"/>
    <w:rsid w:val="008D56DE"/>
    <w:rsid w:val="008D594B"/>
    <w:rsid w:val="008D6D73"/>
    <w:rsid w:val="008E08A3"/>
    <w:rsid w:val="008E0A89"/>
    <w:rsid w:val="008E2235"/>
    <w:rsid w:val="008E29F7"/>
    <w:rsid w:val="008E2C92"/>
    <w:rsid w:val="008E364F"/>
    <w:rsid w:val="008E3CEE"/>
    <w:rsid w:val="008E5B46"/>
    <w:rsid w:val="008E6408"/>
    <w:rsid w:val="008E6C71"/>
    <w:rsid w:val="008E6DA4"/>
    <w:rsid w:val="008F0B76"/>
    <w:rsid w:val="008F21AD"/>
    <w:rsid w:val="008F5BCA"/>
    <w:rsid w:val="008F61B0"/>
    <w:rsid w:val="008F658E"/>
    <w:rsid w:val="008F6776"/>
    <w:rsid w:val="008F7FB1"/>
    <w:rsid w:val="00900246"/>
    <w:rsid w:val="00900DAF"/>
    <w:rsid w:val="00901115"/>
    <w:rsid w:val="00901926"/>
    <w:rsid w:val="009019AB"/>
    <w:rsid w:val="00901AEE"/>
    <w:rsid w:val="00901CD9"/>
    <w:rsid w:val="00903C1F"/>
    <w:rsid w:val="00903DA3"/>
    <w:rsid w:val="0090555C"/>
    <w:rsid w:val="00906629"/>
    <w:rsid w:val="00906893"/>
    <w:rsid w:val="0090735F"/>
    <w:rsid w:val="009079A4"/>
    <w:rsid w:val="00907ED0"/>
    <w:rsid w:val="009102C2"/>
    <w:rsid w:val="00910CB9"/>
    <w:rsid w:val="009129A0"/>
    <w:rsid w:val="00912BE2"/>
    <w:rsid w:val="009131D0"/>
    <w:rsid w:val="009141CB"/>
    <w:rsid w:val="009142AB"/>
    <w:rsid w:val="009148C9"/>
    <w:rsid w:val="00914D23"/>
    <w:rsid w:val="00915016"/>
    <w:rsid w:val="009153AF"/>
    <w:rsid w:val="00916E36"/>
    <w:rsid w:val="00923A78"/>
    <w:rsid w:val="009249E3"/>
    <w:rsid w:val="009260AA"/>
    <w:rsid w:val="0092758E"/>
    <w:rsid w:val="0092790F"/>
    <w:rsid w:val="00927A3C"/>
    <w:rsid w:val="00931A86"/>
    <w:rsid w:val="00931EFB"/>
    <w:rsid w:val="00934925"/>
    <w:rsid w:val="00934FFC"/>
    <w:rsid w:val="00935EC9"/>
    <w:rsid w:val="009365FD"/>
    <w:rsid w:val="00936BCF"/>
    <w:rsid w:val="00940919"/>
    <w:rsid w:val="009411DE"/>
    <w:rsid w:val="009418DF"/>
    <w:rsid w:val="0094198F"/>
    <w:rsid w:val="00941BF7"/>
    <w:rsid w:val="00943B35"/>
    <w:rsid w:val="00943C1D"/>
    <w:rsid w:val="00944553"/>
    <w:rsid w:val="009445E1"/>
    <w:rsid w:val="0094546E"/>
    <w:rsid w:val="0094577C"/>
    <w:rsid w:val="00945873"/>
    <w:rsid w:val="009476FF"/>
    <w:rsid w:val="009509F5"/>
    <w:rsid w:val="00950D81"/>
    <w:rsid w:val="00951048"/>
    <w:rsid w:val="0095106A"/>
    <w:rsid w:val="00951241"/>
    <w:rsid w:val="009519F9"/>
    <w:rsid w:val="00953001"/>
    <w:rsid w:val="0095385F"/>
    <w:rsid w:val="00953A6D"/>
    <w:rsid w:val="00954010"/>
    <w:rsid w:val="009540B1"/>
    <w:rsid w:val="00954FF0"/>
    <w:rsid w:val="009550C2"/>
    <w:rsid w:val="00955272"/>
    <w:rsid w:val="00955D74"/>
    <w:rsid w:val="00955F12"/>
    <w:rsid w:val="0095665E"/>
    <w:rsid w:val="00957E17"/>
    <w:rsid w:val="00960042"/>
    <w:rsid w:val="009618F6"/>
    <w:rsid w:val="00961AB3"/>
    <w:rsid w:val="009620FC"/>
    <w:rsid w:val="009621BB"/>
    <w:rsid w:val="00962695"/>
    <w:rsid w:val="00962729"/>
    <w:rsid w:val="00962BC6"/>
    <w:rsid w:val="0096374D"/>
    <w:rsid w:val="009639E5"/>
    <w:rsid w:val="00963F72"/>
    <w:rsid w:val="00964E03"/>
    <w:rsid w:val="009676A6"/>
    <w:rsid w:val="00970846"/>
    <w:rsid w:val="009709D8"/>
    <w:rsid w:val="00971217"/>
    <w:rsid w:val="00972114"/>
    <w:rsid w:val="00972129"/>
    <w:rsid w:val="00972458"/>
    <w:rsid w:val="00972AE9"/>
    <w:rsid w:val="00973235"/>
    <w:rsid w:val="0097483A"/>
    <w:rsid w:val="00974BA7"/>
    <w:rsid w:val="009757BF"/>
    <w:rsid w:val="00975E6B"/>
    <w:rsid w:val="0097693C"/>
    <w:rsid w:val="00977934"/>
    <w:rsid w:val="009807B4"/>
    <w:rsid w:val="0098161B"/>
    <w:rsid w:val="00982034"/>
    <w:rsid w:val="0098226D"/>
    <w:rsid w:val="00982459"/>
    <w:rsid w:val="00985223"/>
    <w:rsid w:val="00986738"/>
    <w:rsid w:val="00986B2A"/>
    <w:rsid w:val="00986D54"/>
    <w:rsid w:val="0099047E"/>
    <w:rsid w:val="00990629"/>
    <w:rsid w:val="009907F2"/>
    <w:rsid w:val="009918B3"/>
    <w:rsid w:val="00992417"/>
    <w:rsid w:val="00992E09"/>
    <w:rsid w:val="00993050"/>
    <w:rsid w:val="009944EC"/>
    <w:rsid w:val="00994829"/>
    <w:rsid w:val="00996E4E"/>
    <w:rsid w:val="00996EC5"/>
    <w:rsid w:val="00997495"/>
    <w:rsid w:val="009A0263"/>
    <w:rsid w:val="009A03D0"/>
    <w:rsid w:val="009A14A9"/>
    <w:rsid w:val="009A17E2"/>
    <w:rsid w:val="009A1CA2"/>
    <w:rsid w:val="009A2070"/>
    <w:rsid w:val="009A2A6E"/>
    <w:rsid w:val="009A33E8"/>
    <w:rsid w:val="009A416E"/>
    <w:rsid w:val="009A4503"/>
    <w:rsid w:val="009A4E35"/>
    <w:rsid w:val="009A72C1"/>
    <w:rsid w:val="009A7D2E"/>
    <w:rsid w:val="009B1A52"/>
    <w:rsid w:val="009B22CD"/>
    <w:rsid w:val="009B362A"/>
    <w:rsid w:val="009B38B1"/>
    <w:rsid w:val="009B47EB"/>
    <w:rsid w:val="009B54BF"/>
    <w:rsid w:val="009B6135"/>
    <w:rsid w:val="009B6DCD"/>
    <w:rsid w:val="009B7F2A"/>
    <w:rsid w:val="009C0183"/>
    <w:rsid w:val="009C0707"/>
    <w:rsid w:val="009C1F51"/>
    <w:rsid w:val="009C2DFC"/>
    <w:rsid w:val="009C3210"/>
    <w:rsid w:val="009C325C"/>
    <w:rsid w:val="009C4CE0"/>
    <w:rsid w:val="009C55C4"/>
    <w:rsid w:val="009D07AF"/>
    <w:rsid w:val="009D16C1"/>
    <w:rsid w:val="009D1A1E"/>
    <w:rsid w:val="009D1B09"/>
    <w:rsid w:val="009D25E4"/>
    <w:rsid w:val="009D2887"/>
    <w:rsid w:val="009D3865"/>
    <w:rsid w:val="009D47EB"/>
    <w:rsid w:val="009D69D0"/>
    <w:rsid w:val="009E03C8"/>
    <w:rsid w:val="009E2662"/>
    <w:rsid w:val="009E31B6"/>
    <w:rsid w:val="009E3909"/>
    <w:rsid w:val="009E4E67"/>
    <w:rsid w:val="009E57CB"/>
    <w:rsid w:val="009E594A"/>
    <w:rsid w:val="009E6082"/>
    <w:rsid w:val="009F110D"/>
    <w:rsid w:val="009F1B37"/>
    <w:rsid w:val="009F4028"/>
    <w:rsid w:val="009F488C"/>
    <w:rsid w:val="009F52FB"/>
    <w:rsid w:val="009F63EF"/>
    <w:rsid w:val="009F648B"/>
    <w:rsid w:val="009F68AB"/>
    <w:rsid w:val="009F6F41"/>
    <w:rsid w:val="00A00D3D"/>
    <w:rsid w:val="00A01A3F"/>
    <w:rsid w:val="00A01F1D"/>
    <w:rsid w:val="00A02E1C"/>
    <w:rsid w:val="00A03A02"/>
    <w:rsid w:val="00A03ED7"/>
    <w:rsid w:val="00A048C3"/>
    <w:rsid w:val="00A04DBD"/>
    <w:rsid w:val="00A04EA9"/>
    <w:rsid w:val="00A050C3"/>
    <w:rsid w:val="00A06BEC"/>
    <w:rsid w:val="00A12BE7"/>
    <w:rsid w:val="00A135E6"/>
    <w:rsid w:val="00A14FF4"/>
    <w:rsid w:val="00A15115"/>
    <w:rsid w:val="00A15A45"/>
    <w:rsid w:val="00A16305"/>
    <w:rsid w:val="00A16D41"/>
    <w:rsid w:val="00A214FF"/>
    <w:rsid w:val="00A21D7E"/>
    <w:rsid w:val="00A22BDE"/>
    <w:rsid w:val="00A22F81"/>
    <w:rsid w:val="00A2363C"/>
    <w:rsid w:val="00A23C56"/>
    <w:rsid w:val="00A242DD"/>
    <w:rsid w:val="00A242E6"/>
    <w:rsid w:val="00A25E45"/>
    <w:rsid w:val="00A27D8C"/>
    <w:rsid w:val="00A31593"/>
    <w:rsid w:val="00A31ED6"/>
    <w:rsid w:val="00A32AD5"/>
    <w:rsid w:val="00A37AD2"/>
    <w:rsid w:val="00A4004B"/>
    <w:rsid w:val="00A4031F"/>
    <w:rsid w:val="00A40F68"/>
    <w:rsid w:val="00A41B15"/>
    <w:rsid w:val="00A4372D"/>
    <w:rsid w:val="00A44A67"/>
    <w:rsid w:val="00A450A9"/>
    <w:rsid w:val="00A45377"/>
    <w:rsid w:val="00A4579E"/>
    <w:rsid w:val="00A476A4"/>
    <w:rsid w:val="00A478F9"/>
    <w:rsid w:val="00A5103D"/>
    <w:rsid w:val="00A51A0F"/>
    <w:rsid w:val="00A522F2"/>
    <w:rsid w:val="00A52D44"/>
    <w:rsid w:val="00A53577"/>
    <w:rsid w:val="00A53DB4"/>
    <w:rsid w:val="00A5415E"/>
    <w:rsid w:val="00A543BF"/>
    <w:rsid w:val="00A54CD1"/>
    <w:rsid w:val="00A56506"/>
    <w:rsid w:val="00A56DED"/>
    <w:rsid w:val="00A60A85"/>
    <w:rsid w:val="00A61A7F"/>
    <w:rsid w:val="00A62FB9"/>
    <w:rsid w:val="00A643EB"/>
    <w:rsid w:val="00A64540"/>
    <w:rsid w:val="00A65BB6"/>
    <w:rsid w:val="00A65CF0"/>
    <w:rsid w:val="00A67586"/>
    <w:rsid w:val="00A7008A"/>
    <w:rsid w:val="00A71100"/>
    <w:rsid w:val="00A7142E"/>
    <w:rsid w:val="00A71EA2"/>
    <w:rsid w:val="00A7234A"/>
    <w:rsid w:val="00A736D7"/>
    <w:rsid w:val="00A73FC7"/>
    <w:rsid w:val="00A75669"/>
    <w:rsid w:val="00A7677F"/>
    <w:rsid w:val="00A77554"/>
    <w:rsid w:val="00A7773F"/>
    <w:rsid w:val="00A81AA2"/>
    <w:rsid w:val="00A82A09"/>
    <w:rsid w:val="00A833AB"/>
    <w:rsid w:val="00A84430"/>
    <w:rsid w:val="00A84BBF"/>
    <w:rsid w:val="00A8556B"/>
    <w:rsid w:val="00A8607F"/>
    <w:rsid w:val="00A87098"/>
    <w:rsid w:val="00A87A2F"/>
    <w:rsid w:val="00A87F86"/>
    <w:rsid w:val="00A91CBF"/>
    <w:rsid w:val="00A91ECD"/>
    <w:rsid w:val="00A92373"/>
    <w:rsid w:val="00A92730"/>
    <w:rsid w:val="00A94E5C"/>
    <w:rsid w:val="00A952FC"/>
    <w:rsid w:val="00A97ACD"/>
    <w:rsid w:val="00AA0355"/>
    <w:rsid w:val="00AA119B"/>
    <w:rsid w:val="00AA368F"/>
    <w:rsid w:val="00AA378C"/>
    <w:rsid w:val="00AA43DB"/>
    <w:rsid w:val="00AA56C9"/>
    <w:rsid w:val="00AA5B94"/>
    <w:rsid w:val="00AA64D6"/>
    <w:rsid w:val="00AA6818"/>
    <w:rsid w:val="00AA70FF"/>
    <w:rsid w:val="00AA7B28"/>
    <w:rsid w:val="00AB18BC"/>
    <w:rsid w:val="00AB1D21"/>
    <w:rsid w:val="00AB1DFD"/>
    <w:rsid w:val="00AB41B2"/>
    <w:rsid w:val="00AB4DF4"/>
    <w:rsid w:val="00AB6627"/>
    <w:rsid w:val="00AB6917"/>
    <w:rsid w:val="00AB73AD"/>
    <w:rsid w:val="00AC04CB"/>
    <w:rsid w:val="00AC0D0C"/>
    <w:rsid w:val="00AC12D1"/>
    <w:rsid w:val="00AC3838"/>
    <w:rsid w:val="00AC458D"/>
    <w:rsid w:val="00AC4BAE"/>
    <w:rsid w:val="00AC54FD"/>
    <w:rsid w:val="00AC599C"/>
    <w:rsid w:val="00AC5C28"/>
    <w:rsid w:val="00AC6FD2"/>
    <w:rsid w:val="00AD1BCB"/>
    <w:rsid w:val="00AD277D"/>
    <w:rsid w:val="00AD49BD"/>
    <w:rsid w:val="00AD50E4"/>
    <w:rsid w:val="00AD5C82"/>
    <w:rsid w:val="00AD71DB"/>
    <w:rsid w:val="00AE0B9C"/>
    <w:rsid w:val="00AE1BC4"/>
    <w:rsid w:val="00AE3274"/>
    <w:rsid w:val="00AE4796"/>
    <w:rsid w:val="00AE4E04"/>
    <w:rsid w:val="00AE5BD0"/>
    <w:rsid w:val="00AF0D7B"/>
    <w:rsid w:val="00AF1BEA"/>
    <w:rsid w:val="00AF335E"/>
    <w:rsid w:val="00AF3B70"/>
    <w:rsid w:val="00AF54ED"/>
    <w:rsid w:val="00AF68C5"/>
    <w:rsid w:val="00AF6A4D"/>
    <w:rsid w:val="00AF6AAE"/>
    <w:rsid w:val="00AF6CC3"/>
    <w:rsid w:val="00AF7351"/>
    <w:rsid w:val="00AF76BC"/>
    <w:rsid w:val="00AF7FFB"/>
    <w:rsid w:val="00B00648"/>
    <w:rsid w:val="00B00B8D"/>
    <w:rsid w:val="00B018CE"/>
    <w:rsid w:val="00B02C1A"/>
    <w:rsid w:val="00B050FD"/>
    <w:rsid w:val="00B078EF"/>
    <w:rsid w:val="00B106D1"/>
    <w:rsid w:val="00B11DDB"/>
    <w:rsid w:val="00B11E5B"/>
    <w:rsid w:val="00B12170"/>
    <w:rsid w:val="00B12BCD"/>
    <w:rsid w:val="00B157DE"/>
    <w:rsid w:val="00B1592B"/>
    <w:rsid w:val="00B16EB2"/>
    <w:rsid w:val="00B20D66"/>
    <w:rsid w:val="00B2161C"/>
    <w:rsid w:val="00B23957"/>
    <w:rsid w:val="00B2543F"/>
    <w:rsid w:val="00B277BE"/>
    <w:rsid w:val="00B27D1D"/>
    <w:rsid w:val="00B30151"/>
    <w:rsid w:val="00B311B6"/>
    <w:rsid w:val="00B320FF"/>
    <w:rsid w:val="00B32988"/>
    <w:rsid w:val="00B33CC1"/>
    <w:rsid w:val="00B3408B"/>
    <w:rsid w:val="00B3413E"/>
    <w:rsid w:val="00B34F97"/>
    <w:rsid w:val="00B36DCF"/>
    <w:rsid w:val="00B371E3"/>
    <w:rsid w:val="00B374C3"/>
    <w:rsid w:val="00B375D0"/>
    <w:rsid w:val="00B37758"/>
    <w:rsid w:val="00B379F2"/>
    <w:rsid w:val="00B37C69"/>
    <w:rsid w:val="00B37DB4"/>
    <w:rsid w:val="00B40362"/>
    <w:rsid w:val="00B41369"/>
    <w:rsid w:val="00B42E65"/>
    <w:rsid w:val="00B43753"/>
    <w:rsid w:val="00B44466"/>
    <w:rsid w:val="00B450EF"/>
    <w:rsid w:val="00B45B9A"/>
    <w:rsid w:val="00B464CA"/>
    <w:rsid w:val="00B46C00"/>
    <w:rsid w:val="00B501E6"/>
    <w:rsid w:val="00B50569"/>
    <w:rsid w:val="00B519E5"/>
    <w:rsid w:val="00B5243D"/>
    <w:rsid w:val="00B5276F"/>
    <w:rsid w:val="00B53993"/>
    <w:rsid w:val="00B540AC"/>
    <w:rsid w:val="00B54464"/>
    <w:rsid w:val="00B552D8"/>
    <w:rsid w:val="00B5584D"/>
    <w:rsid w:val="00B55CAA"/>
    <w:rsid w:val="00B55E21"/>
    <w:rsid w:val="00B5622A"/>
    <w:rsid w:val="00B562F1"/>
    <w:rsid w:val="00B60516"/>
    <w:rsid w:val="00B60BA8"/>
    <w:rsid w:val="00B6116B"/>
    <w:rsid w:val="00B613D8"/>
    <w:rsid w:val="00B61616"/>
    <w:rsid w:val="00B622E5"/>
    <w:rsid w:val="00B62805"/>
    <w:rsid w:val="00B62DA7"/>
    <w:rsid w:val="00B63383"/>
    <w:rsid w:val="00B639E5"/>
    <w:rsid w:val="00B63E3A"/>
    <w:rsid w:val="00B64DC9"/>
    <w:rsid w:val="00B64F77"/>
    <w:rsid w:val="00B651FA"/>
    <w:rsid w:val="00B65703"/>
    <w:rsid w:val="00B662C1"/>
    <w:rsid w:val="00B6644E"/>
    <w:rsid w:val="00B667F5"/>
    <w:rsid w:val="00B7080E"/>
    <w:rsid w:val="00B70923"/>
    <w:rsid w:val="00B709DF"/>
    <w:rsid w:val="00B72B7C"/>
    <w:rsid w:val="00B72C7C"/>
    <w:rsid w:val="00B73779"/>
    <w:rsid w:val="00B74D72"/>
    <w:rsid w:val="00B755DB"/>
    <w:rsid w:val="00B80E5B"/>
    <w:rsid w:val="00B8130D"/>
    <w:rsid w:val="00B81D79"/>
    <w:rsid w:val="00B8278F"/>
    <w:rsid w:val="00B83F07"/>
    <w:rsid w:val="00B84771"/>
    <w:rsid w:val="00B84A16"/>
    <w:rsid w:val="00B84B39"/>
    <w:rsid w:val="00B86510"/>
    <w:rsid w:val="00B87D92"/>
    <w:rsid w:val="00B917CD"/>
    <w:rsid w:val="00B9183E"/>
    <w:rsid w:val="00B91FDA"/>
    <w:rsid w:val="00B92295"/>
    <w:rsid w:val="00B930C6"/>
    <w:rsid w:val="00B93B85"/>
    <w:rsid w:val="00B953D4"/>
    <w:rsid w:val="00B95BA7"/>
    <w:rsid w:val="00B96A7B"/>
    <w:rsid w:val="00B96CE3"/>
    <w:rsid w:val="00B97082"/>
    <w:rsid w:val="00B97130"/>
    <w:rsid w:val="00B971C3"/>
    <w:rsid w:val="00BA09FF"/>
    <w:rsid w:val="00BA2B42"/>
    <w:rsid w:val="00BA3F4B"/>
    <w:rsid w:val="00BA4192"/>
    <w:rsid w:val="00BA5125"/>
    <w:rsid w:val="00BA70A6"/>
    <w:rsid w:val="00BA77F4"/>
    <w:rsid w:val="00BA7B9F"/>
    <w:rsid w:val="00BA7ECB"/>
    <w:rsid w:val="00BA7FAA"/>
    <w:rsid w:val="00BB0B2D"/>
    <w:rsid w:val="00BB0D61"/>
    <w:rsid w:val="00BB1B79"/>
    <w:rsid w:val="00BB28AE"/>
    <w:rsid w:val="00BB2B9D"/>
    <w:rsid w:val="00BB342C"/>
    <w:rsid w:val="00BB55D8"/>
    <w:rsid w:val="00BB5A6E"/>
    <w:rsid w:val="00BB7442"/>
    <w:rsid w:val="00BC1F78"/>
    <w:rsid w:val="00BC2834"/>
    <w:rsid w:val="00BC2CC0"/>
    <w:rsid w:val="00BC35D9"/>
    <w:rsid w:val="00BC3B35"/>
    <w:rsid w:val="00BC46B9"/>
    <w:rsid w:val="00BC4E5D"/>
    <w:rsid w:val="00BC5534"/>
    <w:rsid w:val="00BC5FAB"/>
    <w:rsid w:val="00BC6D16"/>
    <w:rsid w:val="00BC6F93"/>
    <w:rsid w:val="00BC72D9"/>
    <w:rsid w:val="00BD0C5D"/>
    <w:rsid w:val="00BD1286"/>
    <w:rsid w:val="00BD1836"/>
    <w:rsid w:val="00BD2271"/>
    <w:rsid w:val="00BD23C9"/>
    <w:rsid w:val="00BD2689"/>
    <w:rsid w:val="00BD6086"/>
    <w:rsid w:val="00BD6DA5"/>
    <w:rsid w:val="00BD6FED"/>
    <w:rsid w:val="00BD70F6"/>
    <w:rsid w:val="00BE0978"/>
    <w:rsid w:val="00BE14A6"/>
    <w:rsid w:val="00BE1C68"/>
    <w:rsid w:val="00BE4B94"/>
    <w:rsid w:val="00BE5B19"/>
    <w:rsid w:val="00BE5D39"/>
    <w:rsid w:val="00BF02CF"/>
    <w:rsid w:val="00BF0B90"/>
    <w:rsid w:val="00BF30CF"/>
    <w:rsid w:val="00BF40E5"/>
    <w:rsid w:val="00BF6AA4"/>
    <w:rsid w:val="00BF7461"/>
    <w:rsid w:val="00C00407"/>
    <w:rsid w:val="00C008A2"/>
    <w:rsid w:val="00C00CEE"/>
    <w:rsid w:val="00C00F23"/>
    <w:rsid w:val="00C01A96"/>
    <w:rsid w:val="00C060BB"/>
    <w:rsid w:val="00C06920"/>
    <w:rsid w:val="00C07396"/>
    <w:rsid w:val="00C0745C"/>
    <w:rsid w:val="00C0775E"/>
    <w:rsid w:val="00C07DBE"/>
    <w:rsid w:val="00C10F89"/>
    <w:rsid w:val="00C12284"/>
    <w:rsid w:val="00C122B2"/>
    <w:rsid w:val="00C12DE5"/>
    <w:rsid w:val="00C132D9"/>
    <w:rsid w:val="00C13C2C"/>
    <w:rsid w:val="00C1410E"/>
    <w:rsid w:val="00C14188"/>
    <w:rsid w:val="00C14AA5"/>
    <w:rsid w:val="00C1540B"/>
    <w:rsid w:val="00C15673"/>
    <w:rsid w:val="00C156AB"/>
    <w:rsid w:val="00C16ED1"/>
    <w:rsid w:val="00C17435"/>
    <w:rsid w:val="00C20A68"/>
    <w:rsid w:val="00C20F9F"/>
    <w:rsid w:val="00C21C1C"/>
    <w:rsid w:val="00C230FC"/>
    <w:rsid w:val="00C24181"/>
    <w:rsid w:val="00C2479B"/>
    <w:rsid w:val="00C24933"/>
    <w:rsid w:val="00C25B5E"/>
    <w:rsid w:val="00C25D48"/>
    <w:rsid w:val="00C275F3"/>
    <w:rsid w:val="00C27A02"/>
    <w:rsid w:val="00C309BB"/>
    <w:rsid w:val="00C3103F"/>
    <w:rsid w:val="00C312BA"/>
    <w:rsid w:val="00C31CE7"/>
    <w:rsid w:val="00C32A35"/>
    <w:rsid w:val="00C33801"/>
    <w:rsid w:val="00C34F92"/>
    <w:rsid w:val="00C352DA"/>
    <w:rsid w:val="00C35658"/>
    <w:rsid w:val="00C377DB"/>
    <w:rsid w:val="00C4087E"/>
    <w:rsid w:val="00C40D9B"/>
    <w:rsid w:val="00C41318"/>
    <w:rsid w:val="00C4282F"/>
    <w:rsid w:val="00C42E19"/>
    <w:rsid w:val="00C4545F"/>
    <w:rsid w:val="00C46951"/>
    <w:rsid w:val="00C476EB"/>
    <w:rsid w:val="00C5064E"/>
    <w:rsid w:val="00C50DA9"/>
    <w:rsid w:val="00C52269"/>
    <w:rsid w:val="00C54B70"/>
    <w:rsid w:val="00C55255"/>
    <w:rsid w:val="00C56486"/>
    <w:rsid w:val="00C56524"/>
    <w:rsid w:val="00C56A05"/>
    <w:rsid w:val="00C57381"/>
    <w:rsid w:val="00C57A2A"/>
    <w:rsid w:val="00C57D17"/>
    <w:rsid w:val="00C6037C"/>
    <w:rsid w:val="00C61E2B"/>
    <w:rsid w:val="00C626AB"/>
    <w:rsid w:val="00C64187"/>
    <w:rsid w:val="00C64F16"/>
    <w:rsid w:val="00C662F1"/>
    <w:rsid w:val="00C67663"/>
    <w:rsid w:val="00C67B4B"/>
    <w:rsid w:val="00C70986"/>
    <w:rsid w:val="00C71551"/>
    <w:rsid w:val="00C74321"/>
    <w:rsid w:val="00C76383"/>
    <w:rsid w:val="00C765CC"/>
    <w:rsid w:val="00C76C3E"/>
    <w:rsid w:val="00C76E2B"/>
    <w:rsid w:val="00C77C25"/>
    <w:rsid w:val="00C8127F"/>
    <w:rsid w:val="00C81F57"/>
    <w:rsid w:val="00C827D1"/>
    <w:rsid w:val="00C852B0"/>
    <w:rsid w:val="00C85AE7"/>
    <w:rsid w:val="00C86CA3"/>
    <w:rsid w:val="00C877E1"/>
    <w:rsid w:val="00C90AC1"/>
    <w:rsid w:val="00C9134B"/>
    <w:rsid w:val="00C91710"/>
    <w:rsid w:val="00C91AD4"/>
    <w:rsid w:val="00C91AE2"/>
    <w:rsid w:val="00C9267F"/>
    <w:rsid w:val="00C92768"/>
    <w:rsid w:val="00C9561D"/>
    <w:rsid w:val="00C96BE4"/>
    <w:rsid w:val="00C974E3"/>
    <w:rsid w:val="00CA0752"/>
    <w:rsid w:val="00CA0A1D"/>
    <w:rsid w:val="00CA0F65"/>
    <w:rsid w:val="00CA1D9E"/>
    <w:rsid w:val="00CA34C8"/>
    <w:rsid w:val="00CA4712"/>
    <w:rsid w:val="00CA4D84"/>
    <w:rsid w:val="00CA6430"/>
    <w:rsid w:val="00CA671B"/>
    <w:rsid w:val="00CA7B4E"/>
    <w:rsid w:val="00CB002C"/>
    <w:rsid w:val="00CB179D"/>
    <w:rsid w:val="00CB28A3"/>
    <w:rsid w:val="00CB2B42"/>
    <w:rsid w:val="00CB2FCE"/>
    <w:rsid w:val="00CB3D62"/>
    <w:rsid w:val="00CC03F3"/>
    <w:rsid w:val="00CC054E"/>
    <w:rsid w:val="00CC11B7"/>
    <w:rsid w:val="00CC1290"/>
    <w:rsid w:val="00CC1E4A"/>
    <w:rsid w:val="00CC1EED"/>
    <w:rsid w:val="00CC2B1C"/>
    <w:rsid w:val="00CC43A6"/>
    <w:rsid w:val="00CC4C77"/>
    <w:rsid w:val="00CC6705"/>
    <w:rsid w:val="00CC76BB"/>
    <w:rsid w:val="00CD100F"/>
    <w:rsid w:val="00CD113A"/>
    <w:rsid w:val="00CD1518"/>
    <w:rsid w:val="00CD1BFF"/>
    <w:rsid w:val="00CD24E0"/>
    <w:rsid w:val="00CD277D"/>
    <w:rsid w:val="00CD4A31"/>
    <w:rsid w:val="00CD57A9"/>
    <w:rsid w:val="00CD78EF"/>
    <w:rsid w:val="00CD7C1B"/>
    <w:rsid w:val="00CE0D90"/>
    <w:rsid w:val="00CE1449"/>
    <w:rsid w:val="00CE46C7"/>
    <w:rsid w:val="00CE5374"/>
    <w:rsid w:val="00CE6010"/>
    <w:rsid w:val="00CE67AF"/>
    <w:rsid w:val="00CE6918"/>
    <w:rsid w:val="00CF0D2C"/>
    <w:rsid w:val="00CF1F8C"/>
    <w:rsid w:val="00CF2DCC"/>
    <w:rsid w:val="00CF4225"/>
    <w:rsid w:val="00CF4243"/>
    <w:rsid w:val="00CF43F9"/>
    <w:rsid w:val="00CF4BF7"/>
    <w:rsid w:val="00CF52A7"/>
    <w:rsid w:val="00CF5CD5"/>
    <w:rsid w:val="00CF682E"/>
    <w:rsid w:val="00CF6ABB"/>
    <w:rsid w:val="00CF7BA9"/>
    <w:rsid w:val="00D000D2"/>
    <w:rsid w:val="00D00A99"/>
    <w:rsid w:val="00D01101"/>
    <w:rsid w:val="00D01461"/>
    <w:rsid w:val="00D01A6A"/>
    <w:rsid w:val="00D01E4A"/>
    <w:rsid w:val="00D02B07"/>
    <w:rsid w:val="00D03A13"/>
    <w:rsid w:val="00D043DD"/>
    <w:rsid w:val="00D05BCB"/>
    <w:rsid w:val="00D05DC0"/>
    <w:rsid w:val="00D06542"/>
    <w:rsid w:val="00D0684F"/>
    <w:rsid w:val="00D06AEC"/>
    <w:rsid w:val="00D06B41"/>
    <w:rsid w:val="00D06D4E"/>
    <w:rsid w:val="00D0700A"/>
    <w:rsid w:val="00D07353"/>
    <w:rsid w:val="00D1041F"/>
    <w:rsid w:val="00D11A11"/>
    <w:rsid w:val="00D11C92"/>
    <w:rsid w:val="00D1343E"/>
    <w:rsid w:val="00D150A2"/>
    <w:rsid w:val="00D16C1B"/>
    <w:rsid w:val="00D16CF7"/>
    <w:rsid w:val="00D22E20"/>
    <w:rsid w:val="00D230CF"/>
    <w:rsid w:val="00D2408C"/>
    <w:rsid w:val="00D25864"/>
    <w:rsid w:val="00D26006"/>
    <w:rsid w:val="00D277B4"/>
    <w:rsid w:val="00D30661"/>
    <w:rsid w:val="00D317FB"/>
    <w:rsid w:val="00D31CB0"/>
    <w:rsid w:val="00D325C0"/>
    <w:rsid w:val="00D335C6"/>
    <w:rsid w:val="00D344AC"/>
    <w:rsid w:val="00D362DC"/>
    <w:rsid w:val="00D36B89"/>
    <w:rsid w:val="00D37B0C"/>
    <w:rsid w:val="00D41CAA"/>
    <w:rsid w:val="00D41E75"/>
    <w:rsid w:val="00D42E9C"/>
    <w:rsid w:val="00D43578"/>
    <w:rsid w:val="00D43C9C"/>
    <w:rsid w:val="00D43D3C"/>
    <w:rsid w:val="00D43E81"/>
    <w:rsid w:val="00D440E7"/>
    <w:rsid w:val="00D4483F"/>
    <w:rsid w:val="00D449CF"/>
    <w:rsid w:val="00D44C0D"/>
    <w:rsid w:val="00D45BEC"/>
    <w:rsid w:val="00D45D3C"/>
    <w:rsid w:val="00D4720C"/>
    <w:rsid w:val="00D47DE9"/>
    <w:rsid w:val="00D47FB4"/>
    <w:rsid w:val="00D50E89"/>
    <w:rsid w:val="00D51840"/>
    <w:rsid w:val="00D52AA9"/>
    <w:rsid w:val="00D57357"/>
    <w:rsid w:val="00D578B8"/>
    <w:rsid w:val="00D61AD7"/>
    <w:rsid w:val="00D63488"/>
    <w:rsid w:val="00D63966"/>
    <w:rsid w:val="00D6478D"/>
    <w:rsid w:val="00D650E2"/>
    <w:rsid w:val="00D65500"/>
    <w:rsid w:val="00D66554"/>
    <w:rsid w:val="00D66A26"/>
    <w:rsid w:val="00D66DDA"/>
    <w:rsid w:val="00D672C4"/>
    <w:rsid w:val="00D72C46"/>
    <w:rsid w:val="00D7334E"/>
    <w:rsid w:val="00D73E46"/>
    <w:rsid w:val="00D73FB9"/>
    <w:rsid w:val="00D748D4"/>
    <w:rsid w:val="00D76922"/>
    <w:rsid w:val="00D82840"/>
    <w:rsid w:val="00D8402E"/>
    <w:rsid w:val="00D8480F"/>
    <w:rsid w:val="00D857D6"/>
    <w:rsid w:val="00D85C56"/>
    <w:rsid w:val="00D87775"/>
    <w:rsid w:val="00D87B85"/>
    <w:rsid w:val="00D87E68"/>
    <w:rsid w:val="00D9004C"/>
    <w:rsid w:val="00D90A94"/>
    <w:rsid w:val="00D931BA"/>
    <w:rsid w:val="00D937C2"/>
    <w:rsid w:val="00D94919"/>
    <w:rsid w:val="00D95D1F"/>
    <w:rsid w:val="00D9703F"/>
    <w:rsid w:val="00D973CB"/>
    <w:rsid w:val="00D978FE"/>
    <w:rsid w:val="00D97A58"/>
    <w:rsid w:val="00D97D04"/>
    <w:rsid w:val="00D97EFC"/>
    <w:rsid w:val="00DA0F48"/>
    <w:rsid w:val="00DA3356"/>
    <w:rsid w:val="00DA347B"/>
    <w:rsid w:val="00DA3840"/>
    <w:rsid w:val="00DA48D2"/>
    <w:rsid w:val="00DA48EC"/>
    <w:rsid w:val="00DA5925"/>
    <w:rsid w:val="00DA7103"/>
    <w:rsid w:val="00DA7807"/>
    <w:rsid w:val="00DA7B8E"/>
    <w:rsid w:val="00DB0637"/>
    <w:rsid w:val="00DB1C0A"/>
    <w:rsid w:val="00DB1D02"/>
    <w:rsid w:val="00DB215A"/>
    <w:rsid w:val="00DB21C5"/>
    <w:rsid w:val="00DB29E8"/>
    <w:rsid w:val="00DB2BE6"/>
    <w:rsid w:val="00DB37C1"/>
    <w:rsid w:val="00DB39C1"/>
    <w:rsid w:val="00DB3CB7"/>
    <w:rsid w:val="00DB3F60"/>
    <w:rsid w:val="00DB4090"/>
    <w:rsid w:val="00DB5E74"/>
    <w:rsid w:val="00DB648D"/>
    <w:rsid w:val="00DB6682"/>
    <w:rsid w:val="00DB69C1"/>
    <w:rsid w:val="00DB7BB1"/>
    <w:rsid w:val="00DC166E"/>
    <w:rsid w:val="00DC251A"/>
    <w:rsid w:val="00DC30B1"/>
    <w:rsid w:val="00DC3DE9"/>
    <w:rsid w:val="00DC4C4E"/>
    <w:rsid w:val="00DC4DF8"/>
    <w:rsid w:val="00DC51BE"/>
    <w:rsid w:val="00DC6E0E"/>
    <w:rsid w:val="00DC6EA0"/>
    <w:rsid w:val="00DC7612"/>
    <w:rsid w:val="00DD11A6"/>
    <w:rsid w:val="00DD1A4F"/>
    <w:rsid w:val="00DD2074"/>
    <w:rsid w:val="00DD2AE3"/>
    <w:rsid w:val="00DD2AF6"/>
    <w:rsid w:val="00DD3492"/>
    <w:rsid w:val="00DD41E9"/>
    <w:rsid w:val="00DD51ED"/>
    <w:rsid w:val="00DD7467"/>
    <w:rsid w:val="00DE03A7"/>
    <w:rsid w:val="00DE0D12"/>
    <w:rsid w:val="00DE109F"/>
    <w:rsid w:val="00DE1731"/>
    <w:rsid w:val="00DE2761"/>
    <w:rsid w:val="00DE3773"/>
    <w:rsid w:val="00DE420E"/>
    <w:rsid w:val="00DE43DD"/>
    <w:rsid w:val="00DE45A7"/>
    <w:rsid w:val="00DE517A"/>
    <w:rsid w:val="00DE5404"/>
    <w:rsid w:val="00DE63AA"/>
    <w:rsid w:val="00DE64CA"/>
    <w:rsid w:val="00DE68AA"/>
    <w:rsid w:val="00DF3D31"/>
    <w:rsid w:val="00DF43A9"/>
    <w:rsid w:val="00DF5FC7"/>
    <w:rsid w:val="00DF66E3"/>
    <w:rsid w:val="00DF6AC9"/>
    <w:rsid w:val="00DF6D4D"/>
    <w:rsid w:val="00E00423"/>
    <w:rsid w:val="00E00515"/>
    <w:rsid w:val="00E005AE"/>
    <w:rsid w:val="00E009EC"/>
    <w:rsid w:val="00E017DF"/>
    <w:rsid w:val="00E018D0"/>
    <w:rsid w:val="00E02292"/>
    <w:rsid w:val="00E0289F"/>
    <w:rsid w:val="00E03E03"/>
    <w:rsid w:val="00E04689"/>
    <w:rsid w:val="00E0549E"/>
    <w:rsid w:val="00E054EB"/>
    <w:rsid w:val="00E05DC2"/>
    <w:rsid w:val="00E0686B"/>
    <w:rsid w:val="00E06940"/>
    <w:rsid w:val="00E06CD6"/>
    <w:rsid w:val="00E06F0E"/>
    <w:rsid w:val="00E07115"/>
    <w:rsid w:val="00E078FA"/>
    <w:rsid w:val="00E122F3"/>
    <w:rsid w:val="00E12640"/>
    <w:rsid w:val="00E12670"/>
    <w:rsid w:val="00E12F10"/>
    <w:rsid w:val="00E1320C"/>
    <w:rsid w:val="00E139CB"/>
    <w:rsid w:val="00E142AF"/>
    <w:rsid w:val="00E14378"/>
    <w:rsid w:val="00E146DE"/>
    <w:rsid w:val="00E15F32"/>
    <w:rsid w:val="00E170E4"/>
    <w:rsid w:val="00E174A4"/>
    <w:rsid w:val="00E17F5D"/>
    <w:rsid w:val="00E2081C"/>
    <w:rsid w:val="00E20AC6"/>
    <w:rsid w:val="00E22462"/>
    <w:rsid w:val="00E2298F"/>
    <w:rsid w:val="00E239A0"/>
    <w:rsid w:val="00E25499"/>
    <w:rsid w:val="00E25CFF"/>
    <w:rsid w:val="00E25ECF"/>
    <w:rsid w:val="00E26CEE"/>
    <w:rsid w:val="00E27BC6"/>
    <w:rsid w:val="00E30BD0"/>
    <w:rsid w:val="00E31BE9"/>
    <w:rsid w:val="00E32C4B"/>
    <w:rsid w:val="00E3452A"/>
    <w:rsid w:val="00E40226"/>
    <w:rsid w:val="00E4052F"/>
    <w:rsid w:val="00E40788"/>
    <w:rsid w:val="00E40B9C"/>
    <w:rsid w:val="00E418D4"/>
    <w:rsid w:val="00E41BCD"/>
    <w:rsid w:val="00E42829"/>
    <w:rsid w:val="00E4352E"/>
    <w:rsid w:val="00E443EE"/>
    <w:rsid w:val="00E4451A"/>
    <w:rsid w:val="00E446DA"/>
    <w:rsid w:val="00E45167"/>
    <w:rsid w:val="00E45853"/>
    <w:rsid w:val="00E475BD"/>
    <w:rsid w:val="00E5160B"/>
    <w:rsid w:val="00E52040"/>
    <w:rsid w:val="00E52D5B"/>
    <w:rsid w:val="00E52E03"/>
    <w:rsid w:val="00E537AC"/>
    <w:rsid w:val="00E53DA3"/>
    <w:rsid w:val="00E55F08"/>
    <w:rsid w:val="00E56BAA"/>
    <w:rsid w:val="00E57123"/>
    <w:rsid w:val="00E6123F"/>
    <w:rsid w:val="00E6181A"/>
    <w:rsid w:val="00E630B1"/>
    <w:rsid w:val="00E63664"/>
    <w:rsid w:val="00E636CC"/>
    <w:rsid w:val="00E636E5"/>
    <w:rsid w:val="00E63BE5"/>
    <w:rsid w:val="00E651F0"/>
    <w:rsid w:val="00E65378"/>
    <w:rsid w:val="00E663BC"/>
    <w:rsid w:val="00E67EC3"/>
    <w:rsid w:val="00E704E3"/>
    <w:rsid w:val="00E7161B"/>
    <w:rsid w:val="00E71995"/>
    <w:rsid w:val="00E724EA"/>
    <w:rsid w:val="00E73DDF"/>
    <w:rsid w:val="00E74946"/>
    <w:rsid w:val="00E75780"/>
    <w:rsid w:val="00E7664C"/>
    <w:rsid w:val="00E772AB"/>
    <w:rsid w:val="00E77F54"/>
    <w:rsid w:val="00E80193"/>
    <w:rsid w:val="00E80A07"/>
    <w:rsid w:val="00E80B29"/>
    <w:rsid w:val="00E81B00"/>
    <w:rsid w:val="00E82391"/>
    <w:rsid w:val="00E8276A"/>
    <w:rsid w:val="00E844BC"/>
    <w:rsid w:val="00E853DE"/>
    <w:rsid w:val="00E8573D"/>
    <w:rsid w:val="00E86293"/>
    <w:rsid w:val="00E8783D"/>
    <w:rsid w:val="00E91663"/>
    <w:rsid w:val="00E9185D"/>
    <w:rsid w:val="00E91A2F"/>
    <w:rsid w:val="00E92269"/>
    <w:rsid w:val="00E923F7"/>
    <w:rsid w:val="00E93F52"/>
    <w:rsid w:val="00E9404B"/>
    <w:rsid w:val="00E94137"/>
    <w:rsid w:val="00E95945"/>
    <w:rsid w:val="00E95CDA"/>
    <w:rsid w:val="00E974D9"/>
    <w:rsid w:val="00E97912"/>
    <w:rsid w:val="00E97BCD"/>
    <w:rsid w:val="00E97FC9"/>
    <w:rsid w:val="00EA04F3"/>
    <w:rsid w:val="00EA0846"/>
    <w:rsid w:val="00EA0FD4"/>
    <w:rsid w:val="00EA28C7"/>
    <w:rsid w:val="00EA30D9"/>
    <w:rsid w:val="00EA33BE"/>
    <w:rsid w:val="00EA448C"/>
    <w:rsid w:val="00EA53F3"/>
    <w:rsid w:val="00EA5BA9"/>
    <w:rsid w:val="00EB3F67"/>
    <w:rsid w:val="00EB49A2"/>
    <w:rsid w:val="00EB4C1B"/>
    <w:rsid w:val="00EB4E48"/>
    <w:rsid w:val="00EB61E8"/>
    <w:rsid w:val="00EB66D5"/>
    <w:rsid w:val="00EB7DA0"/>
    <w:rsid w:val="00EB7DC1"/>
    <w:rsid w:val="00EC0F24"/>
    <w:rsid w:val="00EC1BF6"/>
    <w:rsid w:val="00EC2214"/>
    <w:rsid w:val="00EC2614"/>
    <w:rsid w:val="00EC262C"/>
    <w:rsid w:val="00EC273A"/>
    <w:rsid w:val="00EC693B"/>
    <w:rsid w:val="00EC75FC"/>
    <w:rsid w:val="00EC7C64"/>
    <w:rsid w:val="00EC7DD7"/>
    <w:rsid w:val="00ED06F5"/>
    <w:rsid w:val="00ED0759"/>
    <w:rsid w:val="00ED07B8"/>
    <w:rsid w:val="00ED08B4"/>
    <w:rsid w:val="00ED1ACD"/>
    <w:rsid w:val="00ED2407"/>
    <w:rsid w:val="00ED4E47"/>
    <w:rsid w:val="00ED7282"/>
    <w:rsid w:val="00EE25E3"/>
    <w:rsid w:val="00EE28F1"/>
    <w:rsid w:val="00EE3D0E"/>
    <w:rsid w:val="00EE3FF6"/>
    <w:rsid w:val="00EE4ACD"/>
    <w:rsid w:val="00EE4F02"/>
    <w:rsid w:val="00EE4F9E"/>
    <w:rsid w:val="00EE52F1"/>
    <w:rsid w:val="00EE5E5B"/>
    <w:rsid w:val="00EE6639"/>
    <w:rsid w:val="00EE6A00"/>
    <w:rsid w:val="00EF0B25"/>
    <w:rsid w:val="00EF0CBA"/>
    <w:rsid w:val="00EF124A"/>
    <w:rsid w:val="00EF242B"/>
    <w:rsid w:val="00EF3342"/>
    <w:rsid w:val="00EF5A4B"/>
    <w:rsid w:val="00EF5E05"/>
    <w:rsid w:val="00EF71BF"/>
    <w:rsid w:val="00F00CAB"/>
    <w:rsid w:val="00F0129B"/>
    <w:rsid w:val="00F034D9"/>
    <w:rsid w:val="00F03F7E"/>
    <w:rsid w:val="00F05166"/>
    <w:rsid w:val="00F06077"/>
    <w:rsid w:val="00F066BA"/>
    <w:rsid w:val="00F0693E"/>
    <w:rsid w:val="00F0793F"/>
    <w:rsid w:val="00F10945"/>
    <w:rsid w:val="00F11B5F"/>
    <w:rsid w:val="00F11DD0"/>
    <w:rsid w:val="00F11DE2"/>
    <w:rsid w:val="00F11F62"/>
    <w:rsid w:val="00F123A3"/>
    <w:rsid w:val="00F12A1B"/>
    <w:rsid w:val="00F13B08"/>
    <w:rsid w:val="00F15EB3"/>
    <w:rsid w:val="00F160E0"/>
    <w:rsid w:val="00F161A0"/>
    <w:rsid w:val="00F17F49"/>
    <w:rsid w:val="00F20343"/>
    <w:rsid w:val="00F21C05"/>
    <w:rsid w:val="00F2289F"/>
    <w:rsid w:val="00F22B73"/>
    <w:rsid w:val="00F235F2"/>
    <w:rsid w:val="00F23A27"/>
    <w:rsid w:val="00F23BFF"/>
    <w:rsid w:val="00F24B57"/>
    <w:rsid w:val="00F25500"/>
    <w:rsid w:val="00F26328"/>
    <w:rsid w:val="00F26400"/>
    <w:rsid w:val="00F26F28"/>
    <w:rsid w:val="00F27FDD"/>
    <w:rsid w:val="00F30271"/>
    <w:rsid w:val="00F3027E"/>
    <w:rsid w:val="00F3069D"/>
    <w:rsid w:val="00F3088E"/>
    <w:rsid w:val="00F31DBA"/>
    <w:rsid w:val="00F34DED"/>
    <w:rsid w:val="00F35D26"/>
    <w:rsid w:val="00F36B11"/>
    <w:rsid w:val="00F37CC6"/>
    <w:rsid w:val="00F41476"/>
    <w:rsid w:val="00F418E5"/>
    <w:rsid w:val="00F419EB"/>
    <w:rsid w:val="00F42549"/>
    <w:rsid w:val="00F42A97"/>
    <w:rsid w:val="00F43745"/>
    <w:rsid w:val="00F44323"/>
    <w:rsid w:val="00F447FE"/>
    <w:rsid w:val="00F44ED5"/>
    <w:rsid w:val="00F451B0"/>
    <w:rsid w:val="00F452C7"/>
    <w:rsid w:val="00F45DCB"/>
    <w:rsid w:val="00F475F8"/>
    <w:rsid w:val="00F50E3A"/>
    <w:rsid w:val="00F51009"/>
    <w:rsid w:val="00F51504"/>
    <w:rsid w:val="00F520C4"/>
    <w:rsid w:val="00F53DAA"/>
    <w:rsid w:val="00F55636"/>
    <w:rsid w:val="00F558A9"/>
    <w:rsid w:val="00F55C32"/>
    <w:rsid w:val="00F56395"/>
    <w:rsid w:val="00F56697"/>
    <w:rsid w:val="00F56719"/>
    <w:rsid w:val="00F57F93"/>
    <w:rsid w:val="00F61376"/>
    <w:rsid w:val="00F63C96"/>
    <w:rsid w:val="00F65835"/>
    <w:rsid w:val="00F65E2B"/>
    <w:rsid w:val="00F65F5E"/>
    <w:rsid w:val="00F66840"/>
    <w:rsid w:val="00F66BB5"/>
    <w:rsid w:val="00F67E67"/>
    <w:rsid w:val="00F703A1"/>
    <w:rsid w:val="00F7046D"/>
    <w:rsid w:val="00F7063A"/>
    <w:rsid w:val="00F71180"/>
    <w:rsid w:val="00F71614"/>
    <w:rsid w:val="00F72A81"/>
    <w:rsid w:val="00F733F5"/>
    <w:rsid w:val="00F7354A"/>
    <w:rsid w:val="00F7441B"/>
    <w:rsid w:val="00F74CBB"/>
    <w:rsid w:val="00F76EBA"/>
    <w:rsid w:val="00F801DE"/>
    <w:rsid w:val="00F81244"/>
    <w:rsid w:val="00F82FEE"/>
    <w:rsid w:val="00F83124"/>
    <w:rsid w:val="00F8487D"/>
    <w:rsid w:val="00F855B3"/>
    <w:rsid w:val="00F85ACF"/>
    <w:rsid w:val="00F8627C"/>
    <w:rsid w:val="00F87AA7"/>
    <w:rsid w:val="00F87F42"/>
    <w:rsid w:val="00F90098"/>
    <w:rsid w:val="00F9142A"/>
    <w:rsid w:val="00F915DE"/>
    <w:rsid w:val="00F915E5"/>
    <w:rsid w:val="00F91885"/>
    <w:rsid w:val="00F92FE2"/>
    <w:rsid w:val="00F9305F"/>
    <w:rsid w:val="00F93281"/>
    <w:rsid w:val="00F96162"/>
    <w:rsid w:val="00F96979"/>
    <w:rsid w:val="00F96B06"/>
    <w:rsid w:val="00F97346"/>
    <w:rsid w:val="00FA1479"/>
    <w:rsid w:val="00FA19DF"/>
    <w:rsid w:val="00FA3244"/>
    <w:rsid w:val="00FA4508"/>
    <w:rsid w:val="00FA4510"/>
    <w:rsid w:val="00FA471E"/>
    <w:rsid w:val="00FA656E"/>
    <w:rsid w:val="00FA6CC2"/>
    <w:rsid w:val="00FA7063"/>
    <w:rsid w:val="00FA743C"/>
    <w:rsid w:val="00FA7BD5"/>
    <w:rsid w:val="00FB146E"/>
    <w:rsid w:val="00FB1564"/>
    <w:rsid w:val="00FB2958"/>
    <w:rsid w:val="00FB4678"/>
    <w:rsid w:val="00FB47CF"/>
    <w:rsid w:val="00FB4BD0"/>
    <w:rsid w:val="00FB6EAC"/>
    <w:rsid w:val="00FB7A57"/>
    <w:rsid w:val="00FC0228"/>
    <w:rsid w:val="00FC0F41"/>
    <w:rsid w:val="00FC228F"/>
    <w:rsid w:val="00FC2525"/>
    <w:rsid w:val="00FC4CCF"/>
    <w:rsid w:val="00FC5820"/>
    <w:rsid w:val="00FC6028"/>
    <w:rsid w:val="00FC678B"/>
    <w:rsid w:val="00FC6E55"/>
    <w:rsid w:val="00FC7761"/>
    <w:rsid w:val="00FD01A6"/>
    <w:rsid w:val="00FD03F9"/>
    <w:rsid w:val="00FD11DD"/>
    <w:rsid w:val="00FD144F"/>
    <w:rsid w:val="00FD1EAB"/>
    <w:rsid w:val="00FD2F5D"/>
    <w:rsid w:val="00FD532B"/>
    <w:rsid w:val="00FE05E1"/>
    <w:rsid w:val="00FE11FC"/>
    <w:rsid w:val="00FE1384"/>
    <w:rsid w:val="00FE13BE"/>
    <w:rsid w:val="00FE1E60"/>
    <w:rsid w:val="00FE38A0"/>
    <w:rsid w:val="00FE38BE"/>
    <w:rsid w:val="00FE4190"/>
    <w:rsid w:val="00FE4968"/>
    <w:rsid w:val="00FE498C"/>
    <w:rsid w:val="00FE62CB"/>
    <w:rsid w:val="00FE6B70"/>
    <w:rsid w:val="00FE6FE7"/>
    <w:rsid w:val="00FE7218"/>
    <w:rsid w:val="00FF09D7"/>
    <w:rsid w:val="00FF0B4E"/>
    <w:rsid w:val="00FF0DFD"/>
    <w:rsid w:val="00FF1BB7"/>
    <w:rsid w:val="00FF1FBF"/>
    <w:rsid w:val="00FF2BF6"/>
    <w:rsid w:val="00FF3414"/>
    <w:rsid w:val="00FF3ADA"/>
    <w:rsid w:val="00FF6562"/>
    <w:rsid w:val="00FF788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style="v-text-anchor:middle" fillcolor="#dce2ec" stroke="f">
      <v:fill color="#dce2ec"/>
      <v:stroke on="f"/>
      <v:shadow color="#969696"/>
      <o:colormru v:ext="edit" colors="#dce2ec,#b3c085,#97a9c7"/>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lsdException w:name="heading 6" w:semiHidden="0" w:unhideWhenUsed="0"/>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caption" w:uiPriority="99" w:qFormat="1"/>
    <w:lsdException w:name="table of figures" w:uiPriority="99"/>
    <w:lsdException w:name="annotation reference" w:uiPriority="99"/>
    <w:lsdException w:name="endnote text" w:uiPriority="99"/>
    <w:lsdException w:name="List Bullet" w:qFormat="1"/>
    <w:lsdException w:name="List Number" w:semiHidden="0" w:unhideWhenUsed="0"/>
    <w:lsdException w:name="List 4" w:semiHidden="0" w:unhideWhenUsed="0"/>
    <w:lsdException w:name="List 5" w:semiHidden="0" w:unhideWhenUsed="0"/>
    <w:lsdException w:name="List Bullet 2" w:qFormat="1"/>
    <w:lsdException w:name="List Bullet 3" w:qFormat="1"/>
    <w:lsdException w:name="Title" w:semiHidden="0" w:unhideWhenUsed="0"/>
    <w:lsdException w:name="Body Text" w:uiPriority="99" w:qFormat="1"/>
    <w:lsdException w:name="Body Text Indent" w:qFormat="1"/>
    <w:lsdException w:name="Subtitle" w:semiHidden="0" w:unhideWhenUsed="0" w:qFormat="1"/>
    <w:lsdException w:name="Salutation" w:semiHidden="0" w:uiPriority="9" w:unhideWhenUsed="0" w:qFormat="1"/>
    <w:lsdException w:name="Date" w:semiHidden="0" w:uiPriority="9" w:unhideWhenUsed="0" w:qFormat="1"/>
    <w:lsdException w:name="Body Text First Indent" w:semiHidden="0" w:unhideWhenUsed="0"/>
    <w:lsdException w:name="Body Text Indent 3" w:uiPriority="99"/>
    <w:lsdException w:name="Hyperlink"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6937"/>
    <w:pPr>
      <w:spacing w:line="260" w:lineRule="atLeast"/>
    </w:pPr>
    <w:rPr>
      <w:rFonts w:ascii="Univers 45 Light" w:hAnsi="Univers 45 Light"/>
      <w:lang w:eastAsia="en-US"/>
    </w:rPr>
  </w:style>
  <w:style w:type="paragraph" w:styleId="Heading1">
    <w:name w:val="heading 1"/>
    <w:basedOn w:val="BodyText"/>
    <w:next w:val="BodyText"/>
    <w:link w:val="Heading1Char"/>
    <w:qFormat/>
    <w:rsid w:val="002931F5"/>
    <w:pPr>
      <w:pageBreakBefore/>
      <w:spacing w:after="240" w:line="480" w:lineRule="exact"/>
      <w:outlineLvl w:val="0"/>
    </w:pPr>
    <w:rPr>
      <w:b/>
      <w:color w:val="1F497D" w:themeColor="text2"/>
      <w:sz w:val="32"/>
    </w:rPr>
  </w:style>
  <w:style w:type="paragraph" w:styleId="Heading2">
    <w:name w:val="heading 2"/>
    <w:basedOn w:val="Heading1"/>
    <w:next w:val="BodyText"/>
    <w:link w:val="Heading2Char"/>
    <w:qFormat/>
    <w:rsid w:val="002931F5"/>
    <w:pPr>
      <w:keepNext/>
      <w:pageBreakBefore w:val="0"/>
      <w:tabs>
        <w:tab w:val="left" w:pos="998"/>
      </w:tabs>
      <w:spacing w:before="360" w:after="120" w:line="240" w:lineRule="auto"/>
      <w:outlineLvl w:val="1"/>
    </w:pPr>
    <w:rPr>
      <w:bCs/>
      <w:sz w:val="28"/>
      <w:szCs w:val="24"/>
    </w:rPr>
  </w:style>
  <w:style w:type="paragraph" w:styleId="Heading3">
    <w:name w:val="heading 3"/>
    <w:basedOn w:val="BodyText"/>
    <w:next w:val="BodyText"/>
    <w:link w:val="Heading3Char"/>
    <w:qFormat/>
    <w:rsid w:val="002931F5"/>
    <w:pPr>
      <w:keepNext/>
      <w:keepLines/>
      <w:spacing w:before="200" w:line="240" w:lineRule="auto"/>
      <w:outlineLvl w:val="2"/>
    </w:pPr>
    <w:rPr>
      <w:b/>
      <w:bCs/>
      <w:color w:val="1F497D"/>
      <w:sz w:val="24"/>
    </w:rPr>
  </w:style>
  <w:style w:type="paragraph" w:styleId="Heading4">
    <w:name w:val="heading 4"/>
    <w:basedOn w:val="BodyText"/>
    <w:next w:val="BodyText"/>
    <w:link w:val="Heading4Char"/>
    <w:qFormat/>
    <w:rsid w:val="002931F5"/>
    <w:pPr>
      <w:keepNext/>
      <w:numPr>
        <w:numId w:val="76"/>
      </w:numPr>
      <w:ind w:hanging="720"/>
      <w:outlineLvl w:val="3"/>
    </w:pPr>
    <w:rPr>
      <w:i/>
      <w:iCs/>
      <w:color w:val="1F497D"/>
      <w:sz w:val="22"/>
    </w:rPr>
  </w:style>
  <w:style w:type="paragraph" w:styleId="Heading5">
    <w:name w:val="heading 5"/>
    <w:aliases w:val="h5"/>
    <w:basedOn w:val="Normal"/>
    <w:next w:val="Normal"/>
    <w:link w:val="Heading5Char"/>
    <w:rsid w:val="00514BF9"/>
    <w:pPr>
      <w:keepNext/>
      <w:spacing w:before="240" w:after="120"/>
      <w:outlineLvl w:val="4"/>
    </w:pPr>
    <w:rPr>
      <w:i/>
      <w:color w:val="1F497D" w:themeColor="text2"/>
      <w:sz w:val="22"/>
    </w:rPr>
  </w:style>
  <w:style w:type="paragraph" w:styleId="Heading6">
    <w:name w:val="heading 6"/>
    <w:basedOn w:val="Normal"/>
    <w:next w:val="Normal"/>
    <w:link w:val="Heading6Char"/>
    <w:rsid w:val="00514BF9"/>
    <w:pPr>
      <w:outlineLvl w:val="5"/>
    </w:pPr>
  </w:style>
  <w:style w:type="paragraph" w:styleId="Heading7">
    <w:name w:val="heading 7"/>
    <w:basedOn w:val="Normal"/>
    <w:next w:val="Normal"/>
    <w:link w:val="Heading7Char"/>
    <w:rsid w:val="00514BF9"/>
    <w:pPr>
      <w:keepNext/>
      <w:spacing w:before="120" w:after="120" w:line="240" w:lineRule="auto"/>
      <w:outlineLvl w:val="6"/>
    </w:pPr>
    <w:rPr>
      <w:b/>
      <w:i/>
      <w:color w:val="1F497D"/>
      <w:sz w:val="24"/>
    </w:rPr>
  </w:style>
  <w:style w:type="paragraph" w:styleId="Heading8">
    <w:name w:val="heading 8"/>
    <w:basedOn w:val="Normal"/>
    <w:next w:val="Normal"/>
    <w:link w:val="Heading8Char"/>
    <w:rsid w:val="00514BF9"/>
    <w:pPr>
      <w:outlineLvl w:val="7"/>
    </w:pPr>
  </w:style>
  <w:style w:type="paragraph" w:styleId="Heading9">
    <w:name w:val="heading 9"/>
    <w:basedOn w:val="Normal"/>
    <w:next w:val="Normal"/>
    <w:link w:val="Heading9Char"/>
    <w:rsid w:val="00514BF9"/>
    <w:pPr>
      <w:keepNext/>
      <w:outlineLvl w:val="8"/>
    </w:pPr>
    <w:rPr>
      <w:color w:val="00008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block,bt,Body text,body text,body,NoticeText-List,t1,taten_body,Cargo,Letter Body,Memo Body,Body,by,b-heading 1/heading 2,bd,heading1body-heading2body,BD,b14,body1,b-heading,Fax Body,Bod,bo,full cell text,Report Body,bullet,B"/>
    <w:basedOn w:val="Normal"/>
    <w:link w:val="BodyTextChar"/>
    <w:uiPriority w:val="99"/>
    <w:qFormat/>
    <w:rsid w:val="00DE2761"/>
    <w:pPr>
      <w:spacing w:before="120" w:after="120" w:line="280" w:lineRule="atLeast"/>
      <w:jc w:val="both"/>
    </w:pPr>
    <w:rPr>
      <w:szCs w:val="22"/>
    </w:rPr>
  </w:style>
  <w:style w:type="character" w:customStyle="1" w:styleId="BodyTextChar">
    <w:name w:val="Body Text Char"/>
    <w:aliases w:val="b Char,block Char,bt Char,Body text Char,body text Char,body Char,NoticeText-List Char,t1 Char,taten_body Char,Cargo Char,Letter Body Char,Memo Body Char,Body Char,by Char,b-heading 1/heading 2 Char,bd Char,heading1body-heading2body Char"/>
    <w:basedOn w:val="DefaultParagraphFont"/>
    <w:link w:val="BodyText"/>
    <w:uiPriority w:val="99"/>
    <w:rsid w:val="00DE2761"/>
    <w:rPr>
      <w:rFonts w:ascii="Univers 45 Light" w:hAnsi="Univers 45 Light"/>
      <w:szCs w:val="22"/>
      <w:lang w:eastAsia="en-US"/>
    </w:rPr>
  </w:style>
  <w:style w:type="character" w:customStyle="1" w:styleId="Heading1Char">
    <w:name w:val="Heading 1 Char"/>
    <w:basedOn w:val="DefaultParagraphFont"/>
    <w:link w:val="Heading1"/>
    <w:rsid w:val="002931F5"/>
    <w:rPr>
      <w:rFonts w:ascii="Univers 45 Light" w:hAnsi="Univers 45 Light"/>
      <w:b/>
      <w:color w:val="1F497D" w:themeColor="text2"/>
      <w:sz w:val="32"/>
      <w:szCs w:val="22"/>
      <w:lang w:eastAsia="en-US"/>
    </w:rPr>
  </w:style>
  <w:style w:type="character" w:customStyle="1" w:styleId="Heading2Char">
    <w:name w:val="Heading 2 Char"/>
    <w:basedOn w:val="DefaultParagraphFont"/>
    <w:link w:val="Heading2"/>
    <w:rsid w:val="002931F5"/>
    <w:rPr>
      <w:rFonts w:ascii="Univers 45 Light" w:hAnsi="Univers 45 Light"/>
      <w:b/>
      <w:bCs/>
      <w:color w:val="1F497D" w:themeColor="text2"/>
      <w:sz w:val="28"/>
      <w:szCs w:val="24"/>
      <w:lang w:eastAsia="en-US"/>
    </w:rPr>
  </w:style>
  <w:style w:type="character" w:customStyle="1" w:styleId="Heading3Char">
    <w:name w:val="Heading 3 Char"/>
    <w:basedOn w:val="DefaultParagraphFont"/>
    <w:link w:val="Heading3"/>
    <w:rsid w:val="002931F5"/>
    <w:rPr>
      <w:rFonts w:ascii="Univers 45 Light" w:hAnsi="Univers 45 Light"/>
      <w:b/>
      <w:bCs/>
      <w:color w:val="1F497D"/>
      <w:sz w:val="24"/>
      <w:szCs w:val="22"/>
      <w:lang w:eastAsia="en-US"/>
    </w:rPr>
  </w:style>
  <w:style w:type="character" w:customStyle="1" w:styleId="Heading4Char">
    <w:name w:val="Heading 4 Char"/>
    <w:basedOn w:val="DefaultParagraphFont"/>
    <w:link w:val="Heading4"/>
    <w:rsid w:val="002931F5"/>
    <w:rPr>
      <w:rFonts w:ascii="Univers 45 Light" w:hAnsi="Univers 45 Light"/>
      <w:i/>
      <w:iCs/>
      <w:color w:val="1F497D"/>
      <w:sz w:val="22"/>
      <w:szCs w:val="22"/>
      <w:lang w:eastAsia="en-US"/>
    </w:rPr>
  </w:style>
  <w:style w:type="character" w:customStyle="1" w:styleId="Heading5Char">
    <w:name w:val="Heading 5 Char"/>
    <w:aliases w:val="h5 Char"/>
    <w:basedOn w:val="DefaultParagraphFont"/>
    <w:link w:val="Heading5"/>
    <w:rsid w:val="00972AE9"/>
    <w:rPr>
      <w:rFonts w:ascii="Univers 45 Light" w:hAnsi="Univers 45 Light"/>
      <w:i/>
      <w:color w:val="1F497D" w:themeColor="text2"/>
      <w:sz w:val="22"/>
      <w:lang w:eastAsia="en-US"/>
    </w:rPr>
  </w:style>
  <w:style w:type="character" w:customStyle="1" w:styleId="Heading6Char">
    <w:name w:val="Heading 6 Char"/>
    <w:basedOn w:val="DefaultParagraphFont"/>
    <w:link w:val="Heading6"/>
    <w:rsid w:val="00F37CC6"/>
    <w:rPr>
      <w:rFonts w:ascii="Univers 45 Light" w:hAnsi="Univers 45 Light"/>
      <w:lang w:eastAsia="en-US"/>
    </w:rPr>
  </w:style>
  <w:style w:type="character" w:customStyle="1" w:styleId="Heading7Char">
    <w:name w:val="Heading 7 Char"/>
    <w:basedOn w:val="DefaultParagraphFont"/>
    <w:link w:val="Heading7"/>
    <w:rsid w:val="00B46C00"/>
    <w:rPr>
      <w:rFonts w:ascii="Univers 45 Light" w:hAnsi="Univers 45 Light"/>
      <w:b/>
      <w:i/>
      <w:color w:val="1F497D"/>
      <w:sz w:val="24"/>
      <w:lang w:eastAsia="en-US"/>
    </w:rPr>
  </w:style>
  <w:style w:type="character" w:customStyle="1" w:styleId="Heading8Char">
    <w:name w:val="Heading 8 Char"/>
    <w:basedOn w:val="DefaultParagraphFont"/>
    <w:link w:val="Heading8"/>
    <w:rsid w:val="00F37CC6"/>
    <w:rPr>
      <w:rFonts w:ascii="Univers 45 Light" w:hAnsi="Univers 45 Light"/>
      <w:lang w:eastAsia="en-US"/>
    </w:rPr>
  </w:style>
  <w:style w:type="character" w:customStyle="1" w:styleId="Heading9Char">
    <w:name w:val="Heading 9 Char"/>
    <w:basedOn w:val="DefaultParagraphFont"/>
    <w:link w:val="Heading9"/>
    <w:rsid w:val="00F37CC6"/>
    <w:rPr>
      <w:rFonts w:ascii="Univers 45 Light" w:hAnsi="Univers 45 Light"/>
      <w:color w:val="000080"/>
      <w:sz w:val="28"/>
      <w:lang w:eastAsia="en-US"/>
    </w:rPr>
  </w:style>
  <w:style w:type="paragraph" w:styleId="BodyTextIndent">
    <w:name w:val="Body Text Indent"/>
    <w:basedOn w:val="BodyText"/>
    <w:link w:val="BodyTextIndentChar"/>
    <w:qFormat/>
    <w:rsid w:val="007500A3"/>
    <w:pPr>
      <w:ind w:left="340"/>
    </w:pPr>
  </w:style>
  <w:style w:type="character" w:customStyle="1" w:styleId="BodyTextIndentChar">
    <w:name w:val="Body Text Indent Char"/>
    <w:basedOn w:val="DefaultParagraphFont"/>
    <w:link w:val="BodyTextIndent"/>
    <w:rsid w:val="00F37CC6"/>
    <w:rPr>
      <w:rFonts w:ascii="Calibri" w:hAnsi="Calibri"/>
      <w:sz w:val="21"/>
      <w:szCs w:val="22"/>
      <w:lang w:eastAsia="en-US"/>
    </w:rPr>
  </w:style>
  <w:style w:type="paragraph" w:styleId="Footer">
    <w:name w:val="footer"/>
    <w:basedOn w:val="Normal"/>
    <w:link w:val="FooterChar"/>
    <w:rsid w:val="007500A3"/>
    <w:pPr>
      <w:tabs>
        <w:tab w:val="right" w:pos="8505"/>
      </w:tabs>
    </w:pPr>
    <w:rPr>
      <w:sz w:val="18"/>
    </w:rPr>
  </w:style>
  <w:style w:type="character" w:customStyle="1" w:styleId="FooterChar">
    <w:name w:val="Footer Char"/>
    <w:basedOn w:val="DefaultParagraphFont"/>
    <w:link w:val="Footer"/>
    <w:rsid w:val="00F37CC6"/>
    <w:rPr>
      <w:rFonts w:ascii="Calibri" w:hAnsi="Calibri"/>
      <w:sz w:val="18"/>
      <w:lang w:eastAsia="en-US"/>
    </w:rPr>
  </w:style>
  <w:style w:type="paragraph" w:styleId="Header">
    <w:name w:val="header"/>
    <w:basedOn w:val="Normal"/>
    <w:link w:val="HeaderChar"/>
    <w:rsid w:val="007500A3"/>
    <w:pPr>
      <w:spacing w:line="220" w:lineRule="exact"/>
      <w:jc w:val="right"/>
    </w:pPr>
    <w:rPr>
      <w:i/>
      <w:sz w:val="18"/>
    </w:rPr>
  </w:style>
  <w:style w:type="character" w:customStyle="1" w:styleId="HeaderChar">
    <w:name w:val="Header Char"/>
    <w:basedOn w:val="DefaultParagraphFont"/>
    <w:link w:val="Header"/>
    <w:rsid w:val="00F37CC6"/>
    <w:rPr>
      <w:rFonts w:ascii="Calibri" w:hAnsi="Calibri"/>
      <w:i/>
      <w:sz w:val="18"/>
      <w:lang w:eastAsia="en-US"/>
    </w:rPr>
  </w:style>
  <w:style w:type="paragraph" w:styleId="ListBullet">
    <w:name w:val="List Bullet"/>
    <w:aliases w:val="l,list no space after,(NECG) List Bullet,*List Bullet,lb,l1,List Bullet 1,List Bullet Char2,List Bullet Char1 Char,List Bullet Char Char Char1,List Bullet Char Char1,List Bullet Char2 Char Char,List Bullet Char Char Char Char,l11,UL"/>
    <w:basedOn w:val="BodyText"/>
    <w:link w:val="ListBulletChar"/>
    <w:qFormat/>
    <w:rsid w:val="00D41CAA"/>
    <w:pPr>
      <w:numPr>
        <w:numId w:val="2"/>
      </w:numPr>
      <w:spacing w:before="0" w:after="130" w:line="260" w:lineRule="atLeast"/>
    </w:pPr>
    <w:rPr>
      <w:color w:val="000000"/>
    </w:rPr>
  </w:style>
  <w:style w:type="character" w:customStyle="1" w:styleId="ListBulletChar">
    <w:name w:val="List Bullet Char"/>
    <w:aliases w:val="l Char,list no space after Char,(NECG) List Bullet Char,*List Bullet Char,lb Char,l1 Char,List Bullet 1 Char,List Bullet Char2 Char,List Bullet Char1 Char Char,List Bullet Char Char Char1 Char,List Bullet Char Char1 Char,l11 Char"/>
    <w:basedOn w:val="DefaultParagraphFont"/>
    <w:link w:val="ListBullet"/>
    <w:rsid w:val="00D41CAA"/>
    <w:rPr>
      <w:rFonts w:ascii="Univers 45 Light" w:hAnsi="Univers 45 Light"/>
      <w:color w:val="000000"/>
      <w:szCs w:val="22"/>
      <w:lang w:eastAsia="en-US"/>
    </w:rPr>
  </w:style>
  <w:style w:type="paragraph" w:styleId="FootnoteText">
    <w:name w:val="footnote text"/>
    <w:basedOn w:val="Normal"/>
    <w:link w:val="FootnoteTextChar"/>
    <w:uiPriority w:val="99"/>
    <w:rsid w:val="007500A3"/>
    <w:rPr>
      <w:sz w:val="18"/>
    </w:rPr>
  </w:style>
  <w:style w:type="character" w:customStyle="1" w:styleId="FootnoteTextChar">
    <w:name w:val="Footnote Text Char"/>
    <w:basedOn w:val="DefaultParagraphFont"/>
    <w:link w:val="FootnoteText"/>
    <w:uiPriority w:val="99"/>
    <w:rsid w:val="00F37CC6"/>
    <w:rPr>
      <w:rFonts w:ascii="Calibri" w:hAnsi="Calibri"/>
      <w:sz w:val="18"/>
      <w:lang w:eastAsia="en-US"/>
    </w:rPr>
  </w:style>
  <w:style w:type="paragraph" w:customStyle="1" w:styleId="Graphic">
    <w:name w:val="Graphic"/>
    <w:basedOn w:val="Signature"/>
    <w:qFormat/>
    <w:rsid w:val="007500A3"/>
    <w:pPr>
      <w:pBdr>
        <w:top w:val="single" w:sz="4" w:space="1" w:color="auto"/>
        <w:left w:val="single" w:sz="4" w:space="1" w:color="auto"/>
        <w:bottom w:val="single" w:sz="4" w:space="1" w:color="auto"/>
        <w:right w:val="single" w:sz="4" w:space="1" w:color="auto"/>
      </w:pBdr>
      <w:jc w:val="center"/>
    </w:pPr>
  </w:style>
  <w:style w:type="paragraph" w:styleId="Signature">
    <w:name w:val="Signature"/>
    <w:basedOn w:val="Normal"/>
    <w:link w:val="SignatureChar"/>
    <w:rsid w:val="007500A3"/>
    <w:pPr>
      <w:spacing w:line="240" w:lineRule="auto"/>
    </w:pPr>
  </w:style>
  <w:style w:type="character" w:customStyle="1" w:styleId="SignatureChar">
    <w:name w:val="Signature Char"/>
    <w:basedOn w:val="DefaultParagraphFont"/>
    <w:link w:val="Signature"/>
    <w:rsid w:val="00F37CC6"/>
    <w:rPr>
      <w:rFonts w:ascii="Calibri" w:hAnsi="Calibri"/>
      <w:lang w:eastAsia="en-US"/>
    </w:rPr>
  </w:style>
  <w:style w:type="paragraph" w:styleId="ListBullet2">
    <w:name w:val="List Bullet 2"/>
    <w:basedOn w:val="BodyText"/>
    <w:qFormat/>
    <w:rsid w:val="00D41CAA"/>
    <w:pPr>
      <w:numPr>
        <w:numId w:val="3"/>
      </w:numPr>
      <w:spacing w:before="0" w:after="130" w:line="240" w:lineRule="auto"/>
    </w:pPr>
    <w:rPr>
      <w:color w:val="000000"/>
      <w:lang w:eastAsia="en-AU"/>
    </w:rPr>
  </w:style>
  <w:style w:type="paragraph" w:styleId="MacroText">
    <w:name w:val="macro"/>
    <w:link w:val="MacroTextChar"/>
    <w:semiHidden/>
    <w:rsid w:val="007500A3"/>
    <w:pPr>
      <w:tabs>
        <w:tab w:val="left" w:pos="480"/>
        <w:tab w:val="left" w:pos="960"/>
        <w:tab w:val="left" w:pos="1440"/>
        <w:tab w:val="left" w:pos="1920"/>
        <w:tab w:val="left" w:pos="2400"/>
        <w:tab w:val="left" w:pos="2880"/>
        <w:tab w:val="left" w:pos="3360"/>
        <w:tab w:val="left" w:pos="3840"/>
        <w:tab w:val="left" w:pos="4320"/>
      </w:tabs>
      <w:spacing w:line="260" w:lineRule="atLeast"/>
    </w:pPr>
    <w:rPr>
      <w:rFonts w:ascii="Courier New" w:hAnsi="Courier New" w:cs="Courier New"/>
      <w:sz w:val="18"/>
      <w:lang w:val="en-GB" w:eastAsia="en-US"/>
    </w:rPr>
  </w:style>
  <w:style w:type="character" w:customStyle="1" w:styleId="MacroTextChar">
    <w:name w:val="Macro Text Char"/>
    <w:basedOn w:val="DefaultParagraphFont"/>
    <w:link w:val="MacroText"/>
    <w:semiHidden/>
    <w:rsid w:val="00B651FA"/>
    <w:rPr>
      <w:rFonts w:ascii="Courier New" w:hAnsi="Courier New" w:cs="Courier New"/>
      <w:sz w:val="18"/>
      <w:lang w:val="en-GB" w:eastAsia="en-US"/>
    </w:rPr>
  </w:style>
  <w:style w:type="paragraph" w:styleId="Caption">
    <w:name w:val="caption"/>
    <w:basedOn w:val="Normal"/>
    <w:next w:val="Normal"/>
    <w:link w:val="CaptionChar"/>
    <w:uiPriority w:val="99"/>
    <w:qFormat/>
    <w:rsid w:val="00102B0B"/>
    <w:pPr>
      <w:keepNext/>
      <w:spacing w:before="120" w:after="120"/>
    </w:pPr>
    <w:rPr>
      <w:bCs/>
      <w:i/>
    </w:rPr>
  </w:style>
  <w:style w:type="character" w:customStyle="1" w:styleId="CaptionChar">
    <w:name w:val="Caption Char"/>
    <w:link w:val="Caption"/>
    <w:uiPriority w:val="99"/>
    <w:rsid w:val="00102B0B"/>
    <w:rPr>
      <w:rFonts w:ascii="Univers 45 Light" w:hAnsi="Univers 45 Light"/>
      <w:bCs/>
      <w:i/>
      <w:lang w:eastAsia="en-US"/>
    </w:rPr>
  </w:style>
  <w:style w:type="character" w:styleId="PageNumber">
    <w:name w:val="page number"/>
    <w:basedOn w:val="DefaultParagraphFont"/>
    <w:rsid w:val="007500A3"/>
    <w:rPr>
      <w:rFonts w:ascii="Univers 45 Light" w:hAnsi="Univers 45 Light"/>
      <w:color w:val="0C2D83"/>
      <w:sz w:val="20"/>
      <w:szCs w:val="20"/>
    </w:rPr>
  </w:style>
  <w:style w:type="paragraph" w:customStyle="1" w:styleId="HeadingLevel1NoNumber">
    <w:name w:val="HeadingLevel1NoNumber"/>
    <w:basedOn w:val="Heading1"/>
    <w:next w:val="BodyText"/>
    <w:rsid w:val="00982034"/>
  </w:style>
  <w:style w:type="paragraph" w:styleId="TOC3">
    <w:name w:val="toc 3"/>
    <w:basedOn w:val="Normal"/>
    <w:next w:val="Normal"/>
    <w:autoRedefine/>
    <w:uiPriority w:val="39"/>
    <w:qFormat/>
    <w:rsid w:val="00661B9F"/>
    <w:pPr>
      <w:tabs>
        <w:tab w:val="left" w:pos="1701"/>
        <w:tab w:val="right" w:pos="8495"/>
      </w:tabs>
      <w:ind w:left="1701" w:hanging="567"/>
    </w:pPr>
    <w:rPr>
      <w:noProof/>
      <w:color w:val="1F497D"/>
      <w:sz w:val="22"/>
      <w:szCs w:val="22"/>
    </w:rPr>
  </w:style>
  <w:style w:type="paragraph" w:customStyle="1" w:styleId="Frontpagesubhead">
    <w:name w:val="Front page subhead"/>
    <w:basedOn w:val="BodyText"/>
    <w:rsid w:val="007500A3"/>
    <w:pPr>
      <w:spacing w:after="0"/>
    </w:pPr>
    <w:rPr>
      <w:rFonts w:ascii="Univers 55" w:hAnsi="Univers 55"/>
      <w:color w:val="0C2D83"/>
      <w:sz w:val="24"/>
    </w:rPr>
  </w:style>
  <w:style w:type="paragraph" w:customStyle="1" w:styleId="Disclaimer">
    <w:name w:val="Disclaimer"/>
    <w:basedOn w:val="Normal"/>
    <w:qFormat/>
    <w:rsid w:val="007500A3"/>
    <w:pPr>
      <w:spacing w:line="180" w:lineRule="atLeast"/>
    </w:pPr>
    <w:rPr>
      <w:sz w:val="16"/>
      <w:szCs w:val="18"/>
    </w:rPr>
  </w:style>
  <w:style w:type="paragraph" w:customStyle="1" w:styleId="Contentsheading">
    <w:name w:val="Contents heading"/>
    <w:basedOn w:val="BodyText"/>
    <w:rsid w:val="00F36B11"/>
    <w:pPr>
      <w:spacing w:after="1247"/>
    </w:pPr>
    <w:rPr>
      <w:color w:val="1F497D"/>
      <w:sz w:val="50"/>
    </w:rPr>
  </w:style>
  <w:style w:type="paragraph" w:styleId="TOC1">
    <w:name w:val="toc 1"/>
    <w:basedOn w:val="BodyText"/>
    <w:next w:val="BodyText"/>
    <w:autoRedefine/>
    <w:uiPriority w:val="39"/>
    <w:qFormat/>
    <w:rsid w:val="00470EAC"/>
    <w:pPr>
      <w:tabs>
        <w:tab w:val="left" w:pos="426"/>
        <w:tab w:val="right" w:pos="8505"/>
      </w:tabs>
      <w:spacing w:line="240" w:lineRule="auto"/>
      <w:ind w:left="426" w:right="567" w:hanging="426"/>
      <w:jc w:val="left"/>
    </w:pPr>
    <w:rPr>
      <w:rFonts w:ascii="Univers 55" w:hAnsi="Univers 55"/>
      <w:noProof/>
      <w:color w:val="415299"/>
      <w:sz w:val="22"/>
      <w:szCs w:val="40"/>
    </w:rPr>
  </w:style>
  <w:style w:type="paragraph" w:styleId="TOC2">
    <w:name w:val="toc 2"/>
    <w:basedOn w:val="BodyText"/>
    <w:next w:val="BodyText"/>
    <w:autoRedefine/>
    <w:uiPriority w:val="39"/>
    <w:qFormat/>
    <w:rsid w:val="001A4468"/>
    <w:pPr>
      <w:tabs>
        <w:tab w:val="left" w:pos="1134"/>
        <w:tab w:val="right" w:pos="8505"/>
      </w:tabs>
      <w:spacing w:before="0" w:after="0" w:line="260" w:lineRule="atLeast"/>
      <w:ind w:left="1134" w:right="567" w:hanging="709"/>
    </w:pPr>
    <w:rPr>
      <w:noProof/>
      <w:color w:val="415299"/>
      <w:sz w:val="22"/>
      <w:szCs w:val="40"/>
    </w:rPr>
  </w:style>
  <w:style w:type="paragraph" w:styleId="TOC4">
    <w:name w:val="toc 4"/>
    <w:basedOn w:val="Normal"/>
    <w:next w:val="Normal"/>
    <w:autoRedefine/>
    <w:uiPriority w:val="39"/>
    <w:rsid w:val="00661B9F"/>
    <w:pPr>
      <w:tabs>
        <w:tab w:val="left" w:pos="2552"/>
        <w:tab w:val="right" w:pos="8495"/>
      </w:tabs>
      <w:ind w:left="2552" w:hanging="851"/>
    </w:pPr>
    <w:rPr>
      <w:noProof/>
      <w:color w:val="1F497D"/>
      <w:sz w:val="22"/>
      <w:szCs w:val="22"/>
    </w:rPr>
  </w:style>
  <w:style w:type="paragraph" w:styleId="TOC5">
    <w:name w:val="toc 5"/>
    <w:basedOn w:val="Normal"/>
    <w:next w:val="Normal"/>
    <w:autoRedefine/>
    <w:uiPriority w:val="39"/>
    <w:rsid w:val="007500A3"/>
    <w:pPr>
      <w:ind w:left="880"/>
    </w:pPr>
  </w:style>
  <w:style w:type="paragraph" w:styleId="TOC6">
    <w:name w:val="toc 6"/>
    <w:basedOn w:val="Normal"/>
    <w:next w:val="Normal"/>
    <w:autoRedefine/>
    <w:uiPriority w:val="39"/>
    <w:rsid w:val="007500A3"/>
    <w:pPr>
      <w:ind w:left="1100"/>
    </w:pPr>
  </w:style>
  <w:style w:type="paragraph" w:styleId="TOC7">
    <w:name w:val="toc 7"/>
    <w:basedOn w:val="Normal"/>
    <w:next w:val="Normal"/>
    <w:autoRedefine/>
    <w:uiPriority w:val="39"/>
    <w:rsid w:val="007500A3"/>
    <w:pPr>
      <w:ind w:left="1320"/>
    </w:pPr>
  </w:style>
  <w:style w:type="paragraph" w:styleId="TOC8">
    <w:name w:val="toc 8"/>
    <w:basedOn w:val="Normal"/>
    <w:next w:val="Normal"/>
    <w:autoRedefine/>
    <w:uiPriority w:val="39"/>
    <w:rsid w:val="007500A3"/>
    <w:pPr>
      <w:ind w:left="1540"/>
    </w:pPr>
  </w:style>
  <w:style w:type="paragraph" w:styleId="TOC9">
    <w:name w:val="toc 9"/>
    <w:basedOn w:val="Normal"/>
    <w:next w:val="Normal"/>
    <w:autoRedefine/>
    <w:uiPriority w:val="39"/>
    <w:rsid w:val="007500A3"/>
    <w:pPr>
      <w:ind w:left="1760"/>
    </w:pPr>
  </w:style>
  <w:style w:type="character" w:styleId="Hyperlink">
    <w:name w:val="Hyperlink"/>
    <w:basedOn w:val="DefaultParagraphFont"/>
    <w:uiPriority w:val="99"/>
    <w:rsid w:val="007500A3"/>
    <w:rPr>
      <w:color w:val="0000FF"/>
      <w:u w:val="single"/>
    </w:rPr>
  </w:style>
  <w:style w:type="character" w:customStyle="1" w:styleId="Bodyhighlight">
    <w:name w:val="Body highlight"/>
    <w:rsid w:val="007500A3"/>
    <w:rPr>
      <w:rFonts w:ascii="Univers 55" w:hAnsi="Univers 55"/>
      <w:b/>
      <w:color w:val="000000"/>
      <w:sz w:val="17"/>
    </w:rPr>
  </w:style>
  <w:style w:type="paragraph" w:styleId="Quote">
    <w:name w:val="Quote"/>
    <w:basedOn w:val="BodyText"/>
    <w:link w:val="QuoteChar"/>
    <w:qFormat/>
    <w:rsid w:val="00D857D6"/>
    <w:pPr>
      <w:ind w:left="357"/>
    </w:pPr>
    <w:rPr>
      <w:i/>
      <w:kern w:val="20"/>
    </w:rPr>
  </w:style>
  <w:style w:type="character" w:customStyle="1" w:styleId="QuoteChar">
    <w:name w:val="Quote Char"/>
    <w:basedOn w:val="DefaultParagraphFont"/>
    <w:link w:val="Quote"/>
    <w:rsid w:val="0053138F"/>
    <w:rPr>
      <w:rFonts w:ascii="Univers 45 Light" w:hAnsi="Univers 45 Light"/>
      <w:i/>
      <w:kern w:val="20"/>
      <w:szCs w:val="22"/>
      <w:lang w:eastAsia="en-US"/>
    </w:rPr>
  </w:style>
  <w:style w:type="paragraph" w:customStyle="1" w:styleId="Frontpagehead">
    <w:name w:val="Front page head"/>
    <w:rsid w:val="004826B6"/>
    <w:pPr>
      <w:spacing w:line="480" w:lineRule="atLeast"/>
    </w:pPr>
    <w:rPr>
      <w:rFonts w:ascii="Univers 55" w:hAnsi="Univers 55"/>
      <w:color w:val="FFFFFF" w:themeColor="background1"/>
      <w:sz w:val="44"/>
      <w:lang w:eastAsia="en-US"/>
    </w:rPr>
  </w:style>
  <w:style w:type="paragraph" w:customStyle="1" w:styleId="Tabletext">
    <w:name w:val="Table text"/>
    <w:basedOn w:val="Normal"/>
    <w:link w:val="TabletextChar"/>
    <w:rsid w:val="003E3359"/>
    <w:pPr>
      <w:spacing w:before="60" w:line="240" w:lineRule="auto"/>
      <w:jc w:val="both"/>
    </w:pPr>
    <w:rPr>
      <w:sz w:val="18"/>
    </w:rPr>
  </w:style>
  <w:style w:type="character" w:customStyle="1" w:styleId="TabletextChar">
    <w:name w:val="Table text Char"/>
    <w:basedOn w:val="DefaultParagraphFont"/>
    <w:link w:val="Tabletext"/>
    <w:rsid w:val="003E3359"/>
    <w:rPr>
      <w:rFonts w:ascii="Univers 45 Light" w:hAnsi="Univers 45 Light"/>
      <w:sz w:val="18"/>
      <w:lang w:eastAsia="en-US"/>
    </w:rPr>
  </w:style>
  <w:style w:type="paragraph" w:customStyle="1" w:styleId="Guidancenote">
    <w:name w:val="Guidance note"/>
    <w:basedOn w:val="BodyText"/>
    <w:link w:val="GuidancenoteChar"/>
    <w:uiPriority w:val="6"/>
    <w:qFormat/>
    <w:rsid w:val="007500A3"/>
    <w:pPr>
      <w:spacing w:after="0" w:line="260" w:lineRule="atLeast"/>
    </w:pPr>
    <w:rPr>
      <w:color w:val="FF0000"/>
      <w:szCs w:val="20"/>
    </w:rPr>
  </w:style>
  <w:style w:type="character" w:customStyle="1" w:styleId="GuidancenoteChar">
    <w:name w:val="Guidance note Char"/>
    <w:basedOn w:val="DefaultParagraphFont"/>
    <w:link w:val="Guidancenote"/>
    <w:uiPriority w:val="6"/>
    <w:rsid w:val="00F37CC6"/>
    <w:rPr>
      <w:rFonts w:ascii="Calibri" w:hAnsi="Calibri"/>
      <w:color w:val="FF0000"/>
      <w:sz w:val="21"/>
      <w:lang w:eastAsia="en-US"/>
    </w:rPr>
  </w:style>
  <w:style w:type="paragraph" w:customStyle="1" w:styleId="Tablebullets">
    <w:name w:val="Table bullets"/>
    <w:basedOn w:val="Tabletext"/>
    <w:rsid w:val="00037EC0"/>
    <w:pPr>
      <w:numPr>
        <w:numId w:val="6"/>
      </w:numPr>
      <w:spacing w:line="280" w:lineRule="atLeast"/>
    </w:pPr>
  </w:style>
  <w:style w:type="paragraph" w:customStyle="1" w:styleId="Chartsource">
    <w:name w:val="Chart source"/>
    <w:basedOn w:val="BodyText"/>
    <w:uiPriority w:val="4"/>
    <w:qFormat/>
    <w:rsid w:val="007500A3"/>
    <w:pPr>
      <w:tabs>
        <w:tab w:val="left" w:pos="3600"/>
      </w:tabs>
      <w:spacing w:after="180" w:line="240" w:lineRule="auto"/>
    </w:pPr>
    <w:rPr>
      <w:rFonts w:ascii="Univers 55" w:hAnsi="Univers 55"/>
      <w:i/>
      <w:color w:val="000000"/>
      <w:sz w:val="16"/>
      <w:szCs w:val="16"/>
      <w:lang w:val="en-US"/>
    </w:rPr>
  </w:style>
  <w:style w:type="paragraph" w:customStyle="1" w:styleId="Charttitle">
    <w:name w:val="Chart title"/>
    <w:basedOn w:val="BodyText"/>
    <w:uiPriority w:val="4"/>
    <w:qFormat/>
    <w:rsid w:val="007500A3"/>
    <w:pPr>
      <w:keepNext/>
      <w:tabs>
        <w:tab w:val="left" w:pos="3600"/>
      </w:tabs>
      <w:spacing w:line="360" w:lineRule="auto"/>
    </w:pPr>
    <w:rPr>
      <w:rFonts w:ascii="Univers 55" w:hAnsi="Univers 55"/>
      <w:i/>
      <w:color w:val="0C2D83"/>
      <w:lang w:val="en-US"/>
    </w:rPr>
  </w:style>
  <w:style w:type="paragraph" w:customStyle="1" w:styleId="PreTOCExecSummHeading">
    <w:name w:val="Pre TOC Exec Summ Heading"/>
    <w:basedOn w:val="PreTOCHeading"/>
    <w:next w:val="BodyText"/>
    <w:rsid w:val="00133EA1"/>
    <w:pPr>
      <w:pageBreakBefore w:val="0"/>
      <w:spacing w:line="260" w:lineRule="atLeast"/>
    </w:pPr>
    <w:rPr>
      <w:lang w:val="en-US"/>
    </w:rPr>
  </w:style>
  <w:style w:type="paragraph" w:customStyle="1" w:styleId="PreTOCHeading">
    <w:name w:val="Pre TOC Heading"/>
    <w:basedOn w:val="BodyText"/>
    <w:next w:val="BodyText"/>
    <w:rsid w:val="009102C2"/>
    <w:pPr>
      <w:pageBreakBefore/>
      <w:spacing w:after="240" w:line="480" w:lineRule="exact"/>
    </w:pPr>
    <w:rPr>
      <w:noProof/>
      <w:color w:val="0C2D83"/>
      <w:sz w:val="50"/>
      <w:szCs w:val="50"/>
    </w:rPr>
  </w:style>
  <w:style w:type="paragraph" w:customStyle="1" w:styleId="Pulloutquote2">
    <w:name w:val="Pullout quote 2"/>
    <w:basedOn w:val="Normal"/>
    <w:rsid w:val="00727A49"/>
    <w:rPr>
      <w:color w:val="68820B"/>
    </w:rPr>
  </w:style>
  <w:style w:type="paragraph" w:customStyle="1" w:styleId="Quotetitle">
    <w:name w:val="Quote title"/>
    <w:basedOn w:val="Normal"/>
    <w:rsid w:val="00727A49"/>
    <w:pPr>
      <w:spacing w:before="40" w:after="80" w:line="240" w:lineRule="auto"/>
    </w:pPr>
    <w:rPr>
      <w:noProof/>
      <w:color w:val="68820B"/>
      <w:lang w:val="en-US"/>
    </w:rPr>
  </w:style>
  <w:style w:type="paragraph" w:customStyle="1" w:styleId="Resumehead">
    <w:name w:val="Resume head"/>
    <w:basedOn w:val="Normal"/>
    <w:rsid w:val="007500A3"/>
    <w:pPr>
      <w:tabs>
        <w:tab w:val="left" w:pos="3600"/>
      </w:tabs>
      <w:spacing w:before="360" w:line="360" w:lineRule="auto"/>
    </w:pPr>
    <w:rPr>
      <w:rFonts w:ascii="Univers 55" w:hAnsi="Univers 55"/>
      <w:i/>
      <w:sz w:val="17"/>
      <w:lang w:val="en-US"/>
    </w:rPr>
  </w:style>
  <w:style w:type="paragraph" w:customStyle="1" w:styleId="Resumedetails">
    <w:name w:val="Resume details"/>
    <w:basedOn w:val="Normal"/>
    <w:next w:val="BodyText"/>
    <w:link w:val="ResumedetailsChar"/>
    <w:rsid w:val="004C0FE5"/>
    <w:pPr>
      <w:tabs>
        <w:tab w:val="left" w:pos="3600"/>
      </w:tabs>
      <w:spacing w:line="240" w:lineRule="auto"/>
    </w:pPr>
    <w:rPr>
      <w:rFonts w:ascii="Univers 55" w:hAnsi="Univers 55"/>
      <w:bCs/>
      <w:color w:val="333333"/>
      <w:sz w:val="16"/>
      <w:lang w:val="en-US"/>
    </w:rPr>
  </w:style>
  <w:style w:type="character" w:customStyle="1" w:styleId="ResumedetailsChar">
    <w:name w:val="Resume details Char"/>
    <w:basedOn w:val="DefaultParagraphFont"/>
    <w:link w:val="Resumedetails"/>
    <w:rsid w:val="00F37CC6"/>
    <w:rPr>
      <w:rFonts w:ascii="Univers 55" w:hAnsi="Univers 55"/>
      <w:bCs/>
      <w:color w:val="333333"/>
      <w:sz w:val="16"/>
      <w:lang w:val="en-US" w:eastAsia="en-US"/>
    </w:rPr>
  </w:style>
  <w:style w:type="paragraph" w:customStyle="1" w:styleId="TableHeading">
    <w:name w:val="Table Heading"/>
    <w:basedOn w:val="Normal"/>
    <w:link w:val="TableHeadingChar"/>
    <w:qFormat/>
    <w:rsid w:val="000E4CFA"/>
    <w:pPr>
      <w:spacing w:line="280" w:lineRule="atLeast"/>
    </w:pPr>
    <w:rPr>
      <w:color w:val="FFFFFF"/>
      <w:sz w:val="21"/>
    </w:rPr>
  </w:style>
  <w:style w:type="character" w:customStyle="1" w:styleId="TableHeadingChar">
    <w:name w:val="Table Heading Char"/>
    <w:basedOn w:val="DefaultParagraphFont"/>
    <w:link w:val="TableHeading"/>
    <w:rsid w:val="00F37CC6"/>
    <w:rPr>
      <w:rFonts w:ascii="Univers 45 Light" w:hAnsi="Univers 45 Light"/>
      <w:color w:val="FFFFFF"/>
      <w:sz w:val="21"/>
      <w:lang w:eastAsia="en-US"/>
    </w:rPr>
  </w:style>
  <w:style w:type="paragraph" w:customStyle="1" w:styleId="zNormal">
    <w:name w:val="zNormal"/>
    <w:rsid w:val="007500A3"/>
    <w:rPr>
      <w:sz w:val="22"/>
      <w:lang w:eastAsia="en-US"/>
    </w:rPr>
  </w:style>
  <w:style w:type="paragraph" w:styleId="PlainText">
    <w:name w:val="Plain Text"/>
    <w:basedOn w:val="Normal"/>
    <w:link w:val="PlainTextChar"/>
    <w:uiPriority w:val="99"/>
    <w:rsid w:val="007500A3"/>
    <w:rPr>
      <w:rFonts w:cs="Courier New"/>
    </w:rPr>
  </w:style>
  <w:style w:type="character" w:customStyle="1" w:styleId="PlainTextChar">
    <w:name w:val="Plain Text Char"/>
    <w:basedOn w:val="DefaultParagraphFont"/>
    <w:link w:val="PlainText"/>
    <w:uiPriority w:val="99"/>
    <w:rsid w:val="00B651FA"/>
    <w:rPr>
      <w:rFonts w:ascii="Univers 45 Light" w:hAnsi="Univers 45 Light" w:cs="Courier New"/>
      <w:lang w:eastAsia="en-US"/>
    </w:rPr>
  </w:style>
  <w:style w:type="paragraph" w:customStyle="1" w:styleId="FrontPageServiceheading">
    <w:name w:val="Front Page Service heading"/>
    <w:basedOn w:val="Frontpagehead"/>
    <w:rsid w:val="007500A3"/>
    <w:pPr>
      <w:spacing w:after="60" w:line="200" w:lineRule="atLeast"/>
    </w:pPr>
    <w:rPr>
      <w:caps/>
      <w:sz w:val="16"/>
    </w:rPr>
  </w:style>
  <w:style w:type="paragraph" w:customStyle="1" w:styleId="FrontpageATAdescriptor">
    <w:name w:val="Front page A/T/A descriptor"/>
    <w:basedOn w:val="Frontpagesubhead"/>
    <w:rsid w:val="007500A3"/>
    <w:pPr>
      <w:framePr w:hSpace="181" w:vSpace="181" w:wrap="around" w:vAnchor="text" w:hAnchor="text" w:y="1"/>
      <w:spacing w:line="160" w:lineRule="atLeast"/>
    </w:pPr>
    <w:rPr>
      <w:caps/>
      <w:sz w:val="16"/>
    </w:rPr>
  </w:style>
  <w:style w:type="paragraph" w:customStyle="1" w:styleId="Introductoryparagraph">
    <w:name w:val="Introductory paragraph"/>
    <w:basedOn w:val="BodyText"/>
    <w:next w:val="BodyText"/>
    <w:rsid w:val="00727A49"/>
    <w:pPr>
      <w:spacing w:before="0"/>
    </w:pPr>
    <w:rPr>
      <w:rFonts w:ascii="Univers 55" w:hAnsi="Univers 55"/>
      <w:color w:val="68820B"/>
      <w:sz w:val="23"/>
      <w:szCs w:val="18"/>
    </w:rPr>
  </w:style>
  <w:style w:type="paragraph" w:customStyle="1" w:styleId="Callout1">
    <w:name w:val="Callout1"/>
    <w:basedOn w:val="Heading3"/>
    <w:rsid w:val="007500A3"/>
    <w:pPr>
      <w:keepLines w:val="0"/>
      <w:spacing w:before="0" w:line="380" w:lineRule="exact"/>
    </w:pPr>
    <w:rPr>
      <w:rFonts w:ascii="Univers 55 Oblique" w:eastAsia="Times" w:hAnsi="Univers 55 Oblique"/>
      <w:bCs w:val="0"/>
      <w:i/>
      <w:color w:val="808EC8"/>
      <w:szCs w:val="24"/>
      <w:lang w:val="en-US" w:eastAsia="zh-CN"/>
    </w:rPr>
  </w:style>
  <w:style w:type="paragraph" w:customStyle="1" w:styleId="Curriculavitae">
    <w:name w:val="Curricula vitae"/>
    <w:basedOn w:val="BodyText"/>
    <w:next w:val="BodyText"/>
    <w:rsid w:val="007500A3"/>
    <w:pPr>
      <w:keepNext/>
      <w:spacing w:line="280" w:lineRule="exact"/>
    </w:pPr>
    <w:rPr>
      <w:rFonts w:eastAsia="Osaka"/>
      <w:b/>
      <w:color w:val="0C2D83"/>
      <w:szCs w:val="20"/>
      <w:lang w:eastAsia="zh-CN"/>
    </w:rPr>
  </w:style>
  <w:style w:type="paragraph" w:styleId="BlockText">
    <w:name w:val="Block Text"/>
    <w:basedOn w:val="Normal"/>
    <w:rsid w:val="007500A3"/>
    <w:pPr>
      <w:spacing w:after="120"/>
      <w:ind w:left="1440" w:right="1440"/>
    </w:pPr>
  </w:style>
  <w:style w:type="paragraph" w:styleId="List">
    <w:name w:val="List"/>
    <w:basedOn w:val="Normal"/>
    <w:rsid w:val="007500A3"/>
    <w:pPr>
      <w:ind w:left="283" w:hanging="283"/>
    </w:pPr>
  </w:style>
  <w:style w:type="paragraph" w:styleId="List2">
    <w:name w:val="List 2"/>
    <w:basedOn w:val="Normal"/>
    <w:rsid w:val="007500A3"/>
    <w:pPr>
      <w:ind w:left="566" w:hanging="283"/>
    </w:pPr>
  </w:style>
  <w:style w:type="paragraph" w:customStyle="1" w:styleId="Tableheading2">
    <w:name w:val="Table heading 2"/>
    <w:basedOn w:val="Normal"/>
    <w:rsid w:val="00006BCC"/>
    <w:pPr>
      <w:shd w:val="clear" w:color="auto" w:fill="FFFFFF"/>
      <w:spacing w:before="40" w:after="40" w:line="280" w:lineRule="atLeast"/>
    </w:pPr>
    <w:rPr>
      <w:rFonts w:eastAsia="Osaka"/>
      <w:noProof/>
      <w:color w:val="00338D"/>
      <w:sz w:val="21"/>
      <w:lang w:val="en-GB" w:eastAsia="zh-CN"/>
    </w:rPr>
  </w:style>
  <w:style w:type="table" w:styleId="TableGrid">
    <w:name w:val="Table Grid"/>
    <w:basedOn w:val="TableNormal"/>
    <w:uiPriority w:val="39"/>
    <w:rsid w:val="007500A3"/>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ISOffAddress">
    <w:name w:val="zKISOffAddress"/>
    <w:basedOn w:val="Normal"/>
    <w:rsid w:val="007500A3"/>
    <w:pPr>
      <w:framePr w:hSpace="215" w:wrap="around" w:vAnchor="page" w:hAnchor="page" w:x="4282" w:y="1294"/>
      <w:spacing w:line="190" w:lineRule="exact"/>
    </w:pPr>
    <w:rPr>
      <w:sz w:val="15"/>
    </w:rPr>
  </w:style>
  <w:style w:type="paragraph" w:customStyle="1" w:styleId="zKISDescFooter">
    <w:name w:val="zKISDescFooter"/>
    <w:basedOn w:val="Normal"/>
    <w:rsid w:val="007500A3"/>
    <w:pPr>
      <w:framePr w:hSpace="284" w:wrap="around" w:vAnchor="page" w:hAnchor="page" w:x="4282" w:y="15905"/>
      <w:spacing w:line="130" w:lineRule="exact"/>
    </w:pPr>
    <w:rPr>
      <w:sz w:val="11"/>
    </w:rPr>
  </w:style>
  <w:style w:type="paragraph" w:customStyle="1" w:styleId="zKISDescFooter2">
    <w:name w:val="zKISDescFooter2"/>
    <w:basedOn w:val="Normal"/>
    <w:rsid w:val="00296376"/>
    <w:pPr>
      <w:framePr w:wrap="around" w:vAnchor="page" w:hAnchor="page" w:x="7854" w:y="15140"/>
      <w:spacing w:line="130" w:lineRule="exact"/>
    </w:pPr>
    <w:rPr>
      <w:sz w:val="11"/>
    </w:rPr>
  </w:style>
  <w:style w:type="paragraph" w:customStyle="1" w:styleId="Diagramtitle">
    <w:name w:val="Diagram title"/>
    <w:basedOn w:val="Normal"/>
    <w:rsid w:val="007500A3"/>
    <w:pPr>
      <w:spacing w:line="240" w:lineRule="auto"/>
    </w:pPr>
    <w:rPr>
      <w:sz w:val="18"/>
    </w:rPr>
  </w:style>
  <w:style w:type="paragraph" w:customStyle="1" w:styleId="Numbering">
    <w:name w:val="Numbering"/>
    <w:basedOn w:val="BodyText"/>
    <w:autoRedefine/>
    <w:rsid w:val="00AF54ED"/>
    <w:pPr>
      <w:numPr>
        <w:numId w:val="4"/>
      </w:numPr>
    </w:pPr>
  </w:style>
  <w:style w:type="paragraph" w:customStyle="1" w:styleId="Pulloutquote">
    <w:name w:val="Pullout quote"/>
    <w:basedOn w:val="Normal"/>
    <w:rsid w:val="00727A49"/>
    <w:pPr>
      <w:spacing w:before="240" w:after="240" w:line="360" w:lineRule="auto"/>
    </w:pPr>
    <w:rPr>
      <w:rFonts w:ascii="Univers 55" w:hAnsi="Univers 55"/>
      <w:color w:val="68820B"/>
      <w:sz w:val="28"/>
    </w:rPr>
  </w:style>
  <w:style w:type="paragraph" w:customStyle="1" w:styleId="BodyText0">
    <w:name w:val="BodyText"/>
    <w:basedOn w:val="Normal"/>
    <w:link w:val="BodyTextChar0"/>
    <w:rsid w:val="00465FF1"/>
    <w:pPr>
      <w:spacing w:after="130" w:line="240" w:lineRule="auto"/>
    </w:pPr>
    <w:rPr>
      <w:sz w:val="22"/>
    </w:rPr>
  </w:style>
  <w:style w:type="character" w:customStyle="1" w:styleId="BodyTextChar0">
    <w:name w:val="BodyText Char"/>
    <w:basedOn w:val="DefaultParagraphFont"/>
    <w:link w:val="BodyText0"/>
    <w:rsid w:val="00F37CC6"/>
    <w:rPr>
      <w:rFonts w:ascii="Calibri" w:hAnsi="Calibri"/>
      <w:sz w:val="22"/>
      <w:lang w:eastAsia="en-US"/>
    </w:rPr>
  </w:style>
  <w:style w:type="paragraph" w:customStyle="1" w:styleId="TableBullets2">
    <w:name w:val="Table Bullets 2"/>
    <w:basedOn w:val="Tablebullets"/>
    <w:rsid w:val="006100C7"/>
    <w:pPr>
      <w:numPr>
        <w:numId w:val="5"/>
      </w:numPr>
      <w:tabs>
        <w:tab w:val="clear" w:pos="692"/>
      </w:tabs>
      <w:spacing w:line="240" w:lineRule="auto"/>
      <w:ind w:left="714" w:hanging="357"/>
    </w:pPr>
    <w:rPr>
      <w:lang w:eastAsia="ko-KR"/>
    </w:rPr>
  </w:style>
  <w:style w:type="character" w:customStyle="1" w:styleId="CharChar">
    <w:name w:val="Char Char"/>
    <w:basedOn w:val="DefaultParagraphFont"/>
    <w:rsid w:val="00FE7218"/>
    <w:rPr>
      <w:szCs w:val="22"/>
      <w:lang w:val="en-AU" w:eastAsia="en-US" w:bidi="ar-SA"/>
    </w:rPr>
  </w:style>
  <w:style w:type="paragraph" w:customStyle="1" w:styleId="BodyText1">
    <w:name w:val="_Body Text"/>
    <w:basedOn w:val="Normal"/>
    <w:qFormat/>
    <w:rsid w:val="00BA4192"/>
    <w:pPr>
      <w:spacing w:after="280" w:line="288" w:lineRule="atLeast"/>
    </w:pPr>
    <w:rPr>
      <w:rFonts w:ascii="Arial" w:eastAsiaTheme="minorHAnsi" w:hAnsi="Arial" w:cstheme="minorBidi"/>
      <w:color w:val="000000" w:themeColor="text1"/>
      <w:sz w:val="24"/>
      <w:szCs w:val="22"/>
      <w:lang w:val="en-GB"/>
    </w:rPr>
  </w:style>
  <w:style w:type="paragraph" w:customStyle="1" w:styleId="DocumentTitle">
    <w:name w:val="_Document Title"/>
    <w:basedOn w:val="Normal"/>
    <w:rsid w:val="00BA4192"/>
    <w:pPr>
      <w:spacing w:after="300" w:line="648" w:lineRule="atLeast"/>
    </w:pPr>
    <w:rPr>
      <w:rFonts w:ascii="Arial" w:eastAsiaTheme="minorHAnsi" w:hAnsi="Arial" w:cstheme="minorBidi"/>
      <w:b/>
      <w:color w:val="FFFFFF" w:themeColor="background1"/>
      <w:sz w:val="60"/>
      <w:szCs w:val="22"/>
      <w:lang w:val="en-GB"/>
    </w:rPr>
  </w:style>
  <w:style w:type="paragraph" w:customStyle="1" w:styleId="ReportDate">
    <w:name w:val="_Report Date"/>
    <w:basedOn w:val="Normal"/>
    <w:qFormat/>
    <w:rsid w:val="00BA4192"/>
    <w:pPr>
      <w:spacing w:line="288" w:lineRule="atLeast"/>
    </w:pPr>
    <w:rPr>
      <w:rFonts w:ascii="Arial" w:eastAsiaTheme="minorHAnsi" w:hAnsi="Arial" w:cstheme="minorBidi"/>
      <w:color w:val="FFFFFF" w:themeColor="background1"/>
      <w:sz w:val="24"/>
      <w:szCs w:val="22"/>
      <w:lang w:val="en-GB"/>
    </w:rPr>
  </w:style>
  <w:style w:type="paragraph" w:customStyle="1" w:styleId="AdditionalInfo">
    <w:name w:val="_Additional Info"/>
    <w:basedOn w:val="BodyText1"/>
    <w:rsid w:val="00BA4192"/>
    <w:rPr>
      <w:color w:val="FFFFFF" w:themeColor="background1"/>
    </w:rPr>
  </w:style>
  <w:style w:type="paragraph" w:styleId="BodyText2">
    <w:name w:val="Body Text 2"/>
    <w:basedOn w:val="Normal"/>
    <w:link w:val="BodyText2Char"/>
    <w:rsid w:val="00BA4192"/>
    <w:pPr>
      <w:spacing w:after="120" w:line="480" w:lineRule="auto"/>
    </w:pPr>
    <w:rPr>
      <w:rFonts w:ascii="Times New Roman" w:hAnsi="Times New Roman"/>
      <w:sz w:val="22"/>
    </w:rPr>
  </w:style>
  <w:style w:type="character" w:customStyle="1" w:styleId="BodyText2Char">
    <w:name w:val="Body Text 2 Char"/>
    <w:basedOn w:val="DefaultParagraphFont"/>
    <w:link w:val="BodyText2"/>
    <w:rsid w:val="00BA4192"/>
    <w:rPr>
      <w:sz w:val="22"/>
      <w:lang w:eastAsia="en-US"/>
    </w:rPr>
  </w:style>
  <w:style w:type="character" w:styleId="CommentReference">
    <w:name w:val="annotation reference"/>
    <w:basedOn w:val="DefaultParagraphFont"/>
    <w:uiPriority w:val="99"/>
    <w:rsid w:val="00BA4192"/>
    <w:rPr>
      <w:sz w:val="16"/>
      <w:szCs w:val="16"/>
    </w:rPr>
  </w:style>
  <w:style w:type="paragraph" w:styleId="CommentText">
    <w:name w:val="annotation text"/>
    <w:basedOn w:val="Normal"/>
    <w:link w:val="CommentTextChar"/>
    <w:rsid w:val="00BA4192"/>
  </w:style>
  <w:style w:type="character" w:customStyle="1" w:styleId="CommentTextChar">
    <w:name w:val="Comment Text Char"/>
    <w:basedOn w:val="DefaultParagraphFont"/>
    <w:link w:val="CommentText"/>
    <w:rsid w:val="00BA4192"/>
    <w:rPr>
      <w:rFonts w:ascii="Calibri" w:hAnsi="Calibri"/>
      <w:lang w:eastAsia="en-US"/>
    </w:rPr>
  </w:style>
  <w:style w:type="paragraph" w:styleId="CommentSubject">
    <w:name w:val="annotation subject"/>
    <w:basedOn w:val="CommentText"/>
    <w:next w:val="CommentText"/>
    <w:link w:val="CommentSubjectChar"/>
    <w:rsid w:val="00BA4192"/>
    <w:rPr>
      <w:b/>
      <w:bCs/>
    </w:rPr>
  </w:style>
  <w:style w:type="character" w:customStyle="1" w:styleId="CommentSubjectChar">
    <w:name w:val="Comment Subject Char"/>
    <w:basedOn w:val="CommentTextChar"/>
    <w:link w:val="CommentSubject"/>
    <w:rsid w:val="00BA4192"/>
    <w:rPr>
      <w:rFonts w:ascii="Calibri" w:hAnsi="Calibri"/>
      <w:b/>
      <w:bCs/>
      <w:lang w:eastAsia="en-US"/>
    </w:rPr>
  </w:style>
  <w:style w:type="paragraph" w:styleId="BalloonText">
    <w:name w:val="Balloon Text"/>
    <w:basedOn w:val="Normal"/>
    <w:link w:val="BalloonTextChar"/>
    <w:rsid w:val="00BA4192"/>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BA4192"/>
    <w:rPr>
      <w:rFonts w:ascii="Tahoma" w:hAnsi="Tahoma" w:cs="Tahoma"/>
      <w:sz w:val="16"/>
      <w:szCs w:val="16"/>
      <w:lang w:eastAsia="en-US"/>
    </w:rPr>
  </w:style>
  <w:style w:type="character" w:customStyle="1" w:styleId="BodyTextBold">
    <w:name w:val="Body Text Bold"/>
    <w:qFormat/>
    <w:rsid w:val="00F37CC6"/>
    <w:rPr>
      <w:rFonts w:ascii="Arial" w:hAnsi="Arial"/>
      <w:b/>
      <w:color w:val="auto"/>
      <w:sz w:val="20"/>
      <w:lang w:val="en-AU"/>
    </w:rPr>
  </w:style>
  <w:style w:type="paragraph" w:customStyle="1" w:styleId="AppendixTitle">
    <w:name w:val="Appendix Title"/>
    <w:basedOn w:val="Heading1"/>
    <w:next w:val="BodyText"/>
    <w:uiPriority w:val="2"/>
    <w:qFormat/>
    <w:rsid w:val="00F37CC6"/>
    <w:pPr>
      <w:keepNext/>
      <w:keepLines/>
      <w:pageBreakBefore w:val="0"/>
      <w:spacing w:before="480" w:after="960" w:line="640" w:lineRule="exact"/>
      <w:jc w:val="right"/>
    </w:pPr>
    <w:rPr>
      <w:rFonts w:ascii="Calibri" w:eastAsia="Batang" w:hAnsi="Calibri"/>
      <w:color w:val="FFFFFF"/>
      <w:sz w:val="24"/>
      <w:lang w:eastAsia="ko-KR"/>
    </w:rPr>
  </w:style>
  <w:style w:type="paragraph" w:styleId="Date">
    <w:name w:val="Date"/>
    <w:next w:val="BodyText"/>
    <w:link w:val="DateChar"/>
    <w:uiPriority w:val="9"/>
    <w:qFormat/>
    <w:rsid w:val="00F37CC6"/>
    <w:pPr>
      <w:spacing w:before="240" w:after="240" w:line="240" w:lineRule="exact"/>
    </w:pPr>
    <w:rPr>
      <w:rFonts w:ascii="Arial" w:hAnsi="Arial"/>
      <w:lang w:eastAsia="en-US"/>
    </w:rPr>
  </w:style>
  <w:style w:type="character" w:customStyle="1" w:styleId="DateChar">
    <w:name w:val="Date Char"/>
    <w:basedOn w:val="DefaultParagraphFont"/>
    <w:link w:val="Date"/>
    <w:uiPriority w:val="9"/>
    <w:rsid w:val="00F37CC6"/>
    <w:rPr>
      <w:rFonts w:ascii="Arial" w:hAnsi="Arial"/>
      <w:lang w:eastAsia="en-US"/>
    </w:rPr>
  </w:style>
  <w:style w:type="paragraph" w:customStyle="1" w:styleId="Frontpage3">
    <w:name w:val="Front page 3"/>
    <w:basedOn w:val="FrontPage2"/>
    <w:uiPriority w:val="8"/>
    <w:qFormat/>
    <w:rsid w:val="00F37CC6"/>
    <w:pPr>
      <w:spacing w:line="280" w:lineRule="exact"/>
    </w:pPr>
    <w:rPr>
      <w:rFonts w:ascii="Arial" w:hAnsi="Arial"/>
      <w:b w:val="0"/>
      <w:sz w:val="24"/>
    </w:rPr>
  </w:style>
  <w:style w:type="paragraph" w:customStyle="1" w:styleId="FrontPage2">
    <w:name w:val="Front Page 2"/>
    <w:basedOn w:val="Frontpage1"/>
    <w:next w:val="Frontpage3"/>
    <w:uiPriority w:val="8"/>
    <w:qFormat/>
    <w:rsid w:val="00F37CC6"/>
    <w:pPr>
      <w:keepNext/>
      <w:spacing w:after="240" w:line="360" w:lineRule="exact"/>
    </w:pPr>
    <w:rPr>
      <w:rFonts w:ascii="Arial Bold" w:hAnsi="Arial Bold"/>
      <w:sz w:val="36"/>
    </w:rPr>
  </w:style>
  <w:style w:type="paragraph" w:customStyle="1" w:styleId="Frontpage1">
    <w:name w:val="Front page 1"/>
    <w:next w:val="FrontPage2"/>
    <w:uiPriority w:val="8"/>
    <w:rsid w:val="00F37CC6"/>
    <w:pPr>
      <w:spacing w:after="120" w:line="640" w:lineRule="exact"/>
    </w:pPr>
    <w:rPr>
      <w:rFonts w:ascii="Arial" w:hAnsi="Arial"/>
      <w:b/>
      <w:color w:val="FFFFFF"/>
      <w:sz w:val="60"/>
      <w:lang w:eastAsia="en-US"/>
    </w:rPr>
  </w:style>
  <w:style w:type="paragraph" w:customStyle="1" w:styleId="PulloutQuote0">
    <w:name w:val="Pullout Quote"/>
    <w:uiPriority w:val="6"/>
    <w:qFormat/>
    <w:rsid w:val="00F37CC6"/>
    <w:pPr>
      <w:framePr w:hSpace="181" w:vSpace="181" w:wrap="around" w:vAnchor="text" w:hAnchor="text" w:y="1"/>
      <w:spacing w:line="280" w:lineRule="exact"/>
    </w:pPr>
    <w:rPr>
      <w:rFonts w:ascii="Arial" w:hAnsi="Arial"/>
      <w:b/>
      <w:i/>
      <w:color w:val="00338D"/>
      <w:szCs w:val="22"/>
      <w:lang w:eastAsia="en-US"/>
    </w:rPr>
  </w:style>
  <w:style w:type="paragraph" w:customStyle="1" w:styleId="Subtitle1">
    <w:name w:val="Subtitle1"/>
    <w:basedOn w:val="BodyText"/>
    <w:next w:val="BodyText"/>
    <w:uiPriority w:val="2"/>
    <w:qFormat/>
    <w:rsid w:val="00F37CC6"/>
    <w:pPr>
      <w:keepNext/>
      <w:spacing w:before="240" w:after="130" w:line="280" w:lineRule="exact"/>
    </w:pPr>
    <w:rPr>
      <w:rFonts w:eastAsia="Batang"/>
      <w:b/>
      <w:color w:val="00338D"/>
      <w:sz w:val="24"/>
      <w:szCs w:val="20"/>
      <w:lang w:eastAsia="ko-KR"/>
    </w:rPr>
  </w:style>
  <w:style w:type="paragraph" w:customStyle="1" w:styleId="Subtitle2">
    <w:name w:val="Subtitle2"/>
    <w:basedOn w:val="BodyText"/>
    <w:next w:val="BodyText"/>
    <w:link w:val="Subtitle2Char"/>
    <w:uiPriority w:val="2"/>
    <w:qFormat/>
    <w:rsid w:val="00F37CC6"/>
    <w:pPr>
      <w:keepNext/>
      <w:spacing w:after="0" w:line="260" w:lineRule="atLeast"/>
    </w:pPr>
    <w:rPr>
      <w:rFonts w:eastAsia="Batang"/>
      <w:b/>
      <w:color w:val="00338D"/>
      <w:szCs w:val="20"/>
      <w:lang w:eastAsia="ko-KR"/>
    </w:rPr>
  </w:style>
  <w:style w:type="character" w:customStyle="1" w:styleId="Subtitle2Char">
    <w:name w:val="Subtitle2 Char"/>
    <w:basedOn w:val="BodyTextChar"/>
    <w:link w:val="Subtitle2"/>
    <w:uiPriority w:val="2"/>
    <w:rsid w:val="00F37CC6"/>
    <w:rPr>
      <w:rFonts w:ascii="Calibri" w:eastAsia="Batang" w:hAnsi="Calibri"/>
      <w:b/>
      <w:color w:val="00338D"/>
      <w:szCs w:val="22"/>
      <w:lang w:eastAsia="ko-KR"/>
    </w:rPr>
  </w:style>
  <w:style w:type="paragraph" w:customStyle="1" w:styleId="Subtitle3">
    <w:name w:val="Subtitle3"/>
    <w:basedOn w:val="BodyText"/>
    <w:next w:val="BodyText"/>
    <w:uiPriority w:val="2"/>
    <w:qFormat/>
    <w:rsid w:val="00F37CC6"/>
    <w:pPr>
      <w:keepNext/>
      <w:spacing w:after="0" w:line="260" w:lineRule="atLeast"/>
    </w:pPr>
    <w:rPr>
      <w:rFonts w:eastAsia="Batang"/>
      <w:b/>
      <w:iCs/>
      <w:szCs w:val="20"/>
      <w:lang w:eastAsia="ko-KR"/>
    </w:rPr>
  </w:style>
  <w:style w:type="paragraph" w:customStyle="1" w:styleId="NumberedBullets">
    <w:name w:val="Numbered Bullets"/>
    <w:next w:val="BodyText"/>
    <w:uiPriority w:val="3"/>
    <w:qFormat/>
    <w:rsid w:val="00F37CC6"/>
    <w:pPr>
      <w:keepLines/>
      <w:numPr>
        <w:numId w:val="1"/>
      </w:numPr>
      <w:tabs>
        <w:tab w:val="left" w:pos="227"/>
      </w:tabs>
      <w:spacing w:after="120" w:line="240" w:lineRule="exact"/>
    </w:pPr>
    <w:rPr>
      <w:rFonts w:ascii="Arial" w:hAnsi="Arial"/>
      <w:lang w:eastAsia="en-US"/>
    </w:rPr>
  </w:style>
  <w:style w:type="paragraph" w:customStyle="1" w:styleId="TableText0">
    <w:name w:val="Table Text"/>
    <w:basedOn w:val="Normal"/>
    <w:rsid w:val="003E3359"/>
    <w:pPr>
      <w:tabs>
        <w:tab w:val="left" w:pos="187"/>
      </w:tabs>
      <w:spacing w:before="60" w:line="240" w:lineRule="auto"/>
    </w:pPr>
    <w:rPr>
      <w:rFonts w:eastAsia="Calibri"/>
      <w:sz w:val="18"/>
      <w:szCs w:val="22"/>
      <w:lang w:val="en-CA"/>
    </w:rPr>
  </w:style>
  <w:style w:type="paragraph" w:customStyle="1" w:styleId="IntroductoryParagraph0">
    <w:name w:val="Introductory Paragraph"/>
    <w:uiPriority w:val="1"/>
    <w:qFormat/>
    <w:rsid w:val="00F37CC6"/>
    <w:pPr>
      <w:keepNext/>
      <w:keepLines/>
      <w:spacing w:after="240" w:line="320" w:lineRule="exact"/>
    </w:pPr>
    <w:rPr>
      <w:rFonts w:ascii="Arial" w:hAnsi="Arial"/>
      <w:color w:val="00338D"/>
      <w:sz w:val="28"/>
      <w:szCs w:val="18"/>
      <w:lang w:eastAsia="en-US"/>
    </w:rPr>
  </w:style>
  <w:style w:type="character" w:customStyle="1" w:styleId="WhiteTableText">
    <w:name w:val="White Table Text"/>
    <w:basedOn w:val="DefaultParagraphFont"/>
    <w:uiPriority w:val="7"/>
    <w:rsid w:val="00F37CC6"/>
    <w:rPr>
      <w:rFonts w:ascii="Arial" w:hAnsi="Arial"/>
      <w:color w:val="FFFFFF"/>
      <w:sz w:val="20"/>
    </w:rPr>
  </w:style>
  <w:style w:type="paragraph" w:customStyle="1" w:styleId="NumberedTableBullets">
    <w:name w:val="Numbered Table Bullets"/>
    <w:basedOn w:val="TableText0"/>
    <w:uiPriority w:val="7"/>
    <w:rsid w:val="00F37CC6"/>
    <w:pPr>
      <w:numPr>
        <w:numId w:val="7"/>
      </w:numPr>
      <w:tabs>
        <w:tab w:val="clear" w:pos="187"/>
        <w:tab w:val="clear" w:pos="360"/>
        <w:tab w:val="left" w:pos="227"/>
      </w:tabs>
      <w:spacing w:line="288" w:lineRule="atLeast"/>
      <w:ind w:left="227" w:hanging="227"/>
    </w:pPr>
  </w:style>
  <w:style w:type="paragraph" w:customStyle="1" w:styleId="Frontpage4">
    <w:name w:val="Front page 4"/>
    <w:uiPriority w:val="8"/>
    <w:qFormat/>
    <w:rsid w:val="00F37CC6"/>
    <w:pPr>
      <w:spacing w:line="240" w:lineRule="exact"/>
    </w:pPr>
    <w:rPr>
      <w:rFonts w:ascii="Arial" w:hAnsi="Arial"/>
      <w:b/>
      <w:color w:val="FFFFFF"/>
      <w:szCs w:val="18"/>
      <w:lang w:eastAsia="en-US"/>
    </w:rPr>
  </w:style>
  <w:style w:type="paragraph" w:styleId="Salutation">
    <w:name w:val="Salutation"/>
    <w:next w:val="BodyText"/>
    <w:link w:val="SalutationChar"/>
    <w:uiPriority w:val="9"/>
    <w:qFormat/>
    <w:rsid w:val="00F37CC6"/>
    <w:pPr>
      <w:spacing w:after="720"/>
    </w:pPr>
    <w:rPr>
      <w:rFonts w:ascii="Arial" w:hAnsi="Arial"/>
      <w:lang w:eastAsia="en-US"/>
    </w:rPr>
  </w:style>
  <w:style w:type="character" w:customStyle="1" w:styleId="SalutationChar">
    <w:name w:val="Salutation Char"/>
    <w:basedOn w:val="DefaultParagraphFont"/>
    <w:link w:val="Salutation"/>
    <w:uiPriority w:val="9"/>
    <w:rsid w:val="00F37CC6"/>
    <w:rPr>
      <w:rFonts w:ascii="Arial" w:hAnsi="Arial"/>
      <w:lang w:eastAsia="en-US"/>
    </w:rPr>
  </w:style>
  <w:style w:type="character" w:customStyle="1" w:styleId="BodyTextItalic">
    <w:name w:val="Body Text Italic"/>
    <w:basedOn w:val="BodyTextChar"/>
    <w:qFormat/>
    <w:rsid w:val="00F37CC6"/>
    <w:rPr>
      <w:rFonts w:ascii="Calibri" w:eastAsia="Batang" w:hAnsi="Calibri"/>
      <w:i/>
      <w:szCs w:val="22"/>
      <w:lang w:eastAsia="ko-KR"/>
    </w:rPr>
  </w:style>
  <w:style w:type="paragraph" w:customStyle="1" w:styleId="BodyTextSingle">
    <w:name w:val="Body Text Single"/>
    <w:basedOn w:val="BodyText"/>
    <w:qFormat/>
    <w:rsid w:val="00F37CC6"/>
    <w:pPr>
      <w:spacing w:before="130" w:after="0" w:line="260" w:lineRule="atLeast"/>
    </w:pPr>
    <w:rPr>
      <w:rFonts w:eastAsia="Batang"/>
      <w:szCs w:val="20"/>
      <w:lang w:eastAsia="ko-KR"/>
    </w:rPr>
  </w:style>
  <w:style w:type="paragraph" w:customStyle="1" w:styleId="Appendixheading">
    <w:name w:val="Appendix heading"/>
    <w:next w:val="BodyText0"/>
    <w:uiPriority w:val="2"/>
    <w:qFormat/>
    <w:rsid w:val="00E40226"/>
    <w:pPr>
      <w:keepNext/>
      <w:keepLines/>
      <w:pageBreakBefore/>
      <w:numPr>
        <w:numId w:val="8"/>
      </w:numPr>
      <w:spacing w:before="240" w:after="120" w:line="640" w:lineRule="exact"/>
    </w:pPr>
    <w:rPr>
      <w:rFonts w:ascii="Univers 45 Light" w:hAnsi="Univers 45 Light"/>
      <w:b/>
      <w:color w:val="00338D"/>
      <w:sz w:val="32"/>
      <w:szCs w:val="18"/>
      <w:lang w:eastAsia="en-US"/>
    </w:rPr>
  </w:style>
  <w:style w:type="character" w:customStyle="1" w:styleId="KPMGPrimaryBlue">
    <w:name w:val="KPMG Primary Blue"/>
    <w:uiPriority w:val="11"/>
    <w:qFormat/>
    <w:rsid w:val="00F37CC6"/>
    <w:rPr>
      <w:color w:val="00338D"/>
    </w:rPr>
  </w:style>
  <w:style w:type="character" w:customStyle="1" w:styleId="KPMGPrimaryBlueBOLD">
    <w:name w:val="KPMG Primary Blue BOLD"/>
    <w:basedOn w:val="KPMGPrimaryBlue"/>
    <w:uiPriority w:val="11"/>
    <w:rsid w:val="00F37CC6"/>
    <w:rPr>
      <w:b/>
      <w:color w:val="00338D"/>
    </w:rPr>
  </w:style>
  <w:style w:type="character" w:customStyle="1" w:styleId="KPMGDarkGreen">
    <w:name w:val="KPMG Dark Green"/>
    <w:uiPriority w:val="13"/>
    <w:rsid w:val="00F37CC6"/>
    <w:rPr>
      <w:color w:val="00505C"/>
    </w:rPr>
  </w:style>
  <w:style w:type="character" w:customStyle="1" w:styleId="KPMGDarkGreenBOLD">
    <w:name w:val="KPMG Dark Green BOLD"/>
    <w:uiPriority w:val="13"/>
    <w:rsid w:val="00F37CC6"/>
    <w:rPr>
      <w:b/>
      <w:color w:val="00505C"/>
    </w:rPr>
  </w:style>
  <w:style w:type="character" w:customStyle="1" w:styleId="KPMGTan">
    <w:name w:val="KPMG Tan"/>
    <w:uiPriority w:val="13"/>
    <w:rsid w:val="00F37CC6"/>
    <w:rPr>
      <w:color w:val="A79E70"/>
    </w:rPr>
  </w:style>
  <w:style w:type="character" w:customStyle="1" w:styleId="KPMGTanBOLD">
    <w:name w:val="KPMG Tan BOLD"/>
    <w:uiPriority w:val="13"/>
    <w:rsid w:val="00F37CC6"/>
    <w:rPr>
      <w:b/>
      <w:color w:val="A79E70"/>
    </w:rPr>
  </w:style>
  <w:style w:type="character" w:customStyle="1" w:styleId="KPMGBrightYellow">
    <w:name w:val="KPMG Bright Yellow"/>
    <w:uiPriority w:val="13"/>
    <w:rsid w:val="00F37CC6"/>
    <w:rPr>
      <w:color w:val="EBB700"/>
    </w:rPr>
  </w:style>
  <w:style w:type="character" w:customStyle="1" w:styleId="KPMGBrightGreen">
    <w:name w:val="KPMG Bright Green"/>
    <w:uiPriority w:val="13"/>
    <w:rsid w:val="00F37CC6"/>
    <w:rPr>
      <w:color w:val="7AB800"/>
    </w:rPr>
  </w:style>
  <w:style w:type="character" w:customStyle="1" w:styleId="KPMGBrightGreenBOLD">
    <w:name w:val="KPMG Bright Green BOLD"/>
    <w:uiPriority w:val="13"/>
    <w:rsid w:val="00F37CC6"/>
    <w:rPr>
      <w:b/>
      <w:color w:val="7AB800"/>
    </w:rPr>
  </w:style>
  <w:style w:type="character" w:customStyle="1" w:styleId="KPMGBrightYellowBOLD">
    <w:name w:val="KPMG Bright Yellow BOLD"/>
    <w:uiPriority w:val="13"/>
    <w:rsid w:val="00F37CC6"/>
    <w:rPr>
      <w:b/>
      <w:color w:val="EBB700"/>
    </w:rPr>
  </w:style>
  <w:style w:type="character" w:customStyle="1" w:styleId="KPMGDeepPurple">
    <w:name w:val="KPMG Deep Purple"/>
    <w:uiPriority w:val="13"/>
    <w:rsid w:val="00F37CC6"/>
    <w:rPr>
      <w:color w:val="8E258D"/>
    </w:rPr>
  </w:style>
  <w:style w:type="character" w:customStyle="1" w:styleId="KPMGDeepPurpleBOLD">
    <w:name w:val="KPMG Deep Purple BOLD"/>
    <w:uiPriority w:val="13"/>
    <w:rsid w:val="00F37CC6"/>
    <w:rPr>
      <w:b/>
      <w:bCs/>
      <w:color w:val="8E258D"/>
    </w:rPr>
  </w:style>
  <w:style w:type="character" w:customStyle="1" w:styleId="KPMGOrange">
    <w:name w:val="KPMG Orange"/>
    <w:uiPriority w:val="13"/>
    <w:rsid w:val="00F37CC6"/>
    <w:rPr>
      <w:color w:val="C84E00"/>
    </w:rPr>
  </w:style>
  <w:style w:type="character" w:customStyle="1" w:styleId="KPMGOrangeBOLD">
    <w:name w:val="KPMG Orange BOLD"/>
    <w:uiPriority w:val="13"/>
    <w:rsid w:val="00F37CC6"/>
    <w:rPr>
      <w:b/>
      <w:color w:val="C84E00"/>
    </w:rPr>
  </w:style>
  <w:style w:type="character" w:customStyle="1" w:styleId="KPMGPowderBlue">
    <w:name w:val="KPMG Powder Blue"/>
    <w:uiPriority w:val="13"/>
    <w:rsid w:val="00F37CC6"/>
    <w:rPr>
      <w:color w:val="98C6EA"/>
    </w:rPr>
  </w:style>
  <w:style w:type="character" w:customStyle="1" w:styleId="KPMGPowderBlueBOLD">
    <w:name w:val="KPMG Powder Blue BOLD"/>
    <w:uiPriority w:val="13"/>
    <w:rsid w:val="00F37CC6"/>
    <w:rPr>
      <w:b/>
      <w:color w:val="98C6EA"/>
    </w:rPr>
  </w:style>
  <w:style w:type="character" w:customStyle="1" w:styleId="KPMGRed">
    <w:name w:val="KPMG Red"/>
    <w:uiPriority w:val="13"/>
    <w:rsid w:val="00F37CC6"/>
    <w:rPr>
      <w:color w:val="9E3039"/>
    </w:rPr>
  </w:style>
  <w:style w:type="character" w:customStyle="1" w:styleId="KPMGRedBOLD">
    <w:name w:val="KPMG Red BOLD"/>
    <w:uiPriority w:val="13"/>
    <w:rsid w:val="00F37CC6"/>
    <w:rPr>
      <w:b/>
      <w:color w:val="9E3039"/>
    </w:rPr>
  </w:style>
  <w:style w:type="character" w:customStyle="1" w:styleId="KPMGSlate">
    <w:name w:val="KPMG Slate"/>
    <w:uiPriority w:val="13"/>
    <w:rsid w:val="00F37CC6"/>
    <w:rPr>
      <w:color w:val="4176AB"/>
    </w:rPr>
  </w:style>
  <w:style w:type="character" w:customStyle="1" w:styleId="KPMGSlateBOLD">
    <w:name w:val="KPMG Slate BOLD"/>
    <w:uiPriority w:val="13"/>
    <w:rsid w:val="00F37CC6"/>
    <w:rPr>
      <w:b/>
      <w:bCs/>
      <w:color w:val="4176AB"/>
    </w:rPr>
  </w:style>
  <w:style w:type="character" w:customStyle="1" w:styleId="KPMGTurquoise">
    <w:name w:val="KPMG Turquoise"/>
    <w:uiPriority w:val="13"/>
    <w:rsid w:val="00F37CC6"/>
    <w:rPr>
      <w:color w:val="007C92"/>
    </w:rPr>
  </w:style>
  <w:style w:type="character" w:customStyle="1" w:styleId="KPMGTurquoiseBOLD">
    <w:name w:val="KPMG Turquoise BOLD"/>
    <w:uiPriority w:val="13"/>
    <w:rsid w:val="00F37CC6"/>
    <w:rPr>
      <w:b/>
      <w:bCs/>
      <w:color w:val="007C92"/>
    </w:rPr>
  </w:style>
  <w:style w:type="character" w:customStyle="1" w:styleId="KPMGDarkRed">
    <w:name w:val="KPMG Dark Red"/>
    <w:uiPriority w:val="13"/>
    <w:rsid w:val="00F37CC6"/>
    <w:rPr>
      <w:color w:val="673327"/>
    </w:rPr>
  </w:style>
  <w:style w:type="character" w:customStyle="1" w:styleId="KPMGDarkRedBOLD">
    <w:name w:val="KPMG Dark Red BOLD"/>
    <w:uiPriority w:val="13"/>
    <w:rsid w:val="00F37CC6"/>
    <w:rPr>
      <w:b/>
      <w:color w:val="673327"/>
    </w:rPr>
  </w:style>
  <w:style w:type="character" w:customStyle="1" w:styleId="KPMGCoral">
    <w:name w:val="KPMG Coral"/>
    <w:uiPriority w:val="13"/>
    <w:rsid w:val="00F37CC6"/>
    <w:rPr>
      <w:color w:val="B26F7E"/>
    </w:rPr>
  </w:style>
  <w:style w:type="character" w:customStyle="1" w:styleId="KPMGCoralBOLD">
    <w:name w:val="KPMG Coral BOLD"/>
    <w:basedOn w:val="DefaultParagraphFont"/>
    <w:uiPriority w:val="13"/>
    <w:rsid w:val="00F37CC6"/>
    <w:rPr>
      <w:b/>
      <w:color w:val="B26F7E"/>
    </w:rPr>
  </w:style>
  <w:style w:type="character" w:customStyle="1" w:styleId="KPMGGreen">
    <w:name w:val="KPMG Green"/>
    <w:uiPriority w:val="13"/>
    <w:rsid w:val="00F37CC6"/>
    <w:rPr>
      <w:color w:val="6A7F10"/>
    </w:rPr>
  </w:style>
  <w:style w:type="character" w:customStyle="1" w:styleId="KPMGGreenBOLD">
    <w:name w:val="KPMG Green BOLD"/>
    <w:uiPriority w:val="13"/>
    <w:rsid w:val="00F37CC6"/>
    <w:rPr>
      <w:b/>
      <w:color w:val="6A7F10"/>
    </w:rPr>
  </w:style>
  <w:style w:type="character" w:customStyle="1" w:styleId="KPMGViolet">
    <w:name w:val="KPMG Violet"/>
    <w:uiPriority w:val="13"/>
    <w:rsid w:val="00F37CC6"/>
    <w:rPr>
      <w:color w:val="B390BB"/>
    </w:rPr>
  </w:style>
  <w:style w:type="character" w:customStyle="1" w:styleId="KPMGVioletBOLD">
    <w:name w:val="KPMG Violet BOLD"/>
    <w:uiPriority w:val="13"/>
    <w:rsid w:val="00F37CC6"/>
    <w:rPr>
      <w:b/>
      <w:color w:val="B390BB"/>
    </w:rPr>
  </w:style>
  <w:style w:type="character" w:customStyle="1" w:styleId="KPMGGray">
    <w:name w:val="KPMG Gray"/>
    <w:uiPriority w:val="13"/>
    <w:rsid w:val="00F37CC6"/>
    <w:rPr>
      <w:color w:val="747678"/>
    </w:rPr>
  </w:style>
  <w:style w:type="character" w:customStyle="1" w:styleId="KPMGGrayBOLD">
    <w:name w:val="KPMG Gray BOLD"/>
    <w:uiPriority w:val="13"/>
    <w:rsid w:val="00F37CC6"/>
    <w:rPr>
      <w:b/>
      <w:color w:val="747678"/>
    </w:rPr>
  </w:style>
  <w:style w:type="character" w:customStyle="1" w:styleId="KPMGSage">
    <w:name w:val="KPMG Sage"/>
    <w:uiPriority w:val="13"/>
    <w:rsid w:val="00F37CC6"/>
    <w:rPr>
      <w:color w:val="AABAA5"/>
    </w:rPr>
  </w:style>
  <w:style w:type="character" w:customStyle="1" w:styleId="KPMGSageBOLD">
    <w:name w:val="KPMG Sage BOLD"/>
    <w:uiPriority w:val="13"/>
    <w:rsid w:val="00F37CC6"/>
    <w:rPr>
      <w:b/>
      <w:color w:val="AABAA5"/>
    </w:rPr>
  </w:style>
  <w:style w:type="character" w:customStyle="1" w:styleId="KPMGLavender">
    <w:name w:val="KPMG Lavender"/>
    <w:uiPriority w:val="13"/>
    <w:rsid w:val="00F37CC6"/>
    <w:rPr>
      <w:color w:val="7981C3"/>
    </w:rPr>
  </w:style>
  <w:style w:type="character" w:customStyle="1" w:styleId="KPMGLavenderBOLD">
    <w:name w:val="KPMG Lavender BOLD"/>
    <w:uiPriority w:val="13"/>
    <w:rsid w:val="00F37CC6"/>
    <w:rPr>
      <w:b/>
      <w:color w:val="7981C3"/>
    </w:rPr>
  </w:style>
  <w:style w:type="character" w:customStyle="1" w:styleId="KPMGWhite">
    <w:name w:val="KPMG White"/>
    <w:uiPriority w:val="11"/>
    <w:rsid w:val="00F37CC6"/>
    <w:rPr>
      <w:color w:val="FFFFFF"/>
    </w:rPr>
  </w:style>
  <w:style w:type="character" w:customStyle="1" w:styleId="KPMGWhiteBOLD">
    <w:name w:val="KPMG White BOLD"/>
    <w:uiPriority w:val="11"/>
    <w:rsid w:val="00F37CC6"/>
    <w:rPr>
      <w:b/>
      <w:color w:val="FFFFFF"/>
    </w:rPr>
  </w:style>
  <w:style w:type="paragraph" w:customStyle="1" w:styleId="Photo">
    <w:name w:val="Photo"/>
    <w:basedOn w:val="Graphic"/>
    <w:uiPriority w:val="4"/>
    <w:qFormat/>
    <w:rsid w:val="00F37CC6"/>
    <w:pPr>
      <w:jc w:val="left"/>
    </w:pPr>
    <w:rPr>
      <w:rFonts w:ascii="Times New Roman" w:eastAsia="Batang" w:hAnsi="Times New Roman"/>
      <w:sz w:val="22"/>
      <w:lang w:eastAsia="ko-KR"/>
    </w:rPr>
  </w:style>
  <w:style w:type="paragraph" w:customStyle="1" w:styleId="Highlightquote">
    <w:name w:val="Highlight quote"/>
    <w:qFormat/>
    <w:rsid w:val="00F37CC6"/>
    <w:rPr>
      <w:rFonts w:ascii="Univers 45 Light" w:hAnsi="Univers 45 Light"/>
      <w:b/>
      <w:i/>
      <w:sz w:val="24"/>
      <w:szCs w:val="24"/>
    </w:rPr>
  </w:style>
  <w:style w:type="paragraph" w:customStyle="1" w:styleId="Table-body">
    <w:name w:val="Table - body"/>
    <w:basedOn w:val="Normal"/>
    <w:rsid w:val="00F37CC6"/>
    <w:pPr>
      <w:overflowPunct w:val="0"/>
      <w:autoSpaceDE w:val="0"/>
      <w:autoSpaceDN w:val="0"/>
      <w:adjustRightInd w:val="0"/>
      <w:spacing w:before="60" w:after="60" w:line="240" w:lineRule="auto"/>
      <w:textAlignment w:val="baseline"/>
    </w:pPr>
    <w:rPr>
      <w:rFonts w:ascii="Times New Roman" w:hAnsi="Times New Roman"/>
      <w:sz w:val="22"/>
    </w:rPr>
  </w:style>
  <w:style w:type="paragraph" w:customStyle="1" w:styleId="Heading-3">
    <w:name w:val="Heading - 3"/>
    <w:basedOn w:val="Normal"/>
    <w:rsid w:val="00F37CC6"/>
    <w:pPr>
      <w:keepNext/>
      <w:keepLines/>
      <w:overflowPunct w:val="0"/>
      <w:autoSpaceDE w:val="0"/>
      <w:autoSpaceDN w:val="0"/>
      <w:adjustRightInd w:val="0"/>
      <w:spacing w:before="120" w:after="120" w:line="240" w:lineRule="auto"/>
      <w:ind w:left="567"/>
      <w:textAlignment w:val="baseline"/>
    </w:pPr>
    <w:rPr>
      <w:rFonts w:ascii="Times New Roman" w:hAnsi="Times New Roman"/>
      <w:b/>
      <w:sz w:val="28"/>
    </w:rPr>
  </w:style>
  <w:style w:type="paragraph" w:customStyle="1" w:styleId="Heading-2">
    <w:name w:val="Heading - 2"/>
    <w:basedOn w:val="Normal"/>
    <w:rsid w:val="00F37CC6"/>
    <w:pPr>
      <w:keepNext/>
      <w:keepLines/>
      <w:overflowPunct w:val="0"/>
      <w:autoSpaceDE w:val="0"/>
      <w:autoSpaceDN w:val="0"/>
      <w:adjustRightInd w:val="0"/>
      <w:spacing w:after="240" w:line="240" w:lineRule="auto"/>
      <w:ind w:left="567"/>
      <w:jc w:val="center"/>
      <w:textAlignment w:val="baseline"/>
    </w:pPr>
    <w:rPr>
      <w:rFonts w:ascii="Times New Roman" w:hAnsi="Times New Roman"/>
      <w:b/>
      <w:sz w:val="36"/>
    </w:rPr>
  </w:style>
  <w:style w:type="paragraph" w:customStyle="1" w:styleId="Body1-b">
    <w:name w:val="Body 1 - b"/>
    <w:basedOn w:val="Normal"/>
    <w:rsid w:val="00F37CC6"/>
    <w:pPr>
      <w:overflowPunct w:val="0"/>
      <w:autoSpaceDE w:val="0"/>
      <w:autoSpaceDN w:val="0"/>
      <w:adjustRightInd w:val="0"/>
      <w:spacing w:after="60" w:line="240" w:lineRule="auto"/>
      <w:ind w:left="1418" w:hanging="284"/>
      <w:textAlignment w:val="baseline"/>
    </w:pPr>
    <w:rPr>
      <w:rFonts w:ascii="Times New Roman" w:hAnsi="Times New Roman"/>
      <w:sz w:val="24"/>
    </w:rPr>
  </w:style>
  <w:style w:type="paragraph" w:customStyle="1" w:styleId="Body1">
    <w:name w:val="Body 1"/>
    <w:basedOn w:val="Normal"/>
    <w:rsid w:val="00F37CC6"/>
    <w:pPr>
      <w:overflowPunct w:val="0"/>
      <w:autoSpaceDE w:val="0"/>
      <w:autoSpaceDN w:val="0"/>
      <w:adjustRightInd w:val="0"/>
      <w:spacing w:after="120" w:line="240" w:lineRule="auto"/>
      <w:ind w:left="1134"/>
      <w:textAlignment w:val="baseline"/>
    </w:pPr>
    <w:rPr>
      <w:rFonts w:ascii="Times New Roman" w:hAnsi="Times New Roman"/>
      <w:sz w:val="24"/>
    </w:rPr>
  </w:style>
  <w:style w:type="paragraph" w:styleId="BodyTextIndent3">
    <w:name w:val="Body Text Indent 3"/>
    <w:basedOn w:val="Normal"/>
    <w:link w:val="BodyTextIndent3Char"/>
    <w:uiPriority w:val="99"/>
    <w:rsid w:val="00F37CC6"/>
    <w:pPr>
      <w:spacing w:after="120" w:line="276" w:lineRule="auto"/>
      <w:ind w:left="283"/>
    </w:pPr>
    <w:rPr>
      <w:rFonts w:eastAsia="Calibri"/>
      <w:sz w:val="16"/>
      <w:szCs w:val="16"/>
    </w:rPr>
  </w:style>
  <w:style w:type="character" w:customStyle="1" w:styleId="BodyTextIndent3Char">
    <w:name w:val="Body Text Indent 3 Char"/>
    <w:basedOn w:val="DefaultParagraphFont"/>
    <w:link w:val="BodyTextIndent3"/>
    <w:uiPriority w:val="99"/>
    <w:rsid w:val="00F37CC6"/>
    <w:rPr>
      <w:rFonts w:ascii="Calibri" w:eastAsia="Calibri" w:hAnsi="Calibri"/>
      <w:sz w:val="16"/>
      <w:szCs w:val="16"/>
      <w:lang w:eastAsia="en-US"/>
    </w:rPr>
  </w:style>
  <w:style w:type="paragraph" w:customStyle="1" w:styleId="Body-bld">
    <w:name w:val="Body - bld"/>
    <w:basedOn w:val="Normal"/>
    <w:rsid w:val="00F37CC6"/>
    <w:pPr>
      <w:keepNext/>
      <w:keepLines/>
      <w:overflowPunct w:val="0"/>
      <w:autoSpaceDE w:val="0"/>
      <w:autoSpaceDN w:val="0"/>
      <w:adjustRightInd w:val="0"/>
      <w:spacing w:after="240" w:line="240" w:lineRule="auto"/>
      <w:ind w:left="567"/>
      <w:jc w:val="center"/>
      <w:textAlignment w:val="baseline"/>
    </w:pPr>
    <w:rPr>
      <w:rFonts w:ascii="Times New Roman" w:hAnsi="Times New Roman"/>
      <w:b/>
      <w:sz w:val="22"/>
    </w:rPr>
  </w:style>
  <w:style w:type="paragraph" w:styleId="ListParagraph">
    <w:name w:val="List Paragraph"/>
    <w:aliases w:val="Bullet Level 1"/>
    <w:basedOn w:val="Normal"/>
    <w:link w:val="ListParagraphChar"/>
    <w:uiPriority w:val="34"/>
    <w:qFormat/>
    <w:rsid w:val="00F37CC6"/>
    <w:pPr>
      <w:spacing w:line="240" w:lineRule="auto"/>
      <w:ind w:left="720"/>
    </w:pPr>
    <w:rPr>
      <w:sz w:val="22"/>
      <w:szCs w:val="22"/>
    </w:rPr>
  </w:style>
  <w:style w:type="character" w:customStyle="1" w:styleId="ListParagraphChar">
    <w:name w:val="List Paragraph Char"/>
    <w:aliases w:val="Bullet Level 1 Char"/>
    <w:basedOn w:val="DefaultParagraphFont"/>
    <w:link w:val="ListParagraph"/>
    <w:rsid w:val="00F37CC6"/>
    <w:rPr>
      <w:rFonts w:ascii="Calibri" w:hAnsi="Calibri"/>
      <w:sz w:val="22"/>
      <w:szCs w:val="22"/>
      <w:lang w:eastAsia="en-US"/>
    </w:rPr>
  </w:style>
  <w:style w:type="paragraph" w:customStyle="1" w:styleId="HeadingLevel2NoNumber">
    <w:name w:val="HeadingLevel2NoNumber"/>
    <w:basedOn w:val="Heading2"/>
    <w:next w:val="BodyText0"/>
    <w:rsid w:val="00982034"/>
  </w:style>
  <w:style w:type="paragraph" w:customStyle="1" w:styleId="Subhead2">
    <w:name w:val="*Subhead 2"/>
    <w:basedOn w:val="Normal"/>
    <w:uiPriority w:val="99"/>
    <w:rsid w:val="00F37CC6"/>
    <w:pPr>
      <w:spacing w:after="20" w:line="240" w:lineRule="auto"/>
    </w:pPr>
    <w:rPr>
      <w:rFonts w:ascii="Univers 55" w:hAnsi="Univers 55"/>
      <w:color w:val="000000"/>
      <w:kern w:val="22"/>
      <w:sz w:val="22"/>
    </w:rPr>
  </w:style>
  <w:style w:type="table" w:styleId="MediumGrid3-Accent1">
    <w:name w:val="Medium Grid 3 Accent 1"/>
    <w:basedOn w:val="TableNormal"/>
    <w:uiPriority w:val="69"/>
    <w:rsid w:val="00F37CC6"/>
    <w:rPr>
      <w:rFonts w:ascii="Cambria" w:hAnsi="Cambria"/>
      <w:sz w:val="22"/>
      <w:lang w:eastAsia="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ascii="Cambria" w:hAnsi="Cambria" w:cs="Times New Roman" w:hint="default"/>
        <w:b/>
        <w:bCs/>
        <w:i w:val="0"/>
        <w:iCs w:val="0"/>
        <w:color w:val="FFFFFF"/>
        <w:sz w:val="24"/>
        <w:szCs w:val="24"/>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ascii="Cambria" w:hAnsi="Cambria" w:cs="Times New Roman" w:hint="default"/>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ascii="Cambria" w:hAnsi="Cambria" w:cs="Times New Roman" w:hint="default"/>
        <w:b/>
        <w:bCs/>
        <w:i w:val="0"/>
        <w:iCs w:val="0"/>
        <w:color w:val="FFFFFF"/>
      </w:rPr>
      <w:tblPr/>
      <w:tcPr>
        <w:shd w:val="clear" w:color="auto" w:fill="95B3D7"/>
      </w:tcPr>
    </w:tblStylePr>
    <w:tblStylePr w:type="lastCol">
      <w:rPr>
        <w:rFonts w:ascii="Cambria" w:hAnsi="Cambria" w:cs="Times New Roman" w:hint="default"/>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ascii="Cambria" w:hAnsi="Cambria" w:cs="Times New Roman" w:hint="default"/>
      </w:rPr>
      <w:tblPr/>
      <w:tcPr>
        <w:shd w:val="clear" w:color="auto" w:fill="B8CCE4"/>
      </w:tcPr>
    </w:tblStylePr>
    <w:tblStylePr w:type="band1Horz">
      <w:rPr>
        <w:rFonts w:ascii="Cambria" w:hAnsi="Cambria" w:cs="Times New Roman" w:hint="default"/>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paragraph" w:customStyle="1" w:styleId="CVHeadingLevel1">
    <w:name w:val="CVHeadingLevel1"/>
    <w:basedOn w:val="Normal"/>
    <w:next w:val="Normal"/>
    <w:rsid w:val="00F37CC6"/>
    <w:pPr>
      <w:spacing w:before="60" w:line="240" w:lineRule="auto"/>
    </w:pPr>
    <w:rPr>
      <w:rFonts w:cs="Arial"/>
      <w:b/>
      <w:bCs/>
      <w:color w:val="0C2D83"/>
    </w:rPr>
  </w:style>
  <w:style w:type="paragraph" w:customStyle="1" w:styleId="CVHeadingLevel2">
    <w:name w:val="CVHeadingLevel2"/>
    <w:basedOn w:val="Normal"/>
    <w:next w:val="Normal"/>
    <w:rsid w:val="00F37CC6"/>
    <w:pPr>
      <w:spacing w:before="60" w:line="240" w:lineRule="auto"/>
    </w:pPr>
    <w:rPr>
      <w:rFonts w:cs="Arial"/>
      <w:bCs/>
      <w:i/>
      <w:color w:val="0C2D83"/>
    </w:rPr>
  </w:style>
  <w:style w:type="paragraph" w:customStyle="1" w:styleId="CVBulletLevel1">
    <w:name w:val="CVBulletLevel1"/>
    <w:basedOn w:val="ListBullet"/>
    <w:rsid w:val="00F37CC6"/>
    <w:pPr>
      <w:numPr>
        <w:numId w:val="9"/>
      </w:numPr>
      <w:spacing w:line="240" w:lineRule="auto"/>
    </w:pPr>
    <w:rPr>
      <w:rFonts w:cs="Arial"/>
      <w:color w:val="auto"/>
      <w:szCs w:val="20"/>
    </w:rPr>
  </w:style>
  <w:style w:type="paragraph" w:styleId="TOCHeading">
    <w:name w:val="TOC Heading"/>
    <w:basedOn w:val="Heading1"/>
    <w:next w:val="Normal"/>
    <w:uiPriority w:val="39"/>
    <w:unhideWhenUsed/>
    <w:qFormat/>
    <w:rsid w:val="00F37CC6"/>
    <w:pPr>
      <w:keepNext/>
      <w:keepLines/>
      <w:pageBreakBefore w:val="0"/>
      <w:spacing w:before="480" w:after="0" w:line="276" w:lineRule="auto"/>
      <w:outlineLvl w:val="9"/>
    </w:pPr>
    <w:rPr>
      <w:rFonts w:ascii="Cambria" w:hAnsi="Cambria"/>
      <w:bCs/>
      <w:color w:val="365F91"/>
      <w:sz w:val="28"/>
      <w:szCs w:val="28"/>
      <w:lang w:val="en-US"/>
    </w:rPr>
  </w:style>
  <w:style w:type="character" w:customStyle="1" w:styleId="bold">
    <w:name w:val="bold"/>
    <w:uiPriority w:val="99"/>
    <w:rsid w:val="00F37CC6"/>
    <w:rPr>
      <w:rFonts w:ascii="Arial" w:hAnsi="Arial" w:cs="Arial"/>
      <w:b/>
      <w:bCs/>
      <w:sz w:val="22"/>
      <w:szCs w:val="22"/>
    </w:rPr>
  </w:style>
  <w:style w:type="paragraph" w:customStyle="1" w:styleId="TableHeading20">
    <w:name w:val="Table Heading 2"/>
    <w:basedOn w:val="Heading2"/>
    <w:link w:val="TableHeading2CharChar"/>
    <w:rsid w:val="00F37CC6"/>
    <w:pPr>
      <w:tabs>
        <w:tab w:val="clear" w:pos="998"/>
      </w:tabs>
      <w:spacing w:before="60" w:after="0"/>
      <w:outlineLvl w:val="9"/>
    </w:pPr>
    <w:rPr>
      <w:color w:val="0C2D83"/>
      <w:sz w:val="20"/>
    </w:rPr>
  </w:style>
  <w:style w:type="character" w:customStyle="1" w:styleId="TableHeading2CharChar">
    <w:name w:val="Table Heading 2 Char Char"/>
    <w:basedOn w:val="DefaultParagraphFont"/>
    <w:link w:val="TableHeading20"/>
    <w:rsid w:val="00F37CC6"/>
    <w:rPr>
      <w:rFonts w:ascii="Univers 45 Light" w:hAnsi="Univers 45 Light"/>
      <w:b/>
      <w:bCs/>
      <w:color w:val="0C2D83"/>
      <w:szCs w:val="24"/>
      <w:lang w:eastAsia="en-US"/>
    </w:rPr>
  </w:style>
  <w:style w:type="paragraph" w:customStyle="1" w:styleId="Achievement">
    <w:name w:val="Achievement"/>
    <w:basedOn w:val="BodyText"/>
    <w:rsid w:val="00F37CC6"/>
    <w:pPr>
      <w:spacing w:before="0" w:after="60" w:line="220" w:lineRule="atLeast"/>
    </w:pPr>
    <w:rPr>
      <w:rFonts w:ascii="Arial" w:hAnsi="Arial"/>
      <w:spacing w:val="-5"/>
      <w:szCs w:val="20"/>
    </w:rPr>
  </w:style>
  <w:style w:type="paragraph" w:customStyle="1" w:styleId="DefaultParagraphFontPara">
    <w:name w:val="Default Paragraph Font Para"/>
    <w:basedOn w:val="Normal"/>
    <w:rsid w:val="00F37CC6"/>
    <w:pPr>
      <w:spacing w:line="240" w:lineRule="auto"/>
    </w:pPr>
    <w:rPr>
      <w:rFonts w:ascii="Arial" w:hAnsi="Arial" w:cs="Arial"/>
      <w:sz w:val="22"/>
      <w:szCs w:val="22"/>
    </w:rPr>
  </w:style>
  <w:style w:type="paragraph" w:customStyle="1" w:styleId="CVBodyText">
    <w:name w:val="CVBodyText"/>
    <w:basedOn w:val="BodyText"/>
    <w:link w:val="CVBodyTextChar"/>
    <w:rsid w:val="00F37CC6"/>
    <w:pPr>
      <w:spacing w:line="240" w:lineRule="auto"/>
    </w:pPr>
    <w:rPr>
      <w:szCs w:val="20"/>
    </w:rPr>
  </w:style>
  <w:style w:type="character" w:customStyle="1" w:styleId="CVBodyTextChar">
    <w:name w:val="CVBodyText Char"/>
    <w:basedOn w:val="DefaultParagraphFont"/>
    <w:link w:val="CVBodyText"/>
    <w:rsid w:val="00F37CC6"/>
    <w:rPr>
      <w:rFonts w:ascii="Univers 45 Light" w:hAnsi="Univers 45 Light"/>
      <w:lang w:eastAsia="en-US"/>
    </w:rPr>
  </w:style>
  <w:style w:type="paragraph" w:customStyle="1" w:styleId="ProposalCVs">
    <w:name w:val="Proposal CVs"/>
    <w:basedOn w:val="Normal"/>
    <w:rsid w:val="00F37CC6"/>
    <w:pPr>
      <w:tabs>
        <w:tab w:val="left" w:pos="3600"/>
      </w:tabs>
      <w:spacing w:before="60" w:after="60" w:line="240" w:lineRule="auto"/>
    </w:pPr>
    <w:rPr>
      <w:rFonts w:cs="Arial"/>
      <w:color w:val="0C2D83"/>
      <w:sz w:val="21"/>
      <w:szCs w:val="21"/>
      <w:lang w:val="de-DE"/>
    </w:rPr>
  </w:style>
  <w:style w:type="paragraph" w:customStyle="1" w:styleId="CVHeadLevel1">
    <w:name w:val="CVHeadLevel1"/>
    <w:basedOn w:val="Normal"/>
    <w:rsid w:val="00F37CC6"/>
    <w:pPr>
      <w:spacing w:before="120" w:after="120" w:line="240" w:lineRule="auto"/>
    </w:pPr>
    <w:rPr>
      <w:b/>
      <w:bCs/>
      <w:color w:val="0C2D83"/>
      <w:sz w:val="22"/>
      <w:szCs w:val="22"/>
    </w:rPr>
  </w:style>
  <w:style w:type="paragraph" w:customStyle="1" w:styleId="CVbullet1">
    <w:name w:val="CVbullet"/>
    <w:basedOn w:val="BodyText"/>
    <w:link w:val="CVbulletChar"/>
    <w:rsid w:val="00F37CC6"/>
    <w:pPr>
      <w:keepNext/>
      <w:numPr>
        <w:numId w:val="10"/>
      </w:numPr>
      <w:spacing w:after="0" w:line="240" w:lineRule="auto"/>
    </w:pPr>
    <w:rPr>
      <w:rFonts w:ascii="Arial" w:hAnsi="Arial"/>
    </w:rPr>
  </w:style>
  <w:style w:type="character" w:customStyle="1" w:styleId="CVbulletChar">
    <w:name w:val="CVbullet Char"/>
    <w:basedOn w:val="DefaultParagraphFont"/>
    <w:link w:val="CVbullet1"/>
    <w:locked/>
    <w:rsid w:val="00F37CC6"/>
    <w:rPr>
      <w:rFonts w:ascii="Arial" w:hAnsi="Arial"/>
      <w:szCs w:val="22"/>
      <w:lang w:eastAsia="en-US"/>
    </w:rPr>
  </w:style>
  <w:style w:type="paragraph" w:customStyle="1" w:styleId="CVHead2">
    <w:name w:val="CVHead2"/>
    <w:basedOn w:val="Normal"/>
    <w:rsid w:val="00F37CC6"/>
    <w:pPr>
      <w:keepNext/>
      <w:spacing w:before="120" w:line="240" w:lineRule="auto"/>
    </w:pPr>
    <w:rPr>
      <w:rFonts w:ascii="Arial" w:eastAsia="Osaka" w:hAnsi="Arial" w:cs="Arial"/>
      <w:noProof/>
      <w:color w:val="00338D"/>
      <w:lang w:val="en-GB" w:eastAsia="zh-CN"/>
    </w:rPr>
  </w:style>
  <w:style w:type="paragraph" w:customStyle="1" w:styleId="Default">
    <w:name w:val="Default"/>
    <w:rsid w:val="00F37CC6"/>
    <w:pPr>
      <w:autoSpaceDE w:val="0"/>
      <w:autoSpaceDN w:val="0"/>
      <w:adjustRightInd w:val="0"/>
    </w:pPr>
    <w:rPr>
      <w:rFonts w:ascii="Calibri" w:hAnsi="Calibri" w:cs="Calibri"/>
      <w:color w:val="000000"/>
      <w:sz w:val="24"/>
      <w:szCs w:val="24"/>
    </w:rPr>
  </w:style>
  <w:style w:type="character" w:styleId="FootnoteReference">
    <w:name w:val="footnote reference"/>
    <w:basedOn w:val="DefaultParagraphFont"/>
    <w:unhideWhenUsed/>
    <w:rsid w:val="00F37CC6"/>
    <w:rPr>
      <w:vertAlign w:val="superscript"/>
    </w:rPr>
  </w:style>
  <w:style w:type="paragraph" w:styleId="NormalWeb">
    <w:name w:val="Normal (Web)"/>
    <w:basedOn w:val="Normal"/>
    <w:uiPriority w:val="99"/>
    <w:unhideWhenUsed/>
    <w:rsid w:val="00F37CC6"/>
    <w:pPr>
      <w:spacing w:line="428" w:lineRule="atLeast"/>
      <w:textAlignment w:val="baseline"/>
    </w:pPr>
    <w:rPr>
      <w:rFonts w:ascii="Arial" w:hAnsi="Arial" w:cs="Arial"/>
      <w:color w:val="000000"/>
      <w:sz w:val="29"/>
      <w:szCs w:val="29"/>
      <w:lang w:eastAsia="en-AU"/>
    </w:rPr>
  </w:style>
  <w:style w:type="paragraph" w:customStyle="1" w:styleId="CVbullet">
    <w:name w:val="CV bullet"/>
    <w:rsid w:val="00F37CC6"/>
    <w:pPr>
      <w:numPr>
        <w:numId w:val="11"/>
      </w:numPr>
      <w:spacing w:before="20" w:after="20"/>
    </w:pPr>
    <w:rPr>
      <w:rFonts w:ascii="Univers 45 Light" w:hAnsi="Univers 45 Light"/>
      <w:sz w:val="18"/>
      <w:szCs w:val="24"/>
    </w:rPr>
  </w:style>
  <w:style w:type="paragraph" w:customStyle="1" w:styleId="Bodybullet">
    <w:name w:val="Body bullet"/>
    <w:rsid w:val="00F37CC6"/>
    <w:pPr>
      <w:numPr>
        <w:numId w:val="12"/>
      </w:numPr>
      <w:spacing w:before="80" w:after="80"/>
    </w:pPr>
    <w:rPr>
      <w:rFonts w:ascii="Univers 45 Light" w:hAnsi="Univers 45 Light"/>
      <w:szCs w:val="24"/>
    </w:rPr>
  </w:style>
  <w:style w:type="paragraph" w:customStyle="1" w:styleId="Heading1Noshow">
    <w:name w:val="Heading 1_No show"/>
    <w:rsid w:val="00F37CC6"/>
    <w:pPr>
      <w:spacing w:after="720"/>
    </w:pPr>
    <w:rPr>
      <w:rFonts w:ascii="Univers 45 Light" w:hAnsi="Univers 45 Light" w:cs="Arial"/>
      <w:b/>
      <w:bCs/>
      <w:color w:val="0C2D83"/>
      <w:kern w:val="32"/>
      <w:sz w:val="72"/>
      <w:szCs w:val="32"/>
    </w:rPr>
  </w:style>
  <w:style w:type="paragraph" w:customStyle="1" w:styleId="CVname">
    <w:name w:val="CV name"/>
    <w:rsid w:val="00F37CC6"/>
    <w:pPr>
      <w:ind w:left="284"/>
    </w:pPr>
    <w:rPr>
      <w:rFonts w:ascii="Univers 45 Light" w:hAnsi="Univers 45 Light"/>
      <w:color w:val="0C2D83"/>
      <w:sz w:val="28"/>
      <w:szCs w:val="24"/>
    </w:rPr>
  </w:style>
  <w:style w:type="paragraph" w:customStyle="1" w:styleId="CVtitle">
    <w:name w:val="CV title"/>
    <w:rsid w:val="00F37CC6"/>
    <w:pPr>
      <w:spacing w:after="120"/>
      <w:ind w:left="284"/>
    </w:pPr>
    <w:rPr>
      <w:rFonts w:ascii="Univers 45 Light" w:hAnsi="Univers 45 Light"/>
      <w:color w:val="0C2D83"/>
      <w:sz w:val="22"/>
      <w:szCs w:val="24"/>
    </w:rPr>
  </w:style>
  <w:style w:type="paragraph" w:customStyle="1" w:styleId="CVdetails">
    <w:name w:val="CV details"/>
    <w:rsid w:val="00F37CC6"/>
    <w:pPr>
      <w:ind w:left="284"/>
    </w:pPr>
    <w:rPr>
      <w:rFonts w:ascii="Univers 45 Light" w:hAnsi="Univers 45 Light"/>
      <w:color w:val="0C2D83"/>
      <w:sz w:val="16"/>
      <w:szCs w:val="24"/>
    </w:rPr>
  </w:style>
  <w:style w:type="paragraph" w:customStyle="1" w:styleId="CVheading">
    <w:name w:val="CV heading"/>
    <w:rsid w:val="00F37CC6"/>
    <w:pPr>
      <w:spacing w:before="120"/>
    </w:pPr>
    <w:rPr>
      <w:rFonts w:ascii="Univers 45 Light" w:hAnsi="Univers 45 Light"/>
      <w:b/>
      <w:color w:val="0C2D83"/>
      <w:szCs w:val="24"/>
    </w:rPr>
  </w:style>
  <w:style w:type="paragraph" w:customStyle="1" w:styleId="CVtext">
    <w:name w:val="CV text"/>
    <w:rsid w:val="00F37CC6"/>
    <w:pPr>
      <w:spacing w:before="40" w:after="40"/>
    </w:pPr>
    <w:rPr>
      <w:rFonts w:ascii="Univers 45 Light" w:hAnsi="Univers 45 Light"/>
      <w:sz w:val="18"/>
      <w:szCs w:val="24"/>
    </w:rPr>
  </w:style>
  <w:style w:type="paragraph" w:customStyle="1" w:styleId="Tablebullet">
    <w:name w:val="Table bullet"/>
    <w:basedOn w:val="TableBullet1"/>
    <w:rsid w:val="00476681"/>
  </w:style>
  <w:style w:type="paragraph" w:customStyle="1" w:styleId="TableBullet1">
    <w:name w:val="TableBullet1"/>
    <w:basedOn w:val="ListBullet"/>
    <w:rsid w:val="00037EC0"/>
    <w:pPr>
      <w:spacing w:before="60" w:after="0" w:line="240" w:lineRule="auto"/>
    </w:pPr>
    <w:rPr>
      <w:color w:val="auto"/>
      <w:sz w:val="18"/>
      <w:szCs w:val="18"/>
    </w:rPr>
  </w:style>
  <w:style w:type="paragraph" w:customStyle="1" w:styleId="Tabletext2">
    <w:name w:val="Table text 2"/>
    <w:link w:val="Tabletext2Char"/>
    <w:rsid w:val="00F37CC6"/>
    <w:rPr>
      <w:rFonts w:ascii="Univers 45 Light" w:hAnsi="Univers 45 Light"/>
      <w:sz w:val="14"/>
      <w:szCs w:val="24"/>
    </w:rPr>
  </w:style>
  <w:style w:type="character" w:customStyle="1" w:styleId="Tabletext2Char">
    <w:name w:val="Table text 2 Char"/>
    <w:basedOn w:val="DefaultParagraphFont"/>
    <w:link w:val="Tabletext2"/>
    <w:rsid w:val="00F37CC6"/>
    <w:rPr>
      <w:rFonts w:ascii="Univers 45 Light" w:hAnsi="Univers 45 Light"/>
      <w:sz w:val="14"/>
      <w:szCs w:val="24"/>
    </w:rPr>
  </w:style>
  <w:style w:type="paragraph" w:customStyle="1" w:styleId="Tablesubbullet">
    <w:name w:val="Table sub bullet"/>
    <w:rsid w:val="00F37CC6"/>
    <w:pPr>
      <w:numPr>
        <w:numId w:val="13"/>
      </w:numPr>
      <w:spacing w:before="20" w:after="20"/>
      <w:ind w:left="568" w:hanging="284"/>
    </w:pPr>
    <w:rPr>
      <w:rFonts w:ascii="Univers 45 Light" w:hAnsi="Univers 45 Light"/>
      <w:sz w:val="18"/>
      <w:szCs w:val="24"/>
    </w:rPr>
  </w:style>
  <w:style w:type="paragraph" w:customStyle="1" w:styleId="Tableheading0">
    <w:name w:val="Table heading"/>
    <w:rsid w:val="00F37CC6"/>
    <w:pPr>
      <w:spacing w:before="60" w:after="60"/>
    </w:pPr>
    <w:rPr>
      <w:rFonts w:ascii="Univers 45 Light" w:hAnsi="Univers 45 Light"/>
      <w:b/>
      <w:color w:val="FFFFFF"/>
      <w:sz w:val="18"/>
      <w:szCs w:val="24"/>
    </w:rPr>
  </w:style>
  <w:style w:type="paragraph" w:customStyle="1" w:styleId="TabletextHL">
    <w:name w:val="Table text HL"/>
    <w:rsid w:val="00F37CC6"/>
    <w:pPr>
      <w:spacing w:before="60" w:after="60"/>
    </w:pPr>
    <w:rPr>
      <w:rFonts w:ascii="Univers 45 Light" w:hAnsi="Univers 45 Light"/>
      <w:b/>
      <w:sz w:val="18"/>
      <w:szCs w:val="24"/>
    </w:rPr>
  </w:style>
  <w:style w:type="paragraph" w:customStyle="1" w:styleId="Bodysubbullet1">
    <w:name w:val="Body sub bullet 1"/>
    <w:rsid w:val="00F37CC6"/>
    <w:pPr>
      <w:numPr>
        <w:numId w:val="14"/>
      </w:numPr>
      <w:spacing w:before="60" w:after="60"/>
      <w:ind w:left="568" w:hanging="284"/>
    </w:pPr>
    <w:rPr>
      <w:rFonts w:ascii="Univers 45 Light" w:hAnsi="Univers 45 Light"/>
      <w:szCs w:val="24"/>
    </w:rPr>
  </w:style>
  <w:style w:type="paragraph" w:customStyle="1" w:styleId="Bodysubbullet2">
    <w:name w:val="Body sub bullet 2"/>
    <w:rsid w:val="00F37CC6"/>
    <w:pPr>
      <w:numPr>
        <w:numId w:val="15"/>
      </w:numPr>
      <w:spacing w:before="40" w:after="40"/>
    </w:pPr>
    <w:rPr>
      <w:rFonts w:ascii="Univers 45 Light" w:hAnsi="Univers 45 Light"/>
      <w:szCs w:val="24"/>
    </w:rPr>
  </w:style>
  <w:style w:type="paragraph" w:customStyle="1" w:styleId="base">
    <w:name w:val="___base"/>
    <w:link w:val="baseChar"/>
    <w:qFormat/>
    <w:rsid w:val="00F37CC6"/>
    <w:rPr>
      <w:rFonts w:ascii="Arial" w:eastAsia="Calibri" w:hAnsi="Arial"/>
      <w:color w:val="000000"/>
      <w:sz w:val="24"/>
      <w:szCs w:val="22"/>
      <w:lang w:val="en-GB" w:eastAsia="en-US"/>
    </w:rPr>
  </w:style>
  <w:style w:type="character" w:customStyle="1" w:styleId="baseChar">
    <w:name w:val="___base Char"/>
    <w:basedOn w:val="DefaultParagraphFont"/>
    <w:link w:val="base"/>
    <w:rsid w:val="00F37CC6"/>
    <w:rPr>
      <w:rFonts w:ascii="Arial" w:eastAsia="Calibri" w:hAnsi="Arial"/>
      <w:color w:val="000000"/>
      <w:sz w:val="24"/>
      <w:szCs w:val="22"/>
      <w:lang w:val="en-GB" w:eastAsia="en-US"/>
    </w:rPr>
  </w:style>
  <w:style w:type="paragraph" w:customStyle="1" w:styleId="Contactheading">
    <w:name w:val="_Contact heading"/>
    <w:basedOn w:val="Normal"/>
    <w:qFormat/>
    <w:rsid w:val="00F37CC6"/>
    <w:pPr>
      <w:spacing w:before="120" w:after="120" w:line="240" w:lineRule="atLeast"/>
    </w:pPr>
    <w:rPr>
      <w:rFonts w:eastAsia="Calibri"/>
      <w:b/>
      <w:color w:val="000000"/>
      <w:sz w:val="18"/>
      <w:szCs w:val="22"/>
      <w:lang w:val="en-GB"/>
    </w:rPr>
  </w:style>
  <w:style w:type="paragraph" w:customStyle="1" w:styleId="Contactname">
    <w:name w:val="_Contact name"/>
    <w:basedOn w:val="Normal"/>
    <w:next w:val="Contactsectorname"/>
    <w:qFormat/>
    <w:rsid w:val="00F37CC6"/>
    <w:pPr>
      <w:spacing w:before="240" w:line="240" w:lineRule="atLeast"/>
    </w:pPr>
    <w:rPr>
      <w:rFonts w:eastAsia="Calibri"/>
      <w:b/>
      <w:color w:val="00338D"/>
      <w:sz w:val="18"/>
      <w:szCs w:val="22"/>
      <w:lang w:val="en-GB"/>
    </w:rPr>
  </w:style>
  <w:style w:type="paragraph" w:customStyle="1" w:styleId="Contactsectorname">
    <w:name w:val="_Contact sector name"/>
    <w:basedOn w:val="Normal"/>
    <w:next w:val="Contacttelephone"/>
    <w:qFormat/>
    <w:rsid w:val="00F37CC6"/>
    <w:pPr>
      <w:spacing w:line="240" w:lineRule="atLeast"/>
    </w:pPr>
    <w:rPr>
      <w:rFonts w:eastAsia="Calibri"/>
      <w:b/>
      <w:color w:val="000000"/>
      <w:sz w:val="18"/>
      <w:szCs w:val="22"/>
      <w:lang w:val="en-GB"/>
    </w:rPr>
  </w:style>
  <w:style w:type="paragraph" w:customStyle="1" w:styleId="Contacttelephone">
    <w:name w:val="_Contact telephone"/>
    <w:basedOn w:val="Normal"/>
    <w:next w:val="Contactemail"/>
    <w:qFormat/>
    <w:rsid w:val="00F37CC6"/>
    <w:pPr>
      <w:spacing w:line="240" w:lineRule="atLeast"/>
    </w:pPr>
    <w:rPr>
      <w:rFonts w:eastAsia="Calibri"/>
      <w:color w:val="000000"/>
      <w:sz w:val="18"/>
      <w:szCs w:val="22"/>
      <w:lang w:val="en-GB"/>
    </w:rPr>
  </w:style>
  <w:style w:type="paragraph" w:customStyle="1" w:styleId="Contactemail">
    <w:name w:val="_Contact email"/>
    <w:basedOn w:val="Normal"/>
    <w:next w:val="Contactname"/>
    <w:qFormat/>
    <w:rsid w:val="00F37CC6"/>
    <w:pPr>
      <w:spacing w:line="240" w:lineRule="atLeast"/>
    </w:pPr>
    <w:rPr>
      <w:rFonts w:eastAsia="Calibri"/>
      <w:color w:val="000000"/>
      <w:sz w:val="18"/>
      <w:szCs w:val="22"/>
      <w:lang w:val="en-GB"/>
    </w:rPr>
  </w:style>
  <w:style w:type="paragraph" w:customStyle="1" w:styleId="Disclaimer0">
    <w:name w:val="_Disclaimer"/>
    <w:basedOn w:val="Normal"/>
    <w:qFormat/>
    <w:rsid w:val="00F37CC6"/>
    <w:pPr>
      <w:spacing w:before="120" w:after="200" w:line="240" w:lineRule="auto"/>
    </w:pPr>
    <w:rPr>
      <w:rFonts w:eastAsia="Calibri"/>
      <w:color w:val="000000"/>
      <w:sz w:val="18"/>
      <w:szCs w:val="22"/>
      <w:lang w:val="en-GB"/>
    </w:rPr>
  </w:style>
  <w:style w:type="paragraph" w:customStyle="1" w:styleId="Numberedlevel1">
    <w:name w:val="_Numbered level 1"/>
    <w:next w:val="Numberedlevel2"/>
    <w:rsid w:val="00F37CC6"/>
    <w:pPr>
      <w:numPr>
        <w:numId w:val="16"/>
      </w:numPr>
      <w:spacing w:before="170"/>
      <w:ind w:left="187" w:hanging="187"/>
    </w:pPr>
    <w:rPr>
      <w:rFonts w:ascii="Arial" w:hAnsi="Arial" w:cs="Arial"/>
      <w:b/>
      <w:sz w:val="17"/>
      <w:szCs w:val="24"/>
      <w:lang w:val="en-GB" w:eastAsia="en-GB"/>
    </w:rPr>
  </w:style>
  <w:style w:type="paragraph" w:customStyle="1" w:styleId="Numberedlevel2">
    <w:name w:val="_Numbered level 2"/>
    <w:basedOn w:val="Numberedlevel1"/>
    <w:next w:val="Numberedlevel3"/>
    <w:rsid w:val="00F37CC6"/>
    <w:pPr>
      <w:numPr>
        <w:ilvl w:val="1"/>
      </w:numPr>
      <w:tabs>
        <w:tab w:val="left" w:pos="340"/>
      </w:tabs>
      <w:spacing w:before="0"/>
    </w:pPr>
    <w:rPr>
      <w:b w:val="0"/>
      <w:sz w:val="14"/>
    </w:rPr>
  </w:style>
  <w:style w:type="paragraph" w:customStyle="1" w:styleId="Numberedlevel3">
    <w:name w:val="_Numbered level 3"/>
    <w:basedOn w:val="List"/>
    <w:rsid w:val="00F37CC6"/>
    <w:pPr>
      <w:numPr>
        <w:ilvl w:val="2"/>
        <w:numId w:val="16"/>
      </w:numPr>
      <w:spacing w:before="120" w:after="120" w:line="170" w:lineRule="atLeast"/>
    </w:pPr>
    <w:rPr>
      <w:rFonts w:ascii="Arial" w:hAnsi="Arial" w:cs="Arial"/>
      <w:sz w:val="14"/>
      <w:szCs w:val="24"/>
      <w:lang w:val="en-GB" w:eastAsia="en-GB"/>
    </w:rPr>
  </w:style>
  <w:style w:type="character" w:customStyle="1" w:styleId="Contactbold">
    <w:name w:val="_Contact bold"/>
    <w:basedOn w:val="baseChar"/>
    <w:uiPriority w:val="1"/>
    <w:qFormat/>
    <w:rsid w:val="00F37CC6"/>
    <w:rPr>
      <w:rFonts w:ascii="Arial" w:eastAsia="Calibri" w:hAnsi="Arial"/>
      <w:b/>
      <w:color w:val="000000"/>
      <w:sz w:val="20"/>
      <w:szCs w:val="22"/>
      <w:lang w:val="en-GB" w:eastAsia="en-US"/>
    </w:rPr>
  </w:style>
  <w:style w:type="paragraph" w:customStyle="1" w:styleId="Figuretableheading">
    <w:name w:val="Figure/table heading"/>
    <w:qFormat/>
    <w:rsid w:val="00F37CC6"/>
    <w:pPr>
      <w:spacing w:before="60" w:after="60"/>
    </w:pPr>
    <w:rPr>
      <w:rFonts w:ascii="Univers 45 Light" w:hAnsi="Univers 45 Light"/>
      <w:b/>
      <w:i/>
      <w:szCs w:val="24"/>
    </w:rPr>
  </w:style>
  <w:style w:type="paragraph" w:customStyle="1" w:styleId="Covertitle">
    <w:name w:val="Cover title"/>
    <w:rsid w:val="00F37CC6"/>
    <w:pPr>
      <w:spacing w:after="1440"/>
    </w:pPr>
    <w:rPr>
      <w:rFonts w:ascii="Univers 45 Light" w:eastAsia="Calibri" w:hAnsi="Univers 45 Light"/>
      <w:b/>
      <w:color w:val="FFFFFF"/>
      <w:sz w:val="72"/>
      <w:szCs w:val="72"/>
      <w:lang w:val="en-GB" w:eastAsia="en-US"/>
    </w:rPr>
  </w:style>
  <w:style w:type="paragraph" w:customStyle="1" w:styleId="Coveradditional">
    <w:name w:val="Cover additional"/>
    <w:qFormat/>
    <w:rsid w:val="00F37CC6"/>
    <w:pPr>
      <w:spacing w:after="360"/>
    </w:pPr>
    <w:rPr>
      <w:rFonts w:ascii="Univers 45 Light" w:eastAsia="Calibri" w:hAnsi="Univers 45 Light"/>
      <w:color w:val="FFFFFF"/>
      <w:sz w:val="28"/>
      <w:szCs w:val="28"/>
      <w:lang w:val="en-GB" w:eastAsia="en-US"/>
    </w:rPr>
  </w:style>
  <w:style w:type="paragraph" w:customStyle="1" w:styleId="Sectortheme">
    <w:name w:val="Sector theme"/>
    <w:basedOn w:val="Covertitle"/>
    <w:qFormat/>
    <w:rsid w:val="00F37CC6"/>
    <w:pPr>
      <w:spacing w:after="360"/>
    </w:pPr>
    <w:rPr>
      <w:b w:val="0"/>
      <w:caps/>
      <w:sz w:val="21"/>
    </w:rPr>
  </w:style>
  <w:style w:type="character" w:styleId="PlaceholderText">
    <w:name w:val="Placeholder Text"/>
    <w:basedOn w:val="DefaultParagraphFont"/>
    <w:uiPriority w:val="99"/>
    <w:semiHidden/>
    <w:rsid w:val="00F37CC6"/>
    <w:rPr>
      <w:color w:val="808080"/>
    </w:rPr>
  </w:style>
  <w:style w:type="paragraph" w:customStyle="1" w:styleId="HeadingLevel3NoNumber">
    <w:name w:val="HeadingLevel3NoNumber"/>
    <w:basedOn w:val="Heading3"/>
    <w:next w:val="BodyText0"/>
    <w:qFormat/>
    <w:rsid w:val="00982034"/>
  </w:style>
  <w:style w:type="character" w:customStyle="1" w:styleId="StyleStyleHeading2Univers45Light105ptNotItalicCustomChar">
    <w:name w:val="Style Style Heading 2 + Univers 45 Light 10.5 pt Not Italic Custom ... Char"/>
    <w:basedOn w:val="DefaultParagraphFont"/>
    <w:link w:val="StyleStyleHeading2Univers45Light105ptNotItalicCustom"/>
    <w:locked/>
    <w:rsid w:val="00F37CC6"/>
    <w:rPr>
      <w:rFonts w:ascii="Univers 45 Light" w:hAnsi="Univers 45 Light"/>
      <w:i/>
      <w:iCs/>
      <w:color w:val="00338D"/>
      <w:sz w:val="21"/>
    </w:rPr>
  </w:style>
  <w:style w:type="paragraph" w:customStyle="1" w:styleId="StyleStyleHeading2Univers45Light105ptNotItalicCustom">
    <w:name w:val="Style Style Heading 2 + Univers 45 Light 10.5 pt Not Italic Custom ..."/>
    <w:basedOn w:val="Normal"/>
    <w:link w:val="StyleStyleHeading2Univers45Light105ptNotItalicCustomChar"/>
    <w:rsid w:val="00F37CC6"/>
    <w:pPr>
      <w:keepNext/>
      <w:spacing w:before="240" w:line="240" w:lineRule="auto"/>
      <w:jc w:val="both"/>
      <w:outlineLvl w:val="1"/>
    </w:pPr>
    <w:rPr>
      <w:i/>
      <w:iCs/>
      <w:color w:val="00338D"/>
      <w:sz w:val="21"/>
      <w:lang w:eastAsia="en-AU"/>
    </w:rPr>
  </w:style>
  <w:style w:type="character" w:customStyle="1" w:styleId="TableHeading2Char">
    <w:name w:val="Table Heading 2 Char"/>
    <w:rsid w:val="00F37CC6"/>
    <w:rPr>
      <w:rFonts w:ascii="Univers 45 Light" w:hAnsi="Univers 45 Light"/>
      <w:b/>
      <w:bCs/>
      <w:color w:val="0C2D83"/>
      <w:szCs w:val="24"/>
      <w:lang w:val="en-AU" w:eastAsia="en-US" w:bidi="ar-SA"/>
    </w:rPr>
  </w:style>
  <w:style w:type="paragraph" w:customStyle="1" w:styleId="AppendixHeading2">
    <w:name w:val="Appendix Heading 2"/>
    <w:basedOn w:val="Heading2"/>
    <w:next w:val="BodyText"/>
    <w:rsid w:val="00D978FE"/>
    <w:pPr>
      <w:numPr>
        <w:numId w:val="17"/>
      </w:numPr>
      <w:tabs>
        <w:tab w:val="clear" w:pos="998"/>
        <w:tab w:val="left" w:pos="964"/>
      </w:tabs>
      <w:spacing w:before="240"/>
      <w:outlineLvl w:val="9"/>
    </w:pPr>
    <w:rPr>
      <w:bCs w:val="0"/>
      <w:szCs w:val="20"/>
    </w:rPr>
  </w:style>
  <w:style w:type="paragraph" w:customStyle="1" w:styleId="AppendixHeading3">
    <w:name w:val="Appendix Heading 3"/>
    <w:basedOn w:val="Heading3"/>
    <w:next w:val="BodyText"/>
    <w:rsid w:val="002D788F"/>
    <w:pPr>
      <w:keepLines w:val="0"/>
      <w:tabs>
        <w:tab w:val="left" w:pos="357"/>
        <w:tab w:val="num" w:pos="964"/>
      </w:tabs>
      <w:spacing w:before="240"/>
      <w:ind w:left="964" w:hanging="964"/>
      <w:outlineLvl w:val="9"/>
    </w:pPr>
    <w:rPr>
      <w:bCs w:val="0"/>
      <w:szCs w:val="20"/>
    </w:rPr>
  </w:style>
  <w:style w:type="paragraph" w:customStyle="1" w:styleId="AppendixHeading4">
    <w:name w:val="Appendix Heading 4"/>
    <w:basedOn w:val="Heading4"/>
    <w:next w:val="BodyText"/>
    <w:rsid w:val="00D978FE"/>
    <w:pPr>
      <w:tabs>
        <w:tab w:val="left" w:pos="964"/>
      </w:tabs>
      <w:spacing w:before="240" w:line="240" w:lineRule="auto"/>
      <w:ind w:left="964" w:hanging="964"/>
      <w:outlineLvl w:val="9"/>
    </w:pPr>
    <w:rPr>
      <w:i w:val="0"/>
      <w:iCs w:val="0"/>
      <w:szCs w:val="20"/>
    </w:rPr>
  </w:style>
  <w:style w:type="paragraph" w:customStyle="1" w:styleId="StyleListBulletllistnospaceafterNECGListBulletListBu1">
    <w:name w:val="Style List Bulletllist no space after(NECG) List Bullet*List Bu...1"/>
    <w:basedOn w:val="ListBullet"/>
    <w:rsid w:val="00F37CC6"/>
    <w:pPr>
      <w:numPr>
        <w:numId w:val="0"/>
      </w:numPr>
      <w:tabs>
        <w:tab w:val="num" w:pos="851"/>
      </w:tabs>
      <w:spacing w:before="130" w:line="240" w:lineRule="auto"/>
      <w:ind w:left="851" w:hanging="284"/>
    </w:pPr>
    <w:rPr>
      <w:rFonts w:ascii="Microsoft Sans Serif" w:hAnsi="Microsoft Sans Serif"/>
      <w:color w:val="auto"/>
      <w:szCs w:val="20"/>
    </w:rPr>
  </w:style>
  <w:style w:type="paragraph" w:customStyle="1" w:styleId="Bodytext3">
    <w:name w:val="_Body text"/>
    <w:basedOn w:val="BodyText"/>
    <w:link w:val="BodytextChar1"/>
    <w:rsid w:val="00F37CC6"/>
    <w:pPr>
      <w:tabs>
        <w:tab w:val="left" w:pos="3100"/>
      </w:tabs>
      <w:spacing w:before="60" w:line="240" w:lineRule="auto"/>
    </w:pPr>
  </w:style>
  <w:style w:type="character" w:customStyle="1" w:styleId="BodytextChar1">
    <w:name w:val="_Body text Char"/>
    <w:basedOn w:val="DefaultParagraphFont"/>
    <w:link w:val="Bodytext3"/>
    <w:rsid w:val="00F37CC6"/>
    <w:rPr>
      <w:rFonts w:ascii="Univers 45 Light" w:hAnsi="Univers 45 Light"/>
      <w:szCs w:val="22"/>
      <w:lang w:eastAsia="en-US"/>
    </w:rPr>
  </w:style>
  <w:style w:type="paragraph" w:customStyle="1" w:styleId="BodyBullet0">
    <w:name w:val="Body Bullet"/>
    <w:next w:val="BodyText"/>
    <w:rsid w:val="00F37CC6"/>
    <w:pPr>
      <w:numPr>
        <w:numId w:val="18"/>
      </w:numPr>
      <w:spacing w:before="40" w:after="40"/>
      <w:jc w:val="both"/>
    </w:pPr>
    <w:rPr>
      <w:rFonts w:ascii="Univers 45 Light" w:hAnsi="Univers 45 Light"/>
      <w:szCs w:val="22"/>
      <w:lang w:eastAsia="en-US"/>
    </w:rPr>
  </w:style>
  <w:style w:type="paragraph" w:customStyle="1" w:styleId="StyleBodyTextblockbtBodytextbodytextbodyBodyText1Notic">
    <w:name w:val="Style Body TextblockbtBody textbody textbodyBody Text 1Notic..."/>
    <w:basedOn w:val="BodyText"/>
    <w:rsid w:val="00F37CC6"/>
    <w:pPr>
      <w:spacing w:line="240" w:lineRule="auto"/>
    </w:pPr>
    <w:rPr>
      <w:szCs w:val="20"/>
    </w:rPr>
  </w:style>
  <w:style w:type="paragraph" w:customStyle="1" w:styleId="StyleBodyTextblockbtBodytextbodytextbodyBodyText1Notic2">
    <w:name w:val="Style Body TextblockbtBody textbody textbodyBody Text 1Notic...2"/>
    <w:basedOn w:val="BodyText"/>
    <w:link w:val="StyleBodyTextblockbtBodytextbodytextbodyBodyText1Notic2Char"/>
    <w:rsid w:val="00F37CC6"/>
    <w:pPr>
      <w:spacing w:line="240" w:lineRule="auto"/>
    </w:pPr>
  </w:style>
  <w:style w:type="character" w:customStyle="1" w:styleId="StyleBodyTextblockbtBodytextbodytextbodyBodyText1Notic2Char">
    <w:name w:val="Style Body TextblockbtBody textbody textbodyBody Text 1Notic...2 Char"/>
    <w:basedOn w:val="DefaultParagraphFont"/>
    <w:link w:val="StyleBodyTextblockbtBodytextbodytextbodyBodyText1Notic2"/>
    <w:rsid w:val="00F37CC6"/>
    <w:rPr>
      <w:rFonts w:ascii="Calibri" w:hAnsi="Calibri"/>
      <w:sz w:val="21"/>
      <w:szCs w:val="22"/>
      <w:lang w:eastAsia="en-US"/>
    </w:rPr>
  </w:style>
  <w:style w:type="paragraph" w:customStyle="1" w:styleId="StyleHeading1Justified">
    <w:name w:val="Style Heading 1 + Justified"/>
    <w:basedOn w:val="Heading1"/>
    <w:rsid w:val="00F37CC6"/>
    <w:pPr>
      <w:numPr>
        <w:numId w:val="19"/>
      </w:numPr>
    </w:pPr>
  </w:style>
  <w:style w:type="paragraph" w:customStyle="1" w:styleId="StyleBodyTextMicrosoftSansSerif">
    <w:name w:val="Style BodyText + Microsoft Sans Serif"/>
    <w:basedOn w:val="BodyText0"/>
    <w:rsid w:val="00F37CC6"/>
    <w:pPr>
      <w:spacing w:before="120" w:after="120"/>
      <w:jc w:val="both"/>
    </w:pPr>
    <w:rPr>
      <w:rFonts w:ascii="Times New Roman" w:hAnsi="Times New Roman"/>
      <w:sz w:val="21"/>
    </w:rPr>
  </w:style>
  <w:style w:type="paragraph" w:customStyle="1" w:styleId="StyleHeading2headlineh2headlineh2h2mainheadingBSubBold">
    <w:name w:val="Style Heading 2headlineh2 headlineh2h2 main headingB Sub/Bold..."/>
    <w:basedOn w:val="Heading2"/>
    <w:rsid w:val="00F37CC6"/>
    <w:pPr>
      <w:tabs>
        <w:tab w:val="clear" w:pos="998"/>
        <w:tab w:val="num" w:pos="576"/>
      </w:tabs>
      <w:spacing w:after="240" w:line="280" w:lineRule="atLeast"/>
      <w:ind w:left="576" w:hanging="576"/>
    </w:pPr>
    <w:rPr>
      <w:rFonts w:ascii="Calibri" w:hAnsi="Calibri"/>
      <w:sz w:val="24"/>
      <w:szCs w:val="20"/>
    </w:rPr>
  </w:style>
  <w:style w:type="paragraph" w:styleId="EndnoteText">
    <w:name w:val="endnote text"/>
    <w:basedOn w:val="Normal"/>
    <w:link w:val="EndnoteTextChar"/>
    <w:uiPriority w:val="99"/>
    <w:rsid w:val="00EA33BE"/>
    <w:pPr>
      <w:spacing w:before="120" w:after="120" w:line="240" w:lineRule="auto"/>
      <w:ind w:left="567" w:hanging="567"/>
    </w:pPr>
    <w:rPr>
      <w:lang w:eastAsia="en-AU"/>
    </w:rPr>
  </w:style>
  <w:style w:type="character" w:customStyle="1" w:styleId="EndnoteTextChar">
    <w:name w:val="Endnote Text Char"/>
    <w:basedOn w:val="DefaultParagraphFont"/>
    <w:link w:val="EndnoteText"/>
    <w:uiPriority w:val="99"/>
    <w:rsid w:val="00EA33BE"/>
    <w:rPr>
      <w:rFonts w:ascii="Univers 45 Light" w:hAnsi="Univers 45 Light"/>
    </w:rPr>
  </w:style>
  <w:style w:type="paragraph" w:customStyle="1" w:styleId="A-225125Leader">
    <w:name w:val="A-2/2.5/12.5/Leader"/>
    <w:basedOn w:val="Normal"/>
    <w:rsid w:val="00F37CC6"/>
    <w:pPr>
      <w:tabs>
        <w:tab w:val="left" w:pos="1120"/>
        <w:tab w:val="left" w:leader="dot" w:pos="7080"/>
      </w:tabs>
      <w:spacing w:after="80" w:line="240" w:lineRule="auto"/>
      <w:ind w:left="1400" w:hanging="1400"/>
    </w:pPr>
    <w:rPr>
      <w:rFonts w:ascii="Helvetica" w:hAnsi="Helvetica"/>
      <w:sz w:val="24"/>
      <w:lang w:eastAsia="en-AU"/>
    </w:rPr>
  </w:style>
  <w:style w:type="paragraph" w:customStyle="1" w:styleId="CVbullet0">
    <w:name w:val="_CV bullet"/>
    <w:basedOn w:val="Normal"/>
    <w:link w:val="CVbulletCharChar"/>
    <w:rsid w:val="00F37CC6"/>
    <w:pPr>
      <w:numPr>
        <w:numId w:val="20"/>
      </w:numPr>
      <w:spacing w:before="20" w:after="20" w:line="240" w:lineRule="auto"/>
    </w:pPr>
    <w:rPr>
      <w:color w:val="000000"/>
      <w:sz w:val="18"/>
      <w:szCs w:val="22"/>
    </w:rPr>
  </w:style>
  <w:style w:type="character" w:customStyle="1" w:styleId="CVbulletCharChar">
    <w:name w:val="_CV bullet Char Char"/>
    <w:basedOn w:val="DefaultParagraphFont"/>
    <w:link w:val="CVbullet0"/>
    <w:rsid w:val="00F37CC6"/>
    <w:rPr>
      <w:rFonts w:ascii="Univers 45 Light" w:hAnsi="Univers 45 Light"/>
      <w:color w:val="000000"/>
      <w:sz w:val="18"/>
      <w:szCs w:val="22"/>
      <w:lang w:eastAsia="en-US"/>
    </w:rPr>
  </w:style>
  <w:style w:type="paragraph" w:customStyle="1" w:styleId="CVContactdetails">
    <w:name w:val="CV Contact details"/>
    <w:basedOn w:val="Normal"/>
    <w:rsid w:val="00F37CC6"/>
    <w:pPr>
      <w:spacing w:before="20" w:after="20" w:line="220" w:lineRule="atLeast"/>
      <w:jc w:val="both"/>
    </w:pPr>
    <w:rPr>
      <w:noProof/>
      <w:color w:val="FFFFFF"/>
      <w:szCs w:val="18"/>
    </w:rPr>
  </w:style>
  <w:style w:type="paragraph" w:customStyle="1" w:styleId="Resumename">
    <w:name w:val="Resume name"/>
    <w:basedOn w:val="Normal"/>
    <w:link w:val="ResumenameChar"/>
    <w:rsid w:val="00F37CC6"/>
    <w:pPr>
      <w:tabs>
        <w:tab w:val="left" w:pos="3600"/>
      </w:tabs>
      <w:spacing w:line="240" w:lineRule="auto"/>
    </w:pPr>
    <w:rPr>
      <w:rFonts w:ascii="Univers 55" w:hAnsi="Univers 55"/>
      <w:b/>
      <w:color w:val="68820B"/>
      <w:lang w:val="en-US"/>
    </w:rPr>
  </w:style>
  <w:style w:type="character" w:customStyle="1" w:styleId="ResumenameChar">
    <w:name w:val="Resume name Char"/>
    <w:basedOn w:val="DefaultParagraphFont"/>
    <w:link w:val="Resumename"/>
    <w:rsid w:val="00F37CC6"/>
    <w:rPr>
      <w:rFonts w:ascii="Univers 55" w:hAnsi="Univers 55"/>
      <w:b/>
      <w:color w:val="68820B"/>
      <w:lang w:val="en-US" w:eastAsia="en-US"/>
    </w:rPr>
  </w:style>
  <w:style w:type="character" w:styleId="Strong">
    <w:name w:val="Strong"/>
    <w:basedOn w:val="DefaultParagraphFont"/>
    <w:uiPriority w:val="22"/>
    <w:qFormat/>
    <w:rsid w:val="00F37CC6"/>
    <w:rPr>
      <w:b/>
      <w:bCs/>
    </w:rPr>
  </w:style>
  <w:style w:type="character" w:styleId="FollowedHyperlink">
    <w:name w:val="FollowedHyperlink"/>
    <w:basedOn w:val="DefaultParagraphFont"/>
    <w:rsid w:val="00F37CC6"/>
    <w:rPr>
      <w:color w:val="800080"/>
      <w:u w:val="single"/>
    </w:rPr>
  </w:style>
  <w:style w:type="paragraph" w:styleId="Revision">
    <w:name w:val="Revision"/>
    <w:hidden/>
    <w:uiPriority w:val="99"/>
    <w:semiHidden/>
    <w:rsid w:val="00F37CC6"/>
    <w:rPr>
      <w:rFonts w:ascii="Univers 45 Light" w:hAnsi="Univers 45 Light"/>
      <w:szCs w:val="24"/>
    </w:rPr>
  </w:style>
  <w:style w:type="paragraph" w:customStyle="1" w:styleId="BodyTextBlue">
    <w:name w:val="BodyTextBlue"/>
    <w:basedOn w:val="BodyText"/>
    <w:qFormat/>
    <w:rsid w:val="00F37CC6"/>
    <w:pPr>
      <w:spacing w:line="240" w:lineRule="auto"/>
    </w:pPr>
    <w:rPr>
      <w:rFonts w:cs="Arial"/>
      <w:bCs/>
      <w:color w:val="000000"/>
    </w:rPr>
  </w:style>
  <w:style w:type="paragraph" w:customStyle="1" w:styleId="StyleListBulletllistnospaceafterNECGListBulletListBu">
    <w:name w:val="Style List Bulletllist no space after(NECG) List Bullet*List Bu..."/>
    <w:basedOn w:val="ListBullet"/>
    <w:rsid w:val="00F37CC6"/>
    <w:pPr>
      <w:numPr>
        <w:numId w:val="0"/>
      </w:numPr>
      <w:tabs>
        <w:tab w:val="num" w:pos="360"/>
      </w:tabs>
      <w:spacing w:line="240" w:lineRule="auto"/>
      <w:ind w:left="360" w:hanging="360"/>
    </w:pPr>
    <w:rPr>
      <w:szCs w:val="20"/>
    </w:rPr>
  </w:style>
  <w:style w:type="paragraph" w:customStyle="1" w:styleId="null1">
    <w:name w:val="null1"/>
    <w:basedOn w:val="Normal"/>
    <w:rsid w:val="00F37CC6"/>
    <w:pPr>
      <w:spacing w:after="150" w:line="240" w:lineRule="auto"/>
    </w:pPr>
    <w:rPr>
      <w:rFonts w:ascii="Times New Roman" w:hAnsi="Times New Roman"/>
      <w:sz w:val="31"/>
      <w:szCs w:val="31"/>
      <w:lang w:eastAsia="en-AU"/>
    </w:rPr>
  </w:style>
  <w:style w:type="paragraph" w:customStyle="1" w:styleId="cvheaderlevel1">
    <w:name w:val="cv header level 1"/>
    <w:basedOn w:val="Normal"/>
    <w:rsid w:val="00F37CC6"/>
    <w:pPr>
      <w:spacing w:line="280" w:lineRule="atLeast"/>
    </w:pPr>
    <w:rPr>
      <w:rFonts w:ascii="Helvetica" w:eastAsia="Times" w:hAnsi="Helvetica"/>
      <w:b/>
      <w:sz w:val="24"/>
      <w:szCs w:val="22"/>
      <w:lang w:val="en-GB"/>
    </w:rPr>
  </w:style>
  <w:style w:type="paragraph" w:customStyle="1" w:styleId="CVTitle0">
    <w:name w:val="CV Title"/>
    <w:basedOn w:val="Normal"/>
    <w:qFormat/>
    <w:rsid w:val="00F37CC6"/>
    <w:pPr>
      <w:tabs>
        <w:tab w:val="left" w:pos="3600"/>
      </w:tabs>
      <w:spacing w:line="240" w:lineRule="auto"/>
    </w:pPr>
    <w:rPr>
      <w:rFonts w:cs="Arial"/>
      <w:bCs/>
      <w:color w:val="0C2D83"/>
    </w:rPr>
  </w:style>
  <w:style w:type="character" w:styleId="Emphasis">
    <w:name w:val="Emphasis"/>
    <w:basedOn w:val="DefaultParagraphFont"/>
    <w:uiPriority w:val="20"/>
    <w:qFormat/>
    <w:rsid w:val="00F37CC6"/>
    <w:rPr>
      <w:i/>
      <w:iCs/>
    </w:rPr>
  </w:style>
  <w:style w:type="paragraph" w:customStyle="1" w:styleId="Appendix4">
    <w:name w:val="Appendix 4"/>
    <w:basedOn w:val="Heading4"/>
    <w:rsid w:val="00F37CC6"/>
    <w:rPr>
      <w:rFonts w:ascii="Calibri" w:hAnsi="Calibri"/>
    </w:rPr>
  </w:style>
  <w:style w:type="paragraph" w:customStyle="1" w:styleId="BulletText1">
    <w:name w:val="Bullet Text 1"/>
    <w:basedOn w:val="BlockText"/>
    <w:rsid w:val="00F37CC6"/>
    <w:pPr>
      <w:numPr>
        <w:numId w:val="21"/>
      </w:numPr>
      <w:spacing w:before="60" w:after="60" w:line="240" w:lineRule="auto"/>
      <w:ind w:right="0"/>
    </w:pPr>
    <w:rPr>
      <w:rFonts w:ascii="Arial" w:hAnsi="Arial" w:cs="Arial"/>
      <w:bCs/>
      <w:spacing w:val="-3"/>
      <w:sz w:val="18"/>
    </w:rPr>
  </w:style>
  <w:style w:type="table" w:styleId="MediumGrid1-Accent1">
    <w:name w:val="Medium Grid 1 Accent 1"/>
    <w:basedOn w:val="TableNormal"/>
    <w:uiPriority w:val="67"/>
    <w:rsid w:val="00F37CC6"/>
    <w:rPr>
      <w:lang w:eastAsia="ja-JP"/>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List-Accent11">
    <w:name w:val="Light List - Accent 11"/>
    <w:basedOn w:val="TableNormal"/>
    <w:uiPriority w:val="61"/>
    <w:rsid w:val="00F37CC6"/>
    <w:rPr>
      <w:lang w:eastAsia="ja-JP"/>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styleId="EndnoteReference">
    <w:name w:val="endnote reference"/>
    <w:basedOn w:val="DefaultParagraphFont"/>
    <w:rsid w:val="00DE2761"/>
    <w:rPr>
      <w:vertAlign w:val="superscript"/>
    </w:rPr>
  </w:style>
  <w:style w:type="paragraph" w:customStyle="1" w:styleId="Tablebodytext">
    <w:name w:val="Table body text"/>
    <w:basedOn w:val="BodyText"/>
    <w:link w:val="TablebodytextChar"/>
    <w:rsid w:val="00E81B00"/>
    <w:pPr>
      <w:spacing w:before="60" w:after="0" w:line="240" w:lineRule="auto"/>
      <w:jc w:val="left"/>
    </w:pPr>
    <w:rPr>
      <w:sz w:val="18"/>
      <w:szCs w:val="20"/>
    </w:rPr>
  </w:style>
  <w:style w:type="character" w:customStyle="1" w:styleId="TablebodytextChar">
    <w:name w:val="Table body text Char"/>
    <w:basedOn w:val="DefaultParagraphFont"/>
    <w:link w:val="Tablebodytext"/>
    <w:rsid w:val="00E81B00"/>
    <w:rPr>
      <w:rFonts w:ascii="Univers 45 Light" w:hAnsi="Univers 45 Light"/>
      <w:sz w:val="18"/>
      <w:lang w:eastAsia="en-US"/>
    </w:rPr>
  </w:style>
  <w:style w:type="paragraph" w:customStyle="1" w:styleId="TableHeading1">
    <w:name w:val="Table Heading 1"/>
    <w:basedOn w:val="Tablebodytext"/>
    <w:rsid w:val="00AF6AAE"/>
    <w:rPr>
      <w:b/>
      <w:color w:val="FFFFFF"/>
    </w:rPr>
  </w:style>
  <w:style w:type="paragraph" w:customStyle="1" w:styleId="BodyText10">
    <w:name w:val="Body Text 1"/>
    <w:basedOn w:val="Normal"/>
    <w:rsid w:val="00D857D6"/>
    <w:pPr>
      <w:spacing w:before="240" w:after="120" w:line="240" w:lineRule="atLeast"/>
    </w:pPr>
    <w:rPr>
      <w:szCs w:val="22"/>
    </w:rPr>
  </w:style>
  <w:style w:type="paragraph" w:customStyle="1" w:styleId="source">
    <w:name w:val="source"/>
    <w:basedOn w:val="Caption"/>
    <w:qFormat/>
    <w:rsid w:val="00C0745C"/>
    <w:pPr>
      <w:keepNext w:val="0"/>
    </w:pPr>
    <w:rPr>
      <w:sz w:val="16"/>
      <w:szCs w:val="16"/>
    </w:rPr>
  </w:style>
  <w:style w:type="paragraph" w:customStyle="1" w:styleId="zreportname">
    <w:name w:val="zreport name"/>
    <w:basedOn w:val="Normal"/>
    <w:semiHidden/>
    <w:rsid w:val="00CF52A7"/>
    <w:pPr>
      <w:keepLines/>
      <w:spacing w:line="440" w:lineRule="exact"/>
      <w:jc w:val="center"/>
    </w:pPr>
    <w:rPr>
      <w:rFonts w:ascii="Times New Roman" w:hAnsi="Times New Roman"/>
      <w:sz w:val="36"/>
    </w:rPr>
  </w:style>
  <w:style w:type="paragraph" w:customStyle="1" w:styleId="zcontents">
    <w:name w:val="zcontents"/>
    <w:basedOn w:val="Normal"/>
    <w:semiHidden/>
    <w:rsid w:val="00CF52A7"/>
    <w:pPr>
      <w:spacing w:after="260" w:line="240" w:lineRule="auto"/>
    </w:pPr>
    <w:rPr>
      <w:b/>
      <w:color w:val="000080"/>
      <w:sz w:val="24"/>
    </w:rPr>
  </w:style>
  <w:style w:type="paragraph" w:customStyle="1" w:styleId="zcompanyname">
    <w:name w:val="zcompany name"/>
    <w:basedOn w:val="Normal"/>
    <w:semiHidden/>
    <w:rsid w:val="00CF52A7"/>
    <w:pPr>
      <w:spacing w:after="400" w:line="440" w:lineRule="exact"/>
      <w:jc w:val="center"/>
    </w:pPr>
    <w:rPr>
      <w:rFonts w:ascii="Times New Roman" w:hAnsi="Times New Roman"/>
      <w:b/>
      <w:noProof/>
      <w:sz w:val="26"/>
    </w:rPr>
  </w:style>
  <w:style w:type="paragraph" w:customStyle="1" w:styleId="zreportsubtitle">
    <w:name w:val="zreport subtitle"/>
    <w:basedOn w:val="zreportname"/>
    <w:semiHidden/>
    <w:rsid w:val="00CF52A7"/>
  </w:style>
  <w:style w:type="paragraph" w:styleId="Index1">
    <w:name w:val="index 1"/>
    <w:basedOn w:val="Normal"/>
    <w:next w:val="Normal"/>
    <w:rsid w:val="00CF52A7"/>
    <w:pPr>
      <w:keepNext/>
      <w:spacing w:before="260" w:line="280" w:lineRule="exact"/>
      <w:ind w:right="851"/>
    </w:pPr>
    <w:rPr>
      <w:rFonts w:ascii="Times New Roman" w:hAnsi="Times New Roman"/>
      <w:b/>
      <w:sz w:val="24"/>
    </w:rPr>
  </w:style>
  <w:style w:type="paragraph" w:styleId="Index2">
    <w:name w:val="index 2"/>
    <w:basedOn w:val="Normal"/>
    <w:next w:val="Normal"/>
    <w:rsid w:val="00CF52A7"/>
    <w:pPr>
      <w:spacing w:line="240" w:lineRule="auto"/>
      <w:ind w:left="340" w:right="851"/>
    </w:pPr>
    <w:rPr>
      <w:rFonts w:ascii="Times New Roman" w:hAnsi="Times New Roman"/>
      <w:sz w:val="22"/>
    </w:rPr>
  </w:style>
  <w:style w:type="paragraph" w:customStyle="1" w:styleId="zreportaddinfo">
    <w:name w:val="zreport addinfo"/>
    <w:basedOn w:val="Normal"/>
    <w:semiHidden/>
    <w:rsid w:val="00CF52A7"/>
    <w:pPr>
      <w:framePr w:wrap="around" w:hAnchor="margin" w:xAlign="center" w:yAlign="bottom"/>
      <w:spacing w:line="240" w:lineRule="exact"/>
      <w:jc w:val="center"/>
    </w:pPr>
    <w:rPr>
      <w:rFonts w:ascii="Times New Roman" w:hAnsi="Times New Roman"/>
      <w:noProof/>
    </w:rPr>
  </w:style>
  <w:style w:type="paragraph" w:styleId="ListBullet3">
    <w:name w:val="List Bullet 3"/>
    <w:basedOn w:val="ListBullet"/>
    <w:qFormat/>
    <w:rsid w:val="00CF52A7"/>
    <w:pPr>
      <w:numPr>
        <w:numId w:val="0"/>
      </w:numPr>
      <w:spacing w:before="130" w:after="0" w:line="240" w:lineRule="auto"/>
    </w:pPr>
    <w:rPr>
      <w:color w:val="auto"/>
      <w:sz w:val="18"/>
      <w:szCs w:val="20"/>
    </w:rPr>
  </w:style>
  <w:style w:type="paragraph" w:styleId="BodyText30">
    <w:name w:val="Body Text 3"/>
    <w:aliases w:val="Panel body text"/>
    <w:basedOn w:val="Normal"/>
    <w:link w:val="BodyText3Char"/>
    <w:rsid w:val="00CF52A7"/>
    <w:pPr>
      <w:spacing w:line="240" w:lineRule="auto"/>
    </w:pPr>
    <w:rPr>
      <w:b/>
      <w:color w:val="003366"/>
      <w:sz w:val="18"/>
      <w:szCs w:val="18"/>
    </w:rPr>
  </w:style>
  <w:style w:type="character" w:customStyle="1" w:styleId="BodyText3Char">
    <w:name w:val="Body Text 3 Char"/>
    <w:aliases w:val="Panel body text Char"/>
    <w:basedOn w:val="DefaultParagraphFont"/>
    <w:link w:val="BodyText30"/>
    <w:rsid w:val="00CF52A7"/>
    <w:rPr>
      <w:rFonts w:ascii="Univers 45 Light" w:hAnsi="Univers 45 Light"/>
      <w:b/>
      <w:color w:val="003366"/>
      <w:sz w:val="18"/>
      <w:szCs w:val="18"/>
      <w:lang w:eastAsia="en-US"/>
    </w:rPr>
  </w:style>
  <w:style w:type="paragraph" w:styleId="ListBullet4">
    <w:name w:val="List Bullet 4"/>
    <w:basedOn w:val="ListBullet2"/>
    <w:rsid w:val="00CF52A7"/>
    <w:pPr>
      <w:numPr>
        <w:numId w:val="22"/>
      </w:numPr>
      <w:tabs>
        <w:tab w:val="left" w:pos="714"/>
      </w:tabs>
      <w:spacing w:before="130" w:after="0"/>
    </w:pPr>
    <w:rPr>
      <w:color w:val="auto"/>
      <w:sz w:val="18"/>
      <w:szCs w:val="20"/>
    </w:rPr>
  </w:style>
  <w:style w:type="paragraph" w:customStyle="1" w:styleId="zDocRevwH2">
    <w:name w:val="zDocRevwH2"/>
    <w:basedOn w:val="Normal"/>
    <w:semiHidden/>
    <w:rsid w:val="00CF52A7"/>
    <w:pPr>
      <w:spacing w:before="130" w:after="130" w:line="240" w:lineRule="auto"/>
    </w:pPr>
    <w:rPr>
      <w:rFonts w:ascii="Times New Roman" w:hAnsi="Times New Roman"/>
      <w:b/>
      <w:sz w:val="28"/>
    </w:rPr>
  </w:style>
  <w:style w:type="paragraph" w:customStyle="1" w:styleId="zDocRevwH1">
    <w:name w:val="zDocRevwH1"/>
    <w:basedOn w:val="Normal"/>
    <w:semiHidden/>
    <w:rsid w:val="00CF52A7"/>
    <w:pPr>
      <w:spacing w:before="130" w:after="130" w:line="240" w:lineRule="auto"/>
    </w:pPr>
    <w:rPr>
      <w:rFonts w:ascii="Times New Roman" w:hAnsi="Times New Roman"/>
      <w:b/>
      <w:sz w:val="32"/>
    </w:rPr>
  </w:style>
  <w:style w:type="paragraph" w:customStyle="1" w:styleId="Tabledotbullet">
    <w:name w:val="Table dot bullet"/>
    <w:basedOn w:val="ListBullet"/>
    <w:rsid w:val="00CF52A7"/>
    <w:pPr>
      <w:spacing w:before="60" w:after="0" w:line="240" w:lineRule="auto"/>
      <w:ind w:left="221" w:hanging="221"/>
    </w:pPr>
    <w:rPr>
      <w:color w:val="auto"/>
      <w:sz w:val="16"/>
      <w:szCs w:val="20"/>
    </w:rPr>
  </w:style>
  <w:style w:type="paragraph" w:customStyle="1" w:styleId="Tabledotbullet2">
    <w:name w:val="Table dot bullet 2"/>
    <w:basedOn w:val="ListBullet4"/>
    <w:rsid w:val="00C10F89"/>
    <w:pPr>
      <w:tabs>
        <w:tab w:val="clear" w:pos="714"/>
      </w:tabs>
      <w:spacing w:before="60"/>
    </w:pPr>
    <w:rPr>
      <w:sz w:val="16"/>
    </w:rPr>
  </w:style>
  <w:style w:type="paragraph" w:customStyle="1" w:styleId="ContentsPage">
    <w:name w:val="Contents Page"/>
    <w:basedOn w:val="Heading1"/>
    <w:next w:val="BodyText"/>
    <w:rsid w:val="00CF52A7"/>
    <w:pPr>
      <w:pBdr>
        <w:bottom w:val="single" w:sz="4" w:space="1" w:color="333399"/>
      </w:pBdr>
      <w:spacing w:line="220" w:lineRule="atLeast"/>
    </w:pPr>
    <w:rPr>
      <w:color w:val="003366"/>
      <w:szCs w:val="32"/>
    </w:rPr>
  </w:style>
  <w:style w:type="paragraph" w:customStyle="1" w:styleId="StyleBodyText1Before0pt">
    <w:name w:val="Style Body Text 1 + Before:  0 pt"/>
    <w:basedOn w:val="BodyText10"/>
    <w:rsid w:val="00CF52A7"/>
    <w:pPr>
      <w:spacing w:before="130" w:after="0" w:line="240" w:lineRule="auto"/>
      <w:jc w:val="both"/>
    </w:pPr>
    <w:rPr>
      <w:szCs w:val="20"/>
    </w:rPr>
  </w:style>
  <w:style w:type="paragraph" w:customStyle="1" w:styleId="StyleBodyText1Before6pt">
    <w:name w:val="Style Body Text 1 + Before:  6 pt"/>
    <w:basedOn w:val="BodyText10"/>
    <w:rsid w:val="00CF52A7"/>
    <w:pPr>
      <w:spacing w:before="130" w:after="0" w:line="240" w:lineRule="auto"/>
    </w:pPr>
    <w:rPr>
      <w:szCs w:val="20"/>
    </w:rPr>
  </w:style>
  <w:style w:type="paragraph" w:customStyle="1" w:styleId="TableBullet2">
    <w:name w:val="TableBullet2"/>
    <w:basedOn w:val="Tabledotbullet2"/>
    <w:rsid w:val="00CF52A7"/>
    <w:pPr>
      <w:keepLines/>
    </w:pPr>
    <w:rPr>
      <w:sz w:val="18"/>
    </w:rPr>
  </w:style>
  <w:style w:type="paragraph" w:customStyle="1" w:styleId="Tablehead">
    <w:name w:val="Tablehead"/>
    <w:basedOn w:val="BodyText"/>
    <w:rsid w:val="00CF52A7"/>
    <w:pPr>
      <w:spacing w:before="60" w:after="0" w:line="240" w:lineRule="auto"/>
    </w:pPr>
    <w:rPr>
      <w:b/>
      <w:color w:val="FFFFFF"/>
      <w:sz w:val="18"/>
      <w:szCs w:val="18"/>
      <w:shd w:val="clear" w:color="auto" w:fill="000080"/>
    </w:rPr>
  </w:style>
  <w:style w:type="paragraph" w:customStyle="1" w:styleId="bodyindentbullet1">
    <w:name w:val="bodyindentbullet1"/>
    <w:basedOn w:val="BodyText"/>
    <w:rsid w:val="00CF52A7"/>
    <w:pPr>
      <w:numPr>
        <w:ilvl w:val="1"/>
        <w:numId w:val="23"/>
      </w:numPr>
      <w:tabs>
        <w:tab w:val="clear" w:pos="340"/>
        <w:tab w:val="num" w:pos="770"/>
      </w:tabs>
      <w:spacing w:before="130" w:after="0" w:line="240" w:lineRule="auto"/>
      <w:ind w:left="770"/>
    </w:pPr>
    <w:rPr>
      <w:szCs w:val="20"/>
    </w:rPr>
  </w:style>
  <w:style w:type="character" w:customStyle="1" w:styleId="saptxtstd1">
    <w:name w:val="saptxtstd1"/>
    <w:basedOn w:val="DefaultParagraphFont"/>
    <w:rsid w:val="00CF52A7"/>
    <w:rPr>
      <w:rFonts w:ascii="Arial" w:hAnsi="Arial" w:cs="Arial" w:hint="default"/>
      <w:b w:val="0"/>
      <w:bCs w:val="0"/>
      <w:i w:val="0"/>
      <w:iCs w:val="0"/>
      <w:color w:val="000000"/>
      <w:sz w:val="20"/>
      <w:szCs w:val="20"/>
    </w:rPr>
  </w:style>
  <w:style w:type="paragraph" w:customStyle="1" w:styleId="TableSubHead">
    <w:name w:val="TableSubHead"/>
    <w:basedOn w:val="BodyText"/>
    <w:rsid w:val="00CF52A7"/>
    <w:pPr>
      <w:spacing w:before="130" w:after="0" w:line="240" w:lineRule="auto"/>
      <w:jc w:val="left"/>
    </w:pPr>
    <w:rPr>
      <w:b/>
      <w:color w:val="003366"/>
      <w:sz w:val="18"/>
      <w:szCs w:val="20"/>
    </w:rPr>
  </w:style>
  <w:style w:type="character" w:customStyle="1" w:styleId="hit1">
    <w:name w:val="hit1"/>
    <w:basedOn w:val="DefaultParagraphFont"/>
    <w:rsid w:val="00CF52A7"/>
  </w:style>
  <w:style w:type="character" w:customStyle="1" w:styleId="entry">
    <w:name w:val="entry"/>
    <w:basedOn w:val="DefaultParagraphFont"/>
    <w:rsid w:val="00CF52A7"/>
  </w:style>
  <w:style w:type="paragraph" w:styleId="TableofFigures">
    <w:name w:val="table of figures"/>
    <w:basedOn w:val="Normal"/>
    <w:next w:val="Normal"/>
    <w:uiPriority w:val="99"/>
    <w:rsid w:val="00CF52A7"/>
    <w:pPr>
      <w:spacing w:line="240" w:lineRule="auto"/>
    </w:pPr>
    <w:rPr>
      <w:sz w:val="22"/>
    </w:rPr>
  </w:style>
  <w:style w:type="character" w:customStyle="1" w:styleId="A1">
    <w:name w:val="A1"/>
    <w:uiPriority w:val="99"/>
    <w:rsid w:val="00CF52A7"/>
    <w:rPr>
      <w:rFonts w:cs="Univers 45 Light"/>
      <w:color w:val="56575A"/>
      <w:sz w:val="12"/>
      <w:szCs w:val="12"/>
    </w:rPr>
  </w:style>
  <w:style w:type="character" w:customStyle="1" w:styleId="slug-vol">
    <w:name w:val="slug-vol"/>
    <w:basedOn w:val="DefaultParagraphFont"/>
    <w:rsid w:val="00CF52A7"/>
    <w:rPr>
      <w:b/>
      <w:bCs/>
    </w:rPr>
  </w:style>
  <w:style w:type="character" w:customStyle="1" w:styleId="cit-sep1">
    <w:name w:val="cit-sep1"/>
    <w:basedOn w:val="DefaultParagraphFont"/>
    <w:rsid w:val="00CF52A7"/>
    <w:rPr>
      <w:b w:val="0"/>
      <w:bCs w:val="0"/>
    </w:rPr>
  </w:style>
  <w:style w:type="character" w:customStyle="1" w:styleId="jnl-title">
    <w:name w:val="jnl-title"/>
    <w:basedOn w:val="DefaultParagraphFont"/>
    <w:rsid w:val="00CF52A7"/>
  </w:style>
  <w:style w:type="character" w:customStyle="1" w:styleId="jnl-url">
    <w:name w:val="jnl-url"/>
    <w:basedOn w:val="DefaultParagraphFont"/>
    <w:rsid w:val="00CF52A7"/>
  </w:style>
  <w:style w:type="table" w:customStyle="1" w:styleId="MediumShading1-Accent11">
    <w:name w:val="Medium Shading 1 - Accent 11"/>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1">
    <w:name w:val="Medium Shading 1 - Accent 111"/>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2">
    <w:name w:val="Medium Shading 1 - Accent 112"/>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3">
    <w:name w:val="Medium Shading 1 - Accent 113"/>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4">
    <w:name w:val="Medium Shading 1 - Accent 114"/>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5">
    <w:name w:val="Medium Shading 1 - Accent 115"/>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6">
    <w:name w:val="Medium Shading 1 - Accent 116"/>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7">
    <w:name w:val="Medium Shading 1 - Accent 117"/>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character" w:customStyle="1" w:styleId="citation-abbreviation">
    <w:name w:val="citation-abbreviation"/>
    <w:basedOn w:val="DefaultParagraphFont"/>
    <w:rsid w:val="00E92269"/>
  </w:style>
  <w:style w:type="character" w:customStyle="1" w:styleId="citation-publication-date">
    <w:name w:val="citation-publication-date"/>
    <w:basedOn w:val="DefaultParagraphFont"/>
    <w:rsid w:val="00E92269"/>
  </w:style>
  <w:style w:type="character" w:customStyle="1" w:styleId="citation-volume">
    <w:name w:val="citation-volume"/>
    <w:basedOn w:val="DefaultParagraphFont"/>
    <w:rsid w:val="00E92269"/>
  </w:style>
  <w:style w:type="character" w:customStyle="1" w:styleId="citation-issue">
    <w:name w:val="citation-issue"/>
    <w:basedOn w:val="DefaultParagraphFont"/>
    <w:rsid w:val="00E92269"/>
  </w:style>
  <w:style w:type="character" w:customStyle="1" w:styleId="citation-flpages">
    <w:name w:val="citation-flpages"/>
    <w:basedOn w:val="DefaultParagraphFont"/>
    <w:rsid w:val="00E92269"/>
  </w:style>
  <w:style w:type="paragraph" w:customStyle="1" w:styleId="DecimalAligned">
    <w:name w:val="Decimal Aligned"/>
    <w:basedOn w:val="Normal"/>
    <w:uiPriority w:val="40"/>
    <w:qFormat/>
    <w:rsid w:val="00C4282F"/>
    <w:pPr>
      <w:tabs>
        <w:tab w:val="decimal" w:pos="360"/>
      </w:tabs>
      <w:spacing w:after="200" w:line="276" w:lineRule="auto"/>
    </w:pPr>
    <w:rPr>
      <w:rFonts w:asciiTheme="minorHAnsi" w:eastAsiaTheme="minorEastAsia" w:hAnsiTheme="minorHAnsi"/>
      <w:sz w:val="22"/>
      <w:szCs w:val="22"/>
      <w:lang w:val="en-US"/>
    </w:rPr>
  </w:style>
  <w:style w:type="character" w:styleId="SubtleEmphasis">
    <w:name w:val="Subtle Emphasis"/>
    <w:basedOn w:val="DefaultParagraphFont"/>
    <w:uiPriority w:val="19"/>
    <w:qFormat/>
    <w:rsid w:val="00C4282F"/>
    <w:rPr>
      <w:i/>
      <w:iCs/>
    </w:rPr>
  </w:style>
  <w:style w:type="table" w:styleId="LightShading-Accent1">
    <w:name w:val="Light Shading Accent 1"/>
    <w:basedOn w:val="TableNormal"/>
    <w:uiPriority w:val="60"/>
    <w:rsid w:val="00C4282F"/>
    <w:rPr>
      <w:rFonts w:asciiTheme="minorHAnsi" w:eastAsiaTheme="minorEastAsia" w:hAnsiTheme="minorHAnsi" w:cstheme="minorBidi"/>
      <w:color w:val="365F91" w:themeColor="accent1" w:themeShade="BF"/>
      <w:sz w:val="22"/>
      <w:szCs w:val="22"/>
      <w:lang w:val="en-US" w:eastAsia="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Table4-Accent11">
    <w:name w:val="List Table 4 - Accent 11"/>
    <w:basedOn w:val="TableNormal"/>
    <w:uiPriority w:val="49"/>
    <w:rsid w:val="00C4282F"/>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ListTable41">
    <w:name w:val="List Table 41"/>
    <w:basedOn w:val="TableNormal"/>
    <w:uiPriority w:val="49"/>
    <w:rsid w:val="00233772"/>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4-Accent12">
    <w:name w:val="List Table 4 - Accent 12"/>
    <w:basedOn w:val="TableNormal"/>
    <w:uiPriority w:val="49"/>
    <w:rsid w:val="002E59FA"/>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ListTable4-Accent13">
    <w:name w:val="List Table 4 - Accent 13"/>
    <w:basedOn w:val="TableNormal"/>
    <w:uiPriority w:val="49"/>
    <w:rsid w:val="003A7C62"/>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IntenseReference">
    <w:name w:val="Intense Reference"/>
    <w:basedOn w:val="DefaultParagraphFont"/>
    <w:uiPriority w:val="32"/>
    <w:qFormat/>
    <w:rsid w:val="0036121B"/>
    <w:rPr>
      <w:b/>
      <w:bCs/>
      <w:i/>
      <w:smallCaps/>
      <w:color w:val="C0504D" w:themeColor="accent2"/>
      <w:spacing w:val="5"/>
      <w:u w:val="none"/>
    </w:rPr>
  </w:style>
  <w:style w:type="table" w:customStyle="1" w:styleId="GridTable4-Accent11">
    <w:name w:val="Grid Table 4 - Accent 11"/>
    <w:basedOn w:val="TableNormal"/>
    <w:uiPriority w:val="49"/>
    <w:rsid w:val="003940A4"/>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Leftnumbers">
    <w:name w:val="Left numbers"/>
    <w:uiPriority w:val="99"/>
    <w:rsid w:val="00297BBC"/>
    <w:pPr>
      <w:numPr>
        <w:numId w:val="75"/>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lsdException w:name="heading 6" w:semiHidden="0" w:unhideWhenUsed="0"/>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caption" w:uiPriority="99" w:qFormat="1"/>
    <w:lsdException w:name="table of figures" w:uiPriority="99"/>
    <w:lsdException w:name="annotation reference" w:uiPriority="99"/>
    <w:lsdException w:name="endnote text" w:uiPriority="99"/>
    <w:lsdException w:name="List Bullet" w:qFormat="1"/>
    <w:lsdException w:name="List Number" w:semiHidden="0" w:unhideWhenUsed="0"/>
    <w:lsdException w:name="List 4" w:semiHidden="0" w:unhideWhenUsed="0"/>
    <w:lsdException w:name="List 5" w:semiHidden="0" w:unhideWhenUsed="0"/>
    <w:lsdException w:name="List Bullet 2" w:qFormat="1"/>
    <w:lsdException w:name="List Bullet 3" w:qFormat="1"/>
    <w:lsdException w:name="Title" w:semiHidden="0" w:unhideWhenUsed="0"/>
    <w:lsdException w:name="Body Text" w:uiPriority="99" w:qFormat="1"/>
    <w:lsdException w:name="Body Text Indent" w:qFormat="1"/>
    <w:lsdException w:name="Subtitle" w:semiHidden="0" w:unhideWhenUsed="0" w:qFormat="1"/>
    <w:lsdException w:name="Salutation" w:semiHidden="0" w:uiPriority="9" w:unhideWhenUsed="0" w:qFormat="1"/>
    <w:lsdException w:name="Date" w:semiHidden="0" w:uiPriority="9" w:unhideWhenUsed="0" w:qFormat="1"/>
    <w:lsdException w:name="Body Text First Indent" w:semiHidden="0" w:unhideWhenUsed="0"/>
    <w:lsdException w:name="Body Text Indent 3" w:uiPriority="99"/>
    <w:lsdException w:name="Hyperlink"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6937"/>
    <w:pPr>
      <w:spacing w:line="260" w:lineRule="atLeast"/>
    </w:pPr>
    <w:rPr>
      <w:rFonts w:ascii="Univers 45 Light" w:hAnsi="Univers 45 Light"/>
      <w:lang w:eastAsia="en-US"/>
    </w:rPr>
  </w:style>
  <w:style w:type="paragraph" w:styleId="Heading1">
    <w:name w:val="heading 1"/>
    <w:basedOn w:val="BodyText"/>
    <w:next w:val="BodyText"/>
    <w:link w:val="Heading1Char"/>
    <w:qFormat/>
    <w:rsid w:val="002931F5"/>
    <w:pPr>
      <w:pageBreakBefore/>
      <w:spacing w:after="240" w:line="480" w:lineRule="exact"/>
      <w:outlineLvl w:val="0"/>
    </w:pPr>
    <w:rPr>
      <w:b/>
      <w:color w:val="1F497D" w:themeColor="text2"/>
      <w:sz w:val="32"/>
    </w:rPr>
  </w:style>
  <w:style w:type="paragraph" w:styleId="Heading2">
    <w:name w:val="heading 2"/>
    <w:basedOn w:val="Heading1"/>
    <w:next w:val="BodyText"/>
    <w:link w:val="Heading2Char"/>
    <w:qFormat/>
    <w:rsid w:val="002931F5"/>
    <w:pPr>
      <w:keepNext/>
      <w:pageBreakBefore w:val="0"/>
      <w:tabs>
        <w:tab w:val="left" w:pos="998"/>
      </w:tabs>
      <w:spacing w:before="360" w:after="120" w:line="240" w:lineRule="auto"/>
      <w:outlineLvl w:val="1"/>
    </w:pPr>
    <w:rPr>
      <w:bCs/>
      <w:sz w:val="28"/>
      <w:szCs w:val="24"/>
    </w:rPr>
  </w:style>
  <w:style w:type="paragraph" w:styleId="Heading3">
    <w:name w:val="heading 3"/>
    <w:basedOn w:val="BodyText"/>
    <w:next w:val="BodyText"/>
    <w:link w:val="Heading3Char"/>
    <w:qFormat/>
    <w:rsid w:val="002931F5"/>
    <w:pPr>
      <w:keepNext/>
      <w:keepLines/>
      <w:spacing w:before="200" w:line="240" w:lineRule="auto"/>
      <w:outlineLvl w:val="2"/>
    </w:pPr>
    <w:rPr>
      <w:b/>
      <w:bCs/>
      <w:color w:val="1F497D"/>
      <w:sz w:val="24"/>
    </w:rPr>
  </w:style>
  <w:style w:type="paragraph" w:styleId="Heading4">
    <w:name w:val="heading 4"/>
    <w:basedOn w:val="BodyText"/>
    <w:next w:val="BodyText"/>
    <w:link w:val="Heading4Char"/>
    <w:qFormat/>
    <w:rsid w:val="002931F5"/>
    <w:pPr>
      <w:keepNext/>
      <w:numPr>
        <w:numId w:val="76"/>
      </w:numPr>
      <w:ind w:hanging="720"/>
      <w:outlineLvl w:val="3"/>
    </w:pPr>
    <w:rPr>
      <w:i/>
      <w:iCs/>
      <w:color w:val="1F497D"/>
      <w:sz w:val="22"/>
    </w:rPr>
  </w:style>
  <w:style w:type="paragraph" w:styleId="Heading5">
    <w:name w:val="heading 5"/>
    <w:aliases w:val="h5"/>
    <w:basedOn w:val="Normal"/>
    <w:next w:val="Normal"/>
    <w:link w:val="Heading5Char"/>
    <w:rsid w:val="00514BF9"/>
    <w:pPr>
      <w:keepNext/>
      <w:spacing w:before="240" w:after="120"/>
      <w:outlineLvl w:val="4"/>
    </w:pPr>
    <w:rPr>
      <w:i/>
      <w:color w:val="1F497D" w:themeColor="text2"/>
      <w:sz w:val="22"/>
    </w:rPr>
  </w:style>
  <w:style w:type="paragraph" w:styleId="Heading6">
    <w:name w:val="heading 6"/>
    <w:basedOn w:val="Normal"/>
    <w:next w:val="Normal"/>
    <w:link w:val="Heading6Char"/>
    <w:rsid w:val="00514BF9"/>
    <w:pPr>
      <w:outlineLvl w:val="5"/>
    </w:pPr>
  </w:style>
  <w:style w:type="paragraph" w:styleId="Heading7">
    <w:name w:val="heading 7"/>
    <w:basedOn w:val="Normal"/>
    <w:next w:val="Normal"/>
    <w:link w:val="Heading7Char"/>
    <w:rsid w:val="00514BF9"/>
    <w:pPr>
      <w:keepNext/>
      <w:spacing w:before="120" w:after="120" w:line="240" w:lineRule="auto"/>
      <w:outlineLvl w:val="6"/>
    </w:pPr>
    <w:rPr>
      <w:b/>
      <w:i/>
      <w:color w:val="1F497D"/>
      <w:sz w:val="24"/>
    </w:rPr>
  </w:style>
  <w:style w:type="paragraph" w:styleId="Heading8">
    <w:name w:val="heading 8"/>
    <w:basedOn w:val="Normal"/>
    <w:next w:val="Normal"/>
    <w:link w:val="Heading8Char"/>
    <w:rsid w:val="00514BF9"/>
    <w:pPr>
      <w:outlineLvl w:val="7"/>
    </w:pPr>
  </w:style>
  <w:style w:type="paragraph" w:styleId="Heading9">
    <w:name w:val="heading 9"/>
    <w:basedOn w:val="Normal"/>
    <w:next w:val="Normal"/>
    <w:link w:val="Heading9Char"/>
    <w:rsid w:val="00514BF9"/>
    <w:pPr>
      <w:keepNext/>
      <w:outlineLvl w:val="8"/>
    </w:pPr>
    <w:rPr>
      <w:color w:val="00008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block,bt,Body text,body text,body,NoticeText-List,t1,taten_body,Cargo,Letter Body,Memo Body,Body,by,b-heading 1/heading 2,bd,heading1body-heading2body,BD,b14,body1,b-heading,Fax Body,Bod,bo,full cell text,Report Body,bullet,B"/>
    <w:basedOn w:val="Normal"/>
    <w:link w:val="BodyTextChar"/>
    <w:uiPriority w:val="99"/>
    <w:qFormat/>
    <w:rsid w:val="00DE2761"/>
    <w:pPr>
      <w:spacing w:before="120" w:after="120" w:line="280" w:lineRule="atLeast"/>
      <w:jc w:val="both"/>
    </w:pPr>
    <w:rPr>
      <w:szCs w:val="22"/>
    </w:rPr>
  </w:style>
  <w:style w:type="character" w:customStyle="1" w:styleId="BodyTextChar">
    <w:name w:val="Body Text Char"/>
    <w:aliases w:val="b Char,block Char,bt Char,Body text Char,body text Char,body Char,NoticeText-List Char,t1 Char,taten_body Char,Cargo Char,Letter Body Char,Memo Body Char,Body Char,by Char,b-heading 1/heading 2 Char,bd Char,heading1body-heading2body Char"/>
    <w:basedOn w:val="DefaultParagraphFont"/>
    <w:link w:val="BodyText"/>
    <w:uiPriority w:val="99"/>
    <w:rsid w:val="00DE2761"/>
    <w:rPr>
      <w:rFonts w:ascii="Univers 45 Light" w:hAnsi="Univers 45 Light"/>
      <w:szCs w:val="22"/>
      <w:lang w:eastAsia="en-US"/>
    </w:rPr>
  </w:style>
  <w:style w:type="character" w:customStyle="1" w:styleId="Heading1Char">
    <w:name w:val="Heading 1 Char"/>
    <w:basedOn w:val="DefaultParagraphFont"/>
    <w:link w:val="Heading1"/>
    <w:rsid w:val="002931F5"/>
    <w:rPr>
      <w:rFonts w:ascii="Univers 45 Light" w:hAnsi="Univers 45 Light"/>
      <w:b/>
      <w:color w:val="1F497D" w:themeColor="text2"/>
      <w:sz w:val="32"/>
      <w:szCs w:val="22"/>
      <w:lang w:eastAsia="en-US"/>
    </w:rPr>
  </w:style>
  <w:style w:type="character" w:customStyle="1" w:styleId="Heading2Char">
    <w:name w:val="Heading 2 Char"/>
    <w:basedOn w:val="DefaultParagraphFont"/>
    <w:link w:val="Heading2"/>
    <w:rsid w:val="002931F5"/>
    <w:rPr>
      <w:rFonts w:ascii="Univers 45 Light" w:hAnsi="Univers 45 Light"/>
      <w:b/>
      <w:bCs/>
      <w:color w:val="1F497D" w:themeColor="text2"/>
      <w:sz w:val="28"/>
      <w:szCs w:val="24"/>
      <w:lang w:eastAsia="en-US"/>
    </w:rPr>
  </w:style>
  <w:style w:type="character" w:customStyle="1" w:styleId="Heading3Char">
    <w:name w:val="Heading 3 Char"/>
    <w:basedOn w:val="DefaultParagraphFont"/>
    <w:link w:val="Heading3"/>
    <w:rsid w:val="002931F5"/>
    <w:rPr>
      <w:rFonts w:ascii="Univers 45 Light" w:hAnsi="Univers 45 Light"/>
      <w:b/>
      <w:bCs/>
      <w:color w:val="1F497D"/>
      <w:sz w:val="24"/>
      <w:szCs w:val="22"/>
      <w:lang w:eastAsia="en-US"/>
    </w:rPr>
  </w:style>
  <w:style w:type="character" w:customStyle="1" w:styleId="Heading4Char">
    <w:name w:val="Heading 4 Char"/>
    <w:basedOn w:val="DefaultParagraphFont"/>
    <w:link w:val="Heading4"/>
    <w:rsid w:val="002931F5"/>
    <w:rPr>
      <w:rFonts w:ascii="Univers 45 Light" w:hAnsi="Univers 45 Light"/>
      <w:i/>
      <w:iCs/>
      <w:color w:val="1F497D"/>
      <w:sz w:val="22"/>
      <w:szCs w:val="22"/>
      <w:lang w:eastAsia="en-US"/>
    </w:rPr>
  </w:style>
  <w:style w:type="character" w:customStyle="1" w:styleId="Heading5Char">
    <w:name w:val="Heading 5 Char"/>
    <w:aliases w:val="h5 Char"/>
    <w:basedOn w:val="DefaultParagraphFont"/>
    <w:link w:val="Heading5"/>
    <w:rsid w:val="00972AE9"/>
    <w:rPr>
      <w:rFonts w:ascii="Univers 45 Light" w:hAnsi="Univers 45 Light"/>
      <w:i/>
      <w:color w:val="1F497D" w:themeColor="text2"/>
      <w:sz w:val="22"/>
      <w:lang w:eastAsia="en-US"/>
    </w:rPr>
  </w:style>
  <w:style w:type="character" w:customStyle="1" w:styleId="Heading6Char">
    <w:name w:val="Heading 6 Char"/>
    <w:basedOn w:val="DefaultParagraphFont"/>
    <w:link w:val="Heading6"/>
    <w:rsid w:val="00F37CC6"/>
    <w:rPr>
      <w:rFonts w:ascii="Univers 45 Light" w:hAnsi="Univers 45 Light"/>
      <w:lang w:eastAsia="en-US"/>
    </w:rPr>
  </w:style>
  <w:style w:type="character" w:customStyle="1" w:styleId="Heading7Char">
    <w:name w:val="Heading 7 Char"/>
    <w:basedOn w:val="DefaultParagraphFont"/>
    <w:link w:val="Heading7"/>
    <w:rsid w:val="00B46C00"/>
    <w:rPr>
      <w:rFonts w:ascii="Univers 45 Light" w:hAnsi="Univers 45 Light"/>
      <w:b/>
      <w:i/>
      <w:color w:val="1F497D"/>
      <w:sz w:val="24"/>
      <w:lang w:eastAsia="en-US"/>
    </w:rPr>
  </w:style>
  <w:style w:type="character" w:customStyle="1" w:styleId="Heading8Char">
    <w:name w:val="Heading 8 Char"/>
    <w:basedOn w:val="DefaultParagraphFont"/>
    <w:link w:val="Heading8"/>
    <w:rsid w:val="00F37CC6"/>
    <w:rPr>
      <w:rFonts w:ascii="Univers 45 Light" w:hAnsi="Univers 45 Light"/>
      <w:lang w:eastAsia="en-US"/>
    </w:rPr>
  </w:style>
  <w:style w:type="character" w:customStyle="1" w:styleId="Heading9Char">
    <w:name w:val="Heading 9 Char"/>
    <w:basedOn w:val="DefaultParagraphFont"/>
    <w:link w:val="Heading9"/>
    <w:rsid w:val="00F37CC6"/>
    <w:rPr>
      <w:rFonts w:ascii="Univers 45 Light" w:hAnsi="Univers 45 Light"/>
      <w:color w:val="000080"/>
      <w:sz w:val="28"/>
      <w:lang w:eastAsia="en-US"/>
    </w:rPr>
  </w:style>
  <w:style w:type="paragraph" w:styleId="BodyTextIndent">
    <w:name w:val="Body Text Indent"/>
    <w:basedOn w:val="BodyText"/>
    <w:link w:val="BodyTextIndentChar"/>
    <w:qFormat/>
    <w:rsid w:val="007500A3"/>
    <w:pPr>
      <w:ind w:left="340"/>
    </w:pPr>
  </w:style>
  <w:style w:type="character" w:customStyle="1" w:styleId="BodyTextIndentChar">
    <w:name w:val="Body Text Indent Char"/>
    <w:basedOn w:val="DefaultParagraphFont"/>
    <w:link w:val="BodyTextIndent"/>
    <w:rsid w:val="00F37CC6"/>
    <w:rPr>
      <w:rFonts w:ascii="Calibri" w:hAnsi="Calibri"/>
      <w:sz w:val="21"/>
      <w:szCs w:val="22"/>
      <w:lang w:eastAsia="en-US"/>
    </w:rPr>
  </w:style>
  <w:style w:type="paragraph" w:styleId="Footer">
    <w:name w:val="footer"/>
    <w:basedOn w:val="Normal"/>
    <w:link w:val="FooterChar"/>
    <w:rsid w:val="007500A3"/>
    <w:pPr>
      <w:tabs>
        <w:tab w:val="right" w:pos="8505"/>
      </w:tabs>
    </w:pPr>
    <w:rPr>
      <w:sz w:val="18"/>
    </w:rPr>
  </w:style>
  <w:style w:type="character" w:customStyle="1" w:styleId="FooterChar">
    <w:name w:val="Footer Char"/>
    <w:basedOn w:val="DefaultParagraphFont"/>
    <w:link w:val="Footer"/>
    <w:rsid w:val="00F37CC6"/>
    <w:rPr>
      <w:rFonts w:ascii="Calibri" w:hAnsi="Calibri"/>
      <w:sz w:val="18"/>
      <w:lang w:eastAsia="en-US"/>
    </w:rPr>
  </w:style>
  <w:style w:type="paragraph" w:styleId="Header">
    <w:name w:val="header"/>
    <w:basedOn w:val="Normal"/>
    <w:link w:val="HeaderChar"/>
    <w:rsid w:val="007500A3"/>
    <w:pPr>
      <w:spacing w:line="220" w:lineRule="exact"/>
      <w:jc w:val="right"/>
    </w:pPr>
    <w:rPr>
      <w:i/>
      <w:sz w:val="18"/>
    </w:rPr>
  </w:style>
  <w:style w:type="character" w:customStyle="1" w:styleId="HeaderChar">
    <w:name w:val="Header Char"/>
    <w:basedOn w:val="DefaultParagraphFont"/>
    <w:link w:val="Header"/>
    <w:rsid w:val="00F37CC6"/>
    <w:rPr>
      <w:rFonts w:ascii="Calibri" w:hAnsi="Calibri"/>
      <w:i/>
      <w:sz w:val="18"/>
      <w:lang w:eastAsia="en-US"/>
    </w:rPr>
  </w:style>
  <w:style w:type="paragraph" w:styleId="ListBullet">
    <w:name w:val="List Bullet"/>
    <w:aliases w:val="l,list no space after,(NECG) List Bullet,*List Bullet,lb,l1,List Bullet 1,List Bullet Char2,List Bullet Char1 Char,List Bullet Char Char Char1,List Bullet Char Char1,List Bullet Char2 Char Char,List Bullet Char Char Char Char,l11,UL"/>
    <w:basedOn w:val="BodyText"/>
    <w:link w:val="ListBulletChar"/>
    <w:qFormat/>
    <w:rsid w:val="00D41CAA"/>
    <w:pPr>
      <w:numPr>
        <w:numId w:val="2"/>
      </w:numPr>
      <w:spacing w:before="0" w:after="130" w:line="260" w:lineRule="atLeast"/>
    </w:pPr>
    <w:rPr>
      <w:color w:val="000000"/>
    </w:rPr>
  </w:style>
  <w:style w:type="character" w:customStyle="1" w:styleId="ListBulletChar">
    <w:name w:val="List Bullet Char"/>
    <w:aliases w:val="l Char,list no space after Char,(NECG) List Bullet Char,*List Bullet Char,lb Char,l1 Char,List Bullet 1 Char,List Bullet Char2 Char,List Bullet Char1 Char Char,List Bullet Char Char Char1 Char,List Bullet Char Char1 Char,l11 Char"/>
    <w:basedOn w:val="DefaultParagraphFont"/>
    <w:link w:val="ListBullet"/>
    <w:rsid w:val="00D41CAA"/>
    <w:rPr>
      <w:rFonts w:ascii="Univers 45 Light" w:hAnsi="Univers 45 Light"/>
      <w:color w:val="000000"/>
      <w:szCs w:val="22"/>
      <w:lang w:eastAsia="en-US"/>
    </w:rPr>
  </w:style>
  <w:style w:type="paragraph" w:styleId="FootnoteText">
    <w:name w:val="footnote text"/>
    <w:basedOn w:val="Normal"/>
    <w:link w:val="FootnoteTextChar"/>
    <w:uiPriority w:val="99"/>
    <w:rsid w:val="007500A3"/>
    <w:rPr>
      <w:sz w:val="18"/>
    </w:rPr>
  </w:style>
  <w:style w:type="character" w:customStyle="1" w:styleId="FootnoteTextChar">
    <w:name w:val="Footnote Text Char"/>
    <w:basedOn w:val="DefaultParagraphFont"/>
    <w:link w:val="FootnoteText"/>
    <w:uiPriority w:val="99"/>
    <w:rsid w:val="00F37CC6"/>
    <w:rPr>
      <w:rFonts w:ascii="Calibri" w:hAnsi="Calibri"/>
      <w:sz w:val="18"/>
      <w:lang w:eastAsia="en-US"/>
    </w:rPr>
  </w:style>
  <w:style w:type="paragraph" w:customStyle="1" w:styleId="Graphic">
    <w:name w:val="Graphic"/>
    <w:basedOn w:val="Signature"/>
    <w:qFormat/>
    <w:rsid w:val="007500A3"/>
    <w:pPr>
      <w:pBdr>
        <w:top w:val="single" w:sz="4" w:space="1" w:color="auto"/>
        <w:left w:val="single" w:sz="4" w:space="1" w:color="auto"/>
        <w:bottom w:val="single" w:sz="4" w:space="1" w:color="auto"/>
        <w:right w:val="single" w:sz="4" w:space="1" w:color="auto"/>
      </w:pBdr>
      <w:jc w:val="center"/>
    </w:pPr>
  </w:style>
  <w:style w:type="paragraph" w:styleId="Signature">
    <w:name w:val="Signature"/>
    <w:basedOn w:val="Normal"/>
    <w:link w:val="SignatureChar"/>
    <w:rsid w:val="007500A3"/>
    <w:pPr>
      <w:spacing w:line="240" w:lineRule="auto"/>
    </w:pPr>
  </w:style>
  <w:style w:type="character" w:customStyle="1" w:styleId="SignatureChar">
    <w:name w:val="Signature Char"/>
    <w:basedOn w:val="DefaultParagraphFont"/>
    <w:link w:val="Signature"/>
    <w:rsid w:val="00F37CC6"/>
    <w:rPr>
      <w:rFonts w:ascii="Calibri" w:hAnsi="Calibri"/>
      <w:lang w:eastAsia="en-US"/>
    </w:rPr>
  </w:style>
  <w:style w:type="paragraph" w:styleId="ListBullet2">
    <w:name w:val="List Bullet 2"/>
    <w:basedOn w:val="BodyText"/>
    <w:qFormat/>
    <w:rsid w:val="00D41CAA"/>
    <w:pPr>
      <w:numPr>
        <w:numId w:val="3"/>
      </w:numPr>
      <w:spacing w:before="0" w:after="130" w:line="240" w:lineRule="auto"/>
    </w:pPr>
    <w:rPr>
      <w:color w:val="000000"/>
      <w:lang w:eastAsia="en-AU"/>
    </w:rPr>
  </w:style>
  <w:style w:type="paragraph" w:styleId="MacroText">
    <w:name w:val="macro"/>
    <w:link w:val="MacroTextChar"/>
    <w:semiHidden/>
    <w:rsid w:val="007500A3"/>
    <w:pPr>
      <w:tabs>
        <w:tab w:val="left" w:pos="480"/>
        <w:tab w:val="left" w:pos="960"/>
        <w:tab w:val="left" w:pos="1440"/>
        <w:tab w:val="left" w:pos="1920"/>
        <w:tab w:val="left" w:pos="2400"/>
        <w:tab w:val="left" w:pos="2880"/>
        <w:tab w:val="left" w:pos="3360"/>
        <w:tab w:val="left" w:pos="3840"/>
        <w:tab w:val="left" w:pos="4320"/>
      </w:tabs>
      <w:spacing w:line="260" w:lineRule="atLeast"/>
    </w:pPr>
    <w:rPr>
      <w:rFonts w:ascii="Courier New" w:hAnsi="Courier New" w:cs="Courier New"/>
      <w:sz w:val="18"/>
      <w:lang w:val="en-GB" w:eastAsia="en-US"/>
    </w:rPr>
  </w:style>
  <w:style w:type="character" w:customStyle="1" w:styleId="MacroTextChar">
    <w:name w:val="Macro Text Char"/>
    <w:basedOn w:val="DefaultParagraphFont"/>
    <w:link w:val="MacroText"/>
    <w:semiHidden/>
    <w:rsid w:val="00B651FA"/>
    <w:rPr>
      <w:rFonts w:ascii="Courier New" w:hAnsi="Courier New" w:cs="Courier New"/>
      <w:sz w:val="18"/>
      <w:lang w:val="en-GB" w:eastAsia="en-US"/>
    </w:rPr>
  </w:style>
  <w:style w:type="paragraph" w:styleId="Caption">
    <w:name w:val="caption"/>
    <w:basedOn w:val="Normal"/>
    <w:next w:val="Normal"/>
    <w:link w:val="CaptionChar"/>
    <w:uiPriority w:val="99"/>
    <w:qFormat/>
    <w:rsid w:val="00102B0B"/>
    <w:pPr>
      <w:keepNext/>
      <w:spacing w:before="120" w:after="120"/>
    </w:pPr>
    <w:rPr>
      <w:bCs/>
      <w:i/>
    </w:rPr>
  </w:style>
  <w:style w:type="character" w:customStyle="1" w:styleId="CaptionChar">
    <w:name w:val="Caption Char"/>
    <w:link w:val="Caption"/>
    <w:uiPriority w:val="99"/>
    <w:rsid w:val="00102B0B"/>
    <w:rPr>
      <w:rFonts w:ascii="Univers 45 Light" w:hAnsi="Univers 45 Light"/>
      <w:bCs/>
      <w:i/>
      <w:lang w:eastAsia="en-US"/>
    </w:rPr>
  </w:style>
  <w:style w:type="character" w:styleId="PageNumber">
    <w:name w:val="page number"/>
    <w:basedOn w:val="DefaultParagraphFont"/>
    <w:rsid w:val="007500A3"/>
    <w:rPr>
      <w:rFonts w:ascii="Univers 45 Light" w:hAnsi="Univers 45 Light"/>
      <w:color w:val="0C2D83"/>
      <w:sz w:val="20"/>
      <w:szCs w:val="20"/>
    </w:rPr>
  </w:style>
  <w:style w:type="paragraph" w:customStyle="1" w:styleId="HeadingLevel1NoNumber">
    <w:name w:val="HeadingLevel1NoNumber"/>
    <w:basedOn w:val="Heading1"/>
    <w:next w:val="BodyText"/>
    <w:rsid w:val="00982034"/>
  </w:style>
  <w:style w:type="paragraph" w:styleId="TOC3">
    <w:name w:val="toc 3"/>
    <w:basedOn w:val="Normal"/>
    <w:next w:val="Normal"/>
    <w:autoRedefine/>
    <w:uiPriority w:val="39"/>
    <w:qFormat/>
    <w:rsid w:val="00661B9F"/>
    <w:pPr>
      <w:tabs>
        <w:tab w:val="left" w:pos="1701"/>
        <w:tab w:val="right" w:pos="8495"/>
      </w:tabs>
      <w:ind w:left="1701" w:hanging="567"/>
    </w:pPr>
    <w:rPr>
      <w:noProof/>
      <w:color w:val="1F497D"/>
      <w:sz w:val="22"/>
      <w:szCs w:val="22"/>
    </w:rPr>
  </w:style>
  <w:style w:type="paragraph" w:customStyle="1" w:styleId="Frontpagesubhead">
    <w:name w:val="Front page subhead"/>
    <w:basedOn w:val="BodyText"/>
    <w:rsid w:val="007500A3"/>
    <w:pPr>
      <w:spacing w:after="0"/>
    </w:pPr>
    <w:rPr>
      <w:rFonts w:ascii="Univers 55" w:hAnsi="Univers 55"/>
      <w:color w:val="0C2D83"/>
      <w:sz w:val="24"/>
    </w:rPr>
  </w:style>
  <w:style w:type="paragraph" w:customStyle="1" w:styleId="Disclaimer">
    <w:name w:val="Disclaimer"/>
    <w:basedOn w:val="Normal"/>
    <w:qFormat/>
    <w:rsid w:val="007500A3"/>
    <w:pPr>
      <w:spacing w:line="180" w:lineRule="atLeast"/>
    </w:pPr>
    <w:rPr>
      <w:sz w:val="16"/>
      <w:szCs w:val="18"/>
    </w:rPr>
  </w:style>
  <w:style w:type="paragraph" w:customStyle="1" w:styleId="Contentsheading">
    <w:name w:val="Contents heading"/>
    <w:basedOn w:val="BodyText"/>
    <w:rsid w:val="00F36B11"/>
    <w:pPr>
      <w:spacing w:after="1247"/>
    </w:pPr>
    <w:rPr>
      <w:color w:val="1F497D"/>
      <w:sz w:val="50"/>
    </w:rPr>
  </w:style>
  <w:style w:type="paragraph" w:styleId="TOC1">
    <w:name w:val="toc 1"/>
    <w:basedOn w:val="BodyText"/>
    <w:next w:val="BodyText"/>
    <w:autoRedefine/>
    <w:uiPriority w:val="39"/>
    <w:qFormat/>
    <w:rsid w:val="00470EAC"/>
    <w:pPr>
      <w:tabs>
        <w:tab w:val="left" w:pos="426"/>
        <w:tab w:val="right" w:pos="8505"/>
      </w:tabs>
      <w:spacing w:line="240" w:lineRule="auto"/>
      <w:ind w:left="426" w:right="567" w:hanging="426"/>
      <w:jc w:val="left"/>
    </w:pPr>
    <w:rPr>
      <w:rFonts w:ascii="Univers 55" w:hAnsi="Univers 55"/>
      <w:noProof/>
      <w:color w:val="415299"/>
      <w:sz w:val="22"/>
      <w:szCs w:val="40"/>
    </w:rPr>
  </w:style>
  <w:style w:type="paragraph" w:styleId="TOC2">
    <w:name w:val="toc 2"/>
    <w:basedOn w:val="BodyText"/>
    <w:next w:val="BodyText"/>
    <w:autoRedefine/>
    <w:uiPriority w:val="39"/>
    <w:qFormat/>
    <w:rsid w:val="001A4468"/>
    <w:pPr>
      <w:tabs>
        <w:tab w:val="left" w:pos="1134"/>
        <w:tab w:val="right" w:pos="8505"/>
      </w:tabs>
      <w:spacing w:before="0" w:after="0" w:line="260" w:lineRule="atLeast"/>
      <w:ind w:left="1134" w:right="567" w:hanging="709"/>
    </w:pPr>
    <w:rPr>
      <w:noProof/>
      <w:color w:val="415299"/>
      <w:sz w:val="22"/>
      <w:szCs w:val="40"/>
    </w:rPr>
  </w:style>
  <w:style w:type="paragraph" w:styleId="TOC4">
    <w:name w:val="toc 4"/>
    <w:basedOn w:val="Normal"/>
    <w:next w:val="Normal"/>
    <w:autoRedefine/>
    <w:uiPriority w:val="39"/>
    <w:rsid w:val="00661B9F"/>
    <w:pPr>
      <w:tabs>
        <w:tab w:val="left" w:pos="2552"/>
        <w:tab w:val="right" w:pos="8495"/>
      </w:tabs>
      <w:ind w:left="2552" w:hanging="851"/>
    </w:pPr>
    <w:rPr>
      <w:noProof/>
      <w:color w:val="1F497D"/>
      <w:sz w:val="22"/>
      <w:szCs w:val="22"/>
    </w:rPr>
  </w:style>
  <w:style w:type="paragraph" w:styleId="TOC5">
    <w:name w:val="toc 5"/>
    <w:basedOn w:val="Normal"/>
    <w:next w:val="Normal"/>
    <w:autoRedefine/>
    <w:uiPriority w:val="39"/>
    <w:rsid w:val="007500A3"/>
    <w:pPr>
      <w:ind w:left="880"/>
    </w:pPr>
  </w:style>
  <w:style w:type="paragraph" w:styleId="TOC6">
    <w:name w:val="toc 6"/>
    <w:basedOn w:val="Normal"/>
    <w:next w:val="Normal"/>
    <w:autoRedefine/>
    <w:uiPriority w:val="39"/>
    <w:rsid w:val="007500A3"/>
    <w:pPr>
      <w:ind w:left="1100"/>
    </w:pPr>
  </w:style>
  <w:style w:type="paragraph" w:styleId="TOC7">
    <w:name w:val="toc 7"/>
    <w:basedOn w:val="Normal"/>
    <w:next w:val="Normal"/>
    <w:autoRedefine/>
    <w:uiPriority w:val="39"/>
    <w:rsid w:val="007500A3"/>
    <w:pPr>
      <w:ind w:left="1320"/>
    </w:pPr>
  </w:style>
  <w:style w:type="paragraph" w:styleId="TOC8">
    <w:name w:val="toc 8"/>
    <w:basedOn w:val="Normal"/>
    <w:next w:val="Normal"/>
    <w:autoRedefine/>
    <w:uiPriority w:val="39"/>
    <w:rsid w:val="007500A3"/>
    <w:pPr>
      <w:ind w:left="1540"/>
    </w:pPr>
  </w:style>
  <w:style w:type="paragraph" w:styleId="TOC9">
    <w:name w:val="toc 9"/>
    <w:basedOn w:val="Normal"/>
    <w:next w:val="Normal"/>
    <w:autoRedefine/>
    <w:uiPriority w:val="39"/>
    <w:rsid w:val="007500A3"/>
    <w:pPr>
      <w:ind w:left="1760"/>
    </w:pPr>
  </w:style>
  <w:style w:type="character" w:styleId="Hyperlink">
    <w:name w:val="Hyperlink"/>
    <w:basedOn w:val="DefaultParagraphFont"/>
    <w:uiPriority w:val="99"/>
    <w:rsid w:val="007500A3"/>
    <w:rPr>
      <w:color w:val="0000FF"/>
      <w:u w:val="single"/>
    </w:rPr>
  </w:style>
  <w:style w:type="character" w:customStyle="1" w:styleId="Bodyhighlight">
    <w:name w:val="Body highlight"/>
    <w:rsid w:val="007500A3"/>
    <w:rPr>
      <w:rFonts w:ascii="Univers 55" w:hAnsi="Univers 55"/>
      <w:b/>
      <w:color w:val="000000"/>
      <w:sz w:val="17"/>
    </w:rPr>
  </w:style>
  <w:style w:type="paragraph" w:styleId="Quote">
    <w:name w:val="Quote"/>
    <w:basedOn w:val="BodyText"/>
    <w:link w:val="QuoteChar"/>
    <w:qFormat/>
    <w:rsid w:val="00D857D6"/>
    <w:pPr>
      <w:ind w:left="357"/>
    </w:pPr>
    <w:rPr>
      <w:i/>
      <w:kern w:val="20"/>
    </w:rPr>
  </w:style>
  <w:style w:type="character" w:customStyle="1" w:styleId="QuoteChar">
    <w:name w:val="Quote Char"/>
    <w:basedOn w:val="DefaultParagraphFont"/>
    <w:link w:val="Quote"/>
    <w:rsid w:val="0053138F"/>
    <w:rPr>
      <w:rFonts w:ascii="Univers 45 Light" w:hAnsi="Univers 45 Light"/>
      <w:i/>
      <w:kern w:val="20"/>
      <w:szCs w:val="22"/>
      <w:lang w:eastAsia="en-US"/>
    </w:rPr>
  </w:style>
  <w:style w:type="paragraph" w:customStyle="1" w:styleId="Frontpagehead">
    <w:name w:val="Front page head"/>
    <w:rsid w:val="004826B6"/>
    <w:pPr>
      <w:spacing w:line="480" w:lineRule="atLeast"/>
    </w:pPr>
    <w:rPr>
      <w:rFonts w:ascii="Univers 55" w:hAnsi="Univers 55"/>
      <w:color w:val="FFFFFF" w:themeColor="background1"/>
      <w:sz w:val="44"/>
      <w:lang w:eastAsia="en-US"/>
    </w:rPr>
  </w:style>
  <w:style w:type="paragraph" w:customStyle="1" w:styleId="Tabletext">
    <w:name w:val="Table text"/>
    <w:basedOn w:val="Normal"/>
    <w:link w:val="TabletextChar"/>
    <w:rsid w:val="003E3359"/>
    <w:pPr>
      <w:spacing w:before="60" w:line="240" w:lineRule="auto"/>
      <w:jc w:val="both"/>
    </w:pPr>
    <w:rPr>
      <w:sz w:val="18"/>
    </w:rPr>
  </w:style>
  <w:style w:type="character" w:customStyle="1" w:styleId="TabletextChar">
    <w:name w:val="Table text Char"/>
    <w:basedOn w:val="DefaultParagraphFont"/>
    <w:link w:val="Tabletext"/>
    <w:rsid w:val="003E3359"/>
    <w:rPr>
      <w:rFonts w:ascii="Univers 45 Light" w:hAnsi="Univers 45 Light"/>
      <w:sz w:val="18"/>
      <w:lang w:eastAsia="en-US"/>
    </w:rPr>
  </w:style>
  <w:style w:type="paragraph" w:customStyle="1" w:styleId="Guidancenote">
    <w:name w:val="Guidance note"/>
    <w:basedOn w:val="BodyText"/>
    <w:link w:val="GuidancenoteChar"/>
    <w:uiPriority w:val="6"/>
    <w:qFormat/>
    <w:rsid w:val="007500A3"/>
    <w:pPr>
      <w:spacing w:after="0" w:line="260" w:lineRule="atLeast"/>
    </w:pPr>
    <w:rPr>
      <w:color w:val="FF0000"/>
      <w:szCs w:val="20"/>
    </w:rPr>
  </w:style>
  <w:style w:type="character" w:customStyle="1" w:styleId="GuidancenoteChar">
    <w:name w:val="Guidance note Char"/>
    <w:basedOn w:val="DefaultParagraphFont"/>
    <w:link w:val="Guidancenote"/>
    <w:uiPriority w:val="6"/>
    <w:rsid w:val="00F37CC6"/>
    <w:rPr>
      <w:rFonts w:ascii="Calibri" w:hAnsi="Calibri"/>
      <w:color w:val="FF0000"/>
      <w:sz w:val="21"/>
      <w:lang w:eastAsia="en-US"/>
    </w:rPr>
  </w:style>
  <w:style w:type="paragraph" w:customStyle="1" w:styleId="Tablebullets">
    <w:name w:val="Table bullets"/>
    <w:basedOn w:val="Tabletext"/>
    <w:rsid w:val="00037EC0"/>
    <w:pPr>
      <w:numPr>
        <w:numId w:val="6"/>
      </w:numPr>
      <w:spacing w:line="280" w:lineRule="atLeast"/>
    </w:pPr>
  </w:style>
  <w:style w:type="paragraph" w:customStyle="1" w:styleId="Chartsource">
    <w:name w:val="Chart source"/>
    <w:basedOn w:val="BodyText"/>
    <w:uiPriority w:val="4"/>
    <w:qFormat/>
    <w:rsid w:val="007500A3"/>
    <w:pPr>
      <w:tabs>
        <w:tab w:val="left" w:pos="3600"/>
      </w:tabs>
      <w:spacing w:after="180" w:line="240" w:lineRule="auto"/>
    </w:pPr>
    <w:rPr>
      <w:rFonts w:ascii="Univers 55" w:hAnsi="Univers 55"/>
      <w:i/>
      <w:color w:val="000000"/>
      <w:sz w:val="16"/>
      <w:szCs w:val="16"/>
      <w:lang w:val="en-US"/>
    </w:rPr>
  </w:style>
  <w:style w:type="paragraph" w:customStyle="1" w:styleId="Charttitle">
    <w:name w:val="Chart title"/>
    <w:basedOn w:val="BodyText"/>
    <w:uiPriority w:val="4"/>
    <w:qFormat/>
    <w:rsid w:val="007500A3"/>
    <w:pPr>
      <w:keepNext/>
      <w:tabs>
        <w:tab w:val="left" w:pos="3600"/>
      </w:tabs>
      <w:spacing w:line="360" w:lineRule="auto"/>
    </w:pPr>
    <w:rPr>
      <w:rFonts w:ascii="Univers 55" w:hAnsi="Univers 55"/>
      <w:i/>
      <w:color w:val="0C2D83"/>
      <w:lang w:val="en-US"/>
    </w:rPr>
  </w:style>
  <w:style w:type="paragraph" w:customStyle="1" w:styleId="PreTOCExecSummHeading">
    <w:name w:val="Pre TOC Exec Summ Heading"/>
    <w:basedOn w:val="PreTOCHeading"/>
    <w:next w:val="BodyText"/>
    <w:rsid w:val="00133EA1"/>
    <w:pPr>
      <w:pageBreakBefore w:val="0"/>
      <w:spacing w:line="260" w:lineRule="atLeast"/>
    </w:pPr>
    <w:rPr>
      <w:lang w:val="en-US"/>
    </w:rPr>
  </w:style>
  <w:style w:type="paragraph" w:customStyle="1" w:styleId="PreTOCHeading">
    <w:name w:val="Pre TOC Heading"/>
    <w:basedOn w:val="BodyText"/>
    <w:next w:val="BodyText"/>
    <w:rsid w:val="009102C2"/>
    <w:pPr>
      <w:pageBreakBefore/>
      <w:spacing w:after="240" w:line="480" w:lineRule="exact"/>
    </w:pPr>
    <w:rPr>
      <w:noProof/>
      <w:color w:val="0C2D83"/>
      <w:sz w:val="50"/>
      <w:szCs w:val="50"/>
    </w:rPr>
  </w:style>
  <w:style w:type="paragraph" w:customStyle="1" w:styleId="Pulloutquote2">
    <w:name w:val="Pullout quote 2"/>
    <w:basedOn w:val="Normal"/>
    <w:rsid w:val="00727A49"/>
    <w:rPr>
      <w:color w:val="68820B"/>
    </w:rPr>
  </w:style>
  <w:style w:type="paragraph" w:customStyle="1" w:styleId="Quotetitle">
    <w:name w:val="Quote title"/>
    <w:basedOn w:val="Normal"/>
    <w:rsid w:val="00727A49"/>
    <w:pPr>
      <w:spacing w:before="40" w:after="80" w:line="240" w:lineRule="auto"/>
    </w:pPr>
    <w:rPr>
      <w:noProof/>
      <w:color w:val="68820B"/>
      <w:lang w:val="en-US"/>
    </w:rPr>
  </w:style>
  <w:style w:type="paragraph" w:customStyle="1" w:styleId="Resumehead">
    <w:name w:val="Resume head"/>
    <w:basedOn w:val="Normal"/>
    <w:rsid w:val="007500A3"/>
    <w:pPr>
      <w:tabs>
        <w:tab w:val="left" w:pos="3600"/>
      </w:tabs>
      <w:spacing w:before="360" w:line="360" w:lineRule="auto"/>
    </w:pPr>
    <w:rPr>
      <w:rFonts w:ascii="Univers 55" w:hAnsi="Univers 55"/>
      <w:i/>
      <w:sz w:val="17"/>
      <w:lang w:val="en-US"/>
    </w:rPr>
  </w:style>
  <w:style w:type="paragraph" w:customStyle="1" w:styleId="Resumedetails">
    <w:name w:val="Resume details"/>
    <w:basedOn w:val="Normal"/>
    <w:next w:val="BodyText"/>
    <w:link w:val="ResumedetailsChar"/>
    <w:rsid w:val="004C0FE5"/>
    <w:pPr>
      <w:tabs>
        <w:tab w:val="left" w:pos="3600"/>
      </w:tabs>
      <w:spacing w:line="240" w:lineRule="auto"/>
    </w:pPr>
    <w:rPr>
      <w:rFonts w:ascii="Univers 55" w:hAnsi="Univers 55"/>
      <w:bCs/>
      <w:color w:val="333333"/>
      <w:sz w:val="16"/>
      <w:lang w:val="en-US"/>
    </w:rPr>
  </w:style>
  <w:style w:type="character" w:customStyle="1" w:styleId="ResumedetailsChar">
    <w:name w:val="Resume details Char"/>
    <w:basedOn w:val="DefaultParagraphFont"/>
    <w:link w:val="Resumedetails"/>
    <w:rsid w:val="00F37CC6"/>
    <w:rPr>
      <w:rFonts w:ascii="Univers 55" w:hAnsi="Univers 55"/>
      <w:bCs/>
      <w:color w:val="333333"/>
      <w:sz w:val="16"/>
      <w:lang w:val="en-US" w:eastAsia="en-US"/>
    </w:rPr>
  </w:style>
  <w:style w:type="paragraph" w:customStyle="1" w:styleId="TableHeading">
    <w:name w:val="Table Heading"/>
    <w:basedOn w:val="Normal"/>
    <w:link w:val="TableHeadingChar"/>
    <w:qFormat/>
    <w:rsid w:val="000E4CFA"/>
    <w:pPr>
      <w:spacing w:line="280" w:lineRule="atLeast"/>
    </w:pPr>
    <w:rPr>
      <w:color w:val="FFFFFF"/>
      <w:sz w:val="21"/>
    </w:rPr>
  </w:style>
  <w:style w:type="character" w:customStyle="1" w:styleId="TableHeadingChar">
    <w:name w:val="Table Heading Char"/>
    <w:basedOn w:val="DefaultParagraphFont"/>
    <w:link w:val="TableHeading"/>
    <w:rsid w:val="00F37CC6"/>
    <w:rPr>
      <w:rFonts w:ascii="Univers 45 Light" w:hAnsi="Univers 45 Light"/>
      <w:color w:val="FFFFFF"/>
      <w:sz w:val="21"/>
      <w:lang w:eastAsia="en-US"/>
    </w:rPr>
  </w:style>
  <w:style w:type="paragraph" w:customStyle="1" w:styleId="zNormal">
    <w:name w:val="zNormal"/>
    <w:rsid w:val="007500A3"/>
    <w:rPr>
      <w:sz w:val="22"/>
      <w:lang w:eastAsia="en-US"/>
    </w:rPr>
  </w:style>
  <w:style w:type="paragraph" w:styleId="PlainText">
    <w:name w:val="Plain Text"/>
    <w:basedOn w:val="Normal"/>
    <w:link w:val="PlainTextChar"/>
    <w:uiPriority w:val="99"/>
    <w:rsid w:val="007500A3"/>
    <w:rPr>
      <w:rFonts w:cs="Courier New"/>
    </w:rPr>
  </w:style>
  <w:style w:type="character" w:customStyle="1" w:styleId="PlainTextChar">
    <w:name w:val="Plain Text Char"/>
    <w:basedOn w:val="DefaultParagraphFont"/>
    <w:link w:val="PlainText"/>
    <w:uiPriority w:val="99"/>
    <w:rsid w:val="00B651FA"/>
    <w:rPr>
      <w:rFonts w:ascii="Univers 45 Light" w:hAnsi="Univers 45 Light" w:cs="Courier New"/>
      <w:lang w:eastAsia="en-US"/>
    </w:rPr>
  </w:style>
  <w:style w:type="paragraph" w:customStyle="1" w:styleId="FrontPageServiceheading">
    <w:name w:val="Front Page Service heading"/>
    <w:basedOn w:val="Frontpagehead"/>
    <w:rsid w:val="007500A3"/>
    <w:pPr>
      <w:spacing w:after="60" w:line="200" w:lineRule="atLeast"/>
    </w:pPr>
    <w:rPr>
      <w:caps/>
      <w:sz w:val="16"/>
    </w:rPr>
  </w:style>
  <w:style w:type="paragraph" w:customStyle="1" w:styleId="FrontpageATAdescriptor">
    <w:name w:val="Front page A/T/A descriptor"/>
    <w:basedOn w:val="Frontpagesubhead"/>
    <w:rsid w:val="007500A3"/>
    <w:pPr>
      <w:framePr w:hSpace="181" w:vSpace="181" w:wrap="around" w:vAnchor="text" w:hAnchor="text" w:y="1"/>
      <w:spacing w:line="160" w:lineRule="atLeast"/>
    </w:pPr>
    <w:rPr>
      <w:caps/>
      <w:sz w:val="16"/>
    </w:rPr>
  </w:style>
  <w:style w:type="paragraph" w:customStyle="1" w:styleId="Introductoryparagraph">
    <w:name w:val="Introductory paragraph"/>
    <w:basedOn w:val="BodyText"/>
    <w:next w:val="BodyText"/>
    <w:rsid w:val="00727A49"/>
    <w:pPr>
      <w:spacing w:before="0"/>
    </w:pPr>
    <w:rPr>
      <w:rFonts w:ascii="Univers 55" w:hAnsi="Univers 55"/>
      <w:color w:val="68820B"/>
      <w:sz w:val="23"/>
      <w:szCs w:val="18"/>
    </w:rPr>
  </w:style>
  <w:style w:type="paragraph" w:customStyle="1" w:styleId="Callout1">
    <w:name w:val="Callout1"/>
    <w:basedOn w:val="Heading3"/>
    <w:rsid w:val="007500A3"/>
    <w:pPr>
      <w:keepLines w:val="0"/>
      <w:spacing w:before="0" w:line="380" w:lineRule="exact"/>
    </w:pPr>
    <w:rPr>
      <w:rFonts w:ascii="Univers 55 Oblique" w:eastAsia="Times" w:hAnsi="Univers 55 Oblique"/>
      <w:bCs w:val="0"/>
      <w:i/>
      <w:color w:val="808EC8"/>
      <w:szCs w:val="24"/>
      <w:lang w:val="en-US" w:eastAsia="zh-CN"/>
    </w:rPr>
  </w:style>
  <w:style w:type="paragraph" w:customStyle="1" w:styleId="Curriculavitae">
    <w:name w:val="Curricula vitae"/>
    <w:basedOn w:val="BodyText"/>
    <w:next w:val="BodyText"/>
    <w:rsid w:val="007500A3"/>
    <w:pPr>
      <w:keepNext/>
      <w:spacing w:line="280" w:lineRule="exact"/>
    </w:pPr>
    <w:rPr>
      <w:rFonts w:eastAsia="Osaka"/>
      <w:b/>
      <w:color w:val="0C2D83"/>
      <w:szCs w:val="20"/>
      <w:lang w:eastAsia="zh-CN"/>
    </w:rPr>
  </w:style>
  <w:style w:type="paragraph" w:styleId="BlockText">
    <w:name w:val="Block Text"/>
    <w:basedOn w:val="Normal"/>
    <w:rsid w:val="007500A3"/>
    <w:pPr>
      <w:spacing w:after="120"/>
      <w:ind w:left="1440" w:right="1440"/>
    </w:pPr>
  </w:style>
  <w:style w:type="paragraph" w:styleId="List">
    <w:name w:val="List"/>
    <w:basedOn w:val="Normal"/>
    <w:rsid w:val="007500A3"/>
    <w:pPr>
      <w:ind w:left="283" w:hanging="283"/>
    </w:pPr>
  </w:style>
  <w:style w:type="paragraph" w:styleId="List2">
    <w:name w:val="List 2"/>
    <w:basedOn w:val="Normal"/>
    <w:rsid w:val="007500A3"/>
    <w:pPr>
      <w:ind w:left="566" w:hanging="283"/>
    </w:pPr>
  </w:style>
  <w:style w:type="paragraph" w:customStyle="1" w:styleId="Tableheading2">
    <w:name w:val="Table heading 2"/>
    <w:basedOn w:val="Normal"/>
    <w:rsid w:val="00006BCC"/>
    <w:pPr>
      <w:shd w:val="clear" w:color="auto" w:fill="FFFFFF"/>
      <w:spacing w:before="40" w:after="40" w:line="280" w:lineRule="atLeast"/>
    </w:pPr>
    <w:rPr>
      <w:rFonts w:eastAsia="Osaka"/>
      <w:noProof/>
      <w:color w:val="00338D"/>
      <w:sz w:val="21"/>
      <w:lang w:val="en-GB" w:eastAsia="zh-CN"/>
    </w:rPr>
  </w:style>
  <w:style w:type="table" w:styleId="TableGrid">
    <w:name w:val="Table Grid"/>
    <w:basedOn w:val="TableNormal"/>
    <w:uiPriority w:val="39"/>
    <w:rsid w:val="007500A3"/>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ISOffAddress">
    <w:name w:val="zKISOffAddress"/>
    <w:basedOn w:val="Normal"/>
    <w:rsid w:val="007500A3"/>
    <w:pPr>
      <w:framePr w:hSpace="215" w:wrap="around" w:vAnchor="page" w:hAnchor="page" w:x="4282" w:y="1294"/>
      <w:spacing w:line="190" w:lineRule="exact"/>
    </w:pPr>
    <w:rPr>
      <w:sz w:val="15"/>
    </w:rPr>
  </w:style>
  <w:style w:type="paragraph" w:customStyle="1" w:styleId="zKISDescFooter">
    <w:name w:val="zKISDescFooter"/>
    <w:basedOn w:val="Normal"/>
    <w:rsid w:val="007500A3"/>
    <w:pPr>
      <w:framePr w:hSpace="284" w:wrap="around" w:vAnchor="page" w:hAnchor="page" w:x="4282" w:y="15905"/>
      <w:spacing w:line="130" w:lineRule="exact"/>
    </w:pPr>
    <w:rPr>
      <w:sz w:val="11"/>
    </w:rPr>
  </w:style>
  <w:style w:type="paragraph" w:customStyle="1" w:styleId="zKISDescFooter2">
    <w:name w:val="zKISDescFooter2"/>
    <w:basedOn w:val="Normal"/>
    <w:rsid w:val="00296376"/>
    <w:pPr>
      <w:framePr w:wrap="around" w:vAnchor="page" w:hAnchor="page" w:x="7854" w:y="15140"/>
      <w:spacing w:line="130" w:lineRule="exact"/>
    </w:pPr>
    <w:rPr>
      <w:sz w:val="11"/>
    </w:rPr>
  </w:style>
  <w:style w:type="paragraph" w:customStyle="1" w:styleId="Diagramtitle">
    <w:name w:val="Diagram title"/>
    <w:basedOn w:val="Normal"/>
    <w:rsid w:val="007500A3"/>
    <w:pPr>
      <w:spacing w:line="240" w:lineRule="auto"/>
    </w:pPr>
    <w:rPr>
      <w:sz w:val="18"/>
    </w:rPr>
  </w:style>
  <w:style w:type="paragraph" w:customStyle="1" w:styleId="Numbering">
    <w:name w:val="Numbering"/>
    <w:basedOn w:val="BodyText"/>
    <w:autoRedefine/>
    <w:rsid w:val="00AF54ED"/>
    <w:pPr>
      <w:numPr>
        <w:numId w:val="4"/>
      </w:numPr>
    </w:pPr>
  </w:style>
  <w:style w:type="paragraph" w:customStyle="1" w:styleId="Pulloutquote">
    <w:name w:val="Pullout quote"/>
    <w:basedOn w:val="Normal"/>
    <w:rsid w:val="00727A49"/>
    <w:pPr>
      <w:spacing w:before="240" w:after="240" w:line="360" w:lineRule="auto"/>
    </w:pPr>
    <w:rPr>
      <w:rFonts w:ascii="Univers 55" w:hAnsi="Univers 55"/>
      <w:color w:val="68820B"/>
      <w:sz w:val="28"/>
    </w:rPr>
  </w:style>
  <w:style w:type="paragraph" w:customStyle="1" w:styleId="BodyText0">
    <w:name w:val="BodyText"/>
    <w:basedOn w:val="Normal"/>
    <w:link w:val="BodyTextChar0"/>
    <w:rsid w:val="00465FF1"/>
    <w:pPr>
      <w:spacing w:after="130" w:line="240" w:lineRule="auto"/>
    </w:pPr>
    <w:rPr>
      <w:sz w:val="22"/>
    </w:rPr>
  </w:style>
  <w:style w:type="character" w:customStyle="1" w:styleId="BodyTextChar0">
    <w:name w:val="BodyText Char"/>
    <w:basedOn w:val="DefaultParagraphFont"/>
    <w:link w:val="BodyText0"/>
    <w:rsid w:val="00F37CC6"/>
    <w:rPr>
      <w:rFonts w:ascii="Calibri" w:hAnsi="Calibri"/>
      <w:sz w:val="22"/>
      <w:lang w:eastAsia="en-US"/>
    </w:rPr>
  </w:style>
  <w:style w:type="paragraph" w:customStyle="1" w:styleId="TableBullets2">
    <w:name w:val="Table Bullets 2"/>
    <w:basedOn w:val="Tablebullets"/>
    <w:rsid w:val="006100C7"/>
    <w:pPr>
      <w:numPr>
        <w:numId w:val="5"/>
      </w:numPr>
      <w:tabs>
        <w:tab w:val="clear" w:pos="692"/>
      </w:tabs>
      <w:spacing w:line="240" w:lineRule="auto"/>
      <w:ind w:left="714" w:hanging="357"/>
    </w:pPr>
    <w:rPr>
      <w:lang w:eastAsia="ko-KR"/>
    </w:rPr>
  </w:style>
  <w:style w:type="character" w:customStyle="1" w:styleId="CharChar">
    <w:name w:val="Char Char"/>
    <w:basedOn w:val="DefaultParagraphFont"/>
    <w:rsid w:val="00FE7218"/>
    <w:rPr>
      <w:szCs w:val="22"/>
      <w:lang w:val="en-AU" w:eastAsia="en-US" w:bidi="ar-SA"/>
    </w:rPr>
  </w:style>
  <w:style w:type="paragraph" w:customStyle="1" w:styleId="BodyText1">
    <w:name w:val="_Body Text"/>
    <w:basedOn w:val="Normal"/>
    <w:qFormat/>
    <w:rsid w:val="00BA4192"/>
    <w:pPr>
      <w:spacing w:after="280" w:line="288" w:lineRule="atLeast"/>
    </w:pPr>
    <w:rPr>
      <w:rFonts w:ascii="Arial" w:eastAsiaTheme="minorHAnsi" w:hAnsi="Arial" w:cstheme="minorBidi"/>
      <w:color w:val="000000" w:themeColor="text1"/>
      <w:sz w:val="24"/>
      <w:szCs w:val="22"/>
      <w:lang w:val="en-GB"/>
    </w:rPr>
  </w:style>
  <w:style w:type="paragraph" w:customStyle="1" w:styleId="DocumentTitle">
    <w:name w:val="_Document Title"/>
    <w:basedOn w:val="Normal"/>
    <w:rsid w:val="00BA4192"/>
    <w:pPr>
      <w:spacing w:after="300" w:line="648" w:lineRule="atLeast"/>
    </w:pPr>
    <w:rPr>
      <w:rFonts w:ascii="Arial" w:eastAsiaTheme="minorHAnsi" w:hAnsi="Arial" w:cstheme="minorBidi"/>
      <w:b/>
      <w:color w:val="FFFFFF" w:themeColor="background1"/>
      <w:sz w:val="60"/>
      <w:szCs w:val="22"/>
      <w:lang w:val="en-GB"/>
    </w:rPr>
  </w:style>
  <w:style w:type="paragraph" w:customStyle="1" w:styleId="ReportDate">
    <w:name w:val="_Report Date"/>
    <w:basedOn w:val="Normal"/>
    <w:qFormat/>
    <w:rsid w:val="00BA4192"/>
    <w:pPr>
      <w:spacing w:line="288" w:lineRule="atLeast"/>
    </w:pPr>
    <w:rPr>
      <w:rFonts w:ascii="Arial" w:eastAsiaTheme="minorHAnsi" w:hAnsi="Arial" w:cstheme="minorBidi"/>
      <w:color w:val="FFFFFF" w:themeColor="background1"/>
      <w:sz w:val="24"/>
      <w:szCs w:val="22"/>
      <w:lang w:val="en-GB"/>
    </w:rPr>
  </w:style>
  <w:style w:type="paragraph" w:customStyle="1" w:styleId="AdditionalInfo">
    <w:name w:val="_Additional Info"/>
    <w:basedOn w:val="BodyText1"/>
    <w:rsid w:val="00BA4192"/>
    <w:rPr>
      <w:color w:val="FFFFFF" w:themeColor="background1"/>
    </w:rPr>
  </w:style>
  <w:style w:type="paragraph" w:styleId="BodyText2">
    <w:name w:val="Body Text 2"/>
    <w:basedOn w:val="Normal"/>
    <w:link w:val="BodyText2Char"/>
    <w:rsid w:val="00BA4192"/>
    <w:pPr>
      <w:spacing w:after="120" w:line="480" w:lineRule="auto"/>
    </w:pPr>
    <w:rPr>
      <w:rFonts w:ascii="Times New Roman" w:hAnsi="Times New Roman"/>
      <w:sz w:val="22"/>
    </w:rPr>
  </w:style>
  <w:style w:type="character" w:customStyle="1" w:styleId="BodyText2Char">
    <w:name w:val="Body Text 2 Char"/>
    <w:basedOn w:val="DefaultParagraphFont"/>
    <w:link w:val="BodyText2"/>
    <w:rsid w:val="00BA4192"/>
    <w:rPr>
      <w:sz w:val="22"/>
      <w:lang w:eastAsia="en-US"/>
    </w:rPr>
  </w:style>
  <w:style w:type="character" w:styleId="CommentReference">
    <w:name w:val="annotation reference"/>
    <w:basedOn w:val="DefaultParagraphFont"/>
    <w:uiPriority w:val="99"/>
    <w:rsid w:val="00BA4192"/>
    <w:rPr>
      <w:sz w:val="16"/>
      <w:szCs w:val="16"/>
    </w:rPr>
  </w:style>
  <w:style w:type="paragraph" w:styleId="CommentText">
    <w:name w:val="annotation text"/>
    <w:basedOn w:val="Normal"/>
    <w:link w:val="CommentTextChar"/>
    <w:rsid w:val="00BA4192"/>
  </w:style>
  <w:style w:type="character" w:customStyle="1" w:styleId="CommentTextChar">
    <w:name w:val="Comment Text Char"/>
    <w:basedOn w:val="DefaultParagraphFont"/>
    <w:link w:val="CommentText"/>
    <w:rsid w:val="00BA4192"/>
    <w:rPr>
      <w:rFonts w:ascii="Calibri" w:hAnsi="Calibri"/>
      <w:lang w:eastAsia="en-US"/>
    </w:rPr>
  </w:style>
  <w:style w:type="paragraph" w:styleId="CommentSubject">
    <w:name w:val="annotation subject"/>
    <w:basedOn w:val="CommentText"/>
    <w:next w:val="CommentText"/>
    <w:link w:val="CommentSubjectChar"/>
    <w:rsid w:val="00BA4192"/>
    <w:rPr>
      <w:b/>
      <w:bCs/>
    </w:rPr>
  </w:style>
  <w:style w:type="character" w:customStyle="1" w:styleId="CommentSubjectChar">
    <w:name w:val="Comment Subject Char"/>
    <w:basedOn w:val="CommentTextChar"/>
    <w:link w:val="CommentSubject"/>
    <w:rsid w:val="00BA4192"/>
    <w:rPr>
      <w:rFonts w:ascii="Calibri" w:hAnsi="Calibri"/>
      <w:b/>
      <w:bCs/>
      <w:lang w:eastAsia="en-US"/>
    </w:rPr>
  </w:style>
  <w:style w:type="paragraph" w:styleId="BalloonText">
    <w:name w:val="Balloon Text"/>
    <w:basedOn w:val="Normal"/>
    <w:link w:val="BalloonTextChar"/>
    <w:rsid w:val="00BA4192"/>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BA4192"/>
    <w:rPr>
      <w:rFonts w:ascii="Tahoma" w:hAnsi="Tahoma" w:cs="Tahoma"/>
      <w:sz w:val="16"/>
      <w:szCs w:val="16"/>
      <w:lang w:eastAsia="en-US"/>
    </w:rPr>
  </w:style>
  <w:style w:type="character" w:customStyle="1" w:styleId="BodyTextBold">
    <w:name w:val="Body Text Bold"/>
    <w:qFormat/>
    <w:rsid w:val="00F37CC6"/>
    <w:rPr>
      <w:rFonts w:ascii="Arial" w:hAnsi="Arial"/>
      <w:b/>
      <w:color w:val="auto"/>
      <w:sz w:val="20"/>
      <w:lang w:val="en-AU"/>
    </w:rPr>
  </w:style>
  <w:style w:type="paragraph" w:customStyle="1" w:styleId="AppendixTitle">
    <w:name w:val="Appendix Title"/>
    <w:basedOn w:val="Heading1"/>
    <w:next w:val="BodyText"/>
    <w:uiPriority w:val="2"/>
    <w:qFormat/>
    <w:rsid w:val="00F37CC6"/>
    <w:pPr>
      <w:keepNext/>
      <w:keepLines/>
      <w:pageBreakBefore w:val="0"/>
      <w:spacing w:before="480" w:after="960" w:line="640" w:lineRule="exact"/>
      <w:jc w:val="right"/>
    </w:pPr>
    <w:rPr>
      <w:rFonts w:ascii="Calibri" w:eastAsia="Batang" w:hAnsi="Calibri"/>
      <w:color w:val="FFFFFF"/>
      <w:sz w:val="24"/>
      <w:lang w:eastAsia="ko-KR"/>
    </w:rPr>
  </w:style>
  <w:style w:type="paragraph" w:styleId="Date">
    <w:name w:val="Date"/>
    <w:next w:val="BodyText"/>
    <w:link w:val="DateChar"/>
    <w:uiPriority w:val="9"/>
    <w:qFormat/>
    <w:rsid w:val="00F37CC6"/>
    <w:pPr>
      <w:spacing w:before="240" w:after="240" w:line="240" w:lineRule="exact"/>
    </w:pPr>
    <w:rPr>
      <w:rFonts w:ascii="Arial" w:hAnsi="Arial"/>
      <w:lang w:eastAsia="en-US"/>
    </w:rPr>
  </w:style>
  <w:style w:type="character" w:customStyle="1" w:styleId="DateChar">
    <w:name w:val="Date Char"/>
    <w:basedOn w:val="DefaultParagraphFont"/>
    <w:link w:val="Date"/>
    <w:uiPriority w:val="9"/>
    <w:rsid w:val="00F37CC6"/>
    <w:rPr>
      <w:rFonts w:ascii="Arial" w:hAnsi="Arial"/>
      <w:lang w:eastAsia="en-US"/>
    </w:rPr>
  </w:style>
  <w:style w:type="paragraph" w:customStyle="1" w:styleId="Frontpage3">
    <w:name w:val="Front page 3"/>
    <w:basedOn w:val="FrontPage2"/>
    <w:uiPriority w:val="8"/>
    <w:qFormat/>
    <w:rsid w:val="00F37CC6"/>
    <w:pPr>
      <w:spacing w:line="280" w:lineRule="exact"/>
    </w:pPr>
    <w:rPr>
      <w:rFonts w:ascii="Arial" w:hAnsi="Arial"/>
      <w:b w:val="0"/>
      <w:sz w:val="24"/>
    </w:rPr>
  </w:style>
  <w:style w:type="paragraph" w:customStyle="1" w:styleId="FrontPage2">
    <w:name w:val="Front Page 2"/>
    <w:basedOn w:val="Frontpage1"/>
    <w:next w:val="Frontpage3"/>
    <w:uiPriority w:val="8"/>
    <w:qFormat/>
    <w:rsid w:val="00F37CC6"/>
    <w:pPr>
      <w:keepNext/>
      <w:spacing w:after="240" w:line="360" w:lineRule="exact"/>
    </w:pPr>
    <w:rPr>
      <w:rFonts w:ascii="Arial Bold" w:hAnsi="Arial Bold"/>
      <w:sz w:val="36"/>
    </w:rPr>
  </w:style>
  <w:style w:type="paragraph" w:customStyle="1" w:styleId="Frontpage1">
    <w:name w:val="Front page 1"/>
    <w:next w:val="FrontPage2"/>
    <w:uiPriority w:val="8"/>
    <w:rsid w:val="00F37CC6"/>
    <w:pPr>
      <w:spacing w:after="120" w:line="640" w:lineRule="exact"/>
    </w:pPr>
    <w:rPr>
      <w:rFonts w:ascii="Arial" w:hAnsi="Arial"/>
      <w:b/>
      <w:color w:val="FFFFFF"/>
      <w:sz w:val="60"/>
      <w:lang w:eastAsia="en-US"/>
    </w:rPr>
  </w:style>
  <w:style w:type="paragraph" w:customStyle="1" w:styleId="PulloutQuote0">
    <w:name w:val="Pullout Quote"/>
    <w:uiPriority w:val="6"/>
    <w:qFormat/>
    <w:rsid w:val="00F37CC6"/>
    <w:pPr>
      <w:framePr w:hSpace="181" w:vSpace="181" w:wrap="around" w:vAnchor="text" w:hAnchor="text" w:y="1"/>
      <w:spacing w:line="280" w:lineRule="exact"/>
    </w:pPr>
    <w:rPr>
      <w:rFonts w:ascii="Arial" w:hAnsi="Arial"/>
      <w:b/>
      <w:i/>
      <w:color w:val="00338D"/>
      <w:szCs w:val="22"/>
      <w:lang w:eastAsia="en-US"/>
    </w:rPr>
  </w:style>
  <w:style w:type="paragraph" w:customStyle="1" w:styleId="Subtitle1">
    <w:name w:val="Subtitle1"/>
    <w:basedOn w:val="BodyText"/>
    <w:next w:val="BodyText"/>
    <w:uiPriority w:val="2"/>
    <w:qFormat/>
    <w:rsid w:val="00F37CC6"/>
    <w:pPr>
      <w:keepNext/>
      <w:spacing w:before="240" w:after="130" w:line="280" w:lineRule="exact"/>
    </w:pPr>
    <w:rPr>
      <w:rFonts w:eastAsia="Batang"/>
      <w:b/>
      <w:color w:val="00338D"/>
      <w:sz w:val="24"/>
      <w:szCs w:val="20"/>
      <w:lang w:eastAsia="ko-KR"/>
    </w:rPr>
  </w:style>
  <w:style w:type="paragraph" w:customStyle="1" w:styleId="Subtitle2">
    <w:name w:val="Subtitle2"/>
    <w:basedOn w:val="BodyText"/>
    <w:next w:val="BodyText"/>
    <w:link w:val="Subtitle2Char"/>
    <w:uiPriority w:val="2"/>
    <w:qFormat/>
    <w:rsid w:val="00F37CC6"/>
    <w:pPr>
      <w:keepNext/>
      <w:spacing w:after="0" w:line="260" w:lineRule="atLeast"/>
    </w:pPr>
    <w:rPr>
      <w:rFonts w:eastAsia="Batang"/>
      <w:b/>
      <w:color w:val="00338D"/>
      <w:szCs w:val="20"/>
      <w:lang w:eastAsia="ko-KR"/>
    </w:rPr>
  </w:style>
  <w:style w:type="character" w:customStyle="1" w:styleId="Subtitle2Char">
    <w:name w:val="Subtitle2 Char"/>
    <w:basedOn w:val="BodyTextChar"/>
    <w:link w:val="Subtitle2"/>
    <w:uiPriority w:val="2"/>
    <w:rsid w:val="00F37CC6"/>
    <w:rPr>
      <w:rFonts w:ascii="Calibri" w:eastAsia="Batang" w:hAnsi="Calibri"/>
      <w:b/>
      <w:color w:val="00338D"/>
      <w:szCs w:val="22"/>
      <w:lang w:eastAsia="ko-KR"/>
    </w:rPr>
  </w:style>
  <w:style w:type="paragraph" w:customStyle="1" w:styleId="Subtitle3">
    <w:name w:val="Subtitle3"/>
    <w:basedOn w:val="BodyText"/>
    <w:next w:val="BodyText"/>
    <w:uiPriority w:val="2"/>
    <w:qFormat/>
    <w:rsid w:val="00F37CC6"/>
    <w:pPr>
      <w:keepNext/>
      <w:spacing w:after="0" w:line="260" w:lineRule="atLeast"/>
    </w:pPr>
    <w:rPr>
      <w:rFonts w:eastAsia="Batang"/>
      <w:b/>
      <w:iCs/>
      <w:szCs w:val="20"/>
      <w:lang w:eastAsia="ko-KR"/>
    </w:rPr>
  </w:style>
  <w:style w:type="paragraph" w:customStyle="1" w:styleId="NumberedBullets">
    <w:name w:val="Numbered Bullets"/>
    <w:next w:val="BodyText"/>
    <w:uiPriority w:val="3"/>
    <w:qFormat/>
    <w:rsid w:val="00F37CC6"/>
    <w:pPr>
      <w:keepLines/>
      <w:numPr>
        <w:numId w:val="1"/>
      </w:numPr>
      <w:tabs>
        <w:tab w:val="left" w:pos="227"/>
      </w:tabs>
      <w:spacing w:after="120" w:line="240" w:lineRule="exact"/>
    </w:pPr>
    <w:rPr>
      <w:rFonts w:ascii="Arial" w:hAnsi="Arial"/>
      <w:lang w:eastAsia="en-US"/>
    </w:rPr>
  </w:style>
  <w:style w:type="paragraph" w:customStyle="1" w:styleId="TableText0">
    <w:name w:val="Table Text"/>
    <w:basedOn w:val="Normal"/>
    <w:rsid w:val="003E3359"/>
    <w:pPr>
      <w:tabs>
        <w:tab w:val="left" w:pos="187"/>
      </w:tabs>
      <w:spacing w:before="60" w:line="240" w:lineRule="auto"/>
    </w:pPr>
    <w:rPr>
      <w:rFonts w:eastAsia="Calibri"/>
      <w:sz w:val="18"/>
      <w:szCs w:val="22"/>
      <w:lang w:val="en-CA"/>
    </w:rPr>
  </w:style>
  <w:style w:type="paragraph" w:customStyle="1" w:styleId="IntroductoryParagraph0">
    <w:name w:val="Introductory Paragraph"/>
    <w:uiPriority w:val="1"/>
    <w:qFormat/>
    <w:rsid w:val="00F37CC6"/>
    <w:pPr>
      <w:keepNext/>
      <w:keepLines/>
      <w:spacing w:after="240" w:line="320" w:lineRule="exact"/>
    </w:pPr>
    <w:rPr>
      <w:rFonts w:ascii="Arial" w:hAnsi="Arial"/>
      <w:color w:val="00338D"/>
      <w:sz w:val="28"/>
      <w:szCs w:val="18"/>
      <w:lang w:eastAsia="en-US"/>
    </w:rPr>
  </w:style>
  <w:style w:type="character" w:customStyle="1" w:styleId="WhiteTableText">
    <w:name w:val="White Table Text"/>
    <w:basedOn w:val="DefaultParagraphFont"/>
    <w:uiPriority w:val="7"/>
    <w:rsid w:val="00F37CC6"/>
    <w:rPr>
      <w:rFonts w:ascii="Arial" w:hAnsi="Arial"/>
      <w:color w:val="FFFFFF"/>
      <w:sz w:val="20"/>
    </w:rPr>
  </w:style>
  <w:style w:type="paragraph" w:customStyle="1" w:styleId="NumberedTableBullets">
    <w:name w:val="Numbered Table Bullets"/>
    <w:basedOn w:val="TableText0"/>
    <w:uiPriority w:val="7"/>
    <w:rsid w:val="00F37CC6"/>
    <w:pPr>
      <w:numPr>
        <w:numId w:val="7"/>
      </w:numPr>
      <w:tabs>
        <w:tab w:val="clear" w:pos="187"/>
        <w:tab w:val="clear" w:pos="360"/>
        <w:tab w:val="left" w:pos="227"/>
      </w:tabs>
      <w:spacing w:line="288" w:lineRule="atLeast"/>
      <w:ind w:left="227" w:hanging="227"/>
    </w:pPr>
  </w:style>
  <w:style w:type="paragraph" w:customStyle="1" w:styleId="Frontpage4">
    <w:name w:val="Front page 4"/>
    <w:uiPriority w:val="8"/>
    <w:qFormat/>
    <w:rsid w:val="00F37CC6"/>
    <w:pPr>
      <w:spacing w:line="240" w:lineRule="exact"/>
    </w:pPr>
    <w:rPr>
      <w:rFonts w:ascii="Arial" w:hAnsi="Arial"/>
      <w:b/>
      <w:color w:val="FFFFFF"/>
      <w:szCs w:val="18"/>
      <w:lang w:eastAsia="en-US"/>
    </w:rPr>
  </w:style>
  <w:style w:type="paragraph" w:styleId="Salutation">
    <w:name w:val="Salutation"/>
    <w:next w:val="BodyText"/>
    <w:link w:val="SalutationChar"/>
    <w:uiPriority w:val="9"/>
    <w:qFormat/>
    <w:rsid w:val="00F37CC6"/>
    <w:pPr>
      <w:spacing w:after="720"/>
    </w:pPr>
    <w:rPr>
      <w:rFonts w:ascii="Arial" w:hAnsi="Arial"/>
      <w:lang w:eastAsia="en-US"/>
    </w:rPr>
  </w:style>
  <w:style w:type="character" w:customStyle="1" w:styleId="SalutationChar">
    <w:name w:val="Salutation Char"/>
    <w:basedOn w:val="DefaultParagraphFont"/>
    <w:link w:val="Salutation"/>
    <w:uiPriority w:val="9"/>
    <w:rsid w:val="00F37CC6"/>
    <w:rPr>
      <w:rFonts w:ascii="Arial" w:hAnsi="Arial"/>
      <w:lang w:eastAsia="en-US"/>
    </w:rPr>
  </w:style>
  <w:style w:type="character" w:customStyle="1" w:styleId="BodyTextItalic">
    <w:name w:val="Body Text Italic"/>
    <w:basedOn w:val="BodyTextChar"/>
    <w:qFormat/>
    <w:rsid w:val="00F37CC6"/>
    <w:rPr>
      <w:rFonts w:ascii="Calibri" w:eastAsia="Batang" w:hAnsi="Calibri"/>
      <w:i/>
      <w:szCs w:val="22"/>
      <w:lang w:eastAsia="ko-KR"/>
    </w:rPr>
  </w:style>
  <w:style w:type="paragraph" w:customStyle="1" w:styleId="BodyTextSingle">
    <w:name w:val="Body Text Single"/>
    <w:basedOn w:val="BodyText"/>
    <w:qFormat/>
    <w:rsid w:val="00F37CC6"/>
    <w:pPr>
      <w:spacing w:before="130" w:after="0" w:line="260" w:lineRule="atLeast"/>
    </w:pPr>
    <w:rPr>
      <w:rFonts w:eastAsia="Batang"/>
      <w:szCs w:val="20"/>
      <w:lang w:eastAsia="ko-KR"/>
    </w:rPr>
  </w:style>
  <w:style w:type="paragraph" w:customStyle="1" w:styleId="Appendixheading">
    <w:name w:val="Appendix heading"/>
    <w:next w:val="BodyText0"/>
    <w:uiPriority w:val="2"/>
    <w:qFormat/>
    <w:rsid w:val="00E40226"/>
    <w:pPr>
      <w:keepNext/>
      <w:keepLines/>
      <w:pageBreakBefore/>
      <w:numPr>
        <w:numId w:val="8"/>
      </w:numPr>
      <w:spacing w:before="240" w:after="120" w:line="640" w:lineRule="exact"/>
    </w:pPr>
    <w:rPr>
      <w:rFonts w:ascii="Univers 45 Light" w:hAnsi="Univers 45 Light"/>
      <w:b/>
      <w:color w:val="00338D"/>
      <w:sz w:val="32"/>
      <w:szCs w:val="18"/>
      <w:lang w:eastAsia="en-US"/>
    </w:rPr>
  </w:style>
  <w:style w:type="character" w:customStyle="1" w:styleId="KPMGPrimaryBlue">
    <w:name w:val="KPMG Primary Blue"/>
    <w:uiPriority w:val="11"/>
    <w:qFormat/>
    <w:rsid w:val="00F37CC6"/>
    <w:rPr>
      <w:color w:val="00338D"/>
    </w:rPr>
  </w:style>
  <w:style w:type="character" w:customStyle="1" w:styleId="KPMGPrimaryBlueBOLD">
    <w:name w:val="KPMG Primary Blue BOLD"/>
    <w:basedOn w:val="KPMGPrimaryBlue"/>
    <w:uiPriority w:val="11"/>
    <w:rsid w:val="00F37CC6"/>
    <w:rPr>
      <w:b/>
      <w:color w:val="00338D"/>
    </w:rPr>
  </w:style>
  <w:style w:type="character" w:customStyle="1" w:styleId="KPMGDarkGreen">
    <w:name w:val="KPMG Dark Green"/>
    <w:uiPriority w:val="13"/>
    <w:rsid w:val="00F37CC6"/>
    <w:rPr>
      <w:color w:val="00505C"/>
    </w:rPr>
  </w:style>
  <w:style w:type="character" w:customStyle="1" w:styleId="KPMGDarkGreenBOLD">
    <w:name w:val="KPMG Dark Green BOLD"/>
    <w:uiPriority w:val="13"/>
    <w:rsid w:val="00F37CC6"/>
    <w:rPr>
      <w:b/>
      <w:color w:val="00505C"/>
    </w:rPr>
  </w:style>
  <w:style w:type="character" w:customStyle="1" w:styleId="KPMGTan">
    <w:name w:val="KPMG Tan"/>
    <w:uiPriority w:val="13"/>
    <w:rsid w:val="00F37CC6"/>
    <w:rPr>
      <w:color w:val="A79E70"/>
    </w:rPr>
  </w:style>
  <w:style w:type="character" w:customStyle="1" w:styleId="KPMGTanBOLD">
    <w:name w:val="KPMG Tan BOLD"/>
    <w:uiPriority w:val="13"/>
    <w:rsid w:val="00F37CC6"/>
    <w:rPr>
      <w:b/>
      <w:color w:val="A79E70"/>
    </w:rPr>
  </w:style>
  <w:style w:type="character" w:customStyle="1" w:styleId="KPMGBrightYellow">
    <w:name w:val="KPMG Bright Yellow"/>
    <w:uiPriority w:val="13"/>
    <w:rsid w:val="00F37CC6"/>
    <w:rPr>
      <w:color w:val="EBB700"/>
    </w:rPr>
  </w:style>
  <w:style w:type="character" w:customStyle="1" w:styleId="KPMGBrightGreen">
    <w:name w:val="KPMG Bright Green"/>
    <w:uiPriority w:val="13"/>
    <w:rsid w:val="00F37CC6"/>
    <w:rPr>
      <w:color w:val="7AB800"/>
    </w:rPr>
  </w:style>
  <w:style w:type="character" w:customStyle="1" w:styleId="KPMGBrightGreenBOLD">
    <w:name w:val="KPMG Bright Green BOLD"/>
    <w:uiPriority w:val="13"/>
    <w:rsid w:val="00F37CC6"/>
    <w:rPr>
      <w:b/>
      <w:color w:val="7AB800"/>
    </w:rPr>
  </w:style>
  <w:style w:type="character" w:customStyle="1" w:styleId="KPMGBrightYellowBOLD">
    <w:name w:val="KPMG Bright Yellow BOLD"/>
    <w:uiPriority w:val="13"/>
    <w:rsid w:val="00F37CC6"/>
    <w:rPr>
      <w:b/>
      <w:color w:val="EBB700"/>
    </w:rPr>
  </w:style>
  <w:style w:type="character" w:customStyle="1" w:styleId="KPMGDeepPurple">
    <w:name w:val="KPMG Deep Purple"/>
    <w:uiPriority w:val="13"/>
    <w:rsid w:val="00F37CC6"/>
    <w:rPr>
      <w:color w:val="8E258D"/>
    </w:rPr>
  </w:style>
  <w:style w:type="character" w:customStyle="1" w:styleId="KPMGDeepPurpleBOLD">
    <w:name w:val="KPMG Deep Purple BOLD"/>
    <w:uiPriority w:val="13"/>
    <w:rsid w:val="00F37CC6"/>
    <w:rPr>
      <w:b/>
      <w:bCs/>
      <w:color w:val="8E258D"/>
    </w:rPr>
  </w:style>
  <w:style w:type="character" w:customStyle="1" w:styleId="KPMGOrange">
    <w:name w:val="KPMG Orange"/>
    <w:uiPriority w:val="13"/>
    <w:rsid w:val="00F37CC6"/>
    <w:rPr>
      <w:color w:val="C84E00"/>
    </w:rPr>
  </w:style>
  <w:style w:type="character" w:customStyle="1" w:styleId="KPMGOrangeBOLD">
    <w:name w:val="KPMG Orange BOLD"/>
    <w:uiPriority w:val="13"/>
    <w:rsid w:val="00F37CC6"/>
    <w:rPr>
      <w:b/>
      <w:color w:val="C84E00"/>
    </w:rPr>
  </w:style>
  <w:style w:type="character" w:customStyle="1" w:styleId="KPMGPowderBlue">
    <w:name w:val="KPMG Powder Blue"/>
    <w:uiPriority w:val="13"/>
    <w:rsid w:val="00F37CC6"/>
    <w:rPr>
      <w:color w:val="98C6EA"/>
    </w:rPr>
  </w:style>
  <w:style w:type="character" w:customStyle="1" w:styleId="KPMGPowderBlueBOLD">
    <w:name w:val="KPMG Powder Blue BOLD"/>
    <w:uiPriority w:val="13"/>
    <w:rsid w:val="00F37CC6"/>
    <w:rPr>
      <w:b/>
      <w:color w:val="98C6EA"/>
    </w:rPr>
  </w:style>
  <w:style w:type="character" w:customStyle="1" w:styleId="KPMGRed">
    <w:name w:val="KPMG Red"/>
    <w:uiPriority w:val="13"/>
    <w:rsid w:val="00F37CC6"/>
    <w:rPr>
      <w:color w:val="9E3039"/>
    </w:rPr>
  </w:style>
  <w:style w:type="character" w:customStyle="1" w:styleId="KPMGRedBOLD">
    <w:name w:val="KPMG Red BOLD"/>
    <w:uiPriority w:val="13"/>
    <w:rsid w:val="00F37CC6"/>
    <w:rPr>
      <w:b/>
      <w:color w:val="9E3039"/>
    </w:rPr>
  </w:style>
  <w:style w:type="character" w:customStyle="1" w:styleId="KPMGSlate">
    <w:name w:val="KPMG Slate"/>
    <w:uiPriority w:val="13"/>
    <w:rsid w:val="00F37CC6"/>
    <w:rPr>
      <w:color w:val="4176AB"/>
    </w:rPr>
  </w:style>
  <w:style w:type="character" w:customStyle="1" w:styleId="KPMGSlateBOLD">
    <w:name w:val="KPMG Slate BOLD"/>
    <w:uiPriority w:val="13"/>
    <w:rsid w:val="00F37CC6"/>
    <w:rPr>
      <w:b/>
      <w:bCs/>
      <w:color w:val="4176AB"/>
    </w:rPr>
  </w:style>
  <w:style w:type="character" w:customStyle="1" w:styleId="KPMGTurquoise">
    <w:name w:val="KPMG Turquoise"/>
    <w:uiPriority w:val="13"/>
    <w:rsid w:val="00F37CC6"/>
    <w:rPr>
      <w:color w:val="007C92"/>
    </w:rPr>
  </w:style>
  <w:style w:type="character" w:customStyle="1" w:styleId="KPMGTurquoiseBOLD">
    <w:name w:val="KPMG Turquoise BOLD"/>
    <w:uiPriority w:val="13"/>
    <w:rsid w:val="00F37CC6"/>
    <w:rPr>
      <w:b/>
      <w:bCs/>
      <w:color w:val="007C92"/>
    </w:rPr>
  </w:style>
  <w:style w:type="character" w:customStyle="1" w:styleId="KPMGDarkRed">
    <w:name w:val="KPMG Dark Red"/>
    <w:uiPriority w:val="13"/>
    <w:rsid w:val="00F37CC6"/>
    <w:rPr>
      <w:color w:val="673327"/>
    </w:rPr>
  </w:style>
  <w:style w:type="character" w:customStyle="1" w:styleId="KPMGDarkRedBOLD">
    <w:name w:val="KPMG Dark Red BOLD"/>
    <w:uiPriority w:val="13"/>
    <w:rsid w:val="00F37CC6"/>
    <w:rPr>
      <w:b/>
      <w:color w:val="673327"/>
    </w:rPr>
  </w:style>
  <w:style w:type="character" w:customStyle="1" w:styleId="KPMGCoral">
    <w:name w:val="KPMG Coral"/>
    <w:uiPriority w:val="13"/>
    <w:rsid w:val="00F37CC6"/>
    <w:rPr>
      <w:color w:val="B26F7E"/>
    </w:rPr>
  </w:style>
  <w:style w:type="character" w:customStyle="1" w:styleId="KPMGCoralBOLD">
    <w:name w:val="KPMG Coral BOLD"/>
    <w:basedOn w:val="DefaultParagraphFont"/>
    <w:uiPriority w:val="13"/>
    <w:rsid w:val="00F37CC6"/>
    <w:rPr>
      <w:b/>
      <w:color w:val="B26F7E"/>
    </w:rPr>
  </w:style>
  <w:style w:type="character" w:customStyle="1" w:styleId="KPMGGreen">
    <w:name w:val="KPMG Green"/>
    <w:uiPriority w:val="13"/>
    <w:rsid w:val="00F37CC6"/>
    <w:rPr>
      <w:color w:val="6A7F10"/>
    </w:rPr>
  </w:style>
  <w:style w:type="character" w:customStyle="1" w:styleId="KPMGGreenBOLD">
    <w:name w:val="KPMG Green BOLD"/>
    <w:uiPriority w:val="13"/>
    <w:rsid w:val="00F37CC6"/>
    <w:rPr>
      <w:b/>
      <w:color w:val="6A7F10"/>
    </w:rPr>
  </w:style>
  <w:style w:type="character" w:customStyle="1" w:styleId="KPMGViolet">
    <w:name w:val="KPMG Violet"/>
    <w:uiPriority w:val="13"/>
    <w:rsid w:val="00F37CC6"/>
    <w:rPr>
      <w:color w:val="B390BB"/>
    </w:rPr>
  </w:style>
  <w:style w:type="character" w:customStyle="1" w:styleId="KPMGVioletBOLD">
    <w:name w:val="KPMG Violet BOLD"/>
    <w:uiPriority w:val="13"/>
    <w:rsid w:val="00F37CC6"/>
    <w:rPr>
      <w:b/>
      <w:color w:val="B390BB"/>
    </w:rPr>
  </w:style>
  <w:style w:type="character" w:customStyle="1" w:styleId="KPMGGray">
    <w:name w:val="KPMG Gray"/>
    <w:uiPriority w:val="13"/>
    <w:rsid w:val="00F37CC6"/>
    <w:rPr>
      <w:color w:val="747678"/>
    </w:rPr>
  </w:style>
  <w:style w:type="character" w:customStyle="1" w:styleId="KPMGGrayBOLD">
    <w:name w:val="KPMG Gray BOLD"/>
    <w:uiPriority w:val="13"/>
    <w:rsid w:val="00F37CC6"/>
    <w:rPr>
      <w:b/>
      <w:color w:val="747678"/>
    </w:rPr>
  </w:style>
  <w:style w:type="character" w:customStyle="1" w:styleId="KPMGSage">
    <w:name w:val="KPMG Sage"/>
    <w:uiPriority w:val="13"/>
    <w:rsid w:val="00F37CC6"/>
    <w:rPr>
      <w:color w:val="AABAA5"/>
    </w:rPr>
  </w:style>
  <w:style w:type="character" w:customStyle="1" w:styleId="KPMGSageBOLD">
    <w:name w:val="KPMG Sage BOLD"/>
    <w:uiPriority w:val="13"/>
    <w:rsid w:val="00F37CC6"/>
    <w:rPr>
      <w:b/>
      <w:color w:val="AABAA5"/>
    </w:rPr>
  </w:style>
  <w:style w:type="character" w:customStyle="1" w:styleId="KPMGLavender">
    <w:name w:val="KPMG Lavender"/>
    <w:uiPriority w:val="13"/>
    <w:rsid w:val="00F37CC6"/>
    <w:rPr>
      <w:color w:val="7981C3"/>
    </w:rPr>
  </w:style>
  <w:style w:type="character" w:customStyle="1" w:styleId="KPMGLavenderBOLD">
    <w:name w:val="KPMG Lavender BOLD"/>
    <w:uiPriority w:val="13"/>
    <w:rsid w:val="00F37CC6"/>
    <w:rPr>
      <w:b/>
      <w:color w:val="7981C3"/>
    </w:rPr>
  </w:style>
  <w:style w:type="character" w:customStyle="1" w:styleId="KPMGWhite">
    <w:name w:val="KPMG White"/>
    <w:uiPriority w:val="11"/>
    <w:rsid w:val="00F37CC6"/>
    <w:rPr>
      <w:color w:val="FFFFFF"/>
    </w:rPr>
  </w:style>
  <w:style w:type="character" w:customStyle="1" w:styleId="KPMGWhiteBOLD">
    <w:name w:val="KPMG White BOLD"/>
    <w:uiPriority w:val="11"/>
    <w:rsid w:val="00F37CC6"/>
    <w:rPr>
      <w:b/>
      <w:color w:val="FFFFFF"/>
    </w:rPr>
  </w:style>
  <w:style w:type="paragraph" w:customStyle="1" w:styleId="Photo">
    <w:name w:val="Photo"/>
    <w:basedOn w:val="Graphic"/>
    <w:uiPriority w:val="4"/>
    <w:qFormat/>
    <w:rsid w:val="00F37CC6"/>
    <w:pPr>
      <w:jc w:val="left"/>
    </w:pPr>
    <w:rPr>
      <w:rFonts w:ascii="Times New Roman" w:eastAsia="Batang" w:hAnsi="Times New Roman"/>
      <w:sz w:val="22"/>
      <w:lang w:eastAsia="ko-KR"/>
    </w:rPr>
  </w:style>
  <w:style w:type="paragraph" w:customStyle="1" w:styleId="Highlightquote">
    <w:name w:val="Highlight quote"/>
    <w:qFormat/>
    <w:rsid w:val="00F37CC6"/>
    <w:rPr>
      <w:rFonts w:ascii="Univers 45 Light" w:hAnsi="Univers 45 Light"/>
      <w:b/>
      <w:i/>
      <w:sz w:val="24"/>
      <w:szCs w:val="24"/>
    </w:rPr>
  </w:style>
  <w:style w:type="paragraph" w:customStyle="1" w:styleId="Table-body">
    <w:name w:val="Table - body"/>
    <w:basedOn w:val="Normal"/>
    <w:rsid w:val="00F37CC6"/>
    <w:pPr>
      <w:overflowPunct w:val="0"/>
      <w:autoSpaceDE w:val="0"/>
      <w:autoSpaceDN w:val="0"/>
      <w:adjustRightInd w:val="0"/>
      <w:spacing w:before="60" w:after="60" w:line="240" w:lineRule="auto"/>
      <w:textAlignment w:val="baseline"/>
    </w:pPr>
    <w:rPr>
      <w:rFonts w:ascii="Times New Roman" w:hAnsi="Times New Roman"/>
      <w:sz w:val="22"/>
    </w:rPr>
  </w:style>
  <w:style w:type="paragraph" w:customStyle="1" w:styleId="Heading-3">
    <w:name w:val="Heading - 3"/>
    <w:basedOn w:val="Normal"/>
    <w:rsid w:val="00F37CC6"/>
    <w:pPr>
      <w:keepNext/>
      <w:keepLines/>
      <w:overflowPunct w:val="0"/>
      <w:autoSpaceDE w:val="0"/>
      <w:autoSpaceDN w:val="0"/>
      <w:adjustRightInd w:val="0"/>
      <w:spacing w:before="120" w:after="120" w:line="240" w:lineRule="auto"/>
      <w:ind w:left="567"/>
      <w:textAlignment w:val="baseline"/>
    </w:pPr>
    <w:rPr>
      <w:rFonts w:ascii="Times New Roman" w:hAnsi="Times New Roman"/>
      <w:b/>
      <w:sz w:val="28"/>
    </w:rPr>
  </w:style>
  <w:style w:type="paragraph" w:customStyle="1" w:styleId="Heading-2">
    <w:name w:val="Heading - 2"/>
    <w:basedOn w:val="Normal"/>
    <w:rsid w:val="00F37CC6"/>
    <w:pPr>
      <w:keepNext/>
      <w:keepLines/>
      <w:overflowPunct w:val="0"/>
      <w:autoSpaceDE w:val="0"/>
      <w:autoSpaceDN w:val="0"/>
      <w:adjustRightInd w:val="0"/>
      <w:spacing w:after="240" w:line="240" w:lineRule="auto"/>
      <w:ind w:left="567"/>
      <w:jc w:val="center"/>
      <w:textAlignment w:val="baseline"/>
    </w:pPr>
    <w:rPr>
      <w:rFonts w:ascii="Times New Roman" w:hAnsi="Times New Roman"/>
      <w:b/>
      <w:sz w:val="36"/>
    </w:rPr>
  </w:style>
  <w:style w:type="paragraph" w:customStyle="1" w:styleId="Body1-b">
    <w:name w:val="Body 1 - b"/>
    <w:basedOn w:val="Normal"/>
    <w:rsid w:val="00F37CC6"/>
    <w:pPr>
      <w:overflowPunct w:val="0"/>
      <w:autoSpaceDE w:val="0"/>
      <w:autoSpaceDN w:val="0"/>
      <w:adjustRightInd w:val="0"/>
      <w:spacing w:after="60" w:line="240" w:lineRule="auto"/>
      <w:ind w:left="1418" w:hanging="284"/>
      <w:textAlignment w:val="baseline"/>
    </w:pPr>
    <w:rPr>
      <w:rFonts w:ascii="Times New Roman" w:hAnsi="Times New Roman"/>
      <w:sz w:val="24"/>
    </w:rPr>
  </w:style>
  <w:style w:type="paragraph" w:customStyle="1" w:styleId="Body1">
    <w:name w:val="Body 1"/>
    <w:basedOn w:val="Normal"/>
    <w:rsid w:val="00F37CC6"/>
    <w:pPr>
      <w:overflowPunct w:val="0"/>
      <w:autoSpaceDE w:val="0"/>
      <w:autoSpaceDN w:val="0"/>
      <w:adjustRightInd w:val="0"/>
      <w:spacing w:after="120" w:line="240" w:lineRule="auto"/>
      <w:ind w:left="1134"/>
      <w:textAlignment w:val="baseline"/>
    </w:pPr>
    <w:rPr>
      <w:rFonts w:ascii="Times New Roman" w:hAnsi="Times New Roman"/>
      <w:sz w:val="24"/>
    </w:rPr>
  </w:style>
  <w:style w:type="paragraph" w:styleId="BodyTextIndent3">
    <w:name w:val="Body Text Indent 3"/>
    <w:basedOn w:val="Normal"/>
    <w:link w:val="BodyTextIndent3Char"/>
    <w:uiPriority w:val="99"/>
    <w:rsid w:val="00F37CC6"/>
    <w:pPr>
      <w:spacing w:after="120" w:line="276" w:lineRule="auto"/>
      <w:ind w:left="283"/>
    </w:pPr>
    <w:rPr>
      <w:rFonts w:eastAsia="Calibri"/>
      <w:sz w:val="16"/>
      <w:szCs w:val="16"/>
    </w:rPr>
  </w:style>
  <w:style w:type="character" w:customStyle="1" w:styleId="BodyTextIndent3Char">
    <w:name w:val="Body Text Indent 3 Char"/>
    <w:basedOn w:val="DefaultParagraphFont"/>
    <w:link w:val="BodyTextIndent3"/>
    <w:uiPriority w:val="99"/>
    <w:rsid w:val="00F37CC6"/>
    <w:rPr>
      <w:rFonts w:ascii="Calibri" w:eastAsia="Calibri" w:hAnsi="Calibri"/>
      <w:sz w:val="16"/>
      <w:szCs w:val="16"/>
      <w:lang w:eastAsia="en-US"/>
    </w:rPr>
  </w:style>
  <w:style w:type="paragraph" w:customStyle="1" w:styleId="Body-bld">
    <w:name w:val="Body - bld"/>
    <w:basedOn w:val="Normal"/>
    <w:rsid w:val="00F37CC6"/>
    <w:pPr>
      <w:keepNext/>
      <w:keepLines/>
      <w:overflowPunct w:val="0"/>
      <w:autoSpaceDE w:val="0"/>
      <w:autoSpaceDN w:val="0"/>
      <w:adjustRightInd w:val="0"/>
      <w:spacing w:after="240" w:line="240" w:lineRule="auto"/>
      <w:ind w:left="567"/>
      <w:jc w:val="center"/>
      <w:textAlignment w:val="baseline"/>
    </w:pPr>
    <w:rPr>
      <w:rFonts w:ascii="Times New Roman" w:hAnsi="Times New Roman"/>
      <w:b/>
      <w:sz w:val="22"/>
    </w:rPr>
  </w:style>
  <w:style w:type="paragraph" w:styleId="ListParagraph">
    <w:name w:val="List Paragraph"/>
    <w:aliases w:val="Bullet Level 1"/>
    <w:basedOn w:val="Normal"/>
    <w:link w:val="ListParagraphChar"/>
    <w:uiPriority w:val="34"/>
    <w:qFormat/>
    <w:rsid w:val="00F37CC6"/>
    <w:pPr>
      <w:spacing w:line="240" w:lineRule="auto"/>
      <w:ind w:left="720"/>
    </w:pPr>
    <w:rPr>
      <w:sz w:val="22"/>
      <w:szCs w:val="22"/>
    </w:rPr>
  </w:style>
  <w:style w:type="character" w:customStyle="1" w:styleId="ListParagraphChar">
    <w:name w:val="List Paragraph Char"/>
    <w:aliases w:val="Bullet Level 1 Char"/>
    <w:basedOn w:val="DefaultParagraphFont"/>
    <w:link w:val="ListParagraph"/>
    <w:rsid w:val="00F37CC6"/>
    <w:rPr>
      <w:rFonts w:ascii="Calibri" w:hAnsi="Calibri"/>
      <w:sz w:val="22"/>
      <w:szCs w:val="22"/>
      <w:lang w:eastAsia="en-US"/>
    </w:rPr>
  </w:style>
  <w:style w:type="paragraph" w:customStyle="1" w:styleId="HeadingLevel2NoNumber">
    <w:name w:val="HeadingLevel2NoNumber"/>
    <w:basedOn w:val="Heading2"/>
    <w:next w:val="BodyText0"/>
    <w:rsid w:val="00982034"/>
  </w:style>
  <w:style w:type="paragraph" w:customStyle="1" w:styleId="Subhead2">
    <w:name w:val="*Subhead 2"/>
    <w:basedOn w:val="Normal"/>
    <w:uiPriority w:val="99"/>
    <w:rsid w:val="00F37CC6"/>
    <w:pPr>
      <w:spacing w:after="20" w:line="240" w:lineRule="auto"/>
    </w:pPr>
    <w:rPr>
      <w:rFonts w:ascii="Univers 55" w:hAnsi="Univers 55"/>
      <w:color w:val="000000"/>
      <w:kern w:val="22"/>
      <w:sz w:val="22"/>
    </w:rPr>
  </w:style>
  <w:style w:type="table" w:styleId="MediumGrid3-Accent1">
    <w:name w:val="Medium Grid 3 Accent 1"/>
    <w:basedOn w:val="TableNormal"/>
    <w:uiPriority w:val="69"/>
    <w:rsid w:val="00F37CC6"/>
    <w:rPr>
      <w:rFonts w:ascii="Cambria" w:hAnsi="Cambria"/>
      <w:sz w:val="22"/>
      <w:lang w:eastAsia="en-US"/>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ascii="Cambria" w:hAnsi="Cambria" w:cs="Times New Roman" w:hint="default"/>
        <w:b/>
        <w:bCs/>
        <w:i w:val="0"/>
        <w:iCs w:val="0"/>
        <w:color w:val="FFFFFF"/>
        <w:sz w:val="24"/>
        <w:szCs w:val="24"/>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ascii="Cambria" w:hAnsi="Cambria" w:cs="Times New Roman" w:hint="default"/>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ascii="Cambria" w:hAnsi="Cambria" w:cs="Times New Roman" w:hint="default"/>
        <w:b/>
        <w:bCs/>
        <w:i w:val="0"/>
        <w:iCs w:val="0"/>
        <w:color w:val="FFFFFF"/>
      </w:rPr>
      <w:tblPr/>
      <w:tcPr>
        <w:shd w:val="clear" w:color="auto" w:fill="95B3D7"/>
      </w:tcPr>
    </w:tblStylePr>
    <w:tblStylePr w:type="lastCol">
      <w:rPr>
        <w:rFonts w:ascii="Cambria" w:hAnsi="Cambria" w:cs="Times New Roman" w:hint="default"/>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ascii="Cambria" w:hAnsi="Cambria" w:cs="Times New Roman" w:hint="default"/>
      </w:rPr>
      <w:tblPr/>
      <w:tcPr>
        <w:shd w:val="clear" w:color="auto" w:fill="B8CCE4"/>
      </w:tcPr>
    </w:tblStylePr>
    <w:tblStylePr w:type="band1Horz">
      <w:rPr>
        <w:rFonts w:ascii="Cambria" w:hAnsi="Cambria" w:cs="Times New Roman" w:hint="default"/>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paragraph" w:customStyle="1" w:styleId="CVHeadingLevel1">
    <w:name w:val="CVHeadingLevel1"/>
    <w:basedOn w:val="Normal"/>
    <w:next w:val="Normal"/>
    <w:rsid w:val="00F37CC6"/>
    <w:pPr>
      <w:spacing w:before="60" w:line="240" w:lineRule="auto"/>
    </w:pPr>
    <w:rPr>
      <w:rFonts w:cs="Arial"/>
      <w:b/>
      <w:bCs/>
      <w:color w:val="0C2D83"/>
    </w:rPr>
  </w:style>
  <w:style w:type="paragraph" w:customStyle="1" w:styleId="CVHeadingLevel2">
    <w:name w:val="CVHeadingLevel2"/>
    <w:basedOn w:val="Normal"/>
    <w:next w:val="Normal"/>
    <w:rsid w:val="00F37CC6"/>
    <w:pPr>
      <w:spacing w:before="60" w:line="240" w:lineRule="auto"/>
    </w:pPr>
    <w:rPr>
      <w:rFonts w:cs="Arial"/>
      <w:bCs/>
      <w:i/>
      <w:color w:val="0C2D83"/>
    </w:rPr>
  </w:style>
  <w:style w:type="paragraph" w:customStyle="1" w:styleId="CVBulletLevel1">
    <w:name w:val="CVBulletLevel1"/>
    <w:basedOn w:val="ListBullet"/>
    <w:rsid w:val="00F37CC6"/>
    <w:pPr>
      <w:numPr>
        <w:numId w:val="9"/>
      </w:numPr>
      <w:spacing w:line="240" w:lineRule="auto"/>
    </w:pPr>
    <w:rPr>
      <w:rFonts w:cs="Arial"/>
      <w:color w:val="auto"/>
      <w:szCs w:val="20"/>
    </w:rPr>
  </w:style>
  <w:style w:type="paragraph" w:styleId="TOCHeading">
    <w:name w:val="TOC Heading"/>
    <w:basedOn w:val="Heading1"/>
    <w:next w:val="Normal"/>
    <w:uiPriority w:val="39"/>
    <w:unhideWhenUsed/>
    <w:qFormat/>
    <w:rsid w:val="00F37CC6"/>
    <w:pPr>
      <w:keepNext/>
      <w:keepLines/>
      <w:pageBreakBefore w:val="0"/>
      <w:spacing w:before="480" w:after="0" w:line="276" w:lineRule="auto"/>
      <w:outlineLvl w:val="9"/>
    </w:pPr>
    <w:rPr>
      <w:rFonts w:ascii="Cambria" w:hAnsi="Cambria"/>
      <w:bCs/>
      <w:color w:val="365F91"/>
      <w:sz w:val="28"/>
      <w:szCs w:val="28"/>
      <w:lang w:val="en-US"/>
    </w:rPr>
  </w:style>
  <w:style w:type="character" w:customStyle="1" w:styleId="bold">
    <w:name w:val="bold"/>
    <w:uiPriority w:val="99"/>
    <w:rsid w:val="00F37CC6"/>
    <w:rPr>
      <w:rFonts w:ascii="Arial" w:hAnsi="Arial" w:cs="Arial"/>
      <w:b/>
      <w:bCs/>
      <w:sz w:val="22"/>
      <w:szCs w:val="22"/>
    </w:rPr>
  </w:style>
  <w:style w:type="paragraph" w:customStyle="1" w:styleId="TableHeading20">
    <w:name w:val="Table Heading 2"/>
    <w:basedOn w:val="Heading2"/>
    <w:link w:val="TableHeading2CharChar"/>
    <w:rsid w:val="00F37CC6"/>
    <w:pPr>
      <w:tabs>
        <w:tab w:val="clear" w:pos="998"/>
      </w:tabs>
      <w:spacing w:before="60" w:after="0"/>
      <w:outlineLvl w:val="9"/>
    </w:pPr>
    <w:rPr>
      <w:color w:val="0C2D83"/>
      <w:sz w:val="20"/>
    </w:rPr>
  </w:style>
  <w:style w:type="character" w:customStyle="1" w:styleId="TableHeading2CharChar">
    <w:name w:val="Table Heading 2 Char Char"/>
    <w:basedOn w:val="DefaultParagraphFont"/>
    <w:link w:val="TableHeading20"/>
    <w:rsid w:val="00F37CC6"/>
    <w:rPr>
      <w:rFonts w:ascii="Univers 45 Light" w:hAnsi="Univers 45 Light"/>
      <w:b/>
      <w:bCs/>
      <w:color w:val="0C2D83"/>
      <w:szCs w:val="24"/>
      <w:lang w:eastAsia="en-US"/>
    </w:rPr>
  </w:style>
  <w:style w:type="paragraph" w:customStyle="1" w:styleId="Achievement">
    <w:name w:val="Achievement"/>
    <w:basedOn w:val="BodyText"/>
    <w:rsid w:val="00F37CC6"/>
    <w:pPr>
      <w:spacing w:before="0" w:after="60" w:line="220" w:lineRule="atLeast"/>
    </w:pPr>
    <w:rPr>
      <w:rFonts w:ascii="Arial" w:hAnsi="Arial"/>
      <w:spacing w:val="-5"/>
      <w:szCs w:val="20"/>
    </w:rPr>
  </w:style>
  <w:style w:type="paragraph" w:customStyle="1" w:styleId="DefaultParagraphFontPara">
    <w:name w:val="Default Paragraph Font Para"/>
    <w:basedOn w:val="Normal"/>
    <w:rsid w:val="00F37CC6"/>
    <w:pPr>
      <w:spacing w:line="240" w:lineRule="auto"/>
    </w:pPr>
    <w:rPr>
      <w:rFonts w:ascii="Arial" w:hAnsi="Arial" w:cs="Arial"/>
      <w:sz w:val="22"/>
      <w:szCs w:val="22"/>
    </w:rPr>
  </w:style>
  <w:style w:type="paragraph" w:customStyle="1" w:styleId="CVBodyText">
    <w:name w:val="CVBodyText"/>
    <w:basedOn w:val="BodyText"/>
    <w:link w:val="CVBodyTextChar"/>
    <w:rsid w:val="00F37CC6"/>
    <w:pPr>
      <w:spacing w:line="240" w:lineRule="auto"/>
    </w:pPr>
    <w:rPr>
      <w:szCs w:val="20"/>
    </w:rPr>
  </w:style>
  <w:style w:type="character" w:customStyle="1" w:styleId="CVBodyTextChar">
    <w:name w:val="CVBodyText Char"/>
    <w:basedOn w:val="DefaultParagraphFont"/>
    <w:link w:val="CVBodyText"/>
    <w:rsid w:val="00F37CC6"/>
    <w:rPr>
      <w:rFonts w:ascii="Univers 45 Light" w:hAnsi="Univers 45 Light"/>
      <w:lang w:eastAsia="en-US"/>
    </w:rPr>
  </w:style>
  <w:style w:type="paragraph" w:customStyle="1" w:styleId="ProposalCVs">
    <w:name w:val="Proposal CVs"/>
    <w:basedOn w:val="Normal"/>
    <w:rsid w:val="00F37CC6"/>
    <w:pPr>
      <w:tabs>
        <w:tab w:val="left" w:pos="3600"/>
      </w:tabs>
      <w:spacing w:before="60" w:after="60" w:line="240" w:lineRule="auto"/>
    </w:pPr>
    <w:rPr>
      <w:rFonts w:cs="Arial"/>
      <w:color w:val="0C2D83"/>
      <w:sz w:val="21"/>
      <w:szCs w:val="21"/>
      <w:lang w:val="de-DE"/>
    </w:rPr>
  </w:style>
  <w:style w:type="paragraph" w:customStyle="1" w:styleId="CVHeadLevel1">
    <w:name w:val="CVHeadLevel1"/>
    <w:basedOn w:val="Normal"/>
    <w:rsid w:val="00F37CC6"/>
    <w:pPr>
      <w:spacing w:before="120" w:after="120" w:line="240" w:lineRule="auto"/>
    </w:pPr>
    <w:rPr>
      <w:b/>
      <w:bCs/>
      <w:color w:val="0C2D83"/>
      <w:sz w:val="22"/>
      <w:szCs w:val="22"/>
    </w:rPr>
  </w:style>
  <w:style w:type="paragraph" w:customStyle="1" w:styleId="CVbullet1">
    <w:name w:val="CVbullet"/>
    <w:basedOn w:val="BodyText"/>
    <w:link w:val="CVbulletChar"/>
    <w:rsid w:val="00F37CC6"/>
    <w:pPr>
      <w:keepNext/>
      <w:numPr>
        <w:numId w:val="10"/>
      </w:numPr>
      <w:spacing w:after="0" w:line="240" w:lineRule="auto"/>
    </w:pPr>
    <w:rPr>
      <w:rFonts w:ascii="Arial" w:hAnsi="Arial"/>
    </w:rPr>
  </w:style>
  <w:style w:type="character" w:customStyle="1" w:styleId="CVbulletChar">
    <w:name w:val="CVbullet Char"/>
    <w:basedOn w:val="DefaultParagraphFont"/>
    <w:link w:val="CVbullet1"/>
    <w:locked/>
    <w:rsid w:val="00F37CC6"/>
    <w:rPr>
      <w:rFonts w:ascii="Arial" w:hAnsi="Arial"/>
      <w:szCs w:val="22"/>
      <w:lang w:eastAsia="en-US"/>
    </w:rPr>
  </w:style>
  <w:style w:type="paragraph" w:customStyle="1" w:styleId="CVHead2">
    <w:name w:val="CVHead2"/>
    <w:basedOn w:val="Normal"/>
    <w:rsid w:val="00F37CC6"/>
    <w:pPr>
      <w:keepNext/>
      <w:spacing w:before="120" w:line="240" w:lineRule="auto"/>
    </w:pPr>
    <w:rPr>
      <w:rFonts w:ascii="Arial" w:eastAsia="Osaka" w:hAnsi="Arial" w:cs="Arial"/>
      <w:noProof/>
      <w:color w:val="00338D"/>
      <w:lang w:val="en-GB" w:eastAsia="zh-CN"/>
    </w:rPr>
  </w:style>
  <w:style w:type="paragraph" w:customStyle="1" w:styleId="Default">
    <w:name w:val="Default"/>
    <w:rsid w:val="00F37CC6"/>
    <w:pPr>
      <w:autoSpaceDE w:val="0"/>
      <w:autoSpaceDN w:val="0"/>
      <w:adjustRightInd w:val="0"/>
    </w:pPr>
    <w:rPr>
      <w:rFonts w:ascii="Calibri" w:hAnsi="Calibri" w:cs="Calibri"/>
      <w:color w:val="000000"/>
      <w:sz w:val="24"/>
      <w:szCs w:val="24"/>
    </w:rPr>
  </w:style>
  <w:style w:type="character" w:styleId="FootnoteReference">
    <w:name w:val="footnote reference"/>
    <w:basedOn w:val="DefaultParagraphFont"/>
    <w:unhideWhenUsed/>
    <w:rsid w:val="00F37CC6"/>
    <w:rPr>
      <w:vertAlign w:val="superscript"/>
    </w:rPr>
  </w:style>
  <w:style w:type="paragraph" w:styleId="NormalWeb">
    <w:name w:val="Normal (Web)"/>
    <w:basedOn w:val="Normal"/>
    <w:uiPriority w:val="99"/>
    <w:unhideWhenUsed/>
    <w:rsid w:val="00F37CC6"/>
    <w:pPr>
      <w:spacing w:line="428" w:lineRule="atLeast"/>
      <w:textAlignment w:val="baseline"/>
    </w:pPr>
    <w:rPr>
      <w:rFonts w:ascii="Arial" w:hAnsi="Arial" w:cs="Arial"/>
      <w:color w:val="000000"/>
      <w:sz w:val="29"/>
      <w:szCs w:val="29"/>
      <w:lang w:eastAsia="en-AU"/>
    </w:rPr>
  </w:style>
  <w:style w:type="paragraph" w:customStyle="1" w:styleId="CVbullet">
    <w:name w:val="CV bullet"/>
    <w:rsid w:val="00F37CC6"/>
    <w:pPr>
      <w:numPr>
        <w:numId w:val="11"/>
      </w:numPr>
      <w:spacing w:before="20" w:after="20"/>
    </w:pPr>
    <w:rPr>
      <w:rFonts w:ascii="Univers 45 Light" w:hAnsi="Univers 45 Light"/>
      <w:sz w:val="18"/>
      <w:szCs w:val="24"/>
    </w:rPr>
  </w:style>
  <w:style w:type="paragraph" w:customStyle="1" w:styleId="Bodybullet">
    <w:name w:val="Body bullet"/>
    <w:rsid w:val="00F37CC6"/>
    <w:pPr>
      <w:numPr>
        <w:numId w:val="12"/>
      </w:numPr>
      <w:spacing w:before="80" w:after="80"/>
    </w:pPr>
    <w:rPr>
      <w:rFonts w:ascii="Univers 45 Light" w:hAnsi="Univers 45 Light"/>
      <w:szCs w:val="24"/>
    </w:rPr>
  </w:style>
  <w:style w:type="paragraph" w:customStyle="1" w:styleId="Heading1Noshow">
    <w:name w:val="Heading 1_No show"/>
    <w:rsid w:val="00F37CC6"/>
    <w:pPr>
      <w:spacing w:after="720"/>
    </w:pPr>
    <w:rPr>
      <w:rFonts w:ascii="Univers 45 Light" w:hAnsi="Univers 45 Light" w:cs="Arial"/>
      <w:b/>
      <w:bCs/>
      <w:color w:val="0C2D83"/>
      <w:kern w:val="32"/>
      <w:sz w:val="72"/>
      <w:szCs w:val="32"/>
    </w:rPr>
  </w:style>
  <w:style w:type="paragraph" w:customStyle="1" w:styleId="CVname">
    <w:name w:val="CV name"/>
    <w:rsid w:val="00F37CC6"/>
    <w:pPr>
      <w:ind w:left="284"/>
    </w:pPr>
    <w:rPr>
      <w:rFonts w:ascii="Univers 45 Light" w:hAnsi="Univers 45 Light"/>
      <w:color w:val="0C2D83"/>
      <w:sz w:val="28"/>
      <w:szCs w:val="24"/>
    </w:rPr>
  </w:style>
  <w:style w:type="paragraph" w:customStyle="1" w:styleId="CVtitle">
    <w:name w:val="CV title"/>
    <w:rsid w:val="00F37CC6"/>
    <w:pPr>
      <w:spacing w:after="120"/>
      <w:ind w:left="284"/>
    </w:pPr>
    <w:rPr>
      <w:rFonts w:ascii="Univers 45 Light" w:hAnsi="Univers 45 Light"/>
      <w:color w:val="0C2D83"/>
      <w:sz w:val="22"/>
      <w:szCs w:val="24"/>
    </w:rPr>
  </w:style>
  <w:style w:type="paragraph" w:customStyle="1" w:styleId="CVdetails">
    <w:name w:val="CV details"/>
    <w:rsid w:val="00F37CC6"/>
    <w:pPr>
      <w:ind w:left="284"/>
    </w:pPr>
    <w:rPr>
      <w:rFonts w:ascii="Univers 45 Light" w:hAnsi="Univers 45 Light"/>
      <w:color w:val="0C2D83"/>
      <w:sz w:val="16"/>
      <w:szCs w:val="24"/>
    </w:rPr>
  </w:style>
  <w:style w:type="paragraph" w:customStyle="1" w:styleId="CVheading">
    <w:name w:val="CV heading"/>
    <w:rsid w:val="00F37CC6"/>
    <w:pPr>
      <w:spacing w:before="120"/>
    </w:pPr>
    <w:rPr>
      <w:rFonts w:ascii="Univers 45 Light" w:hAnsi="Univers 45 Light"/>
      <w:b/>
      <w:color w:val="0C2D83"/>
      <w:szCs w:val="24"/>
    </w:rPr>
  </w:style>
  <w:style w:type="paragraph" w:customStyle="1" w:styleId="CVtext">
    <w:name w:val="CV text"/>
    <w:rsid w:val="00F37CC6"/>
    <w:pPr>
      <w:spacing w:before="40" w:after="40"/>
    </w:pPr>
    <w:rPr>
      <w:rFonts w:ascii="Univers 45 Light" w:hAnsi="Univers 45 Light"/>
      <w:sz w:val="18"/>
      <w:szCs w:val="24"/>
    </w:rPr>
  </w:style>
  <w:style w:type="paragraph" w:customStyle="1" w:styleId="Tablebullet">
    <w:name w:val="Table bullet"/>
    <w:basedOn w:val="TableBullet1"/>
    <w:rsid w:val="00476681"/>
  </w:style>
  <w:style w:type="paragraph" w:customStyle="1" w:styleId="TableBullet1">
    <w:name w:val="TableBullet1"/>
    <w:basedOn w:val="ListBullet"/>
    <w:rsid w:val="00037EC0"/>
    <w:pPr>
      <w:spacing w:before="60" w:after="0" w:line="240" w:lineRule="auto"/>
    </w:pPr>
    <w:rPr>
      <w:color w:val="auto"/>
      <w:sz w:val="18"/>
      <w:szCs w:val="18"/>
    </w:rPr>
  </w:style>
  <w:style w:type="paragraph" w:customStyle="1" w:styleId="Tabletext2">
    <w:name w:val="Table text 2"/>
    <w:link w:val="Tabletext2Char"/>
    <w:rsid w:val="00F37CC6"/>
    <w:rPr>
      <w:rFonts w:ascii="Univers 45 Light" w:hAnsi="Univers 45 Light"/>
      <w:sz w:val="14"/>
      <w:szCs w:val="24"/>
    </w:rPr>
  </w:style>
  <w:style w:type="character" w:customStyle="1" w:styleId="Tabletext2Char">
    <w:name w:val="Table text 2 Char"/>
    <w:basedOn w:val="DefaultParagraphFont"/>
    <w:link w:val="Tabletext2"/>
    <w:rsid w:val="00F37CC6"/>
    <w:rPr>
      <w:rFonts w:ascii="Univers 45 Light" w:hAnsi="Univers 45 Light"/>
      <w:sz w:val="14"/>
      <w:szCs w:val="24"/>
    </w:rPr>
  </w:style>
  <w:style w:type="paragraph" w:customStyle="1" w:styleId="Tablesubbullet">
    <w:name w:val="Table sub bullet"/>
    <w:rsid w:val="00F37CC6"/>
    <w:pPr>
      <w:numPr>
        <w:numId w:val="13"/>
      </w:numPr>
      <w:spacing w:before="20" w:after="20"/>
      <w:ind w:left="568" w:hanging="284"/>
    </w:pPr>
    <w:rPr>
      <w:rFonts w:ascii="Univers 45 Light" w:hAnsi="Univers 45 Light"/>
      <w:sz w:val="18"/>
      <w:szCs w:val="24"/>
    </w:rPr>
  </w:style>
  <w:style w:type="paragraph" w:customStyle="1" w:styleId="Tableheading0">
    <w:name w:val="Table heading"/>
    <w:rsid w:val="00F37CC6"/>
    <w:pPr>
      <w:spacing w:before="60" w:after="60"/>
    </w:pPr>
    <w:rPr>
      <w:rFonts w:ascii="Univers 45 Light" w:hAnsi="Univers 45 Light"/>
      <w:b/>
      <w:color w:val="FFFFFF"/>
      <w:sz w:val="18"/>
      <w:szCs w:val="24"/>
    </w:rPr>
  </w:style>
  <w:style w:type="paragraph" w:customStyle="1" w:styleId="TabletextHL">
    <w:name w:val="Table text HL"/>
    <w:rsid w:val="00F37CC6"/>
    <w:pPr>
      <w:spacing w:before="60" w:after="60"/>
    </w:pPr>
    <w:rPr>
      <w:rFonts w:ascii="Univers 45 Light" w:hAnsi="Univers 45 Light"/>
      <w:b/>
      <w:sz w:val="18"/>
      <w:szCs w:val="24"/>
    </w:rPr>
  </w:style>
  <w:style w:type="paragraph" w:customStyle="1" w:styleId="Bodysubbullet1">
    <w:name w:val="Body sub bullet 1"/>
    <w:rsid w:val="00F37CC6"/>
    <w:pPr>
      <w:numPr>
        <w:numId w:val="14"/>
      </w:numPr>
      <w:spacing w:before="60" w:after="60"/>
      <w:ind w:left="568" w:hanging="284"/>
    </w:pPr>
    <w:rPr>
      <w:rFonts w:ascii="Univers 45 Light" w:hAnsi="Univers 45 Light"/>
      <w:szCs w:val="24"/>
    </w:rPr>
  </w:style>
  <w:style w:type="paragraph" w:customStyle="1" w:styleId="Bodysubbullet2">
    <w:name w:val="Body sub bullet 2"/>
    <w:rsid w:val="00F37CC6"/>
    <w:pPr>
      <w:numPr>
        <w:numId w:val="15"/>
      </w:numPr>
      <w:spacing w:before="40" w:after="40"/>
    </w:pPr>
    <w:rPr>
      <w:rFonts w:ascii="Univers 45 Light" w:hAnsi="Univers 45 Light"/>
      <w:szCs w:val="24"/>
    </w:rPr>
  </w:style>
  <w:style w:type="paragraph" w:customStyle="1" w:styleId="base">
    <w:name w:val="___base"/>
    <w:link w:val="baseChar"/>
    <w:qFormat/>
    <w:rsid w:val="00F37CC6"/>
    <w:rPr>
      <w:rFonts w:ascii="Arial" w:eastAsia="Calibri" w:hAnsi="Arial"/>
      <w:color w:val="000000"/>
      <w:sz w:val="24"/>
      <w:szCs w:val="22"/>
      <w:lang w:val="en-GB" w:eastAsia="en-US"/>
    </w:rPr>
  </w:style>
  <w:style w:type="character" w:customStyle="1" w:styleId="baseChar">
    <w:name w:val="___base Char"/>
    <w:basedOn w:val="DefaultParagraphFont"/>
    <w:link w:val="base"/>
    <w:rsid w:val="00F37CC6"/>
    <w:rPr>
      <w:rFonts w:ascii="Arial" w:eastAsia="Calibri" w:hAnsi="Arial"/>
      <w:color w:val="000000"/>
      <w:sz w:val="24"/>
      <w:szCs w:val="22"/>
      <w:lang w:val="en-GB" w:eastAsia="en-US"/>
    </w:rPr>
  </w:style>
  <w:style w:type="paragraph" w:customStyle="1" w:styleId="Contactheading">
    <w:name w:val="_Contact heading"/>
    <w:basedOn w:val="Normal"/>
    <w:qFormat/>
    <w:rsid w:val="00F37CC6"/>
    <w:pPr>
      <w:spacing w:before="120" w:after="120" w:line="240" w:lineRule="atLeast"/>
    </w:pPr>
    <w:rPr>
      <w:rFonts w:eastAsia="Calibri"/>
      <w:b/>
      <w:color w:val="000000"/>
      <w:sz w:val="18"/>
      <w:szCs w:val="22"/>
      <w:lang w:val="en-GB"/>
    </w:rPr>
  </w:style>
  <w:style w:type="paragraph" w:customStyle="1" w:styleId="Contactname">
    <w:name w:val="_Contact name"/>
    <w:basedOn w:val="Normal"/>
    <w:next w:val="Contactsectorname"/>
    <w:qFormat/>
    <w:rsid w:val="00F37CC6"/>
    <w:pPr>
      <w:spacing w:before="240" w:line="240" w:lineRule="atLeast"/>
    </w:pPr>
    <w:rPr>
      <w:rFonts w:eastAsia="Calibri"/>
      <w:b/>
      <w:color w:val="00338D"/>
      <w:sz w:val="18"/>
      <w:szCs w:val="22"/>
      <w:lang w:val="en-GB"/>
    </w:rPr>
  </w:style>
  <w:style w:type="paragraph" w:customStyle="1" w:styleId="Contactsectorname">
    <w:name w:val="_Contact sector name"/>
    <w:basedOn w:val="Normal"/>
    <w:next w:val="Contacttelephone"/>
    <w:qFormat/>
    <w:rsid w:val="00F37CC6"/>
    <w:pPr>
      <w:spacing w:line="240" w:lineRule="atLeast"/>
    </w:pPr>
    <w:rPr>
      <w:rFonts w:eastAsia="Calibri"/>
      <w:b/>
      <w:color w:val="000000"/>
      <w:sz w:val="18"/>
      <w:szCs w:val="22"/>
      <w:lang w:val="en-GB"/>
    </w:rPr>
  </w:style>
  <w:style w:type="paragraph" w:customStyle="1" w:styleId="Contacttelephone">
    <w:name w:val="_Contact telephone"/>
    <w:basedOn w:val="Normal"/>
    <w:next w:val="Contactemail"/>
    <w:qFormat/>
    <w:rsid w:val="00F37CC6"/>
    <w:pPr>
      <w:spacing w:line="240" w:lineRule="atLeast"/>
    </w:pPr>
    <w:rPr>
      <w:rFonts w:eastAsia="Calibri"/>
      <w:color w:val="000000"/>
      <w:sz w:val="18"/>
      <w:szCs w:val="22"/>
      <w:lang w:val="en-GB"/>
    </w:rPr>
  </w:style>
  <w:style w:type="paragraph" w:customStyle="1" w:styleId="Contactemail">
    <w:name w:val="_Contact email"/>
    <w:basedOn w:val="Normal"/>
    <w:next w:val="Contactname"/>
    <w:qFormat/>
    <w:rsid w:val="00F37CC6"/>
    <w:pPr>
      <w:spacing w:line="240" w:lineRule="atLeast"/>
    </w:pPr>
    <w:rPr>
      <w:rFonts w:eastAsia="Calibri"/>
      <w:color w:val="000000"/>
      <w:sz w:val="18"/>
      <w:szCs w:val="22"/>
      <w:lang w:val="en-GB"/>
    </w:rPr>
  </w:style>
  <w:style w:type="paragraph" w:customStyle="1" w:styleId="Disclaimer0">
    <w:name w:val="_Disclaimer"/>
    <w:basedOn w:val="Normal"/>
    <w:qFormat/>
    <w:rsid w:val="00F37CC6"/>
    <w:pPr>
      <w:spacing w:before="120" w:after="200" w:line="240" w:lineRule="auto"/>
    </w:pPr>
    <w:rPr>
      <w:rFonts w:eastAsia="Calibri"/>
      <w:color w:val="000000"/>
      <w:sz w:val="18"/>
      <w:szCs w:val="22"/>
      <w:lang w:val="en-GB"/>
    </w:rPr>
  </w:style>
  <w:style w:type="paragraph" w:customStyle="1" w:styleId="Numberedlevel1">
    <w:name w:val="_Numbered level 1"/>
    <w:next w:val="Numberedlevel2"/>
    <w:rsid w:val="00F37CC6"/>
    <w:pPr>
      <w:numPr>
        <w:numId w:val="16"/>
      </w:numPr>
      <w:spacing w:before="170"/>
      <w:ind w:left="187" w:hanging="187"/>
    </w:pPr>
    <w:rPr>
      <w:rFonts w:ascii="Arial" w:hAnsi="Arial" w:cs="Arial"/>
      <w:b/>
      <w:sz w:val="17"/>
      <w:szCs w:val="24"/>
      <w:lang w:val="en-GB" w:eastAsia="en-GB"/>
    </w:rPr>
  </w:style>
  <w:style w:type="paragraph" w:customStyle="1" w:styleId="Numberedlevel2">
    <w:name w:val="_Numbered level 2"/>
    <w:basedOn w:val="Numberedlevel1"/>
    <w:next w:val="Numberedlevel3"/>
    <w:rsid w:val="00F37CC6"/>
    <w:pPr>
      <w:numPr>
        <w:ilvl w:val="1"/>
      </w:numPr>
      <w:tabs>
        <w:tab w:val="left" w:pos="340"/>
      </w:tabs>
      <w:spacing w:before="0"/>
    </w:pPr>
    <w:rPr>
      <w:b w:val="0"/>
      <w:sz w:val="14"/>
    </w:rPr>
  </w:style>
  <w:style w:type="paragraph" w:customStyle="1" w:styleId="Numberedlevel3">
    <w:name w:val="_Numbered level 3"/>
    <w:basedOn w:val="List"/>
    <w:rsid w:val="00F37CC6"/>
    <w:pPr>
      <w:numPr>
        <w:ilvl w:val="2"/>
        <w:numId w:val="16"/>
      </w:numPr>
      <w:spacing w:before="120" w:after="120" w:line="170" w:lineRule="atLeast"/>
    </w:pPr>
    <w:rPr>
      <w:rFonts w:ascii="Arial" w:hAnsi="Arial" w:cs="Arial"/>
      <w:sz w:val="14"/>
      <w:szCs w:val="24"/>
      <w:lang w:val="en-GB" w:eastAsia="en-GB"/>
    </w:rPr>
  </w:style>
  <w:style w:type="character" w:customStyle="1" w:styleId="Contactbold">
    <w:name w:val="_Contact bold"/>
    <w:basedOn w:val="baseChar"/>
    <w:uiPriority w:val="1"/>
    <w:qFormat/>
    <w:rsid w:val="00F37CC6"/>
    <w:rPr>
      <w:rFonts w:ascii="Arial" w:eastAsia="Calibri" w:hAnsi="Arial"/>
      <w:b/>
      <w:color w:val="000000"/>
      <w:sz w:val="20"/>
      <w:szCs w:val="22"/>
      <w:lang w:val="en-GB" w:eastAsia="en-US"/>
    </w:rPr>
  </w:style>
  <w:style w:type="paragraph" w:customStyle="1" w:styleId="Figuretableheading">
    <w:name w:val="Figure/table heading"/>
    <w:qFormat/>
    <w:rsid w:val="00F37CC6"/>
    <w:pPr>
      <w:spacing w:before="60" w:after="60"/>
    </w:pPr>
    <w:rPr>
      <w:rFonts w:ascii="Univers 45 Light" w:hAnsi="Univers 45 Light"/>
      <w:b/>
      <w:i/>
      <w:szCs w:val="24"/>
    </w:rPr>
  </w:style>
  <w:style w:type="paragraph" w:customStyle="1" w:styleId="Covertitle">
    <w:name w:val="Cover title"/>
    <w:rsid w:val="00F37CC6"/>
    <w:pPr>
      <w:spacing w:after="1440"/>
    </w:pPr>
    <w:rPr>
      <w:rFonts w:ascii="Univers 45 Light" w:eastAsia="Calibri" w:hAnsi="Univers 45 Light"/>
      <w:b/>
      <w:color w:val="FFFFFF"/>
      <w:sz w:val="72"/>
      <w:szCs w:val="72"/>
      <w:lang w:val="en-GB" w:eastAsia="en-US"/>
    </w:rPr>
  </w:style>
  <w:style w:type="paragraph" w:customStyle="1" w:styleId="Coveradditional">
    <w:name w:val="Cover additional"/>
    <w:qFormat/>
    <w:rsid w:val="00F37CC6"/>
    <w:pPr>
      <w:spacing w:after="360"/>
    </w:pPr>
    <w:rPr>
      <w:rFonts w:ascii="Univers 45 Light" w:eastAsia="Calibri" w:hAnsi="Univers 45 Light"/>
      <w:color w:val="FFFFFF"/>
      <w:sz w:val="28"/>
      <w:szCs w:val="28"/>
      <w:lang w:val="en-GB" w:eastAsia="en-US"/>
    </w:rPr>
  </w:style>
  <w:style w:type="paragraph" w:customStyle="1" w:styleId="Sectortheme">
    <w:name w:val="Sector theme"/>
    <w:basedOn w:val="Covertitle"/>
    <w:qFormat/>
    <w:rsid w:val="00F37CC6"/>
    <w:pPr>
      <w:spacing w:after="360"/>
    </w:pPr>
    <w:rPr>
      <w:b w:val="0"/>
      <w:caps/>
      <w:sz w:val="21"/>
    </w:rPr>
  </w:style>
  <w:style w:type="character" w:styleId="PlaceholderText">
    <w:name w:val="Placeholder Text"/>
    <w:basedOn w:val="DefaultParagraphFont"/>
    <w:uiPriority w:val="99"/>
    <w:semiHidden/>
    <w:rsid w:val="00F37CC6"/>
    <w:rPr>
      <w:color w:val="808080"/>
    </w:rPr>
  </w:style>
  <w:style w:type="paragraph" w:customStyle="1" w:styleId="HeadingLevel3NoNumber">
    <w:name w:val="HeadingLevel3NoNumber"/>
    <w:basedOn w:val="Heading3"/>
    <w:next w:val="BodyText0"/>
    <w:qFormat/>
    <w:rsid w:val="00982034"/>
  </w:style>
  <w:style w:type="character" w:customStyle="1" w:styleId="StyleStyleHeading2Univers45Light105ptNotItalicCustomChar">
    <w:name w:val="Style Style Heading 2 + Univers 45 Light 10.5 pt Not Italic Custom ... Char"/>
    <w:basedOn w:val="DefaultParagraphFont"/>
    <w:link w:val="StyleStyleHeading2Univers45Light105ptNotItalicCustom"/>
    <w:locked/>
    <w:rsid w:val="00F37CC6"/>
    <w:rPr>
      <w:rFonts w:ascii="Univers 45 Light" w:hAnsi="Univers 45 Light"/>
      <w:i/>
      <w:iCs/>
      <w:color w:val="00338D"/>
      <w:sz w:val="21"/>
    </w:rPr>
  </w:style>
  <w:style w:type="paragraph" w:customStyle="1" w:styleId="StyleStyleHeading2Univers45Light105ptNotItalicCustom">
    <w:name w:val="Style Style Heading 2 + Univers 45 Light 10.5 pt Not Italic Custom ..."/>
    <w:basedOn w:val="Normal"/>
    <w:link w:val="StyleStyleHeading2Univers45Light105ptNotItalicCustomChar"/>
    <w:rsid w:val="00F37CC6"/>
    <w:pPr>
      <w:keepNext/>
      <w:spacing w:before="240" w:line="240" w:lineRule="auto"/>
      <w:jc w:val="both"/>
      <w:outlineLvl w:val="1"/>
    </w:pPr>
    <w:rPr>
      <w:i/>
      <w:iCs/>
      <w:color w:val="00338D"/>
      <w:sz w:val="21"/>
      <w:lang w:eastAsia="en-AU"/>
    </w:rPr>
  </w:style>
  <w:style w:type="character" w:customStyle="1" w:styleId="TableHeading2Char">
    <w:name w:val="Table Heading 2 Char"/>
    <w:rsid w:val="00F37CC6"/>
    <w:rPr>
      <w:rFonts w:ascii="Univers 45 Light" w:hAnsi="Univers 45 Light"/>
      <w:b/>
      <w:bCs/>
      <w:color w:val="0C2D83"/>
      <w:szCs w:val="24"/>
      <w:lang w:val="en-AU" w:eastAsia="en-US" w:bidi="ar-SA"/>
    </w:rPr>
  </w:style>
  <w:style w:type="paragraph" w:customStyle="1" w:styleId="AppendixHeading2">
    <w:name w:val="Appendix Heading 2"/>
    <w:basedOn w:val="Heading2"/>
    <w:next w:val="BodyText"/>
    <w:rsid w:val="00D978FE"/>
    <w:pPr>
      <w:numPr>
        <w:numId w:val="17"/>
      </w:numPr>
      <w:tabs>
        <w:tab w:val="clear" w:pos="998"/>
        <w:tab w:val="left" w:pos="964"/>
      </w:tabs>
      <w:spacing w:before="240"/>
      <w:outlineLvl w:val="9"/>
    </w:pPr>
    <w:rPr>
      <w:bCs w:val="0"/>
      <w:szCs w:val="20"/>
    </w:rPr>
  </w:style>
  <w:style w:type="paragraph" w:customStyle="1" w:styleId="AppendixHeading3">
    <w:name w:val="Appendix Heading 3"/>
    <w:basedOn w:val="Heading3"/>
    <w:next w:val="BodyText"/>
    <w:rsid w:val="002D788F"/>
    <w:pPr>
      <w:keepLines w:val="0"/>
      <w:tabs>
        <w:tab w:val="left" w:pos="357"/>
        <w:tab w:val="num" w:pos="964"/>
      </w:tabs>
      <w:spacing w:before="240"/>
      <w:ind w:left="964" w:hanging="964"/>
      <w:outlineLvl w:val="9"/>
    </w:pPr>
    <w:rPr>
      <w:bCs w:val="0"/>
      <w:szCs w:val="20"/>
    </w:rPr>
  </w:style>
  <w:style w:type="paragraph" w:customStyle="1" w:styleId="AppendixHeading4">
    <w:name w:val="Appendix Heading 4"/>
    <w:basedOn w:val="Heading4"/>
    <w:next w:val="BodyText"/>
    <w:rsid w:val="00D978FE"/>
    <w:pPr>
      <w:tabs>
        <w:tab w:val="left" w:pos="964"/>
      </w:tabs>
      <w:spacing w:before="240" w:line="240" w:lineRule="auto"/>
      <w:ind w:left="964" w:hanging="964"/>
      <w:outlineLvl w:val="9"/>
    </w:pPr>
    <w:rPr>
      <w:i w:val="0"/>
      <w:iCs w:val="0"/>
      <w:szCs w:val="20"/>
    </w:rPr>
  </w:style>
  <w:style w:type="paragraph" w:customStyle="1" w:styleId="StyleListBulletllistnospaceafterNECGListBulletListBu1">
    <w:name w:val="Style List Bulletllist no space after(NECG) List Bullet*List Bu...1"/>
    <w:basedOn w:val="ListBullet"/>
    <w:rsid w:val="00F37CC6"/>
    <w:pPr>
      <w:numPr>
        <w:numId w:val="0"/>
      </w:numPr>
      <w:tabs>
        <w:tab w:val="num" w:pos="851"/>
      </w:tabs>
      <w:spacing w:before="130" w:line="240" w:lineRule="auto"/>
      <w:ind w:left="851" w:hanging="284"/>
    </w:pPr>
    <w:rPr>
      <w:rFonts w:ascii="Microsoft Sans Serif" w:hAnsi="Microsoft Sans Serif"/>
      <w:color w:val="auto"/>
      <w:szCs w:val="20"/>
    </w:rPr>
  </w:style>
  <w:style w:type="paragraph" w:customStyle="1" w:styleId="Bodytext3">
    <w:name w:val="_Body text"/>
    <w:basedOn w:val="BodyText"/>
    <w:link w:val="BodytextChar1"/>
    <w:rsid w:val="00F37CC6"/>
    <w:pPr>
      <w:tabs>
        <w:tab w:val="left" w:pos="3100"/>
      </w:tabs>
      <w:spacing w:before="60" w:line="240" w:lineRule="auto"/>
    </w:pPr>
  </w:style>
  <w:style w:type="character" w:customStyle="1" w:styleId="BodytextChar1">
    <w:name w:val="_Body text Char"/>
    <w:basedOn w:val="DefaultParagraphFont"/>
    <w:link w:val="Bodytext3"/>
    <w:rsid w:val="00F37CC6"/>
    <w:rPr>
      <w:rFonts w:ascii="Univers 45 Light" w:hAnsi="Univers 45 Light"/>
      <w:szCs w:val="22"/>
      <w:lang w:eastAsia="en-US"/>
    </w:rPr>
  </w:style>
  <w:style w:type="paragraph" w:customStyle="1" w:styleId="BodyBullet0">
    <w:name w:val="Body Bullet"/>
    <w:next w:val="BodyText"/>
    <w:rsid w:val="00F37CC6"/>
    <w:pPr>
      <w:numPr>
        <w:numId w:val="18"/>
      </w:numPr>
      <w:spacing w:before="40" w:after="40"/>
      <w:jc w:val="both"/>
    </w:pPr>
    <w:rPr>
      <w:rFonts w:ascii="Univers 45 Light" w:hAnsi="Univers 45 Light"/>
      <w:szCs w:val="22"/>
      <w:lang w:eastAsia="en-US"/>
    </w:rPr>
  </w:style>
  <w:style w:type="paragraph" w:customStyle="1" w:styleId="StyleBodyTextblockbtBodytextbodytextbodyBodyText1Notic">
    <w:name w:val="Style Body TextblockbtBody textbody textbodyBody Text 1Notic..."/>
    <w:basedOn w:val="BodyText"/>
    <w:rsid w:val="00F37CC6"/>
    <w:pPr>
      <w:spacing w:line="240" w:lineRule="auto"/>
    </w:pPr>
    <w:rPr>
      <w:szCs w:val="20"/>
    </w:rPr>
  </w:style>
  <w:style w:type="paragraph" w:customStyle="1" w:styleId="StyleBodyTextblockbtBodytextbodytextbodyBodyText1Notic2">
    <w:name w:val="Style Body TextblockbtBody textbody textbodyBody Text 1Notic...2"/>
    <w:basedOn w:val="BodyText"/>
    <w:link w:val="StyleBodyTextblockbtBodytextbodytextbodyBodyText1Notic2Char"/>
    <w:rsid w:val="00F37CC6"/>
    <w:pPr>
      <w:spacing w:line="240" w:lineRule="auto"/>
    </w:pPr>
  </w:style>
  <w:style w:type="character" w:customStyle="1" w:styleId="StyleBodyTextblockbtBodytextbodytextbodyBodyText1Notic2Char">
    <w:name w:val="Style Body TextblockbtBody textbody textbodyBody Text 1Notic...2 Char"/>
    <w:basedOn w:val="DefaultParagraphFont"/>
    <w:link w:val="StyleBodyTextblockbtBodytextbodytextbodyBodyText1Notic2"/>
    <w:rsid w:val="00F37CC6"/>
    <w:rPr>
      <w:rFonts w:ascii="Calibri" w:hAnsi="Calibri"/>
      <w:sz w:val="21"/>
      <w:szCs w:val="22"/>
      <w:lang w:eastAsia="en-US"/>
    </w:rPr>
  </w:style>
  <w:style w:type="paragraph" w:customStyle="1" w:styleId="StyleHeading1Justified">
    <w:name w:val="Style Heading 1 + Justified"/>
    <w:basedOn w:val="Heading1"/>
    <w:rsid w:val="00F37CC6"/>
    <w:pPr>
      <w:numPr>
        <w:numId w:val="19"/>
      </w:numPr>
    </w:pPr>
  </w:style>
  <w:style w:type="paragraph" w:customStyle="1" w:styleId="StyleBodyTextMicrosoftSansSerif">
    <w:name w:val="Style BodyText + Microsoft Sans Serif"/>
    <w:basedOn w:val="BodyText0"/>
    <w:rsid w:val="00F37CC6"/>
    <w:pPr>
      <w:spacing w:before="120" w:after="120"/>
      <w:jc w:val="both"/>
    </w:pPr>
    <w:rPr>
      <w:rFonts w:ascii="Times New Roman" w:hAnsi="Times New Roman"/>
      <w:sz w:val="21"/>
    </w:rPr>
  </w:style>
  <w:style w:type="paragraph" w:customStyle="1" w:styleId="StyleHeading2headlineh2headlineh2h2mainheadingBSubBold">
    <w:name w:val="Style Heading 2headlineh2 headlineh2h2 main headingB Sub/Bold..."/>
    <w:basedOn w:val="Heading2"/>
    <w:rsid w:val="00F37CC6"/>
    <w:pPr>
      <w:tabs>
        <w:tab w:val="clear" w:pos="998"/>
        <w:tab w:val="num" w:pos="576"/>
      </w:tabs>
      <w:spacing w:after="240" w:line="280" w:lineRule="atLeast"/>
      <w:ind w:left="576" w:hanging="576"/>
    </w:pPr>
    <w:rPr>
      <w:rFonts w:ascii="Calibri" w:hAnsi="Calibri"/>
      <w:sz w:val="24"/>
      <w:szCs w:val="20"/>
    </w:rPr>
  </w:style>
  <w:style w:type="paragraph" w:styleId="EndnoteText">
    <w:name w:val="endnote text"/>
    <w:basedOn w:val="Normal"/>
    <w:link w:val="EndnoteTextChar"/>
    <w:uiPriority w:val="99"/>
    <w:rsid w:val="00EA33BE"/>
    <w:pPr>
      <w:spacing w:before="120" w:after="120" w:line="240" w:lineRule="auto"/>
      <w:ind w:left="567" w:hanging="567"/>
    </w:pPr>
    <w:rPr>
      <w:lang w:eastAsia="en-AU"/>
    </w:rPr>
  </w:style>
  <w:style w:type="character" w:customStyle="1" w:styleId="EndnoteTextChar">
    <w:name w:val="Endnote Text Char"/>
    <w:basedOn w:val="DefaultParagraphFont"/>
    <w:link w:val="EndnoteText"/>
    <w:uiPriority w:val="99"/>
    <w:rsid w:val="00EA33BE"/>
    <w:rPr>
      <w:rFonts w:ascii="Univers 45 Light" w:hAnsi="Univers 45 Light"/>
    </w:rPr>
  </w:style>
  <w:style w:type="paragraph" w:customStyle="1" w:styleId="A-225125Leader">
    <w:name w:val="A-2/2.5/12.5/Leader"/>
    <w:basedOn w:val="Normal"/>
    <w:rsid w:val="00F37CC6"/>
    <w:pPr>
      <w:tabs>
        <w:tab w:val="left" w:pos="1120"/>
        <w:tab w:val="left" w:leader="dot" w:pos="7080"/>
      </w:tabs>
      <w:spacing w:after="80" w:line="240" w:lineRule="auto"/>
      <w:ind w:left="1400" w:hanging="1400"/>
    </w:pPr>
    <w:rPr>
      <w:rFonts w:ascii="Helvetica" w:hAnsi="Helvetica"/>
      <w:sz w:val="24"/>
      <w:lang w:eastAsia="en-AU"/>
    </w:rPr>
  </w:style>
  <w:style w:type="paragraph" w:customStyle="1" w:styleId="CVbullet0">
    <w:name w:val="_CV bullet"/>
    <w:basedOn w:val="Normal"/>
    <w:link w:val="CVbulletCharChar"/>
    <w:rsid w:val="00F37CC6"/>
    <w:pPr>
      <w:numPr>
        <w:numId w:val="20"/>
      </w:numPr>
      <w:spacing w:before="20" w:after="20" w:line="240" w:lineRule="auto"/>
    </w:pPr>
    <w:rPr>
      <w:color w:val="000000"/>
      <w:sz w:val="18"/>
      <w:szCs w:val="22"/>
    </w:rPr>
  </w:style>
  <w:style w:type="character" w:customStyle="1" w:styleId="CVbulletCharChar">
    <w:name w:val="_CV bullet Char Char"/>
    <w:basedOn w:val="DefaultParagraphFont"/>
    <w:link w:val="CVbullet0"/>
    <w:rsid w:val="00F37CC6"/>
    <w:rPr>
      <w:rFonts w:ascii="Univers 45 Light" w:hAnsi="Univers 45 Light"/>
      <w:color w:val="000000"/>
      <w:sz w:val="18"/>
      <w:szCs w:val="22"/>
      <w:lang w:eastAsia="en-US"/>
    </w:rPr>
  </w:style>
  <w:style w:type="paragraph" w:customStyle="1" w:styleId="CVContactdetails">
    <w:name w:val="CV Contact details"/>
    <w:basedOn w:val="Normal"/>
    <w:rsid w:val="00F37CC6"/>
    <w:pPr>
      <w:spacing w:before="20" w:after="20" w:line="220" w:lineRule="atLeast"/>
      <w:jc w:val="both"/>
    </w:pPr>
    <w:rPr>
      <w:noProof/>
      <w:color w:val="FFFFFF"/>
      <w:szCs w:val="18"/>
    </w:rPr>
  </w:style>
  <w:style w:type="paragraph" w:customStyle="1" w:styleId="Resumename">
    <w:name w:val="Resume name"/>
    <w:basedOn w:val="Normal"/>
    <w:link w:val="ResumenameChar"/>
    <w:rsid w:val="00F37CC6"/>
    <w:pPr>
      <w:tabs>
        <w:tab w:val="left" w:pos="3600"/>
      </w:tabs>
      <w:spacing w:line="240" w:lineRule="auto"/>
    </w:pPr>
    <w:rPr>
      <w:rFonts w:ascii="Univers 55" w:hAnsi="Univers 55"/>
      <w:b/>
      <w:color w:val="68820B"/>
      <w:lang w:val="en-US"/>
    </w:rPr>
  </w:style>
  <w:style w:type="character" w:customStyle="1" w:styleId="ResumenameChar">
    <w:name w:val="Resume name Char"/>
    <w:basedOn w:val="DefaultParagraphFont"/>
    <w:link w:val="Resumename"/>
    <w:rsid w:val="00F37CC6"/>
    <w:rPr>
      <w:rFonts w:ascii="Univers 55" w:hAnsi="Univers 55"/>
      <w:b/>
      <w:color w:val="68820B"/>
      <w:lang w:val="en-US" w:eastAsia="en-US"/>
    </w:rPr>
  </w:style>
  <w:style w:type="character" w:styleId="Strong">
    <w:name w:val="Strong"/>
    <w:basedOn w:val="DefaultParagraphFont"/>
    <w:uiPriority w:val="22"/>
    <w:qFormat/>
    <w:rsid w:val="00F37CC6"/>
    <w:rPr>
      <w:b/>
      <w:bCs/>
    </w:rPr>
  </w:style>
  <w:style w:type="character" w:styleId="FollowedHyperlink">
    <w:name w:val="FollowedHyperlink"/>
    <w:basedOn w:val="DefaultParagraphFont"/>
    <w:rsid w:val="00F37CC6"/>
    <w:rPr>
      <w:color w:val="800080"/>
      <w:u w:val="single"/>
    </w:rPr>
  </w:style>
  <w:style w:type="paragraph" w:styleId="Revision">
    <w:name w:val="Revision"/>
    <w:hidden/>
    <w:uiPriority w:val="99"/>
    <w:semiHidden/>
    <w:rsid w:val="00F37CC6"/>
    <w:rPr>
      <w:rFonts w:ascii="Univers 45 Light" w:hAnsi="Univers 45 Light"/>
      <w:szCs w:val="24"/>
    </w:rPr>
  </w:style>
  <w:style w:type="paragraph" w:customStyle="1" w:styleId="BodyTextBlue">
    <w:name w:val="BodyTextBlue"/>
    <w:basedOn w:val="BodyText"/>
    <w:qFormat/>
    <w:rsid w:val="00F37CC6"/>
    <w:pPr>
      <w:spacing w:line="240" w:lineRule="auto"/>
    </w:pPr>
    <w:rPr>
      <w:rFonts w:cs="Arial"/>
      <w:bCs/>
      <w:color w:val="000000"/>
    </w:rPr>
  </w:style>
  <w:style w:type="paragraph" w:customStyle="1" w:styleId="StyleListBulletllistnospaceafterNECGListBulletListBu">
    <w:name w:val="Style List Bulletllist no space after(NECG) List Bullet*List Bu..."/>
    <w:basedOn w:val="ListBullet"/>
    <w:rsid w:val="00F37CC6"/>
    <w:pPr>
      <w:numPr>
        <w:numId w:val="0"/>
      </w:numPr>
      <w:tabs>
        <w:tab w:val="num" w:pos="360"/>
      </w:tabs>
      <w:spacing w:line="240" w:lineRule="auto"/>
      <w:ind w:left="360" w:hanging="360"/>
    </w:pPr>
    <w:rPr>
      <w:szCs w:val="20"/>
    </w:rPr>
  </w:style>
  <w:style w:type="paragraph" w:customStyle="1" w:styleId="null1">
    <w:name w:val="null1"/>
    <w:basedOn w:val="Normal"/>
    <w:rsid w:val="00F37CC6"/>
    <w:pPr>
      <w:spacing w:after="150" w:line="240" w:lineRule="auto"/>
    </w:pPr>
    <w:rPr>
      <w:rFonts w:ascii="Times New Roman" w:hAnsi="Times New Roman"/>
      <w:sz w:val="31"/>
      <w:szCs w:val="31"/>
      <w:lang w:eastAsia="en-AU"/>
    </w:rPr>
  </w:style>
  <w:style w:type="paragraph" w:customStyle="1" w:styleId="cvheaderlevel1">
    <w:name w:val="cv header level 1"/>
    <w:basedOn w:val="Normal"/>
    <w:rsid w:val="00F37CC6"/>
    <w:pPr>
      <w:spacing w:line="280" w:lineRule="atLeast"/>
    </w:pPr>
    <w:rPr>
      <w:rFonts w:ascii="Helvetica" w:eastAsia="Times" w:hAnsi="Helvetica"/>
      <w:b/>
      <w:sz w:val="24"/>
      <w:szCs w:val="22"/>
      <w:lang w:val="en-GB"/>
    </w:rPr>
  </w:style>
  <w:style w:type="paragraph" w:customStyle="1" w:styleId="CVTitle0">
    <w:name w:val="CV Title"/>
    <w:basedOn w:val="Normal"/>
    <w:qFormat/>
    <w:rsid w:val="00F37CC6"/>
    <w:pPr>
      <w:tabs>
        <w:tab w:val="left" w:pos="3600"/>
      </w:tabs>
      <w:spacing w:line="240" w:lineRule="auto"/>
    </w:pPr>
    <w:rPr>
      <w:rFonts w:cs="Arial"/>
      <w:bCs/>
      <w:color w:val="0C2D83"/>
    </w:rPr>
  </w:style>
  <w:style w:type="character" w:styleId="Emphasis">
    <w:name w:val="Emphasis"/>
    <w:basedOn w:val="DefaultParagraphFont"/>
    <w:uiPriority w:val="20"/>
    <w:qFormat/>
    <w:rsid w:val="00F37CC6"/>
    <w:rPr>
      <w:i/>
      <w:iCs/>
    </w:rPr>
  </w:style>
  <w:style w:type="paragraph" w:customStyle="1" w:styleId="Appendix4">
    <w:name w:val="Appendix 4"/>
    <w:basedOn w:val="Heading4"/>
    <w:rsid w:val="00F37CC6"/>
    <w:rPr>
      <w:rFonts w:ascii="Calibri" w:hAnsi="Calibri"/>
    </w:rPr>
  </w:style>
  <w:style w:type="paragraph" w:customStyle="1" w:styleId="BulletText1">
    <w:name w:val="Bullet Text 1"/>
    <w:basedOn w:val="BlockText"/>
    <w:rsid w:val="00F37CC6"/>
    <w:pPr>
      <w:numPr>
        <w:numId w:val="21"/>
      </w:numPr>
      <w:spacing w:before="60" w:after="60" w:line="240" w:lineRule="auto"/>
      <w:ind w:right="0"/>
    </w:pPr>
    <w:rPr>
      <w:rFonts w:ascii="Arial" w:hAnsi="Arial" w:cs="Arial"/>
      <w:bCs/>
      <w:spacing w:val="-3"/>
      <w:sz w:val="18"/>
    </w:rPr>
  </w:style>
  <w:style w:type="table" w:styleId="MediumGrid1-Accent1">
    <w:name w:val="Medium Grid 1 Accent 1"/>
    <w:basedOn w:val="TableNormal"/>
    <w:uiPriority w:val="67"/>
    <w:rsid w:val="00F37CC6"/>
    <w:rPr>
      <w:lang w:eastAsia="ja-JP"/>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List-Accent11">
    <w:name w:val="Light List - Accent 11"/>
    <w:basedOn w:val="TableNormal"/>
    <w:uiPriority w:val="61"/>
    <w:rsid w:val="00F37CC6"/>
    <w:rPr>
      <w:lang w:eastAsia="ja-JP"/>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styleId="EndnoteReference">
    <w:name w:val="endnote reference"/>
    <w:basedOn w:val="DefaultParagraphFont"/>
    <w:rsid w:val="00DE2761"/>
    <w:rPr>
      <w:vertAlign w:val="superscript"/>
    </w:rPr>
  </w:style>
  <w:style w:type="paragraph" w:customStyle="1" w:styleId="Tablebodytext">
    <w:name w:val="Table body text"/>
    <w:basedOn w:val="BodyText"/>
    <w:link w:val="TablebodytextChar"/>
    <w:rsid w:val="00E81B00"/>
    <w:pPr>
      <w:spacing w:before="60" w:after="0" w:line="240" w:lineRule="auto"/>
      <w:jc w:val="left"/>
    </w:pPr>
    <w:rPr>
      <w:sz w:val="18"/>
      <w:szCs w:val="20"/>
    </w:rPr>
  </w:style>
  <w:style w:type="character" w:customStyle="1" w:styleId="TablebodytextChar">
    <w:name w:val="Table body text Char"/>
    <w:basedOn w:val="DefaultParagraphFont"/>
    <w:link w:val="Tablebodytext"/>
    <w:rsid w:val="00E81B00"/>
    <w:rPr>
      <w:rFonts w:ascii="Univers 45 Light" w:hAnsi="Univers 45 Light"/>
      <w:sz w:val="18"/>
      <w:lang w:eastAsia="en-US"/>
    </w:rPr>
  </w:style>
  <w:style w:type="paragraph" w:customStyle="1" w:styleId="TableHeading1">
    <w:name w:val="Table Heading 1"/>
    <w:basedOn w:val="Tablebodytext"/>
    <w:rsid w:val="00AF6AAE"/>
    <w:rPr>
      <w:b/>
      <w:color w:val="FFFFFF"/>
    </w:rPr>
  </w:style>
  <w:style w:type="paragraph" w:customStyle="1" w:styleId="BodyText10">
    <w:name w:val="Body Text 1"/>
    <w:basedOn w:val="Normal"/>
    <w:rsid w:val="00D857D6"/>
    <w:pPr>
      <w:spacing w:before="240" w:after="120" w:line="240" w:lineRule="atLeast"/>
    </w:pPr>
    <w:rPr>
      <w:szCs w:val="22"/>
    </w:rPr>
  </w:style>
  <w:style w:type="paragraph" w:customStyle="1" w:styleId="source">
    <w:name w:val="source"/>
    <w:basedOn w:val="Caption"/>
    <w:qFormat/>
    <w:rsid w:val="00C0745C"/>
    <w:pPr>
      <w:keepNext w:val="0"/>
    </w:pPr>
    <w:rPr>
      <w:sz w:val="16"/>
      <w:szCs w:val="16"/>
    </w:rPr>
  </w:style>
  <w:style w:type="paragraph" w:customStyle="1" w:styleId="zreportname">
    <w:name w:val="zreport name"/>
    <w:basedOn w:val="Normal"/>
    <w:semiHidden/>
    <w:rsid w:val="00CF52A7"/>
    <w:pPr>
      <w:keepLines/>
      <w:spacing w:line="440" w:lineRule="exact"/>
      <w:jc w:val="center"/>
    </w:pPr>
    <w:rPr>
      <w:rFonts w:ascii="Times New Roman" w:hAnsi="Times New Roman"/>
      <w:sz w:val="36"/>
    </w:rPr>
  </w:style>
  <w:style w:type="paragraph" w:customStyle="1" w:styleId="zcontents">
    <w:name w:val="zcontents"/>
    <w:basedOn w:val="Normal"/>
    <w:semiHidden/>
    <w:rsid w:val="00CF52A7"/>
    <w:pPr>
      <w:spacing w:after="260" w:line="240" w:lineRule="auto"/>
    </w:pPr>
    <w:rPr>
      <w:b/>
      <w:color w:val="000080"/>
      <w:sz w:val="24"/>
    </w:rPr>
  </w:style>
  <w:style w:type="paragraph" w:customStyle="1" w:styleId="zcompanyname">
    <w:name w:val="zcompany name"/>
    <w:basedOn w:val="Normal"/>
    <w:semiHidden/>
    <w:rsid w:val="00CF52A7"/>
    <w:pPr>
      <w:spacing w:after="400" w:line="440" w:lineRule="exact"/>
      <w:jc w:val="center"/>
    </w:pPr>
    <w:rPr>
      <w:rFonts w:ascii="Times New Roman" w:hAnsi="Times New Roman"/>
      <w:b/>
      <w:noProof/>
      <w:sz w:val="26"/>
    </w:rPr>
  </w:style>
  <w:style w:type="paragraph" w:customStyle="1" w:styleId="zreportsubtitle">
    <w:name w:val="zreport subtitle"/>
    <w:basedOn w:val="zreportname"/>
    <w:semiHidden/>
    <w:rsid w:val="00CF52A7"/>
  </w:style>
  <w:style w:type="paragraph" w:styleId="Index1">
    <w:name w:val="index 1"/>
    <w:basedOn w:val="Normal"/>
    <w:next w:val="Normal"/>
    <w:rsid w:val="00CF52A7"/>
    <w:pPr>
      <w:keepNext/>
      <w:spacing w:before="260" w:line="280" w:lineRule="exact"/>
      <w:ind w:right="851"/>
    </w:pPr>
    <w:rPr>
      <w:rFonts w:ascii="Times New Roman" w:hAnsi="Times New Roman"/>
      <w:b/>
      <w:sz w:val="24"/>
    </w:rPr>
  </w:style>
  <w:style w:type="paragraph" w:styleId="Index2">
    <w:name w:val="index 2"/>
    <w:basedOn w:val="Normal"/>
    <w:next w:val="Normal"/>
    <w:rsid w:val="00CF52A7"/>
    <w:pPr>
      <w:spacing w:line="240" w:lineRule="auto"/>
      <w:ind w:left="340" w:right="851"/>
    </w:pPr>
    <w:rPr>
      <w:rFonts w:ascii="Times New Roman" w:hAnsi="Times New Roman"/>
      <w:sz w:val="22"/>
    </w:rPr>
  </w:style>
  <w:style w:type="paragraph" w:customStyle="1" w:styleId="zreportaddinfo">
    <w:name w:val="zreport addinfo"/>
    <w:basedOn w:val="Normal"/>
    <w:semiHidden/>
    <w:rsid w:val="00CF52A7"/>
    <w:pPr>
      <w:framePr w:wrap="around" w:hAnchor="margin" w:xAlign="center" w:yAlign="bottom"/>
      <w:spacing w:line="240" w:lineRule="exact"/>
      <w:jc w:val="center"/>
    </w:pPr>
    <w:rPr>
      <w:rFonts w:ascii="Times New Roman" w:hAnsi="Times New Roman"/>
      <w:noProof/>
    </w:rPr>
  </w:style>
  <w:style w:type="paragraph" w:styleId="ListBullet3">
    <w:name w:val="List Bullet 3"/>
    <w:basedOn w:val="ListBullet"/>
    <w:qFormat/>
    <w:rsid w:val="00CF52A7"/>
    <w:pPr>
      <w:numPr>
        <w:numId w:val="0"/>
      </w:numPr>
      <w:spacing w:before="130" w:after="0" w:line="240" w:lineRule="auto"/>
    </w:pPr>
    <w:rPr>
      <w:color w:val="auto"/>
      <w:sz w:val="18"/>
      <w:szCs w:val="20"/>
    </w:rPr>
  </w:style>
  <w:style w:type="paragraph" w:styleId="BodyText30">
    <w:name w:val="Body Text 3"/>
    <w:aliases w:val="Panel body text"/>
    <w:basedOn w:val="Normal"/>
    <w:link w:val="BodyText3Char"/>
    <w:rsid w:val="00CF52A7"/>
    <w:pPr>
      <w:spacing w:line="240" w:lineRule="auto"/>
    </w:pPr>
    <w:rPr>
      <w:b/>
      <w:color w:val="003366"/>
      <w:sz w:val="18"/>
      <w:szCs w:val="18"/>
    </w:rPr>
  </w:style>
  <w:style w:type="character" w:customStyle="1" w:styleId="BodyText3Char">
    <w:name w:val="Body Text 3 Char"/>
    <w:aliases w:val="Panel body text Char"/>
    <w:basedOn w:val="DefaultParagraphFont"/>
    <w:link w:val="BodyText30"/>
    <w:rsid w:val="00CF52A7"/>
    <w:rPr>
      <w:rFonts w:ascii="Univers 45 Light" w:hAnsi="Univers 45 Light"/>
      <w:b/>
      <w:color w:val="003366"/>
      <w:sz w:val="18"/>
      <w:szCs w:val="18"/>
      <w:lang w:eastAsia="en-US"/>
    </w:rPr>
  </w:style>
  <w:style w:type="paragraph" w:styleId="ListBullet4">
    <w:name w:val="List Bullet 4"/>
    <w:basedOn w:val="ListBullet2"/>
    <w:rsid w:val="00CF52A7"/>
    <w:pPr>
      <w:numPr>
        <w:numId w:val="22"/>
      </w:numPr>
      <w:tabs>
        <w:tab w:val="left" w:pos="714"/>
      </w:tabs>
      <w:spacing w:before="130" w:after="0"/>
    </w:pPr>
    <w:rPr>
      <w:color w:val="auto"/>
      <w:sz w:val="18"/>
      <w:szCs w:val="20"/>
    </w:rPr>
  </w:style>
  <w:style w:type="paragraph" w:customStyle="1" w:styleId="zDocRevwH2">
    <w:name w:val="zDocRevwH2"/>
    <w:basedOn w:val="Normal"/>
    <w:semiHidden/>
    <w:rsid w:val="00CF52A7"/>
    <w:pPr>
      <w:spacing w:before="130" w:after="130" w:line="240" w:lineRule="auto"/>
    </w:pPr>
    <w:rPr>
      <w:rFonts w:ascii="Times New Roman" w:hAnsi="Times New Roman"/>
      <w:b/>
      <w:sz w:val="28"/>
    </w:rPr>
  </w:style>
  <w:style w:type="paragraph" w:customStyle="1" w:styleId="zDocRevwH1">
    <w:name w:val="zDocRevwH1"/>
    <w:basedOn w:val="Normal"/>
    <w:semiHidden/>
    <w:rsid w:val="00CF52A7"/>
    <w:pPr>
      <w:spacing w:before="130" w:after="130" w:line="240" w:lineRule="auto"/>
    </w:pPr>
    <w:rPr>
      <w:rFonts w:ascii="Times New Roman" w:hAnsi="Times New Roman"/>
      <w:b/>
      <w:sz w:val="32"/>
    </w:rPr>
  </w:style>
  <w:style w:type="paragraph" w:customStyle="1" w:styleId="Tabledotbullet">
    <w:name w:val="Table dot bullet"/>
    <w:basedOn w:val="ListBullet"/>
    <w:rsid w:val="00CF52A7"/>
    <w:pPr>
      <w:spacing w:before="60" w:after="0" w:line="240" w:lineRule="auto"/>
      <w:ind w:left="221" w:hanging="221"/>
    </w:pPr>
    <w:rPr>
      <w:color w:val="auto"/>
      <w:sz w:val="16"/>
      <w:szCs w:val="20"/>
    </w:rPr>
  </w:style>
  <w:style w:type="paragraph" w:customStyle="1" w:styleId="Tabledotbullet2">
    <w:name w:val="Table dot bullet 2"/>
    <w:basedOn w:val="ListBullet4"/>
    <w:rsid w:val="00C10F89"/>
    <w:pPr>
      <w:tabs>
        <w:tab w:val="clear" w:pos="714"/>
      </w:tabs>
      <w:spacing w:before="60"/>
    </w:pPr>
    <w:rPr>
      <w:sz w:val="16"/>
    </w:rPr>
  </w:style>
  <w:style w:type="paragraph" w:customStyle="1" w:styleId="ContentsPage">
    <w:name w:val="Contents Page"/>
    <w:basedOn w:val="Heading1"/>
    <w:next w:val="BodyText"/>
    <w:rsid w:val="00CF52A7"/>
    <w:pPr>
      <w:pBdr>
        <w:bottom w:val="single" w:sz="4" w:space="1" w:color="333399"/>
      </w:pBdr>
      <w:spacing w:line="220" w:lineRule="atLeast"/>
    </w:pPr>
    <w:rPr>
      <w:color w:val="003366"/>
      <w:szCs w:val="32"/>
    </w:rPr>
  </w:style>
  <w:style w:type="paragraph" w:customStyle="1" w:styleId="StyleBodyText1Before0pt">
    <w:name w:val="Style Body Text 1 + Before:  0 pt"/>
    <w:basedOn w:val="BodyText10"/>
    <w:rsid w:val="00CF52A7"/>
    <w:pPr>
      <w:spacing w:before="130" w:after="0" w:line="240" w:lineRule="auto"/>
      <w:jc w:val="both"/>
    </w:pPr>
    <w:rPr>
      <w:szCs w:val="20"/>
    </w:rPr>
  </w:style>
  <w:style w:type="paragraph" w:customStyle="1" w:styleId="StyleBodyText1Before6pt">
    <w:name w:val="Style Body Text 1 + Before:  6 pt"/>
    <w:basedOn w:val="BodyText10"/>
    <w:rsid w:val="00CF52A7"/>
    <w:pPr>
      <w:spacing w:before="130" w:after="0" w:line="240" w:lineRule="auto"/>
    </w:pPr>
    <w:rPr>
      <w:szCs w:val="20"/>
    </w:rPr>
  </w:style>
  <w:style w:type="paragraph" w:customStyle="1" w:styleId="TableBullet2">
    <w:name w:val="TableBullet2"/>
    <w:basedOn w:val="Tabledotbullet2"/>
    <w:rsid w:val="00CF52A7"/>
    <w:pPr>
      <w:keepLines/>
    </w:pPr>
    <w:rPr>
      <w:sz w:val="18"/>
    </w:rPr>
  </w:style>
  <w:style w:type="paragraph" w:customStyle="1" w:styleId="Tablehead">
    <w:name w:val="Tablehead"/>
    <w:basedOn w:val="BodyText"/>
    <w:rsid w:val="00CF52A7"/>
    <w:pPr>
      <w:spacing w:before="60" w:after="0" w:line="240" w:lineRule="auto"/>
    </w:pPr>
    <w:rPr>
      <w:b/>
      <w:color w:val="FFFFFF"/>
      <w:sz w:val="18"/>
      <w:szCs w:val="18"/>
      <w:shd w:val="clear" w:color="auto" w:fill="000080"/>
    </w:rPr>
  </w:style>
  <w:style w:type="paragraph" w:customStyle="1" w:styleId="bodyindentbullet1">
    <w:name w:val="bodyindentbullet1"/>
    <w:basedOn w:val="BodyText"/>
    <w:rsid w:val="00CF52A7"/>
    <w:pPr>
      <w:numPr>
        <w:ilvl w:val="1"/>
        <w:numId w:val="23"/>
      </w:numPr>
      <w:tabs>
        <w:tab w:val="clear" w:pos="340"/>
        <w:tab w:val="num" w:pos="770"/>
      </w:tabs>
      <w:spacing w:before="130" w:after="0" w:line="240" w:lineRule="auto"/>
      <w:ind w:left="770"/>
    </w:pPr>
    <w:rPr>
      <w:szCs w:val="20"/>
    </w:rPr>
  </w:style>
  <w:style w:type="character" w:customStyle="1" w:styleId="saptxtstd1">
    <w:name w:val="saptxtstd1"/>
    <w:basedOn w:val="DefaultParagraphFont"/>
    <w:rsid w:val="00CF52A7"/>
    <w:rPr>
      <w:rFonts w:ascii="Arial" w:hAnsi="Arial" w:cs="Arial" w:hint="default"/>
      <w:b w:val="0"/>
      <w:bCs w:val="0"/>
      <w:i w:val="0"/>
      <w:iCs w:val="0"/>
      <w:color w:val="000000"/>
      <w:sz w:val="20"/>
      <w:szCs w:val="20"/>
    </w:rPr>
  </w:style>
  <w:style w:type="paragraph" w:customStyle="1" w:styleId="TableSubHead">
    <w:name w:val="TableSubHead"/>
    <w:basedOn w:val="BodyText"/>
    <w:rsid w:val="00CF52A7"/>
    <w:pPr>
      <w:spacing w:before="130" w:after="0" w:line="240" w:lineRule="auto"/>
      <w:jc w:val="left"/>
    </w:pPr>
    <w:rPr>
      <w:b/>
      <w:color w:val="003366"/>
      <w:sz w:val="18"/>
      <w:szCs w:val="20"/>
    </w:rPr>
  </w:style>
  <w:style w:type="character" w:customStyle="1" w:styleId="hit1">
    <w:name w:val="hit1"/>
    <w:basedOn w:val="DefaultParagraphFont"/>
    <w:rsid w:val="00CF52A7"/>
  </w:style>
  <w:style w:type="character" w:customStyle="1" w:styleId="entry">
    <w:name w:val="entry"/>
    <w:basedOn w:val="DefaultParagraphFont"/>
    <w:rsid w:val="00CF52A7"/>
  </w:style>
  <w:style w:type="paragraph" w:styleId="TableofFigures">
    <w:name w:val="table of figures"/>
    <w:basedOn w:val="Normal"/>
    <w:next w:val="Normal"/>
    <w:uiPriority w:val="99"/>
    <w:rsid w:val="00CF52A7"/>
    <w:pPr>
      <w:spacing w:line="240" w:lineRule="auto"/>
    </w:pPr>
    <w:rPr>
      <w:sz w:val="22"/>
    </w:rPr>
  </w:style>
  <w:style w:type="character" w:customStyle="1" w:styleId="A1">
    <w:name w:val="A1"/>
    <w:uiPriority w:val="99"/>
    <w:rsid w:val="00CF52A7"/>
    <w:rPr>
      <w:rFonts w:cs="Univers 45 Light"/>
      <w:color w:val="56575A"/>
      <w:sz w:val="12"/>
      <w:szCs w:val="12"/>
    </w:rPr>
  </w:style>
  <w:style w:type="character" w:customStyle="1" w:styleId="slug-vol">
    <w:name w:val="slug-vol"/>
    <w:basedOn w:val="DefaultParagraphFont"/>
    <w:rsid w:val="00CF52A7"/>
    <w:rPr>
      <w:b/>
      <w:bCs/>
    </w:rPr>
  </w:style>
  <w:style w:type="character" w:customStyle="1" w:styleId="cit-sep1">
    <w:name w:val="cit-sep1"/>
    <w:basedOn w:val="DefaultParagraphFont"/>
    <w:rsid w:val="00CF52A7"/>
    <w:rPr>
      <w:b w:val="0"/>
      <w:bCs w:val="0"/>
    </w:rPr>
  </w:style>
  <w:style w:type="character" w:customStyle="1" w:styleId="jnl-title">
    <w:name w:val="jnl-title"/>
    <w:basedOn w:val="DefaultParagraphFont"/>
    <w:rsid w:val="00CF52A7"/>
  </w:style>
  <w:style w:type="character" w:customStyle="1" w:styleId="jnl-url">
    <w:name w:val="jnl-url"/>
    <w:basedOn w:val="DefaultParagraphFont"/>
    <w:rsid w:val="00CF52A7"/>
  </w:style>
  <w:style w:type="table" w:customStyle="1" w:styleId="MediumShading1-Accent11">
    <w:name w:val="Medium Shading 1 - Accent 11"/>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1">
    <w:name w:val="Medium Shading 1 - Accent 111"/>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2">
    <w:name w:val="Medium Shading 1 - Accent 112"/>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3">
    <w:name w:val="Medium Shading 1 - Accent 113"/>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4">
    <w:name w:val="Medium Shading 1 - Accent 114"/>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5">
    <w:name w:val="Medium Shading 1 - Accent 115"/>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6">
    <w:name w:val="Medium Shading 1 - Accent 116"/>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117">
    <w:name w:val="Medium Shading 1 - Accent 117"/>
    <w:basedOn w:val="TableNormal"/>
    <w:uiPriority w:val="63"/>
    <w:rsid w:val="00CF52A7"/>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character" w:customStyle="1" w:styleId="citation-abbreviation">
    <w:name w:val="citation-abbreviation"/>
    <w:basedOn w:val="DefaultParagraphFont"/>
    <w:rsid w:val="00E92269"/>
  </w:style>
  <w:style w:type="character" w:customStyle="1" w:styleId="citation-publication-date">
    <w:name w:val="citation-publication-date"/>
    <w:basedOn w:val="DefaultParagraphFont"/>
    <w:rsid w:val="00E92269"/>
  </w:style>
  <w:style w:type="character" w:customStyle="1" w:styleId="citation-volume">
    <w:name w:val="citation-volume"/>
    <w:basedOn w:val="DefaultParagraphFont"/>
    <w:rsid w:val="00E92269"/>
  </w:style>
  <w:style w:type="character" w:customStyle="1" w:styleId="citation-issue">
    <w:name w:val="citation-issue"/>
    <w:basedOn w:val="DefaultParagraphFont"/>
    <w:rsid w:val="00E92269"/>
  </w:style>
  <w:style w:type="character" w:customStyle="1" w:styleId="citation-flpages">
    <w:name w:val="citation-flpages"/>
    <w:basedOn w:val="DefaultParagraphFont"/>
    <w:rsid w:val="00E92269"/>
  </w:style>
  <w:style w:type="paragraph" w:customStyle="1" w:styleId="DecimalAligned">
    <w:name w:val="Decimal Aligned"/>
    <w:basedOn w:val="Normal"/>
    <w:uiPriority w:val="40"/>
    <w:qFormat/>
    <w:rsid w:val="00C4282F"/>
    <w:pPr>
      <w:tabs>
        <w:tab w:val="decimal" w:pos="360"/>
      </w:tabs>
      <w:spacing w:after="200" w:line="276" w:lineRule="auto"/>
    </w:pPr>
    <w:rPr>
      <w:rFonts w:asciiTheme="minorHAnsi" w:eastAsiaTheme="minorEastAsia" w:hAnsiTheme="minorHAnsi"/>
      <w:sz w:val="22"/>
      <w:szCs w:val="22"/>
      <w:lang w:val="en-US"/>
    </w:rPr>
  </w:style>
  <w:style w:type="character" w:styleId="SubtleEmphasis">
    <w:name w:val="Subtle Emphasis"/>
    <w:basedOn w:val="DefaultParagraphFont"/>
    <w:uiPriority w:val="19"/>
    <w:qFormat/>
    <w:rsid w:val="00C4282F"/>
    <w:rPr>
      <w:i/>
      <w:iCs/>
    </w:rPr>
  </w:style>
  <w:style w:type="table" w:styleId="LightShading-Accent1">
    <w:name w:val="Light Shading Accent 1"/>
    <w:basedOn w:val="TableNormal"/>
    <w:uiPriority w:val="60"/>
    <w:rsid w:val="00C4282F"/>
    <w:rPr>
      <w:rFonts w:asciiTheme="minorHAnsi" w:eastAsiaTheme="minorEastAsia" w:hAnsiTheme="minorHAnsi" w:cstheme="minorBidi"/>
      <w:color w:val="365F91" w:themeColor="accent1" w:themeShade="BF"/>
      <w:sz w:val="22"/>
      <w:szCs w:val="22"/>
      <w:lang w:val="en-US" w:eastAsia="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Table4-Accent11">
    <w:name w:val="List Table 4 - Accent 11"/>
    <w:basedOn w:val="TableNormal"/>
    <w:uiPriority w:val="49"/>
    <w:rsid w:val="00C4282F"/>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ListTable41">
    <w:name w:val="List Table 41"/>
    <w:basedOn w:val="TableNormal"/>
    <w:uiPriority w:val="49"/>
    <w:rsid w:val="00233772"/>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4-Accent12">
    <w:name w:val="List Table 4 - Accent 12"/>
    <w:basedOn w:val="TableNormal"/>
    <w:uiPriority w:val="49"/>
    <w:rsid w:val="002E59FA"/>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ListTable4-Accent13">
    <w:name w:val="List Table 4 - Accent 13"/>
    <w:basedOn w:val="TableNormal"/>
    <w:uiPriority w:val="49"/>
    <w:rsid w:val="003A7C62"/>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IntenseReference">
    <w:name w:val="Intense Reference"/>
    <w:basedOn w:val="DefaultParagraphFont"/>
    <w:uiPriority w:val="32"/>
    <w:qFormat/>
    <w:rsid w:val="0036121B"/>
    <w:rPr>
      <w:b/>
      <w:bCs/>
      <w:i/>
      <w:smallCaps/>
      <w:color w:val="C0504D" w:themeColor="accent2"/>
      <w:spacing w:val="5"/>
      <w:u w:val="none"/>
    </w:rPr>
  </w:style>
  <w:style w:type="table" w:customStyle="1" w:styleId="GridTable4-Accent11">
    <w:name w:val="Grid Table 4 - Accent 11"/>
    <w:basedOn w:val="TableNormal"/>
    <w:uiPriority w:val="49"/>
    <w:rsid w:val="003940A4"/>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Leftnumbers">
    <w:name w:val="Left numbers"/>
    <w:uiPriority w:val="99"/>
    <w:rsid w:val="00297BBC"/>
    <w:pPr>
      <w:numPr>
        <w:numId w:val="7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332753">
      <w:bodyDiv w:val="1"/>
      <w:marLeft w:val="0"/>
      <w:marRight w:val="0"/>
      <w:marTop w:val="0"/>
      <w:marBottom w:val="0"/>
      <w:divBdr>
        <w:top w:val="none" w:sz="0" w:space="0" w:color="auto"/>
        <w:left w:val="none" w:sz="0" w:space="0" w:color="auto"/>
        <w:bottom w:val="none" w:sz="0" w:space="0" w:color="auto"/>
        <w:right w:val="none" w:sz="0" w:space="0" w:color="auto"/>
      </w:divBdr>
    </w:div>
    <w:div w:id="56443132">
      <w:bodyDiv w:val="1"/>
      <w:marLeft w:val="0"/>
      <w:marRight w:val="0"/>
      <w:marTop w:val="0"/>
      <w:marBottom w:val="0"/>
      <w:divBdr>
        <w:top w:val="none" w:sz="0" w:space="0" w:color="auto"/>
        <w:left w:val="none" w:sz="0" w:space="0" w:color="auto"/>
        <w:bottom w:val="none" w:sz="0" w:space="0" w:color="auto"/>
        <w:right w:val="none" w:sz="0" w:space="0" w:color="auto"/>
      </w:divBdr>
    </w:div>
    <w:div w:id="75321092">
      <w:bodyDiv w:val="1"/>
      <w:marLeft w:val="0"/>
      <w:marRight w:val="0"/>
      <w:marTop w:val="0"/>
      <w:marBottom w:val="0"/>
      <w:divBdr>
        <w:top w:val="none" w:sz="0" w:space="0" w:color="auto"/>
        <w:left w:val="none" w:sz="0" w:space="0" w:color="auto"/>
        <w:bottom w:val="none" w:sz="0" w:space="0" w:color="auto"/>
        <w:right w:val="none" w:sz="0" w:space="0" w:color="auto"/>
      </w:divBdr>
    </w:div>
    <w:div w:id="95910787">
      <w:bodyDiv w:val="1"/>
      <w:marLeft w:val="0"/>
      <w:marRight w:val="0"/>
      <w:marTop w:val="0"/>
      <w:marBottom w:val="0"/>
      <w:divBdr>
        <w:top w:val="none" w:sz="0" w:space="0" w:color="auto"/>
        <w:left w:val="none" w:sz="0" w:space="0" w:color="auto"/>
        <w:bottom w:val="none" w:sz="0" w:space="0" w:color="auto"/>
        <w:right w:val="none" w:sz="0" w:space="0" w:color="auto"/>
      </w:divBdr>
    </w:div>
    <w:div w:id="111439095">
      <w:bodyDiv w:val="1"/>
      <w:marLeft w:val="0"/>
      <w:marRight w:val="0"/>
      <w:marTop w:val="0"/>
      <w:marBottom w:val="0"/>
      <w:divBdr>
        <w:top w:val="none" w:sz="0" w:space="0" w:color="auto"/>
        <w:left w:val="none" w:sz="0" w:space="0" w:color="auto"/>
        <w:bottom w:val="none" w:sz="0" w:space="0" w:color="auto"/>
        <w:right w:val="none" w:sz="0" w:space="0" w:color="auto"/>
      </w:divBdr>
    </w:div>
    <w:div w:id="117337749">
      <w:bodyDiv w:val="1"/>
      <w:marLeft w:val="0"/>
      <w:marRight w:val="0"/>
      <w:marTop w:val="0"/>
      <w:marBottom w:val="0"/>
      <w:divBdr>
        <w:top w:val="none" w:sz="0" w:space="0" w:color="auto"/>
        <w:left w:val="none" w:sz="0" w:space="0" w:color="auto"/>
        <w:bottom w:val="none" w:sz="0" w:space="0" w:color="auto"/>
        <w:right w:val="none" w:sz="0" w:space="0" w:color="auto"/>
      </w:divBdr>
    </w:div>
    <w:div w:id="168301243">
      <w:bodyDiv w:val="1"/>
      <w:marLeft w:val="0"/>
      <w:marRight w:val="0"/>
      <w:marTop w:val="0"/>
      <w:marBottom w:val="0"/>
      <w:divBdr>
        <w:top w:val="none" w:sz="0" w:space="0" w:color="auto"/>
        <w:left w:val="none" w:sz="0" w:space="0" w:color="auto"/>
        <w:bottom w:val="none" w:sz="0" w:space="0" w:color="auto"/>
        <w:right w:val="none" w:sz="0" w:space="0" w:color="auto"/>
      </w:divBdr>
    </w:div>
    <w:div w:id="205219572">
      <w:bodyDiv w:val="1"/>
      <w:marLeft w:val="0"/>
      <w:marRight w:val="0"/>
      <w:marTop w:val="0"/>
      <w:marBottom w:val="0"/>
      <w:divBdr>
        <w:top w:val="none" w:sz="0" w:space="0" w:color="auto"/>
        <w:left w:val="none" w:sz="0" w:space="0" w:color="auto"/>
        <w:bottom w:val="none" w:sz="0" w:space="0" w:color="auto"/>
        <w:right w:val="none" w:sz="0" w:space="0" w:color="auto"/>
      </w:divBdr>
    </w:div>
    <w:div w:id="235865895">
      <w:bodyDiv w:val="1"/>
      <w:marLeft w:val="0"/>
      <w:marRight w:val="0"/>
      <w:marTop w:val="0"/>
      <w:marBottom w:val="0"/>
      <w:divBdr>
        <w:top w:val="none" w:sz="0" w:space="0" w:color="auto"/>
        <w:left w:val="none" w:sz="0" w:space="0" w:color="auto"/>
        <w:bottom w:val="none" w:sz="0" w:space="0" w:color="auto"/>
        <w:right w:val="none" w:sz="0" w:space="0" w:color="auto"/>
      </w:divBdr>
    </w:div>
    <w:div w:id="275596968">
      <w:bodyDiv w:val="1"/>
      <w:marLeft w:val="0"/>
      <w:marRight w:val="0"/>
      <w:marTop w:val="0"/>
      <w:marBottom w:val="0"/>
      <w:divBdr>
        <w:top w:val="none" w:sz="0" w:space="0" w:color="auto"/>
        <w:left w:val="none" w:sz="0" w:space="0" w:color="auto"/>
        <w:bottom w:val="none" w:sz="0" w:space="0" w:color="auto"/>
        <w:right w:val="none" w:sz="0" w:space="0" w:color="auto"/>
      </w:divBdr>
    </w:div>
    <w:div w:id="364913599">
      <w:bodyDiv w:val="1"/>
      <w:marLeft w:val="0"/>
      <w:marRight w:val="0"/>
      <w:marTop w:val="0"/>
      <w:marBottom w:val="0"/>
      <w:divBdr>
        <w:top w:val="none" w:sz="0" w:space="0" w:color="auto"/>
        <w:left w:val="none" w:sz="0" w:space="0" w:color="auto"/>
        <w:bottom w:val="none" w:sz="0" w:space="0" w:color="auto"/>
        <w:right w:val="none" w:sz="0" w:space="0" w:color="auto"/>
      </w:divBdr>
    </w:div>
    <w:div w:id="401105952">
      <w:bodyDiv w:val="1"/>
      <w:marLeft w:val="0"/>
      <w:marRight w:val="0"/>
      <w:marTop w:val="0"/>
      <w:marBottom w:val="0"/>
      <w:divBdr>
        <w:top w:val="none" w:sz="0" w:space="0" w:color="auto"/>
        <w:left w:val="none" w:sz="0" w:space="0" w:color="auto"/>
        <w:bottom w:val="none" w:sz="0" w:space="0" w:color="auto"/>
        <w:right w:val="none" w:sz="0" w:space="0" w:color="auto"/>
      </w:divBdr>
    </w:div>
    <w:div w:id="424573347">
      <w:bodyDiv w:val="1"/>
      <w:marLeft w:val="0"/>
      <w:marRight w:val="0"/>
      <w:marTop w:val="0"/>
      <w:marBottom w:val="0"/>
      <w:divBdr>
        <w:top w:val="none" w:sz="0" w:space="0" w:color="auto"/>
        <w:left w:val="none" w:sz="0" w:space="0" w:color="auto"/>
        <w:bottom w:val="none" w:sz="0" w:space="0" w:color="auto"/>
        <w:right w:val="none" w:sz="0" w:space="0" w:color="auto"/>
      </w:divBdr>
    </w:div>
    <w:div w:id="441267178">
      <w:bodyDiv w:val="1"/>
      <w:marLeft w:val="0"/>
      <w:marRight w:val="0"/>
      <w:marTop w:val="0"/>
      <w:marBottom w:val="0"/>
      <w:divBdr>
        <w:top w:val="none" w:sz="0" w:space="0" w:color="auto"/>
        <w:left w:val="none" w:sz="0" w:space="0" w:color="auto"/>
        <w:bottom w:val="none" w:sz="0" w:space="0" w:color="auto"/>
        <w:right w:val="none" w:sz="0" w:space="0" w:color="auto"/>
      </w:divBdr>
    </w:div>
    <w:div w:id="476538149">
      <w:bodyDiv w:val="1"/>
      <w:marLeft w:val="0"/>
      <w:marRight w:val="0"/>
      <w:marTop w:val="0"/>
      <w:marBottom w:val="0"/>
      <w:divBdr>
        <w:top w:val="none" w:sz="0" w:space="0" w:color="auto"/>
        <w:left w:val="none" w:sz="0" w:space="0" w:color="auto"/>
        <w:bottom w:val="none" w:sz="0" w:space="0" w:color="auto"/>
        <w:right w:val="none" w:sz="0" w:space="0" w:color="auto"/>
      </w:divBdr>
    </w:div>
    <w:div w:id="479538631">
      <w:bodyDiv w:val="1"/>
      <w:marLeft w:val="0"/>
      <w:marRight w:val="0"/>
      <w:marTop w:val="0"/>
      <w:marBottom w:val="0"/>
      <w:divBdr>
        <w:top w:val="none" w:sz="0" w:space="0" w:color="auto"/>
        <w:left w:val="none" w:sz="0" w:space="0" w:color="auto"/>
        <w:bottom w:val="none" w:sz="0" w:space="0" w:color="auto"/>
        <w:right w:val="none" w:sz="0" w:space="0" w:color="auto"/>
      </w:divBdr>
    </w:div>
    <w:div w:id="627395037">
      <w:bodyDiv w:val="1"/>
      <w:marLeft w:val="0"/>
      <w:marRight w:val="0"/>
      <w:marTop w:val="0"/>
      <w:marBottom w:val="0"/>
      <w:divBdr>
        <w:top w:val="none" w:sz="0" w:space="0" w:color="auto"/>
        <w:left w:val="none" w:sz="0" w:space="0" w:color="auto"/>
        <w:bottom w:val="none" w:sz="0" w:space="0" w:color="auto"/>
        <w:right w:val="none" w:sz="0" w:space="0" w:color="auto"/>
      </w:divBdr>
    </w:div>
    <w:div w:id="631638106">
      <w:bodyDiv w:val="1"/>
      <w:marLeft w:val="0"/>
      <w:marRight w:val="0"/>
      <w:marTop w:val="0"/>
      <w:marBottom w:val="0"/>
      <w:divBdr>
        <w:top w:val="none" w:sz="0" w:space="0" w:color="auto"/>
        <w:left w:val="none" w:sz="0" w:space="0" w:color="auto"/>
        <w:bottom w:val="none" w:sz="0" w:space="0" w:color="auto"/>
        <w:right w:val="none" w:sz="0" w:space="0" w:color="auto"/>
      </w:divBdr>
    </w:div>
    <w:div w:id="634526009">
      <w:bodyDiv w:val="1"/>
      <w:marLeft w:val="0"/>
      <w:marRight w:val="0"/>
      <w:marTop w:val="0"/>
      <w:marBottom w:val="0"/>
      <w:divBdr>
        <w:top w:val="none" w:sz="0" w:space="0" w:color="auto"/>
        <w:left w:val="none" w:sz="0" w:space="0" w:color="auto"/>
        <w:bottom w:val="none" w:sz="0" w:space="0" w:color="auto"/>
        <w:right w:val="none" w:sz="0" w:space="0" w:color="auto"/>
      </w:divBdr>
    </w:div>
    <w:div w:id="637758033">
      <w:bodyDiv w:val="1"/>
      <w:marLeft w:val="0"/>
      <w:marRight w:val="0"/>
      <w:marTop w:val="0"/>
      <w:marBottom w:val="0"/>
      <w:divBdr>
        <w:top w:val="none" w:sz="0" w:space="0" w:color="auto"/>
        <w:left w:val="none" w:sz="0" w:space="0" w:color="auto"/>
        <w:bottom w:val="none" w:sz="0" w:space="0" w:color="auto"/>
        <w:right w:val="none" w:sz="0" w:space="0" w:color="auto"/>
      </w:divBdr>
    </w:div>
    <w:div w:id="657153941">
      <w:bodyDiv w:val="1"/>
      <w:marLeft w:val="0"/>
      <w:marRight w:val="0"/>
      <w:marTop w:val="0"/>
      <w:marBottom w:val="0"/>
      <w:divBdr>
        <w:top w:val="none" w:sz="0" w:space="0" w:color="auto"/>
        <w:left w:val="none" w:sz="0" w:space="0" w:color="auto"/>
        <w:bottom w:val="none" w:sz="0" w:space="0" w:color="auto"/>
        <w:right w:val="none" w:sz="0" w:space="0" w:color="auto"/>
      </w:divBdr>
    </w:div>
    <w:div w:id="659697411">
      <w:bodyDiv w:val="1"/>
      <w:marLeft w:val="0"/>
      <w:marRight w:val="0"/>
      <w:marTop w:val="0"/>
      <w:marBottom w:val="0"/>
      <w:divBdr>
        <w:top w:val="none" w:sz="0" w:space="0" w:color="auto"/>
        <w:left w:val="none" w:sz="0" w:space="0" w:color="auto"/>
        <w:bottom w:val="none" w:sz="0" w:space="0" w:color="auto"/>
        <w:right w:val="none" w:sz="0" w:space="0" w:color="auto"/>
      </w:divBdr>
    </w:div>
    <w:div w:id="758795088">
      <w:bodyDiv w:val="1"/>
      <w:marLeft w:val="0"/>
      <w:marRight w:val="0"/>
      <w:marTop w:val="0"/>
      <w:marBottom w:val="0"/>
      <w:divBdr>
        <w:top w:val="none" w:sz="0" w:space="0" w:color="auto"/>
        <w:left w:val="none" w:sz="0" w:space="0" w:color="auto"/>
        <w:bottom w:val="none" w:sz="0" w:space="0" w:color="auto"/>
        <w:right w:val="none" w:sz="0" w:space="0" w:color="auto"/>
      </w:divBdr>
    </w:div>
    <w:div w:id="825583871">
      <w:bodyDiv w:val="1"/>
      <w:marLeft w:val="0"/>
      <w:marRight w:val="0"/>
      <w:marTop w:val="0"/>
      <w:marBottom w:val="0"/>
      <w:divBdr>
        <w:top w:val="none" w:sz="0" w:space="0" w:color="auto"/>
        <w:left w:val="none" w:sz="0" w:space="0" w:color="auto"/>
        <w:bottom w:val="none" w:sz="0" w:space="0" w:color="auto"/>
        <w:right w:val="none" w:sz="0" w:space="0" w:color="auto"/>
      </w:divBdr>
    </w:div>
    <w:div w:id="828057246">
      <w:bodyDiv w:val="1"/>
      <w:marLeft w:val="0"/>
      <w:marRight w:val="0"/>
      <w:marTop w:val="0"/>
      <w:marBottom w:val="0"/>
      <w:divBdr>
        <w:top w:val="none" w:sz="0" w:space="0" w:color="auto"/>
        <w:left w:val="none" w:sz="0" w:space="0" w:color="auto"/>
        <w:bottom w:val="none" w:sz="0" w:space="0" w:color="auto"/>
        <w:right w:val="none" w:sz="0" w:space="0" w:color="auto"/>
      </w:divBdr>
    </w:div>
    <w:div w:id="866213651">
      <w:bodyDiv w:val="1"/>
      <w:marLeft w:val="0"/>
      <w:marRight w:val="0"/>
      <w:marTop w:val="0"/>
      <w:marBottom w:val="0"/>
      <w:divBdr>
        <w:top w:val="none" w:sz="0" w:space="0" w:color="auto"/>
        <w:left w:val="none" w:sz="0" w:space="0" w:color="auto"/>
        <w:bottom w:val="none" w:sz="0" w:space="0" w:color="auto"/>
        <w:right w:val="none" w:sz="0" w:space="0" w:color="auto"/>
      </w:divBdr>
    </w:div>
    <w:div w:id="938222268">
      <w:bodyDiv w:val="1"/>
      <w:marLeft w:val="0"/>
      <w:marRight w:val="0"/>
      <w:marTop w:val="0"/>
      <w:marBottom w:val="0"/>
      <w:divBdr>
        <w:top w:val="none" w:sz="0" w:space="0" w:color="auto"/>
        <w:left w:val="none" w:sz="0" w:space="0" w:color="auto"/>
        <w:bottom w:val="none" w:sz="0" w:space="0" w:color="auto"/>
        <w:right w:val="none" w:sz="0" w:space="0" w:color="auto"/>
      </w:divBdr>
    </w:div>
    <w:div w:id="979771012">
      <w:bodyDiv w:val="1"/>
      <w:marLeft w:val="0"/>
      <w:marRight w:val="0"/>
      <w:marTop w:val="0"/>
      <w:marBottom w:val="0"/>
      <w:divBdr>
        <w:top w:val="none" w:sz="0" w:space="0" w:color="auto"/>
        <w:left w:val="none" w:sz="0" w:space="0" w:color="auto"/>
        <w:bottom w:val="none" w:sz="0" w:space="0" w:color="auto"/>
        <w:right w:val="none" w:sz="0" w:space="0" w:color="auto"/>
      </w:divBdr>
      <w:divsChild>
        <w:div w:id="1729569392">
          <w:marLeft w:val="0"/>
          <w:marRight w:val="1"/>
          <w:marTop w:val="0"/>
          <w:marBottom w:val="0"/>
          <w:divBdr>
            <w:top w:val="none" w:sz="0" w:space="0" w:color="auto"/>
            <w:left w:val="none" w:sz="0" w:space="0" w:color="auto"/>
            <w:bottom w:val="none" w:sz="0" w:space="0" w:color="auto"/>
            <w:right w:val="none" w:sz="0" w:space="0" w:color="auto"/>
          </w:divBdr>
          <w:divsChild>
            <w:div w:id="1718316296">
              <w:marLeft w:val="295"/>
              <w:marRight w:val="0"/>
              <w:marTop w:val="0"/>
              <w:marBottom w:val="0"/>
              <w:divBdr>
                <w:top w:val="none" w:sz="0" w:space="0" w:color="auto"/>
                <w:left w:val="none" w:sz="0" w:space="0" w:color="auto"/>
                <w:bottom w:val="none" w:sz="0" w:space="0" w:color="auto"/>
                <w:right w:val="none" w:sz="0" w:space="0" w:color="auto"/>
              </w:divBdr>
              <w:divsChild>
                <w:div w:id="871186025">
                  <w:marLeft w:val="0"/>
                  <w:marRight w:val="1"/>
                  <w:marTop w:val="0"/>
                  <w:marBottom w:val="0"/>
                  <w:divBdr>
                    <w:top w:val="none" w:sz="0" w:space="0" w:color="auto"/>
                    <w:left w:val="none" w:sz="0" w:space="0" w:color="auto"/>
                    <w:bottom w:val="none" w:sz="0" w:space="0" w:color="auto"/>
                    <w:right w:val="none" w:sz="0" w:space="0" w:color="auto"/>
                  </w:divBdr>
                  <w:divsChild>
                    <w:div w:id="188177919">
                      <w:marLeft w:val="0"/>
                      <w:marRight w:val="0"/>
                      <w:marTop w:val="0"/>
                      <w:marBottom w:val="0"/>
                      <w:divBdr>
                        <w:top w:val="none" w:sz="0" w:space="0" w:color="auto"/>
                        <w:left w:val="none" w:sz="0" w:space="0" w:color="auto"/>
                        <w:bottom w:val="none" w:sz="0" w:space="0" w:color="auto"/>
                        <w:right w:val="none" w:sz="0" w:space="0" w:color="auto"/>
                      </w:divBdr>
                      <w:divsChild>
                        <w:div w:id="1376855543">
                          <w:marLeft w:val="0"/>
                          <w:marRight w:val="0"/>
                          <w:marTop w:val="0"/>
                          <w:marBottom w:val="0"/>
                          <w:divBdr>
                            <w:top w:val="none" w:sz="0" w:space="0" w:color="auto"/>
                            <w:left w:val="none" w:sz="0" w:space="0" w:color="auto"/>
                            <w:bottom w:val="none" w:sz="0" w:space="0" w:color="auto"/>
                            <w:right w:val="none" w:sz="0" w:space="0" w:color="auto"/>
                          </w:divBdr>
                          <w:divsChild>
                            <w:div w:id="1232960139">
                              <w:marLeft w:val="0"/>
                              <w:marRight w:val="0"/>
                              <w:marTop w:val="0"/>
                              <w:marBottom w:val="0"/>
                              <w:divBdr>
                                <w:top w:val="none" w:sz="0" w:space="0" w:color="auto"/>
                                <w:left w:val="none" w:sz="0" w:space="0" w:color="auto"/>
                                <w:bottom w:val="none" w:sz="0" w:space="0" w:color="auto"/>
                                <w:right w:val="none" w:sz="0" w:space="0" w:color="auto"/>
                              </w:divBdr>
                              <w:divsChild>
                                <w:div w:id="1667440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39431109">
      <w:bodyDiv w:val="1"/>
      <w:marLeft w:val="0"/>
      <w:marRight w:val="0"/>
      <w:marTop w:val="0"/>
      <w:marBottom w:val="0"/>
      <w:divBdr>
        <w:top w:val="none" w:sz="0" w:space="0" w:color="auto"/>
        <w:left w:val="none" w:sz="0" w:space="0" w:color="auto"/>
        <w:bottom w:val="none" w:sz="0" w:space="0" w:color="auto"/>
        <w:right w:val="none" w:sz="0" w:space="0" w:color="auto"/>
      </w:divBdr>
    </w:div>
    <w:div w:id="1066883007">
      <w:bodyDiv w:val="1"/>
      <w:marLeft w:val="0"/>
      <w:marRight w:val="0"/>
      <w:marTop w:val="0"/>
      <w:marBottom w:val="0"/>
      <w:divBdr>
        <w:top w:val="none" w:sz="0" w:space="0" w:color="auto"/>
        <w:left w:val="none" w:sz="0" w:space="0" w:color="auto"/>
        <w:bottom w:val="none" w:sz="0" w:space="0" w:color="auto"/>
        <w:right w:val="none" w:sz="0" w:space="0" w:color="auto"/>
      </w:divBdr>
      <w:divsChild>
        <w:div w:id="2058237797">
          <w:marLeft w:val="0"/>
          <w:marRight w:val="0"/>
          <w:marTop w:val="0"/>
          <w:marBottom w:val="0"/>
          <w:divBdr>
            <w:top w:val="none" w:sz="0" w:space="0" w:color="auto"/>
            <w:left w:val="none" w:sz="0" w:space="0" w:color="auto"/>
            <w:bottom w:val="none" w:sz="0" w:space="0" w:color="auto"/>
            <w:right w:val="none" w:sz="0" w:space="0" w:color="auto"/>
          </w:divBdr>
          <w:divsChild>
            <w:div w:id="1383096957">
              <w:marLeft w:val="0"/>
              <w:marRight w:val="0"/>
              <w:marTop w:val="0"/>
              <w:marBottom w:val="0"/>
              <w:divBdr>
                <w:top w:val="none" w:sz="0" w:space="0" w:color="auto"/>
                <w:left w:val="none" w:sz="0" w:space="0" w:color="auto"/>
                <w:bottom w:val="none" w:sz="0" w:space="0" w:color="auto"/>
                <w:right w:val="none" w:sz="0" w:space="0" w:color="auto"/>
              </w:divBdr>
              <w:divsChild>
                <w:div w:id="76098692">
                  <w:marLeft w:val="0"/>
                  <w:marRight w:val="0"/>
                  <w:marTop w:val="0"/>
                  <w:marBottom w:val="0"/>
                  <w:divBdr>
                    <w:top w:val="none" w:sz="0" w:space="0" w:color="auto"/>
                    <w:left w:val="none" w:sz="0" w:space="0" w:color="auto"/>
                    <w:bottom w:val="none" w:sz="0" w:space="0" w:color="auto"/>
                    <w:right w:val="none" w:sz="0" w:space="0" w:color="auto"/>
                  </w:divBdr>
                  <w:divsChild>
                    <w:div w:id="116727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0103982">
      <w:bodyDiv w:val="1"/>
      <w:marLeft w:val="0"/>
      <w:marRight w:val="0"/>
      <w:marTop w:val="0"/>
      <w:marBottom w:val="0"/>
      <w:divBdr>
        <w:top w:val="none" w:sz="0" w:space="0" w:color="auto"/>
        <w:left w:val="none" w:sz="0" w:space="0" w:color="auto"/>
        <w:bottom w:val="none" w:sz="0" w:space="0" w:color="auto"/>
        <w:right w:val="none" w:sz="0" w:space="0" w:color="auto"/>
      </w:divBdr>
    </w:div>
    <w:div w:id="1100447191">
      <w:bodyDiv w:val="1"/>
      <w:marLeft w:val="0"/>
      <w:marRight w:val="0"/>
      <w:marTop w:val="0"/>
      <w:marBottom w:val="0"/>
      <w:divBdr>
        <w:top w:val="none" w:sz="0" w:space="0" w:color="auto"/>
        <w:left w:val="none" w:sz="0" w:space="0" w:color="auto"/>
        <w:bottom w:val="none" w:sz="0" w:space="0" w:color="auto"/>
        <w:right w:val="none" w:sz="0" w:space="0" w:color="auto"/>
      </w:divBdr>
    </w:div>
    <w:div w:id="1139301432">
      <w:bodyDiv w:val="1"/>
      <w:marLeft w:val="0"/>
      <w:marRight w:val="0"/>
      <w:marTop w:val="0"/>
      <w:marBottom w:val="0"/>
      <w:divBdr>
        <w:top w:val="none" w:sz="0" w:space="0" w:color="auto"/>
        <w:left w:val="none" w:sz="0" w:space="0" w:color="auto"/>
        <w:bottom w:val="none" w:sz="0" w:space="0" w:color="auto"/>
        <w:right w:val="none" w:sz="0" w:space="0" w:color="auto"/>
      </w:divBdr>
    </w:div>
    <w:div w:id="1148935476">
      <w:bodyDiv w:val="1"/>
      <w:marLeft w:val="0"/>
      <w:marRight w:val="0"/>
      <w:marTop w:val="0"/>
      <w:marBottom w:val="0"/>
      <w:divBdr>
        <w:top w:val="none" w:sz="0" w:space="0" w:color="auto"/>
        <w:left w:val="none" w:sz="0" w:space="0" w:color="auto"/>
        <w:bottom w:val="none" w:sz="0" w:space="0" w:color="auto"/>
        <w:right w:val="none" w:sz="0" w:space="0" w:color="auto"/>
      </w:divBdr>
    </w:div>
    <w:div w:id="1194880508">
      <w:bodyDiv w:val="1"/>
      <w:marLeft w:val="0"/>
      <w:marRight w:val="0"/>
      <w:marTop w:val="0"/>
      <w:marBottom w:val="0"/>
      <w:divBdr>
        <w:top w:val="none" w:sz="0" w:space="0" w:color="auto"/>
        <w:left w:val="none" w:sz="0" w:space="0" w:color="auto"/>
        <w:bottom w:val="none" w:sz="0" w:space="0" w:color="auto"/>
        <w:right w:val="none" w:sz="0" w:space="0" w:color="auto"/>
      </w:divBdr>
    </w:div>
    <w:div w:id="1213884501">
      <w:bodyDiv w:val="1"/>
      <w:marLeft w:val="0"/>
      <w:marRight w:val="0"/>
      <w:marTop w:val="0"/>
      <w:marBottom w:val="0"/>
      <w:divBdr>
        <w:top w:val="none" w:sz="0" w:space="0" w:color="auto"/>
        <w:left w:val="none" w:sz="0" w:space="0" w:color="auto"/>
        <w:bottom w:val="none" w:sz="0" w:space="0" w:color="auto"/>
        <w:right w:val="none" w:sz="0" w:space="0" w:color="auto"/>
      </w:divBdr>
    </w:div>
    <w:div w:id="1263612877">
      <w:bodyDiv w:val="1"/>
      <w:marLeft w:val="0"/>
      <w:marRight w:val="0"/>
      <w:marTop w:val="0"/>
      <w:marBottom w:val="0"/>
      <w:divBdr>
        <w:top w:val="none" w:sz="0" w:space="0" w:color="auto"/>
        <w:left w:val="none" w:sz="0" w:space="0" w:color="auto"/>
        <w:bottom w:val="none" w:sz="0" w:space="0" w:color="auto"/>
        <w:right w:val="none" w:sz="0" w:space="0" w:color="auto"/>
      </w:divBdr>
    </w:div>
    <w:div w:id="1269125065">
      <w:bodyDiv w:val="1"/>
      <w:marLeft w:val="0"/>
      <w:marRight w:val="0"/>
      <w:marTop w:val="0"/>
      <w:marBottom w:val="0"/>
      <w:divBdr>
        <w:top w:val="none" w:sz="0" w:space="0" w:color="auto"/>
        <w:left w:val="none" w:sz="0" w:space="0" w:color="auto"/>
        <w:bottom w:val="none" w:sz="0" w:space="0" w:color="auto"/>
        <w:right w:val="none" w:sz="0" w:space="0" w:color="auto"/>
      </w:divBdr>
    </w:div>
    <w:div w:id="1270353214">
      <w:bodyDiv w:val="1"/>
      <w:marLeft w:val="0"/>
      <w:marRight w:val="0"/>
      <w:marTop w:val="0"/>
      <w:marBottom w:val="0"/>
      <w:divBdr>
        <w:top w:val="none" w:sz="0" w:space="0" w:color="auto"/>
        <w:left w:val="none" w:sz="0" w:space="0" w:color="auto"/>
        <w:bottom w:val="none" w:sz="0" w:space="0" w:color="auto"/>
        <w:right w:val="none" w:sz="0" w:space="0" w:color="auto"/>
      </w:divBdr>
    </w:div>
    <w:div w:id="1273588014">
      <w:bodyDiv w:val="1"/>
      <w:marLeft w:val="0"/>
      <w:marRight w:val="0"/>
      <w:marTop w:val="0"/>
      <w:marBottom w:val="0"/>
      <w:divBdr>
        <w:top w:val="none" w:sz="0" w:space="0" w:color="auto"/>
        <w:left w:val="none" w:sz="0" w:space="0" w:color="auto"/>
        <w:bottom w:val="none" w:sz="0" w:space="0" w:color="auto"/>
        <w:right w:val="none" w:sz="0" w:space="0" w:color="auto"/>
      </w:divBdr>
    </w:div>
    <w:div w:id="1342972151">
      <w:bodyDiv w:val="1"/>
      <w:marLeft w:val="0"/>
      <w:marRight w:val="0"/>
      <w:marTop w:val="0"/>
      <w:marBottom w:val="0"/>
      <w:divBdr>
        <w:top w:val="none" w:sz="0" w:space="0" w:color="auto"/>
        <w:left w:val="none" w:sz="0" w:space="0" w:color="auto"/>
        <w:bottom w:val="none" w:sz="0" w:space="0" w:color="auto"/>
        <w:right w:val="none" w:sz="0" w:space="0" w:color="auto"/>
      </w:divBdr>
    </w:div>
    <w:div w:id="1353647821">
      <w:bodyDiv w:val="1"/>
      <w:marLeft w:val="0"/>
      <w:marRight w:val="0"/>
      <w:marTop w:val="0"/>
      <w:marBottom w:val="0"/>
      <w:divBdr>
        <w:top w:val="none" w:sz="0" w:space="0" w:color="auto"/>
        <w:left w:val="none" w:sz="0" w:space="0" w:color="auto"/>
        <w:bottom w:val="none" w:sz="0" w:space="0" w:color="auto"/>
        <w:right w:val="none" w:sz="0" w:space="0" w:color="auto"/>
      </w:divBdr>
    </w:div>
    <w:div w:id="1409616325">
      <w:bodyDiv w:val="1"/>
      <w:marLeft w:val="0"/>
      <w:marRight w:val="0"/>
      <w:marTop w:val="0"/>
      <w:marBottom w:val="0"/>
      <w:divBdr>
        <w:top w:val="none" w:sz="0" w:space="0" w:color="auto"/>
        <w:left w:val="none" w:sz="0" w:space="0" w:color="auto"/>
        <w:bottom w:val="none" w:sz="0" w:space="0" w:color="auto"/>
        <w:right w:val="none" w:sz="0" w:space="0" w:color="auto"/>
      </w:divBdr>
    </w:div>
    <w:div w:id="1427115987">
      <w:bodyDiv w:val="1"/>
      <w:marLeft w:val="0"/>
      <w:marRight w:val="0"/>
      <w:marTop w:val="0"/>
      <w:marBottom w:val="0"/>
      <w:divBdr>
        <w:top w:val="none" w:sz="0" w:space="0" w:color="auto"/>
        <w:left w:val="none" w:sz="0" w:space="0" w:color="auto"/>
        <w:bottom w:val="none" w:sz="0" w:space="0" w:color="auto"/>
        <w:right w:val="none" w:sz="0" w:space="0" w:color="auto"/>
      </w:divBdr>
    </w:div>
    <w:div w:id="1452937094">
      <w:bodyDiv w:val="1"/>
      <w:marLeft w:val="0"/>
      <w:marRight w:val="0"/>
      <w:marTop w:val="0"/>
      <w:marBottom w:val="0"/>
      <w:divBdr>
        <w:top w:val="none" w:sz="0" w:space="0" w:color="auto"/>
        <w:left w:val="none" w:sz="0" w:space="0" w:color="auto"/>
        <w:bottom w:val="none" w:sz="0" w:space="0" w:color="auto"/>
        <w:right w:val="none" w:sz="0" w:space="0" w:color="auto"/>
      </w:divBdr>
    </w:div>
    <w:div w:id="1491629293">
      <w:bodyDiv w:val="1"/>
      <w:marLeft w:val="0"/>
      <w:marRight w:val="0"/>
      <w:marTop w:val="0"/>
      <w:marBottom w:val="0"/>
      <w:divBdr>
        <w:top w:val="none" w:sz="0" w:space="0" w:color="auto"/>
        <w:left w:val="none" w:sz="0" w:space="0" w:color="auto"/>
        <w:bottom w:val="none" w:sz="0" w:space="0" w:color="auto"/>
        <w:right w:val="none" w:sz="0" w:space="0" w:color="auto"/>
      </w:divBdr>
    </w:div>
    <w:div w:id="1500190202">
      <w:bodyDiv w:val="1"/>
      <w:marLeft w:val="0"/>
      <w:marRight w:val="0"/>
      <w:marTop w:val="0"/>
      <w:marBottom w:val="0"/>
      <w:divBdr>
        <w:top w:val="none" w:sz="0" w:space="0" w:color="auto"/>
        <w:left w:val="none" w:sz="0" w:space="0" w:color="auto"/>
        <w:bottom w:val="none" w:sz="0" w:space="0" w:color="auto"/>
        <w:right w:val="none" w:sz="0" w:space="0" w:color="auto"/>
      </w:divBdr>
    </w:div>
    <w:div w:id="1513298910">
      <w:bodyDiv w:val="1"/>
      <w:marLeft w:val="0"/>
      <w:marRight w:val="0"/>
      <w:marTop w:val="0"/>
      <w:marBottom w:val="0"/>
      <w:divBdr>
        <w:top w:val="none" w:sz="0" w:space="0" w:color="auto"/>
        <w:left w:val="none" w:sz="0" w:space="0" w:color="auto"/>
        <w:bottom w:val="none" w:sz="0" w:space="0" w:color="auto"/>
        <w:right w:val="none" w:sz="0" w:space="0" w:color="auto"/>
      </w:divBdr>
      <w:divsChild>
        <w:div w:id="613832629">
          <w:marLeft w:val="0"/>
          <w:marRight w:val="0"/>
          <w:marTop w:val="0"/>
          <w:marBottom w:val="0"/>
          <w:divBdr>
            <w:top w:val="none" w:sz="0" w:space="0" w:color="auto"/>
            <w:left w:val="none" w:sz="0" w:space="0" w:color="auto"/>
            <w:bottom w:val="none" w:sz="0" w:space="0" w:color="auto"/>
            <w:right w:val="none" w:sz="0" w:space="0" w:color="auto"/>
          </w:divBdr>
        </w:div>
      </w:divsChild>
    </w:div>
    <w:div w:id="1528250663">
      <w:bodyDiv w:val="1"/>
      <w:marLeft w:val="0"/>
      <w:marRight w:val="0"/>
      <w:marTop w:val="0"/>
      <w:marBottom w:val="0"/>
      <w:divBdr>
        <w:top w:val="none" w:sz="0" w:space="0" w:color="auto"/>
        <w:left w:val="none" w:sz="0" w:space="0" w:color="auto"/>
        <w:bottom w:val="none" w:sz="0" w:space="0" w:color="auto"/>
        <w:right w:val="none" w:sz="0" w:space="0" w:color="auto"/>
      </w:divBdr>
    </w:div>
    <w:div w:id="1630623029">
      <w:bodyDiv w:val="1"/>
      <w:marLeft w:val="0"/>
      <w:marRight w:val="0"/>
      <w:marTop w:val="0"/>
      <w:marBottom w:val="0"/>
      <w:divBdr>
        <w:top w:val="none" w:sz="0" w:space="0" w:color="auto"/>
        <w:left w:val="none" w:sz="0" w:space="0" w:color="auto"/>
        <w:bottom w:val="none" w:sz="0" w:space="0" w:color="auto"/>
        <w:right w:val="none" w:sz="0" w:space="0" w:color="auto"/>
      </w:divBdr>
    </w:div>
    <w:div w:id="1693218668">
      <w:bodyDiv w:val="1"/>
      <w:marLeft w:val="0"/>
      <w:marRight w:val="0"/>
      <w:marTop w:val="0"/>
      <w:marBottom w:val="0"/>
      <w:divBdr>
        <w:top w:val="none" w:sz="0" w:space="0" w:color="auto"/>
        <w:left w:val="none" w:sz="0" w:space="0" w:color="auto"/>
        <w:bottom w:val="none" w:sz="0" w:space="0" w:color="auto"/>
        <w:right w:val="none" w:sz="0" w:space="0" w:color="auto"/>
      </w:divBdr>
    </w:div>
    <w:div w:id="1697076920">
      <w:bodyDiv w:val="1"/>
      <w:marLeft w:val="0"/>
      <w:marRight w:val="0"/>
      <w:marTop w:val="0"/>
      <w:marBottom w:val="0"/>
      <w:divBdr>
        <w:top w:val="none" w:sz="0" w:space="0" w:color="auto"/>
        <w:left w:val="none" w:sz="0" w:space="0" w:color="auto"/>
        <w:bottom w:val="none" w:sz="0" w:space="0" w:color="auto"/>
        <w:right w:val="none" w:sz="0" w:space="0" w:color="auto"/>
      </w:divBdr>
    </w:div>
    <w:div w:id="1728146267">
      <w:bodyDiv w:val="1"/>
      <w:marLeft w:val="0"/>
      <w:marRight w:val="0"/>
      <w:marTop w:val="0"/>
      <w:marBottom w:val="0"/>
      <w:divBdr>
        <w:top w:val="none" w:sz="0" w:space="0" w:color="auto"/>
        <w:left w:val="none" w:sz="0" w:space="0" w:color="auto"/>
        <w:bottom w:val="none" w:sz="0" w:space="0" w:color="auto"/>
        <w:right w:val="none" w:sz="0" w:space="0" w:color="auto"/>
      </w:divBdr>
    </w:div>
    <w:div w:id="1768962755">
      <w:bodyDiv w:val="1"/>
      <w:marLeft w:val="0"/>
      <w:marRight w:val="0"/>
      <w:marTop w:val="0"/>
      <w:marBottom w:val="0"/>
      <w:divBdr>
        <w:top w:val="none" w:sz="0" w:space="0" w:color="auto"/>
        <w:left w:val="none" w:sz="0" w:space="0" w:color="auto"/>
        <w:bottom w:val="none" w:sz="0" w:space="0" w:color="auto"/>
        <w:right w:val="none" w:sz="0" w:space="0" w:color="auto"/>
      </w:divBdr>
      <w:divsChild>
        <w:div w:id="1951549742">
          <w:marLeft w:val="274"/>
          <w:marRight w:val="0"/>
          <w:marTop w:val="106"/>
          <w:marBottom w:val="0"/>
          <w:divBdr>
            <w:top w:val="none" w:sz="0" w:space="0" w:color="auto"/>
            <w:left w:val="none" w:sz="0" w:space="0" w:color="auto"/>
            <w:bottom w:val="none" w:sz="0" w:space="0" w:color="auto"/>
            <w:right w:val="none" w:sz="0" w:space="0" w:color="auto"/>
          </w:divBdr>
        </w:div>
        <w:div w:id="1302228586">
          <w:marLeft w:val="274"/>
          <w:marRight w:val="0"/>
          <w:marTop w:val="106"/>
          <w:marBottom w:val="0"/>
          <w:divBdr>
            <w:top w:val="none" w:sz="0" w:space="0" w:color="auto"/>
            <w:left w:val="none" w:sz="0" w:space="0" w:color="auto"/>
            <w:bottom w:val="none" w:sz="0" w:space="0" w:color="auto"/>
            <w:right w:val="none" w:sz="0" w:space="0" w:color="auto"/>
          </w:divBdr>
        </w:div>
        <w:div w:id="1055813601">
          <w:marLeft w:val="792"/>
          <w:marRight w:val="0"/>
          <w:marTop w:val="106"/>
          <w:marBottom w:val="0"/>
          <w:divBdr>
            <w:top w:val="none" w:sz="0" w:space="0" w:color="auto"/>
            <w:left w:val="none" w:sz="0" w:space="0" w:color="auto"/>
            <w:bottom w:val="none" w:sz="0" w:space="0" w:color="auto"/>
            <w:right w:val="none" w:sz="0" w:space="0" w:color="auto"/>
          </w:divBdr>
        </w:div>
        <w:div w:id="1649624922">
          <w:marLeft w:val="792"/>
          <w:marRight w:val="0"/>
          <w:marTop w:val="106"/>
          <w:marBottom w:val="0"/>
          <w:divBdr>
            <w:top w:val="none" w:sz="0" w:space="0" w:color="auto"/>
            <w:left w:val="none" w:sz="0" w:space="0" w:color="auto"/>
            <w:bottom w:val="none" w:sz="0" w:space="0" w:color="auto"/>
            <w:right w:val="none" w:sz="0" w:space="0" w:color="auto"/>
          </w:divBdr>
        </w:div>
        <w:div w:id="1493250897">
          <w:marLeft w:val="792"/>
          <w:marRight w:val="0"/>
          <w:marTop w:val="106"/>
          <w:marBottom w:val="0"/>
          <w:divBdr>
            <w:top w:val="none" w:sz="0" w:space="0" w:color="auto"/>
            <w:left w:val="none" w:sz="0" w:space="0" w:color="auto"/>
            <w:bottom w:val="none" w:sz="0" w:space="0" w:color="auto"/>
            <w:right w:val="none" w:sz="0" w:space="0" w:color="auto"/>
          </w:divBdr>
        </w:div>
        <w:div w:id="560484723">
          <w:marLeft w:val="1181"/>
          <w:marRight w:val="0"/>
          <w:marTop w:val="106"/>
          <w:marBottom w:val="0"/>
          <w:divBdr>
            <w:top w:val="none" w:sz="0" w:space="0" w:color="auto"/>
            <w:left w:val="none" w:sz="0" w:space="0" w:color="auto"/>
            <w:bottom w:val="none" w:sz="0" w:space="0" w:color="auto"/>
            <w:right w:val="none" w:sz="0" w:space="0" w:color="auto"/>
          </w:divBdr>
        </w:div>
        <w:div w:id="1153789642">
          <w:marLeft w:val="1181"/>
          <w:marRight w:val="0"/>
          <w:marTop w:val="106"/>
          <w:marBottom w:val="0"/>
          <w:divBdr>
            <w:top w:val="none" w:sz="0" w:space="0" w:color="auto"/>
            <w:left w:val="none" w:sz="0" w:space="0" w:color="auto"/>
            <w:bottom w:val="none" w:sz="0" w:space="0" w:color="auto"/>
            <w:right w:val="none" w:sz="0" w:space="0" w:color="auto"/>
          </w:divBdr>
        </w:div>
        <w:div w:id="2102021890">
          <w:marLeft w:val="792"/>
          <w:marRight w:val="0"/>
          <w:marTop w:val="106"/>
          <w:marBottom w:val="0"/>
          <w:divBdr>
            <w:top w:val="none" w:sz="0" w:space="0" w:color="auto"/>
            <w:left w:val="none" w:sz="0" w:space="0" w:color="auto"/>
            <w:bottom w:val="none" w:sz="0" w:space="0" w:color="auto"/>
            <w:right w:val="none" w:sz="0" w:space="0" w:color="auto"/>
          </w:divBdr>
        </w:div>
        <w:div w:id="417794062">
          <w:marLeft w:val="1181"/>
          <w:marRight w:val="0"/>
          <w:marTop w:val="106"/>
          <w:marBottom w:val="0"/>
          <w:divBdr>
            <w:top w:val="none" w:sz="0" w:space="0" w:color="auto"/>
            <w:left w:val="none" w:sz="0" w:space="0" w:color="auto"/>
            <w:bottom w:val="none" w:sz="0" w:space="0" w:color="auto"/>
            <w:right w:val="none" w:sz="0" w:space="0" w:color="auto"/>
          </w:divBdr>
        </w:div>
        <w:div w:id="460878954">
          <w:marLeft w:val="1181"/>
          <w:marRight w:val="0"/>
          <w:marTop w:val="106"/>
          <w:marBottom w:val="0"/>
          <w:divBdr>
            <w:top w:val="none" w:sz="0" w:space="0" w:color="auto"/>
            <w:left w:val="none" w:sz="0" w:space="0" w:color="auto"/>
            <w:bottom w:val="none" w:sz="0" w:space="0" w:color="auto"/>
            <w:right w:val="none" w:sz="0" w:space="0" w:color="auto"/>
          </w:divBdr>
        </w:div>
        <w:div w:id="1697924522">
          <w:marLeft w:val="1181"/>
          <w:marRight w:val="0"/>
          <w:marTop w:val="106"/>
          <w:marBottom w:val="0"/>
          <w:divBdr>
            <w:top w:val="none" w:sz="0" w:space="0" w:color="auto"/>
            <w:left w:val="none" w:sz="0" w:space="0" w:color="auto"/>
            <w:bottom w:val="none" w:sz="0" w:space="0" w:color="auto"/>
            <w:right w:val="none" w:sz="0" w:space="0" w:color="auto"/>
          </w:divBdr>
        </w:div>
        <w:div w:id="919559027">
          <w:marLeft w:val="1181"/>
          <w:marRight w:val="0"/>
          <w:marTop w:val="106"/>
          <w:marBottom w:val="0"/>
          <w:divBdr>
            <w:top w:val="none" w:sz="0" w:space="0" w:color="auto"/>
            <w:left w:val="none" w:sz="0" w:space="0" w:color="auto"/>
            <w:bottom w:val="none" w:sz="0" w:space="0" w:color="auto"/>
            <w:right w:val="none" w:sz="0" w:space="0" w:color="auto"/>
          </w:divBdr>
        </w:div>
        <w:div w:id="1624144804">
          <w:marLeft w:val="1181"/>
          <w:marRight w:val="0"/>
          <w:marTop w:val="106"/>
          <w:marBottom w:val="0"/>
          <w:divBdr>
            <w:top w:val="none" w:sz="0" w:space="0" w:color="auto"/>
            <w:left w:val="none" w:sz="0" w:space="0" w:color="auto"/>
            <w:bottom w:val="none" w:sz="0" w:space="0" w:color="auto"/>
            <w:right w:val="none" w:sz="0" w:space="0" w:color="auto"/>
          </w:divBdr>
        </w:div>
        <w:div w:id="1747917254">
          <w:marLeft w:val="792"/>
          <w:marRight w:val="0"/>
          <w:marTop w:val="106"/>
          <w:marBottom w:val="0"/>
          <w:divBdr>
            <w:top w:val="none" w:sz="0" w:space="0" w:color="auto"/>
            <w:left w:val="none" w:sz="0" w:space="0" w:color="auto"/>
            <w:bottom w:val="none" w:sz="0" w:space="0" w:color="auto"/>
            <w:right w:val="none" w:sz="0" w:space="0" w:color="auto"/>
          </w:divBdr>
        </w:div>
        <w:div w:id="274675618">
          <w:marLeft w:val="274"/>
          <w:marRight w:val="0"/>
          <w:marTop w:val="106"/>
          <w:marBottom w:val="0"/>
          <w:divBdr>
            <w:top w:val="none" w:sz="0" w:space="0" w:color="auto"/>
            <w:left w:val="none" w:sz="0" w:space="0" w:color="auto"/>
            <w:bottom w:val="none" w:sz="0" w:space="0" w:color="auto"/>
            <w:right w:val="none" w:sz="0" w:space="0" w:color="auto"/>
          </w:divBdr>
        </w:div>
      </w:divsChild>
    </w:div>
    <w:div w:id="1849711850">
      <w:bodyDiv w:val="1"/>
      <w:marLeft w:val="0"/>
      <w:marRight w:val="0"/>
      <w:marTop w:val="0"/>
      <w:marBottom w:val="0"/>
      <w:divBdr>
        <w:top w:val="none" w:sz="0" w:space="0" w:color="auto"/>
        <w:left w:val="none" w:sz="0" w:space="0" w:color="auto"/>
        <w:bottom w:val="none" w:sz="0" w:space="0" w:color="auto"/>
        <w:right w:val="none" w:sz="0" w:space="0" w:color="auto"/>
      </w:divBdr>
    </w:div>
    <w:div w:id="1863201437">
      <w:bodyDiv w:val="1"/>
      <w:marLeft w:val="0"/>
      <w:marRight w:val="0"/>
      <w:marTop w:val="0"/>
      <w:marBottom w:val="0"/>
      <w:divBdr>
        <w:top w:val="none" w:sz="0" w:space="0" w:color="auto"/>
        <w:left w:val="none" w:sz="0" w:space="0" w:color="auto"/>
        <w:bottom w:val="none" w:sz="0" w:space="0" w:color="auto"/>
        <w:right w:val="none" w:sz="0" w:space="0" w:color="auto"/>
      </w:divBdr>
    </w:div>
    <w:div w:id="1874344201">
      <w:bodyDiv w:val="1"/>
      <w:marLeft w:val="0"/>
      <w:marRight w:val="0"/>
      <w:marTop w:val="0"/>
      <w:marBottom w:val="0"/>
      <w:divBdr>
        <w:top w:val="none" w:sz="0" w:space="0" w:color="auto"/>
        <w:left w:val="none" w:sz="0" w:space="0" w:color="auto"/>
        <w:bottom w:val="none" w:sz="0" w:space="0" w:color="auto"/>
        <w:right w:val="none" w:sz="0" w:space="0" w:color="auto"/>
      </w:divBdr>
    </w:div>
    <w:div w:id="1930238631">
      <w:bodyDiv w:val="1"/>
      <w:marLeft w:val="0"/>
      <w:marRight w:val="0"/>
      <w:marTop w:val="0"/>
      <w:marBottom w:val="0"/>
      <w:divBdr>
        <w:top w:val="none" w:sz="0" w:space="0" w:color="auto"/>
        <w:left w:val="none" w:sz="0" w:space="0" w:color="auto"/>
        <w:bottom w:val="none" w:sz="0" w:space="0" w:color="auto"/>
        <w:right w:val="none" w:sz="0" w:space="0" w:color="auto"/>
      </w:divBdr>
    </w:div>
    <w:div w:id="1973904816">
      <w:bodyDiv w:val="1"/>
      <w:marLeft w:val="0"/>
      <w:marRight w:val="0"/>
      <w:marTop w:val="0"/>
      <w:marBottom w:val="0"/>
      <w:divBdr>
        <w:top w:val="none" w:sz="0" w:space="0" w:color="auto"/>
        <w:left w:val="none" w:sz="0" w:space="0" w:color="auto"/>
        <w:bottom w:val="none" w:sz="0" w:space="0" w:color="auto"/>
        <w:right w:val="none" w:sz="0" w:space="0" w:color="auto"/>
      </w:divBdr>
      <w:divsChild>
        <w:div w:id="845362676">
          <w:marLeft w:val="0"/>
          <w:marRight w:val="0"/>
          <w:marTop w:val="0"/>
          <w:marBottom w:val="0"/>
          <w:divBdr>
            <w:top w:val="none" w:sz="0" w:space="0" w:color="auto"/>
            <w:left w:val="none" w:sz="0" w:space="0" w:color="auto"/>
            <w:bottom w:val="none" w:sz="0" w:space="0" w:color="auto"/>
            <w:right w:val="none" w:sz="0" w:space="0" w:color="auto"/>
          </w:divBdr>
          <w:divsChild>
            <w:div w:id="1428846652">
              <w:marLeft w:val="0"/>
              <w:marRight w:val="0"/>
              <w:marTop w:val="0"/>
              <w:marBottom w:val="0"/>
              <w:divBdr>
                <w:top w:val="none" w:sz="0" w:space="0" w:color="auto"/>
                <w:left w:val="none" w:sz="0" w:space="0" w:color="auto"/>
                <w:bottom w:val="none" w:sz="0" w:space="0" w:color="auto"/>
                <w:right w:val="none" w:sz="0" w:space="0" w:color="auto"/>
              </w:divBdr>
              <w:divsChild>
                <w:div w:id="679309799">
                  <w:marLeft w:val="167"/>
                  <w:marRight w:val="167"/>
                  <w:marTop w:val="0"/>
                  <w:marBottom w:val="0"/>
                  <w:divBdr>
                    <w:top w:val="none" w:sz="0" w:space="0" w:color="auto"/>
                    <w:left w:val="none" w:sz="0" w:space="0" w:color="auto"/>
                    <w:bottom w:val="none" w:sz="0" w:space="0" w:color="auto"/>
                    <w:right w:val="none" w:sz="0" w:space="0" w:color="auto"/>
                  </w:divBdr>
                  <w:divsChild>
                    <w:div w:id="645284810">
                      <w:marLeft w:val="167"/>
                      <w:marRight w:val="167"/>
                      <w:marTop w:val="0"/>
                      <w:marBottom w:val="0"/>
                      <w:divBdr>
                        <w:top w:val="none" w:sz="0" w:space="0" w:color="auto"/>
                        <w:left w:val="none" w:sz="0" w:space="0" w:color="auto"/>
                        <w:bottom w:val="none" w:sz="0" w:space="0" w:color="auto"/>
                        <w:right w:val="none" w:sz="0" w:space="0" w:color="auto"/>
                      </w:divBdr>
                      <w:divsChild>
                        <w:div w:id="821121558">
                          <w:marLeft w:val="0"/>
                          <w:marRight w:val="0"/>
                          <w:marTop w:val="0"/>
                          <w:marBottom w:val="0"/>
                          <w:divBdr>
                            <w:top w:val="none" w:sz="0" w:space="0" w:color="auto"/>
                            <w:left w:val="none" w:sz="0" w:space="0" w:color="auto"/>
                            <w:bottom w:val="none" w:sz="0" w:space="0" w:color="auto"/>
                            <w:right w:val="none" w:sz="0" w:space="0" w:color="auto"/>
                          </w:divBdr>
                          <w:divsChild>
                            <w:div w:id="1514879725">
                              <w:marLeft w:val="0"/>
                              <w:marRight w:val="0"/>
                              <w:marTop w:val="0"/>
                              <w:marBottom w:val="0"/>
                              <w:divBdr>
                                <w:top w:val="none" w:sz="0" w:space="0" w:color="auto"/>
                                <w:left w:val="none" w:sz="0" w:space="0" w:color="auto"/>
                                <w:bottom w:val="none" w:sz="0" w:space="0" w:color="auto"/>
                                <w:right w:val="none" w:sz="0" w:space="0" w:color="auto"/>
                              </w:divBdr>
                              <w:divsChild>
                                <w:div w:id="344676647">
                                  <w:marLeft w:val="0"/>
                                  <w:marRight w:val="0"/>
                                  <w:marTop w:val="0"/>
                                  <w:marBottom w:val="0"/>
                                  <w:divBdr>
                                    <w:top w:val="none" w:sz="0" w:space="0" w:color="auto"/>
                                    <w:left w:val="none" w:sz="0" w:space="0" w:color="auto"/>
                                    <w:bottom w:val="none" w:sz="0" w:space="0" w:color="auto"/>
                                    <w:right w:val="none" w:sz="0" w:space="0" w:color="auto"/>
                                  </w:divBdr>
                                  <w:divsChild>
                                    <w:div w:id="1019235624">
                                      <w:marLeft w:val="0"/>
                                      <w:marRight w:val="0"/>
                                      <w:marTop w:val="0"/>
                                      <w:marBottom w:val="0"/>
                                      <w:divBdr>
                                        <w:top w:val="none" w:sz="0" w:space="0" w:color="auto"/>
                                        <w:left w:val="none" w:sz="0" w:space="0" w:color="auto"/>
                                        <w:bottom w:val="none" w:sz="0" w:space="0" w:color="auto"/>
                                        <w:right w:val="none" w:sz="0" w:space="0" w:color="auto"/>
                                      </w:divBdr>
                                      <w:divsChild>
                                        <w:div w:id="1642030859">
                                          <w:marLeft w:val="0"/>
                                          <w:marRight w:val="0"/>
                                          <w:marTop w:val="0"/>
                                          <w:marBottom w:val="0"/>
                                          <w:divBdr>
                                            <w:top w:val="none" w:sz="0" w:space="0" w:color="auto"/>
                                            <w:left w:val="none" w:sz="0" w:space="0" w:color="auto"/>
                                            <w:bottom w:val="none" w:sz="0" w:space="0" w:color="auto"/>
                                            <w:right w:val="none" w:sz="0" w:space="0" w:color="auto"/>
                                          </w:divBdr>
                                          <w:divsChild>
                                            <w:div w:id="543443532">
                                              <w:marLeft w:val="0"/>
                                              <w:marRight w:val="0"/>
                                              <w:marTop w:val="0"/>
                                              <w:marBottom w:val="0"/>
                                              <w:divBdr>
                                                <w:top w:val="none" w:sz="0" w:space="0" w:color="auto"/>
                                                <w:left w:val="none" w:sz="0" w:space="0" w:color="auto"/>
                                                <w:bottom w:val="none" w:sz="0" w:space="0" w:color="auto"/>
                                                <w:right w:val="none" w:sz="0" w:space="0" w:color="auto"/>
                                              </w:divBdr>
                                              <w:divsChild>
                                                <w:div w:id="2039818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19842822">
      <w:bodyDiv w:val="1"/>
      <w:marLeft w:val="0"/>
      <w:marRight w:val="0"/>
      <w:marTop w:val="0"/>
      <w:marBottom w:val="0"/>
      <w:divBdr>
        <w:top w:val="none" w:sz="0" w:space="0" w:color="auto"/>
        <w:left w:val="none" w:sz="0" w:space="0" w:color="auto"/>
        <w:bottom w:val="none" w:sz="0" w:space="0" w:color="auto"/>
        <w:right w:val="none" w:sz="0" w:space="0" w:color="auto"/>
      </w:divBdr>
    </w:div>
    <w:div w:id="2025210525">
      <w:bodyDiv w:val="1"/>
      <w:marLeft w:val="0"/>
      <w:marRight w:val="0"/>
      <w:marTop w:val="0"/>
      <w:marBottom w:val="0"/>
      <w:divBdr>
        <w:top w:val="none" w:sz="0" w:space="0" w:color="auto"/>
        <w:left w:val="none" w:sz="0" w:space="0" w:color="auto"/>
        <w:bottom w:val="none" w:sz="0" w:space="0" w:color="auto"/>
        <w:right w:val="none" w:sz="0" w:space="0" w:color="auto"/>
      </w:divBdr>
    </w:div>
    <w:div w:id="2031375229">
      <w:bodyDiv w:val="1"/>
      <w:marLeft w:val="0"/>
      <w:marRight w:val="0"/>
      <w:marTop w:val="0"/>
      <w:marBottom w:val="0"/>
      <w:divBdr>
        <w:top w:val="none" w:sz="0" w:space="0" w:color="auto"/>
        <w:left w:val="none" w:sz="0" w:space="0" w:color="auto"/>
        <w:bottom w:val="none" w:sz="0" w:space="0" w:color="auto"/>
        <w:right w:val="none" w:sz="0" w:space="0" w:color="auto"/>
      </w:divBdr>
    </w:div>
    <w:div w:id="2042628525">
      <w:bodyDiv w:val="1"/>
      <w:marLeft w:val="0"/>
      <w:marRight w:val="0"/>
      <w:marTop w:val="0"/>
      <w:marBottom w:val="0"/>
      <w:divBdr>
        <w:top w:val="none" w:sz="0" w:space="0" w:color="auto"/>
        <w:left w:val="none" w:sz="0" w:space="0" w:color="auto"/>
        <w:bottom w:val="none" w:sz="0" w:space="0" w:color="auto"/>
        <w:right w:val="none" w:sz="0" w:space="0" w:color="auto"/>
      </w:divBdr>
    </w:div>
    <w:div w:id="2111582352">
      <w:bodyDiv w:val="1"/>
      <w:marLeft w:val="0"/>
      <w:marRight w:val="0"/>
      <w:marTop w:val="0"/>
      <w:marBottom w:val="0"/>
      <w:divBdr>
        <w:top w:val="none" w:sz="0" w:space="0" w:color="auto"/>
        <w:left w:val="none" w:sz="0" w:space="0" w:color="auto"/>
        <w:bottom w:val="none" w:sz="0" w:space="0" w:color="auto"/>
        <w:right w:val="none" w:sz="0" w:space="0" w:color="auto"/>
      </w:divBdr>
      <w:divsChild>
        <w:div w:id="1578595606">
          <w:marLeft w:val="3000"/>
          <w:marRight w:val="0"/>
          <w:marTop w:val="0"/>
          <w:marBottom w:val="0"/>
          <w:divBdr>
            <w:top w:val="none" w:sz="0" w:space="0" w:color="auto"/>
            <w:left w:val="none" w:sz="0" w:space="0" w:color="auto"/>
            <w:bottom w:val="none" w:sz="0" w:space="0" w:color="auto"/>
            <w:right w:val="single" w:sz="6" w:space="0" w:color="CCCCCC"/>
          </w:divBdr>
          <w:divsChild>
            <w:div w:id="214852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8716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footer" Target="footer4.xml"/><Relationship Id="rId26" Type="http://schemas.openxmlformats.org/officeDocument/2006/relationships/image" Target="media/image9.emf"/><Relationship Id="rId3" Type="http://schemas.microsoft.com/office/2007/relationships/stylesWithEffects" Target="stylesWithEffects.xml"/><Relationship Id="rId21" Type="http://schemas.openxmlformats.org/officeDocument/2006/relationships/image" Target="media/image5.emf"/><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5" Type="http://schemas.openxmlformats.org/officeDocument/2006/relationships/image" Target="media/image8.emf"/><Relationship Id="rId33" Type="http://schemas.openxmlformats.org/officeDocument/2006/relationships/image" Target="media/image16.emf"/><Relationship Id="rId2" Type="http://schemas.openxmlformats.org/officeDocument/2006/relationships/styles" Target="styles.xml"/><Relationship Id="rId16" Type="http://schemas.openxmlformats.org/officeDocument/2006/relationships/chart" Target="charts/chart1.xml"/><Relationship Id="rId20" Type="http://schemas.openxmlformats.org/officeDocument/2006/relationships/image" Target="media/image4.emf"/><Relationship Id="rId29" Type="http://schemas.openxmlformats.org/officeDocument/2006/relationships/image" Target="media/image12.e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7.emf"/><Relationship Id="rId32" Type="http://schemas.openxmlformats.org/officeDocument/2006/relationships/image" Target="media/image15.emf"/><Relationship Id="rId5" Type="http://schemas.openxmlformats.org/officeDocument/2006/relationships/webSettings" Target="webSettings.xml"/><Relationship Id="rId15" Type="http://schemas.openxmlformats.org/officeDocument/2006/relationships/hyperlink" Target="mailto:PPM@" TargetMode="External"/><Relationship Id="rId23" Type="http://schemas.openxmlformats.org/officeDocument/2006/relationships/image" Target="media/image6.emf"/><Relationship Id="rId28" Type="http://schemas.openxmlformats.org/officeDocument/2006/relationships/image" Target="media/image11.emf"/><Relationship Id="rId10" Type="http://schemas.openxmlformats.org/officeDocument/2006/relationships/footer" Target="footer1.xml"/><Relationship Id="rId19" Type="http://schemas.openxmlformats.org/officeDocument/2006/relationships/image" Target="media/image3.emf"/><Relationship Id="rId31" Type="http://schemas.openxmlformats.org/officeDocument/2006/relationships/image" Target="media/image14.emf"/><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5.xml"/><Relationship Id="rId27" Type="http://schemas.openxmlformats.org/officeDocument/2006/relationships/image" Target="media/image10.emf"/><Relationship Id="rId30" Type="http://schemas.openxmlformats.org/officeDocument/2006/relationships/image" Target="media/image13.emf"/><Relationship Id="rId35"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emf"/></Relationships>
</file>

<file path=word/_rels/footnotes.xml.rels><?xml version="1.0" encoding="UTF-8" standalone="yes"?>
<Relationships xmlns="http://schemas.openxmlformats.org/package/2006/relationships"><Relationship Id="rId8" Type="http://schemas.openxmlformats.org/officeDocument/2006/relationships/hyperlink" Target="http://www.sahealth.sa.gov.au/wps/wcm/connect/422b6f0042b6ee039e06be30a4818ec3/lmh_fast_facts_july_2015.pdf?MOD=AJPERES&amp;CACHEID=422b6f0042b6ee039e06be30a4818ec3" TargetMode="External"/><Relationship Id="rId13" Type="http://schemas.openxmlformats.org/officeDocument/2006/relationships/hyperlink" Target="http://www.eyeandear.org.au/icms_docs/221654_Annual_Review_2014-15.pdf" TargetMode="External"/><Relationship Id="rId3" Type="http://schemas.openxmlformats.org/officeDocument/2006/relationships/hyperlink" Target="http://www.health.nsw.gov.au/lhd/Pages/nnswlhd.aspx" TargetMode="External"/><Relationship Id="rId7" Type="http://schemas.openxmlformats.org/officeDocument/2006/relationships/hyperlink" Target="https://www.health.qld.gov.au/tpch/" TargetMode="External"/><Relationship Id="rId12" Type="http://schemas.openxmlformats.org/officeDocument/2006/relationships/hyperlink" Target="http://www.eyeandear.org.au/page/About_Us/" TargetMode="External"/><Relationship Id="rId2" Type="http://schemas.openxmlformats.org/officeDocument/2006/relationships/hyperlink" Target="https://www.islhd.health.nsw.gov.au/Hospitals.asp" TargetMode="External"/><Relationship Id="rId1" Type="http://schemas.openxmlformats.org/officeDocument/2006/relationships/hyperlink" Target="http://www.wslhd.health.nsw.gov.au/" TargetMode="External"/><Relationship Id="rId6" Type="http://schemas.openxmlformats.org/officeDocument/2006/relationships/hyperlink" Target="https://www.health.qld.gov.au/mackay/docs/annual-report/mhhs-annual-report-14-15.pdf" TargetMode="External"/><Relationship Id="rId11" Type="http://schemas.openxmlformats.org/officeDocument/2006/relationships/hyperlink" Target="http://www.svhm.org.au/aboutus/Pages/aboutus.aspx" TargetMode="External"/><Relationship Id="rId5" Type="http://schemas.openxmlformats.org/officeDocument/2006/relationships/hyperlink" Target="https://www.health.qld.gov.au/services/westmoreton/ipswich-hosp.asp" TargetMode="External"/><Relationship Id="rId15" Type="http://schemas.openxmlformats.org/officeDocument/2006/relationships/hyperlink" Target="http://www.pmh.health.wa.gov.au/general/about_us/" TargetMode="External"/><Relationship Id="rId10" Type="http://schemas.openxmlformats.org/officeDocument/2006/relationships/hyperlink" Target="http://www.dhhs.tas.gov.au/hospital/royal-hobart-hospital" TargetMode="External"/><Relationship Id="rId4" Type="http://schemas.openxmlformats.org/officeDocument/2006/relationships/hyperlink" Target="http://www.health.nt.gov.au/Hospitals/Royal_Darwin_Hospital/index.aspx" TargetMode="External"/><Relationship Id="rId9" Type="http://schemas.openxmlformats.org/officeDocument/2006/relationships/hyperlink" Target="http://www.sahealth.sa.gov.au/wps/wcm/connect/61e0aa8042b0b01bbb8fbb30a4818ec3/mod_fast_facts_july_2015_.pdf?MOD=AJPERES&amp;CACHEID=61e0aa8042b0b01bbb8fbb30a4818ec3" TargetMode="External"/><Relationship Id="rId14" Type="http://schemas.openxmlformats.org/officeDocument/2006/relationships/hyperlink" Target="http://www.rkpg.health.wa.gov.au/About-us"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Uds\8\lstrickland\Documents\Client\IPHA%20Round%2018\Report\Feeder%20diagram%20FINAL%20-%20Updated%20for%20new%20NT%20ratio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4990561547849607"/>
          <c:y val="8.9815183607885596E-2"/>
          <c:w val="0.78356113222055224"/>
          <c:h val="0.7301469087197433"/>
        </c:manualLayout>
      </c:layout>
      <c:bubbleChart>
        <c:varyColors val="1"/>
        <c:ser>
          <c:idx val="0"/>
          <c:order val="0"/>
          <c:invertIfNegative val="0"/>
          <c:dPt>
            <c:idx val="0"/>
            <c:invertIfNegative val="0"/>
            <c:bubble3D val="1"/>
            <c:spPr>
              <a:solidFill>
                <a:schemeClr val="accent1">
                  <a:alpha val="75000"/>
                </a:schemeClr>
              </a:solidFill>
              <a:ln>
                <a:noFill/>
              </a:ln>
              <a:effectLst/>
            </c:spPr>
          </c:dPt>
          <c:dPt>
            <c:idx val="1"/>
            <c:invertIfNegative val="0"/>
            <c:bubble3D val="1"/>
            <c:spPr>
              <a:solidFill>
                <a:schemeClr val="accent2">
                  <a:alpha val="75000"/>
                </a:schemeClr>
              </a:solidFill>
              <a:ln>
                <a:noFill/>
              </a:ln>
              <a:effectLst/>
            </c:spPr>
          </c:dPt>
          <c:dPt>
            <c:idx val="2"/>
            <c:invertIfNegative val="0"/>
            <c:bubble3D val="1"/>
            <c:spPr>
              <a:solidFill>
                <a:schemeClr val="accent3">
                  <a:alpha val="75000"/>
                </a:schemeClr>
              </a:solidFill>
              <a:ln>
                <a:noFill/>
              </a:ln>
              <a:effectLst/>
            </c:spPr>
          </c:dPt>
          <c:dPt>
            <c:idx val="3"/>
            <c:invertIfNegative val="0"/>
            <c:bubble3D val="1"/>
            <c:spPr>
              <a:solidFill>
                <a:schemeClr val="accent4">
                  <a:alpha val="75000"/>
                </a:schemeClr>
              </a:solidFill>
              <a:ln>
                <a:noFill/>
              </a:ln>
              <a:effectLst/>
            </c:spPr>
          </c:dPt>
          <c:dPt>
            <c:idx val="4"/>
            <c:invertIfNegative val="0"/>
            <c:bubble3D val="1"/>
            <c:spPr>
              <a:solidFill>
                <a:schemeClr val="accent5">
                  <a:alpha val="75000"/>
                </a:schemeClr>
              </a:solidFill>
              <a:ln>
                <a:noFill/>
              </a:ln>
              <a:effectLst/>
            </c:spPr>
          </c:dPt>
          <c:dPt>
            <c:idx val="5"/>
            <c:invertIfNegative val="0"/>
            <c:bubble3D val="1"/>
            <c:spPr>
              <a:solidFill>
                <a:schemeClr val="accent6">
                  <a:alpha val="75000"/>
                </a:schemeClr>
              </a:solidFill>
              <a:ln>
                <a:noFill/>
              </a:ln>
              <a:effectLst/>
            </c:spPr>
          </c:dPt>
          <c:dPt>
            <c:idx val="6"/>
            <c:invertIfNegative val="0"/>
            <c:bubble3D val="1"/>
            <c:spPr>
              <a:solidFill>
                <a:schemeClr val="accent1">
                  <a:lumMod val="60000"/>
                  <a:alpha val="75000"/>
                </a:schemeClr>
              </a:solidFill>
              <a:ln>
                <a:noFill/>
              </a:ln>
              <a:effectLst/>
            </c:spPr>
          </c:dPt>
          <c:dPt>
            <c:idx val="7"/>
            <c:invertIfNegative val="0"/>
            <c:bubble3D val="1"/>
            <c:spPr>
              <a:solidFill>
                <a:schemeClr val="accent2">
                  <a:lumMod val="60000"/>
                  <a:alpha val="75000"/>
                </a:schemeClr>
              </a:solidFill>
              <a:ln>
                <a:noFill/>
              </a:ln>
              <a:effectLst/>
            </c:spPr>
          </c:dPt>
          <c:dPt>
            <c:idx val="8"/>
            <c:invertIfNegative val="0"/>
            <c:bubble3D val="1"/>
            <c:spPr>
              <a:solidFill>
                <a:schemeClr val="accent3">
                  <a:lumMod val="60000"/>
                  <a:alpha val="75000"/>
                </a:schemeClr>
              </a:solidFill>
              <a:ln>
                <a:noFill/>
              </a:ln>
              <a:effectLst/>
            </c:spPr>
          </c:dPt>
          <c:dPt>
            <c:idx val="9"/>
            <c:invertIfNegative val="0"/>
            <c:bubble3D val="1"/>
            <c:spPr>
              <a:solidFill>
                <a:schemeClr val="accent4">
                  <a:lumMod val="60000"/>
                  <a:alpha val="75000"/>
                </a:schemeClr>
              </a:solidFill>
              <a:ln>
                <a:noFill/>
              </a:ln>
              <a:effectLst/>
            </c:spPr>
          </c:dPt>
          <c:dPt>
            <c:idx val="10"/>
            <c:invertIfNegative val="0"/>
            <c:bubble3D val="1"/>
            <c:spPr>
              <a:solidFill>
                <a:schemeClr val="accent5">
                  <a:lumMod val="60000"/>
                  <a:alpha val="75000"/>
                </a:schemeClr>
              </a:solidFill>
              <a:ln>
                <a:noFill/>
              </a:ln>
              <a:effectLst/>
            </c:spPr>
          </c:dPt>
          <c:dPt>
            <c:idx val="11"/>
            <c:invertIfNegative val="0"/>
            <c:bubble3D val="1"/>
            <c:spPr>
              <a:solidFill>
                <a:schemeClr val="accent6">
                  <a:lumMod val="60000"/>
                  <a:alpha val="75000"/>
                </a:schemeClr>
              </a:solidFill>
              <a:ln>
                <a:noFill/>
              </a:ln>
              <a:effectLst/>
            </c:spPr>
          </c:dPt>
          <c:dPt>
            <c:idx val="12"/>
            <c:invertIfNegative val="0"/>
            <c:bubble3D val="1"/>
            <c:spPr>
              <a:solidFill>
                <a:schemeClr val="accent1">
                  <a:lumMod val="80000"/>
                  <a:lumOff val="20000"/>
                  <a:alpha val="75000"/>
                </a:schemeClr>
              </a:solidFill>
              <a:ln>
                <a:noFill/>
              </a:ln>
              <a:effectLst/>
            </c:spPr>
          </c:dPt>
          <c:dPt>
            <c:idx val="13"/>
            <c:invertIfNegative val="0"/>
            <c:bubble3D val="1"/>
            <c:spPr>
              <a:solidFill>
                <a:schemeClr val="accent2">
                  <a:lumMod val="80000"/>
                  <a:lumOff val="20000"/>
                  <a:alpha val="75000"/>
                </a:schemeClr>
              </a:solidFill>
              <a:ln>
                <a:noFill/>
              </a:ln>
              <a:effectLst/>
            </c:spPr>
          </c:dPt>
          <c:xVal>
            <c:numRef>
              <c:f>Chart!$C$3:$C$16</c:f>
              <c:numCache>
                <c:formatCode>General</c:formatCode>
                <c:ptCount val="14"/>
                <c:pt idx="0">
                  <c:v>14</c:v>
                </c:pt>
                <c:pt idx="1">
                  <c:v>14</c:v>
                </c:pt>
                <c:pt idx="2">
                  <c:v>13</c:v>
                </c:pt>
                <c:pt idx="3">
                  <c:v>7</c:v>
                </c:pt>
                <c:pt idx="4">
                  <c:v>11</c:v>
                </c:pt>
                <c:pt idx="5">
                  <c:v>6</c:v>
                </c:pt>
                <c:pt idx="6">
                  <c:v>17</c:v>
                </c:pt>
                <c:pt idx="7">
                  <c:v>13</c:v>
                </c:pt>
                <c:pt idx="8">
                  <c:v>22</c:v>
                </c:pt>
                <c:pt idx="9">
                  <c:v>14</c:v>
                </c:pt>
                <c:pt idx="10">
                  <c:v>9</c:v>
                </c:pt>
                <c:pt idx="11">
                  <c:v>10</c:v>
                </c:pt>
                <c:pt idx="12">
                  <c:v>9</c:v>
                </c:pt>
                <c:pt idx="13">
                  <c:v>10</c:v>
                </c:pt>
              </c:numCache>
            </c:numRef>
          </c:xVal>
          <c:yVal>
            <c:numRef>
              <c:f>Chart!$D$3:$D$16</c:f>
              <c:numCache>
                <c:formatCode>0.00%</c:formatCode>
                <c:ptCount val="14"/>
                <c:pt idx="0">
                  <c:v>0.93466696520634929</c:v>
                </c:pt>
                <c:pt idx="1">
                  <c:v>0.90382139518341709</c:v>
                </c:pt>
                <c:pt idx="2">
                  <c:v>0.9806828911083566</c:v>
                </c:pt>
                <c:pt idx="3">
                  <c:v>0.97070557749054875</c:v>
                </c:pt>
                <c:pt idx="4">
                  <c:v>0.9491801009351456</c:v>
                </c:pt>
                <c:pt idx="5">
                  <c:v>0.97950267473846575</c:v>
                </c:pt>
                <c:pt idx="6">
                  <c:v>0.84068310615841668</c:v>
                </c:pt>
                <c:pt idx="7">
                  <c:v>0.91075357180681715</c:v>
                </c:pt>
                <c:pt idx="8">
                  <c:v>0.97089167951406108</c:v>
                </c:pt>
                <c:pt idx="9">
                  <c:v>0.96006029105133261</c:v>
                </c:pt>
                <c:pt idx="10">
                  <c:v>0.96136400684247958</c:v>
                </c:pt>
                <c:pt idx="11">
                  <c:v>1</c:v>
                </c:pt>
                <c:pt idx="12">
                  <c:v>0.97690988131244916</c:v>
                </c:pt>
                <c:pt idx="13">
                  <c:v>0.98427807197829598</c:v>
                </c:pt>
              </c:numCache>
            </c:numRef>
          </c:yVal>
          <c:bubbleSize>
            <c:numRef>
              <c:f>Chart!$B$3:$B$16</c:f>
              <c:numCache>
                <c:formatCode>General</c:formatCode>
                <c:ptCount val="14"/>
                <c:pt idx="0">
                  <c:v>1364570</c:v>
                </c:pt>
                <c:pt idx="1">
                  <c:v>947185</c:v>
                </c:pt>
                <c:pt idx="2">
                  <c:v>382128</c:v>
                </c:pt>
                <c:pt idx="3">
                  <c:v>812763</c:v>
                </c:pt>
                <c:pt idx="4">
                  <c:v>73465184</c:v>
                </c:pt>
                <c:pt idx="5">
                  <c:v>664245</c:v>
                </c:pt>
                <c:pt idx="6">
                  <c:v>853293</c:v>
                </c:pt>
                <c:pt idx="7">
                  <c:v>583830</c:v>
                </c:pt>
                <c:pt idx="8">
                  <c:v>2675907</c:v>
                </c:pt>
                <c:pt idx="9">
                  <c:v>4659178</c:v>
                </c:pt>
                <c:pt idx="10">
                  <c:v>1774141</c:v>
                </c:pt>
                <c:pt idx="11">
                  <c:v>14185124.189999999</c:v>
                </c:pt>
                <c:pt idx="12">
                  <c:v>29973566</c:v>
                </c:pt>
                <c:pt idx="13">
                  <c:v>34419952</c:v>
                </c:pt>
              </c:numCache>
            </c:numRef>
          </c:bubbleSize>
          <c:bubble3D val="1"/>
        </c:ser>
        <c:dLbls>
          <c:showLegendKey val="0"/>
          <c:showVal val="0"/>
          <c:showCatName val="0"/>
          <c:showSerName val="0"/>
          <c:showPercent val="0"/>
          <c:showBubbleSize val="0"/>
        </c:dLbls>
        <c:bubbleScale val="100"/>
        <c:showNegBubbles val="0"/>
        <c:axId val="84930944"/>
        <c:axId val="84932864"/>
      </c:bubbleChart>
      <c:valAx>
        <c:axId val="84930944"/>
        <c:scaling>
          <c:orientation val="minMax"/>
          <c:max val="25"/>
          <c:min val="5"/>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1" i="0" u="none" strike="noStrike" kern="1200" baseline="0">
                    <a:solidFill>
                      <a:schemeClr val="tx1">
                        <a:lumMod val="65000"/>
                        <a:lumOff val="35000"/>
                      </a:schemeClr>
                    </a:solidFill>
                    <a:latin typeface="+mn-lt"/>
                    <a:ea typeface="+mn-ea"/>
                    <a:cs typeface="+mn-cs"/>
                  </a:defRPr>
                </a:pPr>
                <a:r>
                  <a:rPr lang="en-AU" b="1">
                    <a:latin typeface="Univers 45 Light" pitchFamily="2" charset="0"/>
                  </a:rPr>
                  <a:t>Number of feeders</a:t>
                </a:r>
              </a:p>
            </c:rich>
          </c:tx>
          <c:layout>
            <c:manualLayout>
              <c:xMode val="edge"/>
              <c:yMode val="edge"/>
              <c:x val="0.43656898626416152"/>
              <c:y val="0.91203703703703709"/>
            </c:manualLayout>
          </c:layout>
          <c:overlay val="0"/>
          <c:spPr>
            <a:noFill/>
            <a:ln>
              <a:noFill/>
            </a:ln>
            <a:effectLst/>
          </c:sp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Univers 45 Light" pitchFamily="2" charset="0"/>
                <a:ea typeface="+mn-ea"/>
                <a:cs typeface="+mn-cs"/>
              </a:defRPr>
            </a:pPr>
            <a:endParaRPr lang="en-US"/>
          </a:p>
        </c:txPr>
        <c:crossAx val="84932864"/>
        <c:crosses val="autoZero"/>
        <c:crossBetween val="midCat"/>
      </c:valAx>
      <c:valAx>
        <c:axId val="84932864"/>
        <c:scaling>
          <c:orientation val="minMax"/>
          <c:max val="1.05"/>
          <c:min val="0.85000000000000009"/>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1" i="0" u="none" strike="noStrike" kern="1200" baseline="0">
                    <a:solidFill>
                      <a:schemeClr val="tx1">
                        <a:lumMod val="65000"/>
                        <a:lumOff val="35000"/>
                      </a:schemeClr>
                    </a:solidFill>
                    <a:latin typeface="Univers 45 Light" pitchFamily="2" charset="0"/>
                    <a:ea typeface="+mn-ea"/>
                    <a:cs typeface="+mn-cs"/>
                  </a:defRPr>
                </a:pPr>
                <a:r>
                  <a:rPr lang="en-AU" b="1">
                    <a:latin typeface="Univers 45 Light" pitchFamily="2" charset="0"/>
                  </a:rPr>
                  <a:t>Average Linking ratio</a:t>
                </a:r>
              </a:p>
            </c:rich>
          </c:tx>
          <c:layout>
            <c:manualLayout>
              <c:xMode val="edge"/>
              <c:yMode val="edge"/>
              <c:x val="4.8981670569555455E-3"/>
              <c:y val="0.2277584572761738"/>
            </c:manualLayout>
          </c:layout>
          <c:overlay val="0"/>
          <c:spPr>
            <a:noFill/>
            <a:ln>
              <a:noFill/>
            </a:ln>
            <a:effectLst/>
          </c:spPr>
        </c:title>
        <c:numFmt formatCode="0.00%"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Univers 45 Light" pitchFamily="2" charset="0"/>
                <a:ea typeface="+mn-ea"/>
                <a:cs typeface="+mn-cs"/>
              </a:defRPr>
            </a:pPr>
            <a:endParaRPr lang="en-US"/>
          </a:p>
        </c:txPr>
        <c:crossAx val="84930944"/>
        <c:crosses val="autoZero"/>
        <c:crossBetween val="midCat"/>
        <c:majorUnit val="5.000000000000001E-2"/>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174</Pages>
  <Words>48405</Words>
  <Characters>274570</Characters>
  <Application>Microsoft Office Word</Application>
  <DocSecurity>4</DocSecurity>
  <Lines>2288</Lines>
  <Paragraphs>644</Paragraphs>
  <ScaleCrop>false</ScaleCrop>
  <HeadingPairs>
    <vt:vector size="2" baseType="variant">
      <vt:variant>
        <vt:lpstr>Title</vt:lpstr>
      </vt:variant>
      <vt:variant>
        <vt:i4>1</vt:i4>
      </vt:variant>
    </vt:vector>
  </HeadingPairs>
  <TitlesOfParts>
    <vt:vector size="1" baseType="lpstr">
      <vt:lpstr>NHCDC Round 18 Independent Financial Review</vt:lpstr>
    </vt:vector>
  </TitlesOfParts>
  <Company>Dept Health And Ageing</Company>
  <LinksUpToDate>false</LinksUpToDate>
  <CharactersWithSpaces>322331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NHCDC Round 18 Independent Financial Review</dc:title>
  <dc:creator>KPMG</dc:creator>
  <cp:lastModifiedBy>Pirani Matthew</cp:lastModifiedBy>
  <cp:revision>2</cp:revision>
  <dcterms:created xsi:type="dcterms:W3CDTF">2016-03-06T22:30:00Z</dcterms:created>
  <dcterms:modified xsi:type="dcterms:W3CDTF">2016-03-06T22:30:00Z</dcterms:modified>
</cp:coreProperties>
</file>