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5D5" w:rsidRDefault="002915D5" w:rsidP="002915D5"/>
    <w:p w:rsidR="002915D5" w:rsidRDefault="002915D5" w:rsidP="002915D5"/>
    <w:p w:rsidR="002915D5" w:rsidRDefault="002915D5" w:rsidP="002915D5"/>
    <w:p w:rsidR="002915D5" w:rsidRDefault="002915D5" w:rsidP="002915D5"/>
    <w:p w:rsidR="002915D5" w:rsidRDefault="002915D5" w:rsidP="002915D5"/>
    <w:p w:rsidR="002915D5" w:rsidRDefault="002915D5" w:rsidP="002915D5"/>
    <w:p w:rsidR="002915D5" w:rsidRDefault="002915D5" w:rsidP="002915D5"/>
    <w:bookmarkStart w:id="0" w:name="_Toc352144950" w:displacedByCustomXml="next"/>
    <w:bookmarkStart w:id="1" w:name="_Toc351349212" w:displacedByCustomXml="next"/>
    <w:bookmarkStart w:id="2" w:name="_Toc350850220" w:displacedByCustomXml="next"/>
    <w:sdt>
      <w:sdtPr>
        <w:rPr>
          <w:rFonts w:ascii="Arial" w:eastAsia="Arial" w:hAnsi="Arial"/>
          <w:sz w:val="22"/>
          <w:szCs w:val="22"/>
          <w:lang w:val="en-AU"/>
        </w:rPr>
        <w:id w:val="223723746"/>
        <w:docPartObj>
          <w:docPartGallery w:val="Cover Pages"/>
          <w:docPartUnique/>
        </w:docPartObj>
      </w:sdtPr>
      <w:sdtEndPr/>
      <w:sdtContent>
        <w:bookmarkStart w:id="3" w:name="_GoBack" w:displacedByCustomXml="prev"/>
        <w:p w:rsidR="002915D5" w:rsidRPr="009836E1" w:rsidRDefault="00D43DC9" w:rsidP="002915D5">
          <w:pPr>
            <w:spacing w:after="120"/>
            <w:jc w:val="center"/>
            <w:rPr>
              <w:rFonts w:ascii="Arial" w:eastAsia="Arial" w:hAnsi="Arial"/>
              <w:sz w:val="22"/>
              <w:szCs w:val="22"/>
              <w:lang w:val="en-AU"/>
            </w:rPr>
          </w:pPr>
          <w:r w:rsidRPr="009836E1">
            <w:rPr>
              <w:rFonts w:ascii="Arial" w:eastAsia="Arial" w:hAnsi="Arial"/>
              <w:noProof/>
              <w:sz w:val="22"/>
              <w:szCs w:val="22"/>
              <w:lang w:val="en-AU" w:eastAsia="en-AU"/>
            </w:rPr>
            <w:drawing>
              <wp:inline distT="0" distB="0" distL="0" distR="0" wp14:anchorId="48F34663" wp14:editId="37E00E85">
                <wp:extent cx="1078992" cy="1469136"/>
                <wp:effectExtent l="0" t="0" r="6985" b="0"/>
                <wp:docPr id="1" name="Picture 1" title="IH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pa_logo_cmyk_30m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8992" cy="1469136"/>
                        </a:xfrm>
                        <a:prstGeom prst="rect">
                          <a:avLst/>
                        </a:prstGeom>
                      </pic:spPr>
                    </pic:pic>
                  </a:graphicData>
                </a:graphic>
              </wp:inline>
            </w:drawing>
          </w:r>
          <w:bookmarkEnd w:id="3"/>
        </w:p>
        <w:p w:rsidR="002915D5" w:rsidRDefault="002915D5" w:rsidP="002915D5">
          <w:pPr>
            <w:spacing w:after="120"/>
            <w:jc w:val="center"/>
            <w:rPr>
              <w:rFonts w:ascii="Arial" w:eastAsia="Arial" w:hAnsi="Arial"/>
              <w:b/>
              <w:sz w:val="36"/>
              <w:szCs w:val="36"/>
              <w:lang w:val="en-AU"/>
            </w:rPr>
          </w:pPr>
          <w:r w:rsidRPr="009836E1">
            <w:rPr>
              <w:rFonts w:ascii="Arial" w:eastAsia="Arial" w:hAnsi="Arial"/>
              <w:b/>
              <w:sz w:val="36"/>
              <w:szCs w:val="36"/>
              <w:lang w:val="en-AU"/>
            </w:rPr>
            <w:t>Independent Hospital Pricing Authority</w:t>
          </w:r>
        </w:p>
        <w:p w:rsidR="002915D5" w:rsidRPr="009836E1" w:rsidRDefault="002915D5" w:rsidP="002915D5">
          <w:pPr>
            <w:spacing w:after="120"/>
            <w:jc w:val="center"/>
            <w:rPr>
              <w:rFonts w:ascii="Arial" w:eastAsia="Arial" w:hAnsi="Arial"/>
              <w:b/>
              <w:sz w:val="36"/>
              <w:szCs w:val="36"/>
              <w:lang w:val="en-AU"/>
            </w:rPr>
          </w:pPr>
        </w:p>
        <w:p w:rsidR="002915D5" w:rsidRPr="009836E1" w:rsidRDefault="002915D5" w:rsidP="002915D5">
          <w:pPr>
            <w:spacing w:before="1600" w:after="300"/>
            <w:contextualSpacing/>
            <w:jc w:val="center"/>
            <w:rPr>
              <w:rFonts w:ascii="Arial" w:hAnsi="Arial" w:cs="Arial"/>
              <w:spacing w:val="5"/>
              <w:kern w:val="28"/>
              <w:sz w:val="72"/>
              <w:szCs w:val="52"/>
              <w:lang w:val="en-AU"/>
            </w:rPr>
          </w:pPr>
          <w:r>
            <w:rPr>
              <w:rFonts w:ascii="Arial" w:eastAsiaTheme="majorEastAsia" w:hAnsi="Arial" w:cs="Arial"/>
              <w:spacing w:val="5"/>
              <w:kern w:val="28"/>
              <w:sz w:val="72"/>
              <w:szCs w:val="52"/>
              <w:lang w:val="en-AU"/>
            </w:rPr>
            <w:t>Un</w:t>
          </w:r>
          <w:r w:rsidR="00C96803">
            <w:rPr>
              <w:rFonts w:ascii="Arial" w:eastAsiaTheme="majorEastAsia" w:hAnsi="Arial" w:cs="Arial"/>
              <w:spacing w:val="5"/>
              <w:kern w:val="28"/>
              <w:sz w:val="72"/>
              <w:szCs w:val="52"/>
              <w:lang w:val="en-AU"/>
            </w:rPr>
            <w:t>derstanding the NEP and NEC 2017-18</w:t>
          </w:r>
        </w:p>
        <w:p w:rsidR="002915D5" w:rsidRDefault="002915D5" w:rsidP="002915D5">
          <w:pPr>
            <w:spacing w:after="120"/>
            <w:jc w:val="center"/>
            <w:rPr>
              <w:rFonts w:ascii="Arial" w:eastAsia="Arial" w:hAnsi="Arial"/>
              <w:sz w:val="28"/>
              <w:szCs w:val="28"/>
              <w:lang w:val="en-AU"/>
            </w:rPr>
          </w:pPr>
        </w:p>
        <w:p w:rsidR="002915D5" w:rsidRPr="009836E1" w:rsidRDefault="00C96803" w:rsidP="002915D5">
          <w:pPr>
            <w:spacing w:after="120"/>
            <w:jc w:val="center"/>
            <w:rPr>
              <w:rFonts w:ascii="Arial" w:eastAsia="Arial" w:hAnsi="Arial"/>
              <w:sz w:val="28"/>
              <w:szCs w:val="28"/>
              <w:lang w:val="en-AU"/>
            </w:rPr>
          </w:pPr>
          <w:r>
            <w:rPr>
              <w:rFonts w:ascii="Arial" w:eastAsia="Arial" w:hAnsi="Arial"/>
              <w:sz w:val="28"/>
              <w:szCs w:val="28"/>
              <w:lang w:val="en-AU"/>
            </w:rPr>
            <w:t>March 2017</w:t>
          </w:r>
        </w:p>
        <w:p w:rsidR="002915D5" w:rsidRPr="009836E1" w:rsidRDefault="00D43DC9" w:rsidP="002915D5">
          <w:pPr>
            <w:spacing w:after="120"/>
            <w:jc w:val="center"/>
            <w:rPr>
              <w:rFonts w:ascii="Arial" w:eastAsia="Arial" w:hAnsi="Arial"/>
              <w:sz w:val="22"/>
              <w:szCs w:val="22"/>
              <w:lang w:val="en-AU"/>
            </w:rPr>
            <w:sectPr w:rsidR="002915D5" w:rsidRPr="009836E1" w:rsidSect="00D56762">
              <w:headerReference w:type="even" r:id="rId9"/>
              <w:headerReference w:type="default" r:id="rId10"/>
              <w:footerReference w:type="even" r:id="rId11"/>
              <w:footerReference w:type="default" r:id="rId12"/>
              <w:headerReference w:type="first" r:id="rId13"/>
              <w:footerReference w:type="first" r:id="rId14"/>
              <w:pgSz w:w="11906" w:h="16838"/>
              <w:pgMar w:top="2268" w:right="1440" w:bottom="1440" w:left="1440" w:header="709" w:footer="709" w:gutter="0"/>
              <w:pgNumType w:start="0"/>
              <w:cols w:space="708"/>
              <w:titlePg/>
              <w:docGrid w:linePitch="360"/>
            </w:sectPr>
          </w:pPr>
        </w:p>
      </w:sdtContent>
    </w:sdt>
    <w:bookmarkEnd w:id="2"/>
    <w:bookmarkEnd w:id="1"/>
    <w:bookmarkEnd w:id="0"/>
    <w:p w:rsidR="002915D5" w:rsidRPr="006C5CAE" w:rsidRDefault="002915D5" w:rsidP="002915D5">
      <w:pPr>
        <w:rPr>
          <w:rFonts w:ascii="Arial" w:hAnsi="Arial" w:cs="Arial"/>
          <w:sz w:val="22"/>
          <w:szCs w:val="22"/>
          <w:lang w:val="en"/>
        </w:rPr>
      </w:pPr>
    </w:p>
    <w:p w:rsidR="002915D5" w:rsidRDefault="002915D5" w:rsidP="002915D5">
      <w:pPr>
        <w:rPr>
          <w:rFonts w:ascii="Arial" w:hAnsi="Arial" w:cs="Arial"/>
          <w:sz w:val="22"/>
          <w:szCs w:val="22"/>
        </w:rPr>
      </w:pPr>
    </w:p>
    <w:p w:rsidR="002915D5" w:rsidRDefault="002915D5" w:rsidP="002915D5">
      <w:pPr>
        <w:rPr>
          <w:rFonts w:ascii="Arial" w:hAnsi="Arial" w:cs="Arial"/>
          <w:sz w:val="22"/>
          <w:szCs w:val="22"/>
        </w:rPr>
      </w:pPr>
    </w:p>
    <w:p w:rsidR="000C7D25" w:rsidRPr="000C7D25" w:rsidRDefault="000C7D25" w:rsidP="000C7D25">
      <w:pPr>
        <w:spacing w:after="120"/>
        <w:rPr>
          <w:rFonts w:ascii="Arial" w:eastAsia="Arial" w:hAnsi="Arial"/>
          <w:b/>
          <w:sz w:val="22"/>
          <w:szCs w:val="22"/>
          <w:lang w:val="en-AU"/>
        </w:rPr>
      </w:pPr>
      <w:r w:rsidRPr="000C7D25">
        <w:rPr>
          <w:rFonts w:ascii="Arial" w:eastAsia="Arial" w:hAnsi="Arial"/>
          <w:b/>
          <w:sz w:val="22"/>
          <w:szCs w:val="22"/>
          <w:lang w:val="en-AU"/>
        </w:rPr>
        <w:t>1. Introduction</w:t>
      </w:r>
    </w:p>
    <w:p w:rsidR="000C7D25" w:rsidRPr="000C7D25" w:rsidRDefault="000C7D25" w:rsidP="000C7D25">
      <w:pPr>
        <w:spacing w:after="120"/>
        <w:rPr>
          <w:rFonts w:ascii="Arial" w:eastAsia="Arial" w:hAnsi="Arial" w:cs="Arial"/>
          <w:color w:val="000000"/>
          <w:sz w:val="22"/>
          <w:szCs w:val="22"/>
          <w:shd w:val="clear" w:color="auto" w:fill="FFFFFF"/>
          <w:lang w:val="en-AU"/>
        </w:rPr>
      </w:pPr>
      <w:r w:rsidRPr="000C7D25">
        <w:rPr>
          <w:rFonts w:ascii="Arial" w:eastAsia="Arial" w:hAnsi="Arial" w:cs="Arial"/>
          <w:color w:val="000000"/>
          <w:sz w:val="22"/>
          <w:szCs w:val="22"/>
          <w:shd w:val="clear" w:color="auto" w:fill="FFFFFF"/>
          <w:lang w:val="en-AU"/>
        </w:rPr>
        <w:t>The Independent Hospital Pricing Authority’s (IHPA) key role is to determine the annual </w:t>
      </w:r>
      <w:hyperlink r:id="rId15" w:history="1">
        <w:r w:rsidRPr="000C7D25">
          <w:rPr>
            <w:rFonts w:ascii="Arial" w:eastAsia="Arial" w:hAnsi="Arial" w:cs="Arial"/>
            <w:color w:val="0000FF"/>
            <w:sz w:val="22"/>
            <w:szCs w:val="22"/>
            <w:u w:val="single"/>
            <w:shd w:val="clear" w:color="auto" w:fill="FFFFFF"/>
            <w:lang w:val="en-AU"/>
          </w:rPr>
          <w:t>National Efficient Price (NEP) </w:t>
        </w:r>
      </w:hyperlink>
      <w:r w:rsidRPr="000C7D25">
        <w:rPr>
          <w:rFonts w:ascii="Arial" w:eastAsia="Arial" w:hAnsi="Arial" w:cs="Arial"/>
          <w:color w:val="000000"/>
          <w:sz w:val="22"/>
          <w:szCs w:val="22"/>
          <w:shd w:val="clear" w:color="auto" w:fill="FFFFFF"/>
          <w:lang w:val="en-AU"/>
        </w:rPr>
        <w:t>and </w:t>
      </w:r>
      <w:hyperlink r:id="rId16" w:history="1">
        <w:r w:rsidRPr="000C7D25">
          <w:rPr>
            <w:rFonts w:ascii="Arial" w:eastAsia="Arial" w:hAnsi="Arial" w:cs="Arial"/>
            <w:color w:val="0000FF"/>
            <w:sz w:val="22"/>
            <w:szCs w:val="22"/>
            <w:u w:val="single"/>
            <w:shd w:val="clear" w:color="auto" w:fill="FFFFFF"/>
            <w:lang w:val="en-AU"/>
          </w:rPr>
          <w:t>National Efficient Cost (NEC) </w:t>
        </w:r>
      </w:hyperlink>
      <w:r w:rsidRPr="000C7D25">
        <w:rPr>
          <w:rFonts w:ascii="Arial" w:eastAsia="Arial" w:hAnsi="Arial" w:cs="Arial"/>
          <w:color w:val="000000"/>
          <w:sz w:val="22"/>
          <w:szCs w:val="22"/>
          <w:shd w:val="clear" w:color="auto" w:fill="FFFFFF"/>
          <w:lang w:val="en-AU"/>
        </w:rPr>
        <w:t xml:space="preserve">for Australian public hospital services. </w:t>
      </w:r>
      <w:r w:rsidRPr="000C7D25">
        <w:rPr>
          <w:rFonts w:ascii="Arial" w:eastAsia="Arial" w:hAnsi="Arial" w:cs="Arial"/>
          <w:sz w:val="22"/>
          <w:szCs w:val="22"/>
          <w:lang w:val="en" w:eastAsia="en-AU"/>
        </w:rPr>
        <w:t>IHPA publishes the NEP and NEC Determination every year.</w:t>
      </w:r>
    </w:p>
    <w:p w:rsidR="000C7D25" w:rsidRPr="000C7D25" w:rsidRDefault="000C7D25" w:rsidP="000C7D25">
      <w:pPr>
        <w:spacing w:after="120"/>
        <w:rPr>
          <w:rFonts w:ascii="Arial" w:eastAsia="Arial" w:hAnsi="Arial"/>
          <w:sz w:val="22"/>
          <w:szCs w:val="22"/>
          <w:lang w:val="en" w:eastAsia="en-AU"/>
        </w:rPr>
      </w:pPr>
      <w:r w:rsidRPr="000C7D25">
        <w:rPr>
          <w:rFonts w:ascii="Arial" w:eastAsia="Arial" w:hAnsi="Arial"/>
          <w:sz w:val="22"/>
          <w:szCs w:val="22"/>
          <w:lang w:val="en" w:eastAsia="en-AU"/>
        </w:rPr>
        <w:t xml:space="preserve">The NEP underpins Activity Based Funding (ABF) across Australia for public hospital services. ABF is a way of funding hospitals whereby they get paid for the number and mix of patients they treat. </w:t>
      </w:r>
      <w:r w:rsidRPr="000C7D25">
        <w:rPr>
          <w:rFonts w:ascii="Arial" w:eastAsia="Arial" w:hAnsi="Arial"/>
          <w:sz w:val="22"/>
          <w:szCs w:val="22"/>
          <w:lang w:val="en"/>
        </w:rPr>
        <w:t>ABF should improve the value of the public investment in hospital care and ensure a sustainable and efficient network of public hospital services.</w:t>
      </w:r>
    </w:p>
    <w:p w:rsidR="000C7D25" w:rsidRPr="000C7D25" w:rsidRDefault="000C7D25" w:rsidP="000C7D25">
      <w:pPr>
        <w:spacing w:after="120"/>
        <w:rPr>
          <w:rFonts w:ascii="Arial" w:eastAsia="Arial" w:hAnsi="Arial" w:cs="Arial"/>
          <w:sz w:val="22"/>
          <w:szCs w:val="22"/>
          <w:lang w:val="en"/>
        </w:rPr>
      </w:pPr>
      <w:r w:rsidRPr="000C7D25">
        <w:rPr>
          <w:rFonts w:ascii="Arial" w:eastAsia="Arial" w:hAnsi="Arial" w:cs="Arial"/>
          <w:color w:val="000000"/>
          <w:sz w:val="22"/>
          <w:szCs w:val="22"/>
          <w:shd w:val="clear" w:color="auto" w:fill="FFFFFF"/>
          <w:lang w:val="en-AU"/>
        </w:rPr>
        <w:t xml:space="preserve">In order to make these Determinations IHPA develops and publishes the annual </w:t>
      </w:r>
      <w:hyperlink r:id="rId17" w:history="1">
        <w:r w:rsidRPr="000C7D25">
          <w:rPr>
            <w:rFonts w:ascii="Arial" w:eastAsia="Arial" w:hAnsi="Arial" w:cs="Arial"/>
            <w:i/>
            <w:color w:val="0000FF"/>
            <w:sz w:val="22"/>
            <w:szCs w:val="22"/>
            <w:u w:val="single"/>
            <w:shd w:val="clear" w:color="auto" w:fill="FFFFFF"/>
            <w:lang w:val="en-AU"/>
          </w:rPr>
          <w:t>Pricing Framework for Australian Public Hospital Services</w:t>
        </w:r>
      </w:hyperlink>
      <w:r w:rsidRPr="000C7D25">
        <w:rPr>
          <w:rFonts w:ascii="Arial" w:eastAsia="Arial" w:hAnsi="Arial" w:cs="Arial"/>
          <w:i/>
          <w:color w:val="000000"/>
          <w:sz w:val="22"/>
          <w:szCs w:val="22"/>
          <w:shd w:val="clear" w:color="auto" w:fill="FFFFFF"/>
          <w:lang w:val="en-AU"/>
        </w:rPr>
        <w:t>.</w:t>
      </w:r>
      <w:r w:rsidRPr="000C7D25">
        <w:rPr>
          <w:rFonts w:ascii="Arial" w:eastAsia="Arial" w:hAnsi="Arial" w:cs="Arial"/>
          <w:color w:val="000000"/>
          <w:sz w:val="22"/>
          <w:szCs w:val="22"/>
          <w:shd w:val="clear" w:color="auto" w:fill="FFFFFF"/>
          <w:lang w:val="en-AU"/>
        </w:rPr>
        <w:t xml:space="preserve"> This document is crucial as it </w:t>
      </w:r>
      <w:r w:rsidRPr="000C7D25">
        <w:rPr>
          <w:rFonts w:ascii="Arial" w:eastAsia="Arial" w:hAnsi="Arial" w:cs="Arial"/>
          <w:sz w:val="22"/>
          <w:szCs w:val="22"/>
          <w:lang w:val="en"/>
        </w:rPr>
        <w:t xml:space="preserve">outlines the principles and policies adopted by IHPA to determine the NEP and the NEC for each financial year. </w:t>
      </w:r>
    </w:p>
    <w:p w:rsidR="000C7D25" w:rsidRPr="000C7D25" w:rsidRDefault="000C7D25" w:rsidP="000C7D25">
      <w:pPr>
        <w:shd w:val="clear" w:color="auto" w:fill="FFFFFF"/>
        <w:spacing w:after="120"/>
        <w:rPr>
          <w:rFonts w:ascii="Arial" w:eastAsia="Arial" w:hAnsi="Arial" w:cs="Arial"/>
          <w:sz w:val="22"/>
          <w:szCs w:val="22"/>
          <w:lang w:val="en" w:eastAsia="en-AU"/>
        </w:rPr>
      </w:pPr>
      <w:r w:rsidRPr="000C7D25">
        <w:rPr>
          <w:rFonts w:ascii="Arial" w:eastAsia="Arial" w:hAnsi="Arial" w:cs="Arial"/>
          <w:sz w:val="22"/>
          <w:szCs w:val="22"/>
          <w:lang w:val="en" w:eastAsia="en-AU"/>
        </w:rPr>
        <w:t xml:space="preserve">IHPA consults with all stakeholders, including state and territory governments, the Commonwealth Government and the general public, prior to </w:t>
      </w:r>
      <w:proofErr w:type="spellStart"/>
      <w:r w:rsidRPr="000C7D25">
        <w:rPr>
          <w:rFonts w:ascii="Arial" w:eastAsia="Arial" w:hAnsi="Arial" w:cs="Arial"/>
          <w:sz w:val="22"/>
          <w:szCs w:val="22"/>
          <w:lang w:val="en" w:eastAsia="en-AU"/>
        </w:rPr>
        <w:t>finalising</w:t>
      </w:r>
      <w:proofErr w:type="spellEnd"/>
      <w:r w:rsidRPr="000C7D25">
        <w:rPr>
          <w:rFonts w:ascii="Arial" w:eastAsia="Arial" w:hAnsi="Arial" w:cs="Arial"/>
          <w:sz w:val="22"/>
          <w:szCs w:val="22"/>
          <w:lang w:val="en" w:eastAsia="en-AU"/>
        </w:rPr>
        <w:t xml:space="preserve"> the Pricing Framework each year. </w:t>
      </w:r>
    </w:p>
    <w:p w:rsidR="000C7D25" w:rsidRPr="000C7D25" w:rsidRDefault="000C7D25" w:rsidP="000C7D25">
      <w:pPr>
        <w:spacing w:after="120"/>
        <w:rPr>
          <w:rFonts w:ascii="Arial" w:eastAsia="Arial" w:hAnsi="Arial" w:cs="Arial"/>
          <w:color w:val="000000"/>
          <w:sz w:val="22"/>
          <w:szCs w:val="22"/>
          <w:shd w:val="clear" w:color="auto" w:fill="FFFFFF"/>
          <w:lang w:val="en-AU"/>
        </w:rPr>
      </w:pPr>
      <w:r w:rsidRPr="000C7D25">
        <w:rPr>
          <w:rFonts w:ascii="Arial" w:eastAsia="Arial" w:hAnsi="Arial" w:cs="Arial"/>
          <w:sz w:val="22"/>
          <w:szCs w:val="22"/>
          <w:lang w:val="en"/>
        </w:rPr>
        <w:t xml:space="preserve">The Pricing Framework is released prior to the NEP and NEC Determinations to provide </w:t>
      </w:r>
      <w:r w:rsidRPr="000C7D25">
        <w:rPr>
          <w:rFonts w:ascii="Arial" w:eastAsia="Arial" w:hAnsi="Arial" w:cs="Arial"/>
          <w:color w:val="000000"/>
          <w:sz w:val="22"/>
          <w:szCs w:val="22"/>
          <w:shd w:val="clear" w:color="auto" w:fill="FFFFFF"/>
          <w:lang w:val="en-AU"/>
        </w:rPr>
        <w:t>transparency and accountability by making available the key principles and policies adopted by IHPA to inform the NEP and NEC Determinations.</w:t>
      </w:r>
    </w:p>
    <w:p w:rsidR="000C7D25" w:rsidRPr="000C7D25" w:rsidRDefault="000C7D25" w:rsidP="000C7D25">
      <w:pPr>
        <w:spacing w:after="120"/>
        <w:rPr>
          <w:rFonts w:ascii="Arial" w:eastAsia="Arial" w:hAnsi="Arial" w:cs="Arial"/>
          <w:color w:val="000000"/>
          <w:sz w:val="22"/>
          <w:szCs w:val="22"/>
          <w:shd w:val="clear" w:color="auto" w:fill="FFFFFF"/>
          <w:lang w:val="en-AU"/>
        </w:rPr>
      </w:pPr>
      <w:r w:rsidRPr="000C7D25">
        <w:rPr>
          <w:rFonts w:ascii="Arial" w:eastAsia="Arial" w:hAnsi="Arial" w:cs="Arial"/>
          <w:color w:val="000000"/>
          <w:sz w:val="22"/>
          <w:szCs w:val="22"/>
          <w:shd w:val="clear" w:color="auto" w:fill="FFFFFF"/>
          <w:lang w:val="en-AU"/>
        </w:rPr>
        <w:t>Note: For this year only</w:t>
      </w:r>
      <w:r w:rsidRPr="000C7D25">
        <w:rPr>
          <w:rFonts w:ascii="Arial" w:eastAsia="Arial" w:hAnsi="Arial" w:cs="Arial"/>
          <w:sz w:val="22"/>
          <w:szCs w:val="22"/>
          <w:lang w:val="en-AU"/>
        </w:rPr>
        <w:t xml:space="preserve">, the </w:t>
      </w:r>
      <w:r w:rsidRPr="000C7D25">
        <w:rPr>
          <w:rFonts w:ascii="Arial" w:eastAsia="Arial" w:hAnsi="Arial" w:cs="Arial"/>
          <w:i/>
          <w:sz w:val="22"/>
          <w:szCs w:val="22"/>
          <w:lang w:val="en-AU"/>
        </w:rPr>
        <w:t xml:space="preserve">Pricing Framework for Australian Public Hospital Services </w:t>
      </w:r>
      <w:r w:rsidRPr="000C7D25">
        <w:rPr>
          <w:rFonts w:ascii="Arial" w:eastAsia="Arial" w:hAnsi="Arial" w:cs="Arial"/>
          <w:sz w:val="22"/>
          <w:szCs w:val="22"/>
          <w:lang w:val="en-AU"/>
        </w:rPr>
        <w:t>will be released at the same time as the NEP and NEC Determinations. This revised timeframe reflects the detailed work IHPA has undertaken to identify and investigate a variety of options for incorporating safety and quality into the pricing of public hospital services for the NEP and NEC Determinations 2017-18.</w:t>
      </w:r>
    </w:p>
    <w:p w:rsidR="000C7D25" w:rsidRPr="000C7D25" w:rsidRDefault="000C7D25" w:rsidP="000C7D25">
      <w:pPr>
        <w:shd w:val="clear" w:color="auto" w:fill="FFFFFF"/>
        <w:spacing w:after="120"/>
        <w:rPr>
          <w:rFonts w:ascii="Arial" w:eastAsia="Arial" w:hAnsi="Arial"/>
          <w:b/>
          <w:bCs/>
          <w:color w:val="000000"/>
          <w:sz w:val="26"/>
          <w:szCs w:val="22"/>
          <w:lang w:val="en-AU"/>
        </w:rPr>
      </w:pPr>
    </w:p>
    <w:p w:rsidR="000C7D25" w:rsidRPr="000C7D25" w:rsidRDefault="000C7D25" w:rsidP="000C7D25">
      <w:pPr>
        <w:spacing w:after="120"/>
        <w:rPr>
          <w:rFonts w:ascii="Arial" w:eastAsia="Arial" w:hAnsi="Arial"/>
          <w:b/>
          <w:sz w:val="22"/>
          <w:szCs w:val="20"/>
          <w:lang w:val="en" w:eastAsia="en-AU"/>
        </w:rPr>
      </w:pPr>
      <w:r w:rsidRPr="000C7D25">
        <w:rPr>
          <w:rFonts w:ascii="Arial" w:eastAsia="Arial" w:hAnsi="Arial"/>
          <w:b/>
          <w:sz w:val="22"/>
          <w:szCs w:val="22"/>
          <w:lang w:val="en-AU"/>
        </w:rPr>
        <w:t>About the National Efficient Price (NEP)</w:t>
      </w:r>
    </w:p>
    <w:p w:rsidR="000C7D25" w:rsidRPr="000C7D25" w:rsidRDefault="000C7D25" w:rsidP="000C7D25">
      <w:pPr>
        <w:shd w:val="clear" w:color="auto" w:fill="FFFFFF"/>
        <w:spacing w:after="120"/>
        <w:rPr>
          <w:rFonts w:ascii="Arial" w:eastAsia="Arial" w:hAnsi="Arial"/>
          <w:sz w:val="22"/>
          <w:szCs w:val="22"/>
          <w:lang w:val="en" w:eastAsia="en-AU"/>
        </w:rPr>
      </w:pPr>
      <w:r w:rsidRPr="000C7D25">
        <w:rPr>
          <w:rFonts w:ascii="Arial" w:eastAsia="Arial" w:hAnsi="Arial"/>
          <w:sz w:val="22"/>
          <w:szCs w:val="22"/>
          <w:lang w:val="en" w:eastAsia="en-AU"/>
        </w:rPr>
        <w:t xml:space="preserve">The NEP is based on the average cost of an admitted acute episode of care provided in public hospitals during a financial year. Each episode of patient care is allocated a National Weighted Activity Unit (NWAU). </w:t>
      </w:r>
    </w:p>
    <w:p w:rsidR="000C7D25" w:rsidRPr="000C7D25" w:rsidRDefault="000C7D25" w:rsidP="000C7D25">
      <w:pPr>
        <w:shd w:val="clear" w:color="auto" w:fill="FFFFFF"/>
        <w:spacing w:after="120"/>
        <w:rPr>
          <w:rFonts w:ascii="Arial" w:eastAsia="Arial" w:hAnsi="Arial"/>
          <w:sz w:val="22"/>
          <w:szCs w:val="22"/>
          <w:lang w:val="en" w:eastAsia="en-AU"/>
        </w:rPr>
      </w:pPr>
      <w:r w:rsidRPr="000C7D25">
        <w:rPr>
          <w:rFonts w:ascii="Arial" w:eastAsia="Arial" w:hAnsi="Arial" w:cs="Arial"/>
          <w:sz w:val="22"/>
          <w:szCs w:val="22"/>
          <w:lang w:val="en"/>
        </w:rPr>
        <w:t>The NWAU is a measure of hospital activity expressed as a common unit, against which the NEP is paid. It is a point of relativity for the pricing of hospital services, which are weighted for clinical complexity. The ‘average’ hospital service is worth one NWAU. More intensive and expensive activities are worth multiple NWAUs, and simpler and less expensive activities are worth fractions of an NWAU.</w:t>
      </w:r>
    </w:p>
    <w:p w:rsidR="000C7D25" w:rsidRPr="000C7D25" w:rsidRDefault="000C7D25" w:rsidP="000C7D25">
      <w:pPr>
        <w:spacing w:after="120"/>
        <w:rPr>
          <w:rFonts w:ascii="Arial" w:eastAsia="Arial" w:hAnsi="Arial" w:cs="Arial"/>
          <w:color w:val="000000"/>
          <w:sz w:val="22"/>
          <w:szCs w:val="22"/>
          <w:shd w:val="clear" w:color="auto" w:fill="FFFFFF"/>
          <w:lang w:val="en-AU"/>
        </w:rPr>
      </w:pPr>
      <w:r w:rsidRPr="000C7D25">
        <w:rPr>
          <w:rFonts w:ascii="Arial" w:eastAsia="Arial" w:hAnsi="Arial" w:cs="Arial"/>
          <w:color w:val="000000"/>
          <w:sz w:val="22"/>
          <w:szCs w:val="22"/>
          <w:shd w:val="clear" w:color="auto" w:fill="FFFFFF"/>
          <w:lang w:val="en-AU"/>
        </w:rPr>
        <w:t xml:space="preserve">The price of each public hospital service is calculated by multiplying the NWAU allocated to that service by the NEP. </w:t>
      </w:r>
    </w:p>
    <w:p w:rsidR="000C7D25" w:rsidRPr="000C7D25" w:rsidRDefault="000C7D25" w:rsidP="000C7D25">
      <w:pPr>
        <w:spacing w:after="120"/>
        <w:rPr>
          <w:rFonts w:ascii="Arial" w:eastAsia="Arial" w:hAnsi="Arial" w:cs="Arial"/>
          <w:color w:val="000000"/>
          <w:sz w:val="22"/>
          <w:szCs w:val="22"/>
          <w:shd w:val="clear" w:color="auto" w:fill="FFFFFF"/>
          <w:lang w:val="en-AU"/>
        </w:rPr>
      </w:pPr>
      <w:r w:rsidRPr="000C7D25">
        <w:rPr>
          <w:rFonts w:ascii="Arial" w:eastAsia="Arial" w:hAnsi="Arial" w:cs="Arial"/>
          <w:color w:val="000000"/>
          <w:sz w:val="22"/>
          <w:szCs w:val="22"/>
          <w:shd w:val="clear" w:color="auto" w:fill="FFFFFF"/>
          <w:lang w:val="en-AU"/>
        </w:rPr>
        <w:t>For example:</w:t>
      </w:r>
    </w:p>
    <w:p w:rsidR="000C7D25" w:rsidRPr="000C7D25" w:rsidRDefault="000C7D25" w:rsidP="000C7D25">
      <w:pPr>
        <w:numPr>
          <w:ilvl w:val="0"/>
          <w:numId w:val="1"/>
        </w:numPr>
        <w:spacing w:after="120"/>
        <w:ind w:left="1495"/>
        <w:contextualSpacing/>
        <w:rPr>
          <w:rFonts w:ascii="Arial" w:eastAsia="Arial" w:hAnsi="Arial" w:cs="Arial"/>
          <w:sz w:val="22"/>
          <w:szCs w:val="22"/>
          <w:shd w:val="clear" w:color="auto" w:fill="FFFFFF"/>
          <w:lang w:val="en-AU"/>
        </w:rPr>
      </w:pPr>
      <w:r w:rsidRPr="000C7D25">
        <w:rPr>
          <w:rFonts w:ascii="Arial" w:eastAsia="Arial" w:hAnsi="Arial" w:cs="Arial"/>
          <w:sz w:val="22"/>
          <w:szCs w:val="22"/>
          <w:lang w:val="en-AU"/>
        </w:rPr>
        <w:t>A tonsillectomy has a weight of 0.7080 NWAU which equates to $3,476.</w:t>
      </w:r>
    </w:p>
    <w:p w:rsidR="000C7D25" w:rsidRPr="000C7D25" w:rsidRDefault="000C7D25" w:rsidP="000C7D25">
      <w:pPr>
        <w:numPr>
          <w:ilvl w:val="0"/>
          <w:numId w:val="1"/>
        </w:numPr>
        <w:spacing w:after="120"/>
        <w:ind w:left="1495"/>
        <w:contextualSpacing/>
        <w:rPr>
          <w:rFonts w:ascii="Arial" w:eastAsia="Arial" w:hAnsi="Arial" w:cs="Arial"/>
          <w:sz w:val="22"/>
          <w:szCs w:val="22"/>
          <w:shd w:val="clear" w:color="auto" w:fill="FFFFFF"/>
          <w:lang w:val="en-AU"/>
        </w:rPr>
      </w:pPr>
      <w:r w:rsidRPr="000C7D25">
        <w:rPr>
          <w:rFonts w:ascii="Arial" w:eastAsia="Arial" w:hAnsi="Arial" w:cs="Arial"/>
          <w:sz w:val="22"/>
          <w:szCs w:val="22"/>
          <w:lang w:val="en-AU"/>
        </w:rPr>
        <w:t>A coronary bypass (without complications) has a weight of 5.3034 NWAU which equates to $26,040.</w:t>
      </w:r>
    </w:p>
    <w:p w:rsidR="000C7D25" w:rsidRPr="000C7D25" w:rsidRDefault="000C7D25" w:rsidP="000C7D25">
      <w:pPr>
        <w:numPr>
          <w:ilvl w:val="0"/>
          <w:numId w:val="1"/>
        </w:numPr>
        <w:spacing w:after="120"/>
        <w:ind w:left="1495"/>
        <w:contextualSpacing/>
        <w:rPr>
          <w:rFonts w:ascii="Arial" w:eastAsia="Arial" w:hAnsi="Arial" w:cs="Arial"/>
          <w:sz w:val="22"/>
          <w:szCs w:val="22"/>
          <w:shd w:val="clear" w:color="auto" w:fill="FFFFFF"/>
          <w:lang w:val="en-AU"/>
        </w:rPr>
      </w:pPr>
      <w:r w:rsidRPr="000C7D25">
        <w:rPr>
          <w:rFonts w:ascii="Arial" w:eastAsia="Arial" w:hAnsi="Arial" w:cs="Arial"/>
          <w:sz w:val="22"/>
          <w:szCs w:val="22"/>
          <w:lang w:val="en-AU"/>
        </w:rPr>
        <w:t>A hip replacement (without complications) has a weight of 4.1429 NWAU which equates to $20,342.</w:t>
      </w:r>
    </w:p>
    <w:p w:rsidR="000C7D25" w:rsidRPr="000C7D25" w:rsidRDefault="000C7D25" w:rsidP="000C7D25">
      <w:pPr>
        <w:shd w:val="clear" w:color="auto" w:fill="FFFFFF"/>
        <w:spacing w:after="120"/>
        <w:rPr>
          <w:rFonts w:ascii="Arial" w:eastAsia="Arial" w:hAnsi="Arial"/>
          <w:sz w:val="22"/>
          <w:szCs w:val="20"/>
          <w:lang w:val="en" w:eastAsia="en-AU"/>
        </w:rPr>
      </w:pPr>
    </w:p>
    <w:p w:rsidR="000C7D25" w:rsidRPr="000C7D25" w:rsidRDefault="000C7D25" w:rsidP="000C7D25">
      <w:pPr>
        <w:shd w:val="clear" w:color="auto" w:fill="FFFFFF"/>
        <w:spacing w:after="120"/>
        <w:rPr>
          <w:rFonts w:ascii="Arial" w:eastAsia="Arial" w:hAnsi="Arial"/>
          <w:sz w:val="22"/>
          <w:szCs w:val="20"/>
          <w:lang w:val="en" w:eastAsia="en-AU"/>
        </w:rPr>
      </w:pPr>
      <w:r w:rsidRPr="000C7D25">
        <w:rPr>
          <w:rFonts w:ascii="Arial" w:eastAsia="Arial" w:hAnsi="Arial"/>
          <w:sz w:val="22"/>
          <w:szCs w:val="20"/>
          <w:lang w:val="en" w:eastAsia="en-AU"/>
        </w:rPr>
        <w:t>The NEP has two key purposes:</w:t>
      </w:r>
    </w:p>
    <w:p w:rsidR="000C7D25" w:rsidRPr="000C7D25" w:rsidRDefault="000C7D25" w:rsidP="000C7D25">
      <w:pPr>
        <w:shd w:val="clear" w:color="auto" w:fill="FFFFFF"/>
        <w:spacing w:after="120"/>
        <w:rPr>
          <w:rFonts w:ascii="Arial" w:eastAsia="Arial" w:hAnsi="Arial"/>
          <w:sz w:val="22"/>
          <w:szCs w:val="20"/>
          <w:lang w:val="en" w:eastAsia="en-AU"/>
        </w:rPr>
      </w:pPr>
    </w:p>
    <w:p w:rsidR="000C7D25" w:rsidRPr="000C7D25" w:rsidRDefault="000C7D25" w:rsidP="000C7D25">
      <w:pPr>
        <w:shd w:val="clear" w:color="auto" w:fill="FFFFFF"/>
        <w:spacing w:after="120"/>
        <w:rPr>
          <w:rFonts w:ascii="Arial" w:eastAsia="Arial" w:hAnsi="Arial"/>
          <w:sz w:val="22"/>
          <w:szCs w:val="20"/>
          <w:lang w:val="en" w:eastAsia="en-AU"/>
        </w:rPr>
      </w:pPr>
      <w:r w:rsidRPr="000C7D25">
        <w:rPr>
          <w:rFonts w:ascii="Arial" w:eastAsia="Arial" w:hAnsi="Arial"/>
          <w:sz w:val="22"/>
          <w:szCs w:val="20"/>
          <w:lang w:val="en" w:eastAsia="en-AU"/>
        </w:rPr>
        <w:t>1. To determine the amount of Commonwealth Government funding for public hospital services.</w:t>
      </w:r>
    </w:p>
    <w:p w:rsidR="000C7D25" w:rsidRPr="000C7D25" w:rsidRDefault="000C7D25" w:rsidP="000C7D25">
      <w:pPr>
        <w:shd w:val="clear" w:color="auto" w:fill="FFFFFF"/>
        <w:spacing w:after="120"/>
        <w:rPr>
          <w:rFonts w:ascii="Arial" w:eastAsia="Arial" w:hAnsi="Arial"/>
          <w:sz w:val="22"/>
          <w:szCs w:val="20"/>
          <w:lang w:val="en" w:eastAsia="en-AU"/>
        </w:rPr>
      </w:pPr>
    </w:p>
    <w:p w:rsidR="000C7D25" w:rsidRPr="000C7D25" w:rsidRDefault="000C7D25" w:rsidP="000C7D25">
      <w:pPr>
        <w:shd w:val="clear" w:color="auto" w:fill="FFFFFF"/>
        <w:spacing w:after="120"/>
        <w:rPr>
          <w:rFonts w:ascii="Arial" w:eastAsia="Arial" w:hAnsi="Arial"/>
          <w:sz w:val="22"/>
          <w:szCs w:val="20"/>
          <w:lang w:val="en" w:eastAsia="en-AU"/>
        </w:rPr>
      </w:pPr>
      <w:r w:rsidRPr="000C7D25">
        <w:rPr>
          <w:rFonts w:ascii="Arial" w:eastAsia="Arial" w:hAnsi="Arial"/>
          <w:sz w:val="22"/>
          <w:szCs w:val="20"/>
          <w:lang w:val="en" w:eastAsia="en-AU"/>
        </w:rPr>
        <w:t xml:space="preserve">2. To provide a price signal or benchmark about the efficient cost of providing public hospital services. </w:t>
      </w:r>
    </w:p>
    <w:p w:rsidR="000C7D25" w:rsidRPr="000C7D25" w:rsidRDefault="000C7D25" w:rsidP="000C7D25">
      <w:pPr>
        <w:shd w:val="clear" w:color="auto" w:fill="FFFFFF"/>
        <w:spacing w:after="120"/>
        <w:rPr>
          <w:rFonts w:ascii="Arial" w:eastAsia="Arial" w:hAnsi="Arial"/>
          <w:sz w:val="22"/>
          <w:szCs w:val="20"/>
          <w:lang w:val="en" w:eastAsia="en-AU"/>
        </w:rPr>
      </w:pPr>
    </w:p>
    <w:p w:rsidR="000C7D25" w:rsidRPr="000C7D25" w:rsidRDefault="000C7D25" w:rsidP="000C7D25">
      <w:pPr>
        <w:shd w:val="clear" w:color="auto" w:fill="FFFFFF"/>
        <w:spacing w:after="120"/>
        <w:rPr>
          <w:rFonts w:ascii="Arial" w:eastAsia="Arial" w:hAnsi="Arial"/>
          <w:sz w:val="22"/>
          <w:szCs w:val="20"/>
          <w:lang w:val="en" w:eastAsia="en-AU"/>
        </w:rPr>
      </w:pPr>
      <w:r w:rsidRPr="000C7D25">
        <w:rPr>
          <w:rFonts w:ascii="Arial" w:eastAsia="Arial" w:hAnsi="Arial"/>
          <w:sz w:val="22"/>
          <w:szCs w:val="20"/>
          <w:lang w:val="en" w:eastAsia="en-AU"/>
        </w:rPr>
        <w:t>Each NEP Determination includes the scope of public hospital services eligible for Commonwealth Government funding on an activity basis (detailed in a document released by IHPA called the ‘General List’). It also includes adjustments to the price to reflect legitimate and unavoidable variations in the cost of delivering health care services, such as location of patient residence and patient complexity.</w:t>
      </w:r>
    </w:p>
    <w:p w:rsidR="000C7D25" w:rsidRPr="000C7D25" w:rsidRDefault="000C7D25" w:rsidP="000C7D25">
      <w:pPr>
        <w:tabs>
          <w:tab w:val="center" w:pos="0"/>
          <w:tab w:val="center" w:pos="4513"/>
          <w:tab w:val="right" w:pos="9026"/>
        </w:tabs>
        <w:spacing w:before="240"/>
        <w:rPr>
          <w:rFonts w:ascii="Arial" w:eastAsia="Arial" w:hAnsi="Arial"/>
          <w:noProof/>
          <w:sz w:val="22"/>
          <w:szCs w:val="22"/>
          <w:lang w:val="en-AU" w:eastAsia="en-AU"/>
        </w:rPr>
      </w:pPr>
      <w:r w:rsidRPr="000C7D25">
        <w:rPr>
          <w:rFonts w:ascii="Arial" w:eastAsia="Arial" w:hAnsi="Arial"/>
          <w:noProof/>
          <w:sz w:val="22"/>
          <w:szCs w:val="22"/>
          <w:lang w:val="en-AU" w:eastAsia="en-AU"/>
        </w:rPr>
        <w:t xml:space="preserve">The NEP is used by jurisdictions as an independent benchmarking tool to measure the efficiency of public hospital services in their state or territories. For instance, it is possible to compare the cost of the hip replacement in two different hospitals which may assist jurisdictions to identify best practice and make funding decisions.  </w:t>
      </w:r>
    </w:p>
    <w:p w:rsidR="000C7D25" w:rsidRPr="000C7D25" w:rsidRDefault="000C7D25" w:rsidP="000C7D25">
      <w:pPr>
        <w:shd w:val="clear" w:color="auto" w:fill="FFFFFF"/>
        <w:spacing w:after="120"/>
        <w:rPr>
          <w:rFonts w:ascii="Arial" w:eastAsia="Arial" w:hAnsi="Arial"/>
          <w:sz w:val="22"/>
          <w:szCs w:val="20"/>
          <w:lang w:val="en" w:eastAsia="en-AU"/>
        </w:rPr>
      </w:pPr>
    </w:p>
    <w:p w:rsidR="000C7D25" w:rsidRPr="000C7D25" w:rsidRDefault="000C7D25" w:rsidP="000C7D25">
      <w:pPr>
        <w:spacing w:after="120"/>
        <w:rPr>
          <w:rFonts w:ascii="Arial" w:eastAsia="Arial" w:hAnsi="Arial"/>
          <w:b/>
          <w:sz w:val="22"/>
          <w:szCs w:val="22"/>
          <w:lang w:val="en-AU"/>
        </w:rPr>
      </w:pPr>
      <w:r w:rsidRPr="000C7D25">
        <w:rPr>
          <w:rFonts w:ascii="Arial" w:eastAsia="Arial" w:hAnsi="Arial"/>
          <w:b/>
          <w:sz w:val="22"/>
          <w:szCs w:val="22"/>
          <w:lang w:val="en-AU"/>
        </w:rPr>
        <w:t xml:space="preserve">About the National Efficient Cost (NEC) </w:t>
      </w:r>
    </w:p>
    <w:p w:rsidR="000C7D25" w:rsidRPr="000C7D25" w:rsidRDefault="000C7D25" w:rsidP="000C7D25">
      <w:pPr>
        <w:shd w:val="clear" w:color="auto" w:fill="FFFFFF"/>
        <w:spacing w:after="120"/>
        <w:rPr>
          <w:rFonts w:ascii="Arial" w:eastAsia="Arial" w:hAnsi="Arial" w:cs="Arial"/>
          <w:color w:val="000000"/>
          <w:sz w:val="22"/>
          <w:szCs w:val="22"/>
          <w:lang w:val="en-AU" w:eastAsia="en-AU"/>
        </w:rPr>
      </w:pPr>
      <w:r w:rsidRPr="000C7D25">
        <w:rPr>
          <w:rFonts w:ascii="Arial" w:eastAsia="Arial" w:hAnsi="Arial" w:cs="Arial"/>
          <w:color w:val="000000"/>
          <w:sz w:val="22"/>
          <w:szCs w:val="22"/>
          <w:lang w:val="en-AU" w:eastAsia="en-AU"/>
        </w:rPr>
        <w:t xml:space="preserve">The NEC is used when activity levels are not suitable for funding based on activity such as small rural hospitals. In these cases services are funded by a block allocation based on size and location. This type of funding applies to approximately </w:t>
      </w:r>
      <w:r w:rsidRPr="000C7D25">
        <w:rPr>
          <w:rFonts w:ascii="Arial" w:eastAsia="Arial" w:hAnsi="Arial" w:cs="Arial"/>
          <w:sz w:val="22"/>
          <w:szCs w:val="22"/>
          <w:lang w:val="en-AU"/>
        </w:rPr>
        <w:t>380</w:t>
      </w:r>
      <w:r w:rsidRPr="000C7D25">
        <w:rPr>
          <w:rFonts w:ascii="Arial" w:eastAsia="Arial" w:hAnsi="Arial" w:cs="Arial"/>
          <w:color w:val="FF0000"/>
          <w:sz w:val="22"/>
          <w:szCs w:val="22"/>
          <w:lang w:val="en-AU"/>
        </w:rPr>
        <w:t xml:space="preserve"> </w:t>
      </w:r>
      <w:r w:rsidRPr="000C7D25">
        <w:rPr>
          <w:rFonts w:ascii="Arial" w:eastAsia="Arial" w:hAnsi="Arial" w:cs="Arial"/>
          <w:color w:val="000000"/>
          <w:sz w:val="22"/>
          <w:szCs w:val="22"/>
          <w:lang w:val="en-AU" w:eastAsia="en-AU"/>
        </w:rPr>
        <w:t xml:space="preserve">small rural hospitals. </w:t>
      </w:r>
    </w:p>
    <w:p w:rsidR="000C7D25" w:rsidRPr="000C7D25" w:rsidRDefault="000C7D25" w:rsidP="000C7D25">
      <w:pPr>
        <w:shd w:val="clear" w:color="auto" w:fill="FFFFFF"/>
        <w:spacing w:after="120"/>
        <w:rPr>
          <w:rFonts w:ascii="Arial" w:eastAsia="Arial" w:hAnsi="Arial" w:cs="Arial"/>
          <w:color w:val="000000"/>
          <w:sz w:val="22"/>
          <w:szCs w:val="22"/>
          <w:lang w:val="en-AU" w:eastAsia="en-AU"/>
        </w:rPr>
      </w:pPr>
      <w:r w:rsidRPr="000C7D25">
        <w:rPr>
          <w:rFonts w:ascii="Arial" w:eastAsia="Arial" w:hAnsi="Arial" w:cs="Arial"/>
          <w:color w:val="000000"/>
          <w:sz w:val="22"/>
          <w:szCs w:val="22"/>
          <w:lang w:val="en-AU" w:eastAsia="en-AU"/>
        </w:rPr>
        <w:t xml:space="preserve">The NEC also applies to </w:t>
      </w:r>
      <w:r w:rsidRPr="000C7D25">
        <w:rPr>
          <w:rFonts w:ascii="Arial" w:eastAsia="Arial" w:hAnsi="Arial" w:cs="Arial"/>
          <w:sz w:val="22"/>
          <w:szCs w:val="22"/>
          <w:lang w:val="en" w:eastAsia="en-AU"/>
        </w:rPr>
        <w:t>public hospital services or functions that are not yet able to be described in terms of ‘activity’ such as teaching, training and research.</w:t>
      </w:r>
    </w:p>
    <w:p w:rsidR="000C7D25" w:rsidRPr="000C7D25" w:rsidRDefault="000C7D25" w:rsidP="000C7D25">
      <w:pPr>
        <w:shd w:val="clear" w:color="auto" w:fill="FFFFFF"/>
        <w:spacing w:after="120"/>
        <w:rPr>
          <w:rFonts w:ascii="Arial" w:eastAsia="Arial" w:hAnsi="Arial" w:cs="Arial"/>
          <w:sz w:val="22"/>
          <w:szCs w:val="22"/>
          <w:lang w:val="en" w:eastAsia="en-AU"/>
        </w:rPr>
      </w:pPr>
      <w:r w:rsidRPr="000C7D25">
        <w:rPr>
          <w:rFonts w:ascii="Arial" w:eastAsia="Arial" w:hAnsi="Arial" w:cs="Arial"/>
          <w:sz w:val="22"/>
          <w:szCs w:val="22"/>
          <w:lang w:val="en" w:eastAsia="en-AU"/>
        </w:rPr>
        <w:t>Some of these hospitals and services may operate with a mix of block grant and ABF.</w:t>
      </w:r>
    </w:p>
    <w:p w:rsidR="000C7D25" w:rsidRPr="000C7D25" w:rsidRDefault="000C7D25" w:rsidP="000C7D25">
      <w:pPr>
        <w:shd w:val="clear" w:color="auto" w:fill="FFFFFF"/>
        <w:spacing w:after="120"/>
        <w:rPr>
          <w:rFonts w:ascii="Arial" w:eastAsia="Arial" w:hAnsi="Arial" w:cs="Arial"/>
          <w:sz w:val="22"/>
          <w:szCs w:val="22"/>
          <w:lang w:val="en"/>
        </w:rPr>
      </w:pPr>
      <w:r w:rsidRPr="000C7D25">
        <w:rPr>
          <w:rFonts w:ascii="Arial" w:eastAsia="Arial" w:hAnsi="Arial" w:cs="Arial"/>
          <w:sz w:val="22"/>
          <w:szCs w:val="22"/>
          <w:lang w:val="en-AU" w:eastAsia="en-AU"/>
        </w:rPr>
        <w:t xml:space="preserve">The NEC Determination provides a set dollar amount that represents the average cost of block funded hospitals across Australia. </w:t>
      </w:r>
      <w:r w:rsidRPr="000C7D25">
        <w:rPr>
          <w:rFonts w:ascii="Arial" w:eastAsia="Arial" w:hAnsi="Arial" w:cs="Arial"/>
          <w:sz w:val="22"/>
          <w:szCs w:val="22"/>
          <w:lang w:val="en"/>
        </w:rPr>
        <w:t xml:space="preserve">Hospitals are assigned to a size-locality grouping and mean expenditure is calculated for groupings. </w:t>
      </w:r>
    </w:p>
    <w:p w:rsidR="000C7D25" w:rsidRPr="000C7D25" w:rsidRDefault="000C7D25" w:rsidP="000C7D25">
      <w:pPr>
        <w:shd w:val="clear" w:color="auto" w:fill="FFFFFF"/>
        <w:spacing w:after="120"/>
        <w:rPr>
          <w:rFonts w:ascii="Arial" w:eastAsia="Arial" w:hAnsi="Arial" w:cs="Arial"/>
          <w:sz w:val="22"/>
          <w:szCs w:val="22"/>
          <w:lang w:val="en"/>
        </w:rPr>
      </w:pPr>
      <w:r w:rsidRPr="000C7D25">
        <w:rPr>
          <w:rFonts w:ascii="Arial" w:eastAsia="Arial" w:hAnsi="Arial" w:cs="Arial"/>
          <w:sz w:val="22"/>
          <w:szCs w:val="22"/>
          <w:lang w:val="en"/>
        </w:rPr>
        <w:t>IHPA works closely with a Small Rural Hospital Working Group which includes representatives from states and territories, small rural hospitals and peak healthcare bodies and associations. The working group provides vital guidance and advice to IHPA about setting an effective cost for block funding.</w:t>
      </w:r>
    </w:p>
    <w:p w:rsidR="000C7D25" w:rsidRPr="000C7D25" w:rsidRDefault="000C7D25" w:rsidP="000C7D25">
      <w:pPr>
        <w:shd w:val="clear" w:color="auto" w:fill="FFFFFF"/>
        <w:spacing w:after="120"/>
        <w:ind w:hanging="567"/>
        <w:rPr>
          <w:rFonts w:ascii="Arial" w:eastAsia="Arial" w:hAnsi="Arial" w:cs="Arial"/>
          <w:sz w:val="22"/>
          <w:szCs w:val="22"/>
          <w:lang w:val="en-AU"/>
        </w:rPr>
      </w:pPr>
      <w:r w:rsidRPr="000C7D25">
        <w:rPr>
          <w:rFonts w:ascii="Arial" w:eastAsia="Arial" w:hAnsi="Arial" w:cs="Arial"/>
          <w:sz w:val="22"/>
          <w:szCs w:val="22"/>
          <w:lang w:val="en-AU"/>
        </w:rPr>
        <w:tab/>
        <w:t>The key difference between the NEP and the NEC is that in relation to the NEC the states and territories manage the total block funding amount provided to hospitals. This is determined through service level agreements that are made between the states and territories and the Local Hospital Networks.</w:t>
      </w:r>
    </w:p>
    <w:p w:rsidR="000C7D25" w:rsidRPr="000C7D25" w:rsidRDefault="000C7D25" w:rsidP="000C7D25">
      <w:pPr>
        <w:shd w:val="clear" w:color="auto" w:fill="FFFFFF"/>
        <w:spacing w:after="120"/>
        <w:rPr>
          <w:rFonts w:ascii="Arial" w:eastAsia="Arial" w:hAnsi="Arial" w:cs="Arial"/>
          <w:sz w:val="22"/>
          <w:szCs w:val="22"/>
          <w:lang w:val="en-AU" w:eastAsia="en-AU"/>
        </w:rPr>
      </w:pPr>
    </w:p>
    <w:p w:rsidR="000C7D25" w:rsidRPr="000C7D25" w:rsidRDefault="000C7D25" w:rsidP="000C7D25">
      <w:pPr>
        <w:spacing w:after="120"/>
        <w:rPr>
          <w:rFonts w:ascii="Arial" w:eastAsia="Arial" w:hAnsi="Arial"/>
          <w:b/>
          <w:sz w:val="22"/>
          <w:szCs w:val="22"/>
          <w:lang w:val="en-AU"/>
        </w:rPr>
      </w:pPr>
      <w:r w:rsidRPr="000C7D25">
        <w:rPr>
          <w:rFonts w:ascii="Arial" w:eastAsia="Arial" w:hAnsi="Arial"/>
          <w:b/>
          <w:sz w:val="22"/>
          <w:szCs w:val="22"/>
          <w:lang w:val="en-AU"/>
        </w:rPr>
        <w:t>2. Summary of key changes</w:t>
      </w:r>
    </w:p>
    <w:p w:rsidR="000C7D25" w:rsidRPr="000C7D25" w:rsidRDefault="000C7D25" w:rsidP="000C7D25">
      <w:pPr>
        <w:spacing w:after="120"/>
        <w:rPr>
          <w:rFonts w:ascii="Arial" w:eastAsia="Arial" w:hAnsi="Arial" w:cs="Arial"/>
          <w:sz w:val="22"/>
          <w:szCs w:val="22"/>
          <w:lang w:val="en-AU"/>
        </w:rPr>
      </w:pPr>
      <w:r w:rsidRPr="000C7D25">
        <w:rPr>
          <w:rFonts w:ascii="Arial" w:eastAsia="Arial" w:hAnsi="Arial" w:cs="Arial"/>
          <w:sz w:val="22"/>
          <w:szCs w:val="22"/>
          <w:lang w:val="en-AU"/>
        </w:rPr>
        <w:t xml:space="preserve">Based on the principles in the </w:t>
      </w:r>
      <w:r w:rsidRPr="000C7D25">
        <w:rPr>
          <w:rFonts w:ascii="Arial" w:eastAsia="Arial" w:hAnsi="Arial" w:cs="Arial"/>
          <w:i/>
          <w:iCs/>
          <w:sz w:val="22"/>
          <w:szCs w:val="22"/>
          <w:lang w:val="en-AU"/>
        </w:rPr>
        <w:t>Pricing Framework for Australian Public Hospital Services 2017-18</w:t>
      </w:r>
      <w:r w:rsidRPr="000C7D25">
        <w:rPr>
          <w:rFonts w:ascii="Arial" w:eastAsia="Arial" w:hAnsi="Arial" w:cs="Arial"/>
          <w:sz w:val="22"/>
          <w:szCs w:val="22"/>
          <w:lang w:val="en-AU"/>
        </w:rPr>
        <w:t xml:space="preserve">, IHPA has determined the NEP and NEC for 2017-18. </w:t>
      </w:r>
    </w:p>
    <w:p w:rsidR="000C7D25" w:rsidRPr="000C7D25" w:rsidRDefault="000C7D25" w:rsidP="000C7D25">
      <w:pPr>
        <w:spacing w:after="120"/>
        <w:rPr>
          <w:rFonts w:ascii="Arial" w:eastAsia="Arial" w:hAnsi="Arial"/>
          <w:sz w:val="22"/>
          <w:szCs w:val="22"/>
          <w:lang w:val="en-AU"/>
        </w:rPr>
      </w:pPr>
    </w:p>
    <w:p w:rsidR="000C7D25" w:rsidRPr="000C7D25" w:rsidRDefault="000C7D25" w:rsidP="000C7D25">
      <w:pPr>
        <w:spacing w:after="120"/>
        <w:rPr>
          <w:rFonts w:ascii="Arial" w:eastAsia="Arial" w:hAnsi="Arial"/>
          <w:b/>
          <w:sz w:val="22"/>
          <w:szCs w:val="22"/>
          <w:lang w:val="en-AU"/>
        </w:rPr>
      </w:pPr>
      <w:r w:rsidRPr="000C7D25">
        <w:rPr>
          <w:rFonts w:ascii="Arial" w:eastAsia="Arial" w:hAnsi="Arial"/>
          <w:b/>
          <w:sz w:val="22"/>
          <w:szCs w:val="22"/>
          <w:lang w:val="en-AU"/>
        </w:rPr>
        <w:t>National Efficient Price 2017-18</w:t>
      </w:r>
    </w:p>
    <w:p w:rsidR="000C7D25" w:rsidRPr="000C7D25" w:rsidRDefault="000C7D25" w:rsidP="000C7D25">
      <w:pPr>
        <w:spacing w:after="120"/>
        <w:rPr>
          <w:rFonts w:ascii="Arial" w:eastAsia="Arial" w:hAnsi="Arial"/>
          <w:sz w:val="22"/>
          <w:szCs w:val="22"/>
          <w:lang w:val="en-AU"/>
        </w:rPr>
      </w:pPr>
      <w:r w:rsidRPr="000C7D25">
        <w:rPr>
          <w:rFonts w:ascii="Arial" w:eastAsia="Arial" w:hAnsi="Arial"/>
          <w:sz w:val="22"/>
          <w:szCs w:val="22"/>
          <w:lang w:val="en-AU"/>
        </w:rPr>
        <w:t>The NEP for 2017-18 is $4,910 per NWAU.</w:t>
      </w:r>
    </w:p>
    <w:p w:rsidR="000C7D25" w:rsidRPr="000C7D25" w:rsidRDefault="000C7D25" w:rsidP="000C7D25">
      <w:pPr>
        <w:spacing w:after="120"/>
        <w:rPr>
          <w:rFonts w:ascii="Arial" w:eastAsia="Arial" w:hAnsi="Arial"/>
          <w:sz w:val="22"/>
          <w:szCs w:val="22"/>
          <w:lang w:val="en-AU"/>
        </w:rPr>
      </w:pPr>
      <w:r w:rsidRPr="000C7D25">
        <w:rPr>
          <w:rFonts w:ascii="Arial" w:eastAsia="Arial" w:hAnsi="Arial"/>
          <w:sz w:val="22"/>
          <w:szCs w:val="22"/>
          <w:lang w:val="en-AU"/>
        </w:rPr>
        <w:lastRenderedPageBreak/>
        <w:t>The NEP has been impacted by a number of methodological improvements. The improvements with material impacts on the NEP for 2017-18 are as follows:</w:t>
      </w:r>
    </w:p>
    <w:p w:rsidR="000C7D25" w:rsidRPr="000C7D25" w:rsidRDefault="000C7D25" w:rsidP="000C7D25">
      <w:pPr>
        <w:spacing w:after="120"/>
        <w:rPr>
          <w:rFonts w:ascii="Arial" w:eastAsia="Arial" w:hAnsi="Arial"/>
          <w:sz w:val="22"/>
          <w:szCs w:val="22"/>
          <w:lang w:val="en-AU"/>
        </w:rPr>
      </w:pPr>
    </w:p>
    <w:p w:rsidR="000C7D25" w:rsidRPr="000C7D25" w:rsidRDefault="000C7D25" w:rsidP="000C7D25">
      <w:pPr>
        <w:spacing w:after="120"/>
        <w:rPr>
          <w:rFonts w:ascii="Arial" w:eastAsia="Arial" w:hAnsi="Arial" w:cs="Arial"/>
          <w:b/>
          <w:bCs/>
          <w:sz w:val="22"/>
          <w:szCs w:val="22"/>
          <w:lang w:val="en-AU"/>
        </w:rPr>
      </w:pPr>
      <w:r w:rsidRPr="000C7D25">
        <w:rPr>
          <w:rFonts w:ascii="Arial" w:eastAsia="Arial" w:hAnsi="Arial" w:cs="Arial"/>
          <w:b/>
          <w:bCs/>
          <w:sz w:val="22"/>
          <w:szCs w:val="22"/>
          <w:lang w:val="en-AU"/>
        </w:rPr>
        <w:t>Pricing and funding for safety and quality</w:t>
      </w:r>
    </w:p>
    <w:p w:rsidR="000C7D25" w:rsidRPr="000C7D25" w:rsidRDefault="000C7D25" w:rsidP="000C7D25">
      <w:pPr>
        <w:spacing w:after="120"/>
        <w:rPr>
          <w:rFonts w:ascii="Arial" w:eastAsia="Arial" w:hAnsi="Arial" w:cs="Arial"/>
          <w:b/>
          <w:bCs/>
          <w:sz w:val="22"/>
          <w:szCs w:val="22"/>
          <w:lang w:val="en-AU"/>
        </w:rPr>
      </w:pPr>
    </w:p>
    <w:p w:rsidR="000C7D25" w:rsidRPr="000C7D25" w:rsidRDefault="000C7D25" w:rsidP="000C7D25">
      <w:pPr>
        <w:spacing w:after="120"/>
        <w:rPr>
          <w:rFonts w:ascii="Arial" w:eastAsia="Arial" w:hAnsi="Arial" w:cs="Arial"/>
          <w:b/>
          <w:bCs/>
          <w:i/>
          <w:sz w:val="22"/>
          <w:szCs w:val="22"/>
          <w:lang w:val="en-AU"/>
        </w:rPr>
      </w:pPr>
      <w:r w:rsidRPr="000C7D25">
        <w:rPr>
          <w:rFonts w:ascii="Arial" w:eastAsia="Arial" w:hAnsi="Arial" w:cs="Arial"/>
          <w:b/>
          <w:bCs/>
          <w:i/>
          <w:sz w:val="22"/>
          <w:szCs w:val="22"/>
          <w:lang w:val="en-AU"/>
        </w:rPr>
        <w:t>Sentinel events</w:t>
      </w:r>
    </w:p>
    <w:p w:rsidR="000C7D25" w:rsidRPr="000C7D25" w:rsidRDefault="000C7D25" w:rsidP="000C7D25">
      <w:pPr>
        <w:spacing w:before="120" w:after="120"/>
        <w:rPr>
          <w:rFonts w:ascii="Arial" w:eastAsia="Arial" w:hAnsi="Arial" w:cs="Arial"/>
          <w:sz w:val="22"/>
          <w:szCs w:val="22"/>
          <w:lang w:val="en-AU"/>
        </w:rPr>
      </w:pPr>
      <w:r w:rsidRPr="000C7D25">
        <w:rPr>
          <w:rFonts w:ascii="Arial" w:eastAsia="Arial" w:hAnsi="Arial" w:cs="Arial"/>
          <w:sz w:val="22"/>
          <w:szCs w:val="22"/>
          <w:lang w:val="en-AU"/>
        </w:rPr>
        <w:t>IHPA has been directed by the Commonwealth Minister for Health to reduce funding to zero for public hospital episodes that include a sentinel (catastrophic) event that occurs on or after 1 July 2017, and apply this to all relevant episodes of care (all streams) in both ABF and block funded hospitals.</w:t>
      </w:r>
    </w:p>
    <w:p w:rsidR="000C7D25" w:rsidRPr="000C7D25" w:rsidRDefault="000C7D25" w:rsidP="000C7D25">
      <w:pPr>
        <w:spacing w:after="120"/>
        <w:rPr>
          <w:rFonts w:ascii="Arial" w:eastAsia="Arial" w:hAnsi="Arial" w:cs="Arial"/>
          <w:b/>
          <w:bCs/>
          <w:sz w:val="22"/>
          <w:szCs w:val="22"/>
          <w:lang w:val="en-AU"/>
        </w:rPr>
      </w:pPr>
      <w:r w:rsidRPr="000C7D25">
        <w:rPr>
          <w:rFonts w:ascii="Arial" w:eastAsia="Arial" w:hAnsi="Arial" w:cs="Arial"/>
          <w:sz w:val="22"/>
          <w:szCs w:val="22"/>
          <w:lang w:val="en-AU"/>
        </w:rPr>
        <w:t>In implementing this approach, IHPA is to have regard to the Australian Commission on Safety and Quality in Health Care’s review of sentinel events and monitor and review the reporting of sentinel events by states and territories to ensure those events are adequately reported for the purposes of funding adjustments.</w:t>
      </w:r>
    </w:p>
    <w:p w:rsidR="000C7D25" w:rsidRPr="000C7D25" w:rsidRDefault="000C7D25" w:rsidP="000C7D25">
      <w:pPr>
        <w:spacing w:before="120" w:after="120"/>
        <w:rPr>
          <w:rFonts w:ascii="Arial" w:eastAsia="Arial" w:hAnsi="Arial" w:cs="Arial"/>
          <w:color w:val="000000"/>
          <w:sz w:val="22"/>
          <w:szCs w:val="22"/>
          <w:lang w:val="en-AU"/>
        </w:rPr>
      </w:pPr>
      <w:r w:rsidRPr="000C7D25">
        <w:rPr>
          <w:rFonts w:ascii="Arial" w:eastAsia="Arial" w:hAnsi="Arial" w:cs="Arial"/>
          <w:color w:val="000000"/>
          <w:sz w:val="22"/>
          <w:szCs w:val="22"/>
          <w:lang w:val="en-AU"/>
        </w:rPr>
        <w:t xml:space="preserve">IHPA will work with jurisdictions to identify the most effective approach for states and territories to report sentinel events to IHPA and the Administrator of the National Health Funding Pool. IHPA will work with jurisdictions and the Administrator to determine the method of application in the national funding model. </w:t>
      </w:r>
    </w:p>
    <w:p w:rsidR="000C7D25" w:rsidRPr="000C7D25" w:rsidRDefault="000C7D25" w:rsidP="000C7D25">
      <w:pPr>
        <w:spacing w:before="120" w:after="120"/>
        <w:rPr>
          <w:rFonts w:ascii="Arial" w:eastAsia="Arial" w:hAnsi="Arial" w:cs="Arial"/>
          <w:color w:val="000000"/>
          <w:sz w:val="22"/>
          <w:szCs w:val="22"/>
          <w:lang w:val="en-AU"/>
        </w:rPr>
      </w:pPr>
      <w:r w:rsidRPr="000C7D25">
        <w:rPr>
          <w:rFonts w:ascii="Arial" w:eastAsia="Arial" w:hAnsi="Arial" w:cs="Arial"/>
          <w:color w:val="000000"/>
          <w:sz w:val="22"/>
          <w:szCs w:val="22"/>
          <w:lang w:val="en-AU"/>
        </w:rPr>
        <w:t>IHPA is participating in the Australian Commission on Safety and Quality in Health Care’s review of sentinel events and will consider the outcomes of this review including any refinements that improve national consistency in the definition and reporting of sentinel events.</w:t>
      </w:r>
    </w:p>
    <w:p w:rsidR="000C7D25" w:rsidRPr="000C7D25" w:rsidRDefault="000C7D25" w:rsidP="000C7D25">
      <w:pPr>
        <w:spacing w:after="120"/>
        <w:rPr>
          <w:rFonts w:ascii="Arial" w:eastAsia="Arial" w:hAnsi="Arial" w:cs="Arial"/>
          <w:color w:val="FF0000"/>
          <w:sz w:val="22"/>
          <w:szCs w:val="22"/>
          <w:lang w:val="en-AU"/>
        </w:rPr>
      </w:pPr>
    </w:p>
    <w:p w:rsidR="000C7D25" w:rsidRPr="000C7D25" w:rsidRDefault="000C7D25" w:rsidP="000C7D25">
      <w:pPr>
        <w:spacing w:after="120"/>
        <w:rPr>
          <w:rFonts w:ascii="Arial" w:eastAsia="Arial" w:hAnsi="Arial" w:cs="Arial"/>
          <w:b/>
          <w:bCs/>
          <w:sz w:val="22"/>
          <w:szCs w:val="22"/>
          <w:lang w:val="en-AU"/>
        </w:rPr>
      </w:pPr>
      <w:r w:rsidRPr="000C7D25">
        <w:rPr>
          <w:rFonts w:ascii="Arial" w:eastAsia="Arial" w:hAnsi="Arial" w:cs="Arial"/>
          <w:b/>
          <w:bCs/>
          <w:sz w:val="22"/>
          <w:szCs w:val="22"/>
          <w:lang w:val="en-AU"/>
        </w:rPr>
        <w:t>Indexation of cost data</w:t>
      </w:r>
    </w:p>
    <w:p w:rsidR="000C7D25" w:rsidRPr="000C7D25" w:rsidRDefault="000C7D25" w:rsidP="000C7D25">
      <w:pPr>
        <w:spacing w:after="120"/>
        <w:rPr>
          <w:rFonts w:ascii="Arial" w:eastAsia="Arial" w:hAnsi="Arial" w:cs="Arial"/>
          <w:sz w:val="22"/>
          <w:szCs w:val="22"/>
          <w:lang w:val="en-AU"/>
        </w:rPr>
      </w:pPr>
      <w:r w:rsidRPr="000C7D25">
        <w:rPr>
          <w:rFonts w:ascii="Arial" w:eastAsia="Arial" w:hAnsi="Arial" w:cs="Arial"/>
          <w:sz w:val="22"/>
          <w:szCs w:val="22"/>
          <w:lang w:val="en-AU"/>
        </w:rPr>
        <w:t xml:space="preserve">The cost data used to develop NEP17 is sourced from the NHCDC for 2014-15. To account for the three year time lag between the costing data and the price, IHPA indexes the cost data using a pre-determined indexation methodology. IHPA has reviewed the indexation methodology in preparation for determining NEP17, and has decided that its approach to indexation is appropriate. </w:t>
      </w:r>
    </w:p>
    <w:p w:rsidR="000C7D25" w:rsidRPr="000C7D25" w:rsidRDefault="000C7D25" w:rsidP="000C7D25">
      <w:pPr>
        <w:spacing w:after="120"/>
        <w:rPr>
          <w:rFonts w:ascii="Arial" w:eastAsia="Arial" w:hAnsi="Arial" w:cs="Arial"/>
          <w:color w:val="FF0000"/>
          <w:sz w:val="22"/>
          <w:szCs w:val="22"/>
          <w:lang w:val="en-AU"/>
        </w:rPr>
      </w:pPr>
    </w:p>
    <w:p w:rsidR="000C7D25" w:rsidRPr="000C7D25" w:rsidRDefault="000C7D25" w:rsidP="000C7D25">
      <w:pPr>
        <w:spacing w:after="120"/>
        <w:rPr>
          <w:rFonts w:ascii="Arial" w:eastAsia="Arial" w:hAnsi="Arial" w:cs="Arial"/>
          <w:b/>
          <w:color w:val="000000"/>
          <w:sz w:val="22"/>
          <w:szCs w:val="22"/>
          <w:lang w:val="en-AU"/>
        </w:rPr>
      </w:pPr>
      <w:r w:rsidRPr="000C7D25">
        <w:rPr>
          <w:rFonts w:ascii="Arial" w:eastAsia="Arial" w:hAnsi="Arial" w:cs="Arial"/>
          <w:b/>
          <w:color w:val="000000"/>
          <w:sz w:val="22"/>
          <w:szCs w:val="22"/>
          <w:lang w:val="en-AU"/>
        </w:rPr>
        <w:t xml:space="preserve">Back casting </w:t>
      </w:r>
    </w:p>
    <w:p w:rsidR="000C7D25" w:rsidRPr="000C7D25" w:rsidRDefault="000C7D25" w:rsidP="000C7D25">
      <w:pPr>
        <w:spacing w:after="120"/>
        <w:rPr>
          <w:rFonts w:ascii="Arial" w:eastAsia="Arial" w:hAnsi="Arial" w:cs="Arial"/>
          <w:sz w:val="22"/>
          <w:szCs w:val="22"/>
          <w:lang w:val="en-AU"/>
        </w:rPr>
      </w:pPr>
      <w:r w:rsidRPr="000C7D25">
        <w:rPr>
          <w:rFonts w:ascii="Arial" w:eastAsia="Arial" w:hAnsi="Arial" w:cs="Arial"/>
          <w:sz w:val="22"/>
          <w:szCs w:val="22"/>
          <w:lang w:val="en-AU"/>
        </w:rPr>
        <w:t xml:space="preserve">As with previous years, the Pricing Authority has recalculated (‘back-cast’) NEP16 to incorporate the most up-to-date cost data and to take account of methodological changes introduced in NEP16 which impact on the ability to compare the NEP between years. IHPA is required to back-cast the previous year’s NEP under Clause A40 of the National Health Reform Agreement. </w:t>
      </w:r>
    </w:p>
    <w:p w:rsidR="000C7D25" w:rsidRPr="000C7D25" w:rsidRDefault="000C7D25" w:rsidP="000C7D25">
      <w:pPr>
        <w:spacing w:after="120"/>
        <w:rPr>
          <w:rFonts w:ascii="Arial" w:eastAsia="Arial" w:hAnsi="Arial" w:cs="Arial"/>
          <w:sz w:val="22"/>
          <w:szCs w:val="22"/>
          <w:lang w:val="en-AU"/>
        </w:rPr>
      </w:pPr>
      <w:r w:rsidRPr="000C7D25">
        <w:rPr>
          <w:rFonts w:ascii="Arial" w:eastAsia="Arial" w:hAnsi="Arial" w:cs="Arial"/>
          <w:sz w:val="22"/>
          <w:szCs w:val="22"/>
          <w:lang w:val="en-AU"/>
        </w:rPr>
        <w:t>Back-casting is important to ensure the calculation of Commonwealth funding is not adversely impacted by changes in the calculation of the NEP over years. Under the National Health Reform Agreement, the Commonwealth funds 45 per cent of the efficient growth in public hospital services which are funded on an activity basis.</w:t>
      </w:r>
    </w:p>
    <w:p w:rsidR="000C7D25" w:rsidRPr="000C7D25" w:rsidRDefault="000C7D25" w:rsidP="000C7D25">
      <w:pPr>
        <w:spacing w:after="120"/>
        <w:rPr>
          <w:rFonts w:ascii="Arial" w:eastAsia="Arial" w:hAnsi="Arial" w:cs="Arial"/>
          <w:sz w:val="22"/>
          <w:szCs w:val="22"/>
          <w:lang w:val="en-AU"/>
        </w:rPr>
      </w:pPr>
      <w:r w:rsidRPr="000C7D25">
        <w:rPr>
          <w:rFonts w:ascii="Arial" w:eastAsia="Arial" w:hAnsi="Arial" w:cs="Arial"/>
          <w:sz w:val="22"/>
          <w:szCs w:val="22"/>
          <w:lang w:val="en-AU"/>
        </w:rPr>
        <w:t>The Pricing Authority has recalculated NEP16 using more up to date cost data than was available when NEP16 was initially calculated. This is allowed for in the National Health Reform Agreement (Clause A40).</w:t>
      </w:r>
    </w:p>
    <w:p w:rsidR="000C7D25" w:rsidRPr="000C7D25" w:rsidRDefault="000C7D25" w:rsidP="000C7D25">
      <w:pPr>
        <w:spacing w:after="120"/>
        <w:rPr>
          <w:rFonts w:ascii="Arial" w:eastAsia="Arial" w:hAnsi="Arial" w:cs="Arial"/>
          <w:sz w:val="22"/>
          <w:szCs w:val="22"/>
          <w:lang w:val="en-AU"/>
        </w:rPr>
      </w:pPr>
      <w:r w:rsidRPr="000C7D25">
        <w:rPr>
          <w:rFonts w:ascii="Arial" w:eastAsia="Arial" w:hAnsi="Arial" w:cs="Arial"/>
          <w:sz w:val="22"/>
          <w:szCs w:val="22"/>
          <w:lang w:val="en-AU"/>
        </w:rPr>
        <w:t xml:space="preserve">The back-cast NEP16 shows an increase of 1.6% between NEP16 and NEP17 which is the basis for Commonwealth growth funding for 2017-18. </w:t>
      </w:r>
    </w:p>
    <w:p w:rsidR="000C7D25" w:rsidRPr="000C7D25" w:rsidRDefault="000C7D25" w:rsidP="000C7D25">
      <w:pPr>
        <w:spacing w:after="120"/>
        <w:rPr>
          <w:rFonts w:ascii="Arial" w:eastAsia="Arial" w:hAnsi="Arial" w:cs="Arial"/>
          <w:sz w:val="22"/>
          <w:szCs w:val="22"/>
          <w:lang w:val="en-AU"/>
        </w:rPr>
      </w:pPr>
    </w:p>
    <w:tbl>
      <w:tblPr>
        <w:tblW w:w="0" w:type="auto"/>
        <w:tblInd w:w="108" w:type="dxa"/>
        <w:tblCellMar>
          <w:left w:w="0" w:type="dxa"/>
          <w:right w:w="0" w:type="dxa"/>
        </w:tblCellMar>
        <w:tblLook w:val="04A0" w:firstRow="1" w:lastRow="0" w:firstColumn="1" w:lastColumn="0" w:noHBand="0" w:noVBand="1"/>
      </w:tblPr>
      <w:tblGrid>
        <w:gridCol w:w="2732"/>
        <w:gridCol w:w="2841"/>
        <w:gridCol w:w="2841"/>
      </w:tblGrid>
      <w:tr w:rsidR="000C7D25" w:rsidRPr="000C7D25" w:rsidTr="009B6B9D">
        <w:tc>
          <w:tcPr>
            <w:tcW w:w="27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C7D25" w:rsidRPr="000C7D25" w:rsidRDefault="000C7D25" w:rsidP="000C7D25">
            <w:pPr>
              <w:spacing w:after="120"/>
              <w:rPr>
                <w:rFonts w:ascii="Arial" w:eastAsia="Arial" w:hAnsi="Arial" w:cs="Arial"/>
                <w:b/>
                <w:bCs/>
                <w:sz w:val="22"/>
                <w:szCs w:val="22"/>
                <w:lang w:val="en-AU"/>
              </w:rPr>
            </w:pPr>
            <w:r w:rsidRPr="000C7D25">
              <w:rPr>
                <w:rFonts w:ascii="Arial" w:eastAsia="Arial" w:hAnsi="Arial" w:cs="Arial"/>
                <w:b/>
                <w:bCs/>
                <w:sz w:val="22"/>
                <w:szCs w:val="22"/>
                <w:lang w:val="en-AU" w:eastAsia="en-AU"/>
              </w:rPr>
              <w:lastRenderedPageBreak/>
              <w:t>NEP16</w:t>
            </w:r>
          </w:p>
        </w:tc>
        <w:tc>
          <w:tcPr>
            <w:tcW w:w="2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7D25" w:rsidRPr="000C7D25" w:rsidRDefault="000C7D25" w:rsidP="000C7D25">
            <w:pPr>
              <w:spacing w:after="120"/>
              <w:rPr>
                <w:rFonts w:ascii="Arial" w:eastAsia="Arial" w:hAnsi="Arial" w:cs="Arial"/>
                <w:b/>
                <w:bCs/>
                <w:sz w:val="22"/>
                <w:szCs w:val="22"/>
                <w:lang w:val="en-AU"/>
              </w:rPr>
            </w:pPr>
            <w:r w:rsidRPr="000C7D25">
              <w:rPr>
                <w:rFonts w:ascii="Arial" w:eastAsia="Arial" w:hAnsi="Arial" w:cs="Arial"/>
                <w:b/>
                <w:bCs/>
                <w:sz w:val="22"/>
                <w:szCs w:val="22"/>
                <w:lang w:val="en-AU" w:eastAsia="en-AU"/>
              </w:rPr>
              <w:t>Back-cast NEP16</w:t>
            </w:r>
          </w:p>
        </w:tc>
        <w:tc>
          <w:tcPr>
            <w:tcW w:w="2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7D25" w:rsidRPr="000C7D25" w:rsidRDefault="000C7D25" w:rsidP="000C7D25">
            <w:pPr>
              <w:spacing w:after="120"/>
              <w:rPr>
                <w:rFonts w:ascii="Arial" w:eastAsia="Arial" w:hAnsi="Arial" w:cs="Arial"/>
                <w:b/>
                <w:bCs/>
                <w:sz w:val="22"/>
                <w:szCs w:val="22"/>
                <w:lang w:val="en-AU"/>
              </w:rPr>
            </w:pPr>
            <w:r w:rsidRPr="000C7D25">
              <w:rPr>
                <w:rFonts w:ascii="Arial" w:eastAsia="Arial" w:hAnsi="Arial" w:cs="Arial"/>
                <w:b/>
                <w:bCs/>
                <w:sz w:val="22"/>
                <w:szCs w:val="22"/>
                <w:lang w:val="en-AU" w:eastAsia="en-AU"/>
              </w:rPr>
              <w:t>NEP17</w:t>
            </w:r>
          </w:p>
        </w:tc>
      </w:tr>
      <w:tr w:rsidR="000C7D25" w:rsidRPr="000C7D25" w:rsidTr="009B6B9D">
        <w:tc>
          <w:tcPr>
            <w:tcW w:w="2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7D25" w:rsidRPr="000C7D25" w:rsidRDefault="000C7D25" w:rsidP="000C7D25">
            <w:pPr>
              <w:spacing w:after="120"/>
              <w:rPr>
                <w:rFonts w:ascii="Arial" w:eastAsia="Arial" w:hAnsi="Arial" w:cs="Arial"/>
                <w:sz w:val="22"/>
                <w:szCs w:val="22"/>
                <w:lang w:val="en-AU"/>
              </w:rPr>
            </w:pPr>
            <w:r w:rsidRPr="000C7D25">
              <w:rPr>
                <w:rFonts w:ascii="Arial" w:eastAsia="Arial" w:hAnsi="Arial" w:cs="Arial"/>
                <w:sz w:val="22"/>
                <w:szCs w:val="22"/>
                <w:lang w:val="en-AU" w:eastAsia="en-AU"/>
              </w:rPr>
              <w:t>$4,883</w:t>
            </w: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rsidR="000C7D25" w:rsidRPr="000C7D25" w:rsidRDefault="000C7D25" w:rsidP="000C7D25">
            <w:pPr>
              <w:spacing w:after="120"/>
              <w:rPr>
                <w:rFonts w:ascii="Arial" w:eastAsia="Arial" w:hAnsi="Arial" w:cs="Arial"/>
                <w:sz w:val="22"/>
                <w:szCs w:val="22"/>
                <w:lang w:val="en-AU"/>
              </w:rPr>
            </w:pPr>
            <w:r w:rsidRPr="000C7D25">
              <w:rPr>
                <w:rFonts w:ascii="Arial" w:eastAsia="Arial" w:hAnsi="Arial" w:cs="Arial"/>
                <w:sz w:val="22"/>
                <w:szCs w:val="22"/>
                <w:lang w:val="en-AU" w:eastAsia="en-AU"/>
              </w:rPr>
              <w:t>$4,833</w:t>
            </w: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rsidR="000C7D25" w:rsidRPr="000C7D25" w:rsidRDefault="000C7D25" w:rsidP="000C7D25">
            <w:pPr>
              <w:spacing w:after="120"/>
              <w:rPr>
                <w:rFonts w:ascii="Arial" w:eastAsia="Arial" w:hAnsi="Arial" w:cs="Arial"/>
                <w:sz w:val="22"/>
                <w:szCs w:val="22"/>
                <w:lang w:val="en-AU"/>
              </w:rPr>
            </w:pPr>
            <w:r w:rsidRPr="000C7D25">
              <w:rPr>
                <w:rFonts w:ascii="Arial" w:eastAsia="Arial" w:hAnsi="Arial" w:cs="Arial"/>
                <w:sz w:val="22"/>
                <w:szCs w:val="22"/>
                <w:lang w:val="en-AU" w:eastAsia="en-AU"/>
              </w:rPr>
              <w:t>$4,910</w:t>
            </w:r>
          </w:p>
        </w:tc>
      </w:tr>
    </w:tbl>
    <w:p w:rsidR="000C7D25" w:rsidRPr="000C7D25" w:rsidRDefault="000C7D25" w:rsidP="000C7D25">
      <w:pPr>
        <w:spacing w:after="120"/>
        <w:rPr>
          <w:rFonts w:ascii="Arial" w:eastAsia="Arial" w:hAnsi="Arial"/>
          <w:b/>
          <w:sz w:val="22"/>
          <w:szCs w:val="22"/>
          <w:lang w:val="en-AU"/>
        </w:rPr>
      </w:pPr>
    </w:p>
    <w:p w:rsidR="000C7D25" w:rsidRPr="000C7D25" w:rsidRDefault="000C7D25" w:rsidP="000C7D25">
      <w:pPr>
        <w:spacing w:after="120"/>
        <w:rPr>
          <w:rFonts w:ascii="Arial" w:eastAsia="Arial" w:hAnsi="Arial"/>
          <w:b/>
          <w:sz w:val="22"/>
          <w:szCs w:val="22"/>
          <w:lang w:val="en-AU"/>
        </w:rPr>
      </w:pPr>
      <w:r w:rsidRPr="000C7D25">
        <w:rPr>
          <w:rFonts w:ascii="Arial" w:eastAsia="Arial" w:hAnsi="Arial"/>
          <w:b/>
          <w:sz w:val="22"/>
          <w:szCs w:val="22"/>
          <w:lang w:val="en-AU"/>
        </w:rPr>
        <w:t>National Efficient Cost 2016-17</w:t>
      </w:r>
    </w:p>
    <w:p w:rsidR="000C7D25" w:rsidRPr="000C7D25" w:rsidRDefault="000C7D25" w:rsidP="000C7D25">
      <w:pPr>
        <w:spacing w:after="120"/>
        <w:rPr>
          <w:rFonts w:ascii="Arial" w:eastAsia="Arial" w:hAnsi="Arial"/>
          <w:sz w:val="22"/>
          <w:szCs w:val="22"/>
          <w:lang w:val="en-AU"/>
        </w:rPr>
      </w:pPr>
      <w:r w:rsidRPr="000C7D25">
        <w:rPr>
          <w:rFonts w:ascii="Arial" w:eastAsia="Arial" w:hAnsi="Arial"/>
          <w:sz w:val="22"/>
          <w:szCs w:val="22"/>
          <w:lang w:val="en-AU"/>
        </w:rPr>
        <w:t xml:space="preserve">The NEC for 2017-18 is $5.406 million. </w:t>
      </w:r>
    </w:p>
    <w:p w:rsidR="000C7D25" w:rsidRPr="000C7D25" w:rsidRDefault="000C7D25" w:rsidP="000C7D25">
      <w:pPr>
        <w:spacing w:after="120"/>
        <w:rPr>
          <w:rFonts w:ascii="Arial" w:eastAsia="Arial" w:hAnsi="Arial"/>
          <w:sz w:val="22"/>
          <w:szCs w:val="22"/>
          <w:lang w:val="en-AU"/>
        </w:rPr>
      </w:pPr>
      <w:r w:rsidRPr="000C7D25">
        <w:rPr>
          <w:rFonts w:ascii="Arial" w:eastAsia="Arial" w:hAnsi="Arial"/>
          <w:sz w:val="22"/>
          <w:szCs w:val="22"/>
          <w:lang w:val="en-AU"/>
        </w:rPr>
        <w:t>The NEC17 has seen a significant improvement in data robustness due to the results of IHPA’s collaborative work with the Australian Institute of Health and Welfare to review expenditure that is in-scope under the National Health Reform Agreement. These improvements have meant that IHPA is able to reflect the true cost of block funded hospitals better.</w:t>
      </w:r>
    </w:p>
    <w:p w:rsidR="000C7D25" w:rsidRPr="000C7D25" w:rsidRDefault="000C7D25" w:rsidP="000C7D25">
      <w:pPr>
        <w:spacing w:after="120"/>
        <w:rPr>
          <w:rFonts w:ascii="Arial" w:eastAsia="Arial" w:hAnsi="Arial" w:cs="Arial"/>
          <w:b/>
          <w:sz w:val="22"/>
          <w:szCs w:val="22"/>
          <w:lang w:val="en-AU"/>
        </w:rPr>
      </w:pPr>
      <w:r w:rsidRPr="000C7D25">
        <w:rPr>
          <w:rFonts w:ascii="Arial" w:eastAsia="Arial" w:hAnsi="Arial" w:cs="Arial"/>
          <w:b/>
          <w:sz w:val="22"/>
          <w:szCs w:val="22"/>
          <w:lang w:val="en-AU"/>
        </w:rPr>
        <w:t>Back casting</w:t>
      </w:r>
    </w:p>
    <w:p w:rsidR="000C7D25" w:rsidRPr="000C7D25" w:rsidRDefault="000C7D25" w:rsidP="000C7D25">
      <w:pPr>
        <w:spacing w:after="120"/>
        <w:rPr>
          <w:rFonts w:ascii="Arial" w:eastAsia="Arial" w:hAnsi="Arial"/>
          <w:sz w:val="22"/>
          <w:szCs w:val="22"/>
          <w:lang w:val="en-AU"/>
        </w:rPr>
      </w:pPr>
      <w:r w:rsidRPr="000C7D25">
        <w:rPr>
          <w:rFonts w:ascii="Arial" w:eastAsia="Arial" w:hAnsi="Arial" w:cs="Arial"/>
          <w:sz w:val="22"/>
          <w:szCs w:val="22"/>
          <w:lang w:val="en-AU"/>
        </w:rPr>
        <w:t>Commonwealth funding for block funded hospitals is based on growth between NEC16 and NEC17. In order to calculate this growth, a back-cast NEC16 has been calculated to place it on the same basis as NEC17.</w:t>
      </w:r>
      <w:r w:rsidRPr="000C7D25">
        <w:rPr>
          <w:rFonts w:ascii="Arial" w:eastAsia="Arial" w:hAnsi="Arial"/>
          <w:sz w:val="22"/>
          <w:szCs w:val="22"/>
          <w:lang w:val="en-AU"/>
        </w:rPr>
        <w:t xml:space="preserve"> </w:t>
      </w:r>
      <w:r w:rsidRPr="000C7D25">
        <w:rPr>
          <w:rFonts w:ascii="Arial" w:eastAsia="Arial" w:hAnsi="Arial" w:cs="Arial"/>
          <w:sz w:val="22"/>
          <w:szCs w:val="22"/>
          <w:lang w:val="en-AU"/>
        </w:rPr>
        <w:t>The back-cast NEC16 figure is $5.163 million, indicating growth of 4.7% from NEC16 to NEC17.</w:t>
      </w:r>
    </w:p>
    <w:p w:rsidR="000C7D25" w:rsidRPr="000C7D25" w:rsidRDefault="000C7D25" w:rsidP="000C7D25">
      <w:pPr>
        <w:spacing w:after="120"/>
        <w:rPr>
          <w:rFonts w:ascii="Arial" w:eastAsia="Arial" w:hAnsi="Arial"/>
          <w:sz w:val="22"/>
          <w:szCs w:val="22"/>
          <w:lang w:val="en-AU"/>
        </w:rPr>
      </w:pPr>
    </w:p>
    <w:p w:rsidR="000C7D25" w:rsidRPr="000C7D25" w:rsidRDefault="000C7D25" w:rsidP="000C7D25">
      <w:pPr>
        <w:spacing w:after="120"/>
        <w:rPr>
          <w:rFonts w:ascii="Arial" w:eastAsia="Arial" w:hAnsi="Arial"/>
          <w:b/>
          <w:sz w:val="22"/>
          <w:szCs w:val="22"/>
          <w:lang w:val="en-AU"/>
        </w:rPr>
      </w:pPr>
      <w:r w:rsidRPr="000C7D25">
        <w:rPr>
          <w:rFonts w:ascii="Arial" w:eastAsia="Arial" w:hAnsi="Arial"/>
          <w:b/>
          <w:sz w:val="22"/>
          <w:szCs w:val="22"/>
          <w:lang w:val="en-AU"/>
        </w:rPr>
        <w:t>3. More information</w:t>
      </w:r>
    </w:p>
    <w:p w:rsidR="000C7D25" w:rsidRPr="000C7D25" w:rsidRDefault="000C7D25" w:rsidP="000C7D25">
      <w:pPr>
        <w:spacing w:after="120"/>
        <w:rPr>
          <w:rFonts w:ascii="Arial" w:eastAsia="Arial" w:hAnsi="Arial"/>
          <w:sz w:val="22"/>
          <w:szCs w:val="22"/>
          <w:lang w:val="en-AU"/>
        </w:rPr>
      </w:pPr>
      <w:r w:rsidRPr="000C7D25">
        <w:rPr>
          <w:rFonts w:ascii="Arial" w:eastAsia="Arial" w:hAnsi="Arial"/>
          <w:sz w:val="22"/>
          <w:szCs w:val="22"/>
          <w:lang w:val="en-AU"/>
        </w:rPr>
        <w:t xml:space="preserve">For more information about IHPA, Activity Based Funding or the NEP and NEC Determinations, please visit </w:t>
      </w:r>
      <w:hyperlink r:id="rId18" w:history="1">
        <w:r w:rsidRPr="000C7D25">
          <w:rPr>
            <w:rFonts w:ascii="Arial" w:eastAsia="Arial" w:hAnsi="Arial"/>
            <w:color w:val="0000FF"/>
            <w:sz w:val="22"/>
            <w:szCs w:val="22"/>
            <w:u w:val="single"/>
            <w:lang w:val="en-AU"/>
          </w:rPr>
          <w:t>www.ihpa.gov.au</w:t>
        </w:r>
      </w:hyperlink>
      <w:r w:rsidRPr="000C7D25">
        <w:rPr>
          <w:rFonts w:ascii="Arial" w:eastAsia="Arial" w:hAnsi="Arial"/>
          <w:sz w:val="22"/>
          <w:szCs w:val="22"/>
          <w:lang w:val="en-AU"/>
        </w:rPr>
        <w:t xml:space="preserve"> or contact </w:t>
      </w:r>
      <w:hyperlink r:id="rId19" w:history="1">
        <w:r w:rsidRPr="000C7D25">
          <w:rPr>
            <w:rFonts w:ascii="Arial" w:eastAsia="Arial" w:hAnsi="Arial"/>
            <w:color w:val="0000FF"/>
            <w:sz w:val="22"/>
            <w:szCs w:val="22"/>
            <w:u w:val="single"/>
            <w:lang w:val="en-AU"/>
          </w:rPr>
          <w:t>enquiries.ihpa@ihpa.gov.au</w:t>
        </w:r>
      </w:hyperlink>
      <w:r w:rsidRPr="000C7D25">
        <w:rPr>
          <w:rFonts w:ascii="Arial" w:eastAsia="Arial" w:hAnsi="Arial"/>
          <w:sz w:val="22"/>
          <w:szCs w:val="22"/>
          <w:lang w:val="en-AU"/>
        </w:rPr>
        <w:t xml:space="preserve">. </w:t>
      </w:r>
    </w:p>
    <w:p w:rsidR="00B42851" w:rsidRPr="0030786C" w:rsidRDefault="00B42851" w:rsidP="00CB5B1A">
      <w:pPr>
        <w:pStyle w:val="Heading3"/>
        <w:rPr>
          <w:lang w:val="en-AU"/>
        </w:rPr>
      </w:pPr>
    </w:p>
    <w:sectPr w:rsidR="00B42851" w:rsidRPr="0030786C" w:rsidSect="000C7D25">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8EB" w:rsidRDefault="002B78EB">
      <w:r>
        <w:separator/>
      </w:r>
    </w:p>
  </w:endnote>
  <w:endnote w:type="continuationSeparator" w:id="0">
    <w:p w:rsidR="002B78EB" w:rsidRDefault="002B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6E1" w:rsidRPr="00124320" w:rsidRDefault="000B563C" w:rsidP="00124320">
    <w:pPr>
      <w:pStyle w:val="Footer"/>
      <w:tabs>
        <w:tab w:val="clear" w:pos="4513"/>
      </w:tabs>
    </w:pPr>
    <w:r>
      <w:t>Independent Hospital Pricing Authority</w:t>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C44D1B">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6E1" w:rsidRPr="00782BBF" w:rsidRDefault="000B563C" w:rsidP="004C15AD">
    <w:pPr>
      <w:pStyle w:val="Footer"/>
      <w:jc w:val="right"/>
      <w:rPr>
        <w:rFonts w:ascii="Arial" w:hAnsi="Arial" w:cs="Arial"/>
        <w:sz w:val="22"/>
        <w:szCs w:val="22"/>
      </w:rPr>
    </w:pPr>
    <w:r w:rsidRPr="00782BBF">
      <w:rPr>
        <w:rFonts w:ascii="Arial" w:hAnsi="Arial" w:cs="Arial"/>
        <w:sz w:val="22"/>
        <w:szCs w:val="22"/>
      </w:rPr>
      <w:t xml:space="preserve">Page </w:t>
    </w:r>
    <w:r w:rsidRPr="00782BBF">
      <w:rPr>
        <w:rFonts w:ascii="Arial" w:hAnsi="Arial" w:cs="Arial"/>
        <w:sz w:val="22"/>
        <w:szCs w:val="22"/>
      </w:rPr>
      <w:fldChar w:fldCharType="begin"/>
    </w:r>
    <w:r w:rsidRPr="00782BBF">
      <w:rPr>
        <w:rFonts w:ascii="Arial" w:hAnsi="Arial" w:cs="Arial"/>
        <w:sz w:val="22"/>
        <w:szCs w:val="22"/>
      </w:rPr>
      <w:instrText xml:space="preserve"> PAGE   \* MERGEFORMAT </w:instrText>
    </w:r>
    <w:r w:rsidRPr="00782BBF">
      <w:rPr>
        <w:rFonts w:ascii="Arial" w:hAnsi="Arial" w:cs="Arial"/>
        <w:sz w:val="22"/>
        <w:szCs w:val="22"/>
      </w:rPr>
      <w:fldChar w:fldCharType="separate"/>
    </w:r>
    <w:r w:rsidR="00D43DC9">
      <w:rPr>
        <w:rFonts w:ascii="Arial" w:hAnsi="Arial" w:cs="Arial"/>
        <w:noProof/>
        <w:sz w:val="22"/>
        <w:szCs w:val="22"/>
      </w:rPr>
      <w:t>4</w:t>
    </w:r>
    <w:r w:rsidRPr="00782BBF">
      <w:rPr>
        <w:rFonts w:ascii="Arial" w:hAnsi="Arial" w:cs="Arial"/>
        <w:noProof/>
        <w:sz w:val="22"/>
        <w:szCs w:val="22"/>
      </w:rPr>
      <w:fldChar w:fldCharType="end"/>
    </w:r>
    <w:r w:rsidRPr="00782BBF">
      <w:rPr>
        <w:rFonts w:ascii="Arial" w:hAnsi="Arial" w:cs="Arial"/>
        <w:noProof/>
        <w:sz w:val="22"/>
        <w:szCs w:val="22"/>
      </w:rPr>
      <w:t xml:space="preserve"> of </w:t>
    </w:r>
    <w:r w:rsidRPr="00782BBF">
      <w:rPr>
        <w:rFonts w:ascii="Arial" w:hAnsi="Arial" w:cs="Arial"/>
        <w:noProof/>
        <w:sz w:val="22"/>
        <w:szCs w:val="22"/>
      </w:rPr>
      <w:fldChar w:fldCharType="begin"/>
    </w:r>
    <w:r w:rsidRPr="00782BBF">
      <w:rPr>
        <w:rFonts w:ascii="Arial" w:hAnsi="Arial" w:cs="Arial"/>
        <w:noProof/>
        <w:sz w:val="22"/>
        <w:szCs w:val="22"/>
      </w:rPr>
      <w:instrText xml:space="preserve"> NUMPAGES  \* Arabic  \* MERGEFORMAT </w:instrText>
    </w:r>
    <w:r w:rsidRPr="00782BBF">
      <w:rPr>
        <w:rFonts w:ascii="Arial" w:hAnsi="Arial" w:cs="Arial"/>
        <w:noProof/>
        <w:sz w:val="22"/>
        <w:szCs w:val="22"/>
      </w:rPr>
      <w:fldChar w:fldCharType="separate"/>
    </w:r>
    <w:r w:rsidR="00D43DC9">
      <w:rPr>
        <w:rFonts w:ascii="Arial" w:hAnsi="Arial" w:cs="Arial"/>
        <w:noProof/>
        <w:sz w:val="22"/>
        <w:szCs w:val="22"/>
      </w:rPr>
      <w:t>4</w:t>
    </w:r>
    <w:r w:rsidRPr="00782BBF">
      <w:rPr>
        <w:rFonts w:ascii="Arial" w:hAnsi="Arial" w:cs="Arial"/>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1CC" w:rsidRDefault="00E901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8EB" w:rsidRDefault="002B78EB">
      <w:r>
        <w:separator/>
      </w:r>
    </w:p>
  </w:footnote>
  <w:footnote w:type="continuationSeparator" w:id="0">
    <w:p w:rsidR="002B78EB" w:rsidRDefault="002B7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1CC" w:rsidRDefault="00E901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1CC" w:rsidRDefault="00E901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1CC" w:rsidRDefault="00E901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56C0C"/>
    <w:multiLevelType w:val="hybridMultilevel"/>
    <w:tmpl w:val="B802BA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68E696B"/>
    <w:multiLevelType w:val="hybridMultilevel"/>
    <w:tmpl w:val="796ED942"/>
    <w:lvl w:ilvl="0" w:tplc="48820B56">
      <w:start w:val="1"/>
      <w:numFmt w:val="bullet"/>
      <w:lvlText w:val=""/>
      <w:lvlJc w:val="left"/>
      <w:pPr>
        <w:ind w:left="786"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5D5"/>
    <w:rsid w:val="00046D72"/>
    <w:rsid w:val="000B563C"/>
    <w:rsid w:val="000C7D25"/>
    <w:rsid w:val="000E18DD"/>
    <w:rsid w:val="001B3443"/>
    <w:rsid w:val="00245076"/>
    <w:rsid w:val="002915D5"/>
    <w:rsid w:val="002B78EB"/>
    <w:rsid w:val="0030786C"/>
    <w:rsid w:val="004867E2"/>
    <w:rsid w:val="005F1FFF"/>
    <w:rsid w:val="006540D4"/>
    <w:rsid w:val="006F3C4B"/>
    <w:rsid w:val="007237C1"/>
    <w:rsid w:val="00795A53"/>
    <w:rsid w:val="008264EB"/>
    <w:rsid w:val="00871611"/>
    <w:rsid w:val="00B33287"/>
    <w:rsid w:val="00B42851"/>
    <w:rsid w:val="00BD0A6D"/>
    <w:rsid w:val="00C15E3D"/>
    <w:rsid w:val="00C24E71"/>
    <w:rsid w:val="00C44D1B"/>
    <w:rsid w:val="00C96803"/>
    <w:rsid w:val="00CB1611"/>
    <w:rsid w:val="00CB5B1A"/>
    <w:rsid w:val="00D1043B"/>
    <w:rsid w:val="00D43DC9"/>
    <w:rsid w:val="00D83A3E"/>
    <w:rsid w:val="00E631FD"/>
    <w:rsid w:val="00E901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15D5"/>
    <w:rPr>
      <w:sz w:val="24"/>
      <w:szCs w:val="24"/>
      <w:lang w:val="en-US"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uiPriority w:val="9"/>
    <w:unhideWhenUsed/>
    <w:qFormat/>
    <w:rsid w:val="00E631FD"/>
    <w:pPr>
      <w:keepNext/>
      <w:keepLines/>
      <w:spacing w:before="200" w:line="276" w:lineRule="auto"/>
      <w:outlineLvl w:val="1"/>
    </w:pPr>
    <w:rPr>
      <w:rFonts w:ascii="Arial" w:hAnsi="Arial" w:cs="Arial"/>
      <w:b/>
      <w:bCs/>
      <w:sz w:val="28"/>
      <w:szCs w:val="20"/>
      <w:lang w:val="en-AU" w:eastAsia="en-AU"/>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31FD"/>
    <w:rPr>
      <w:rFonts w:ascii="Arial" w:hAnsi="Arial" w:cs="Arial"/>
      <w:b/>
      <w:bCs/>
      <w:sz w:val="28"/>
    </w:rPr>
  </w:style>
  <w:style w:type="paragraph" w:styleId="Header">
    <w:name w:val="header"/>
    <w:basedOn w:val="Normal"/>
    <w:link w:val="HeaderChar"/>
    <w:rsid w:val="002915D5"/>
    <w:pPr>
      <w:tabs>
        <w:tab w:val="center" w:pos="4153"/>
        <w:tab w:val="right" w:pos="8306"/>
      </w:tabs>
      <w:spacing w:line="320" w:lineRule="exact"/>
    </w:pPr>
    <w:rPr>
      <w:rFonts w:ascii="Arial" w:hAnsi="Arial" w:cs="Arial"/>
      <w:sz w:val="22"/>
      <w:szCs w:val="22"/>
      <w:lang w:val="en-AU"/>
    </w:rPr>
  </w:style>
  <w:style w:type="character" w:customStyle="1" w:styleId="HeaderChar">
    <w:name w:val="Header Char"/>
    <w:basedOn w:val="DefaultParagraphFont"/>
    <w:link w:val="Header"/>
    <w:rsid w:val="002915D5"/>
    <w:rPr>
      <w:rFonts w:ascii="Arial" w:hAnsi="Arial" w:cs="Arial"/>
      <w:sz w:val="22"/>
      <w:szCs w:val="22"/>
      <w:lang w:eastAsia="en-US"/>
    </w:rPr>
  </w:style>
  <w:style w:type="paragraph" w:styleId="ListParagraph">
    <w:name w:val="List Paragraph"/>
    <w:aliases w:val="List Paragraph1,Recommendation"/>
    <w:basedOn w:val="Normal"/>
    <w:link w:val="ListParagraphChar"/>
    <w:uiPriority w:val="34"/>
    <w:qFormat/>
    <w:rsid w:val="002915D5"/>
    <w:pPr>
      <w:ind w:left="720"/>
      <w:contextualSpacing/>
    </w:pPr>
  </w:style>
  <w:style w:type="paragraph" w:styleId="Footer">
    <w:name w:val="footer"/>
    <w:basedOn w:val="Normal"/>
    <w:link w:val="FooterChar"/>
    <w:rsid w:val="002915D5"/>
    <w:pPr>
      <w:tabs>
        <w:tab w:val="center" w:pos="4513"/>
        <w:tab w:val="right" w:pos="9026"/>
      </w:tabs>
    </w:pPr>
  </w:style>
  <w:style w:type="character" w:customStyle="1" w:styleId="FooterChar">
    <w:name w:val="Footer Char"/>
    <w:basedOn w:val="DefaultParagraphFont"/>
    <w:link w:val="Footer"/>
    <w:rsid w:val="002915D5"/>
    <w:rPr>
      <w:sz w:val="24"/>
      <w:szCs w:val="24"/>
      <w:lang w:val="en-US" w:eastAsia="en-US"/>
    </w:rPr>
  </w:style>
  <w:style w:type="paragraph" w:styleId="BalloonText">
    <w:name w:val="Balloon Text"/>
    <w:basedOn w:val="Normal"/>
    <w:link w:val="BalloonTextChar"/>
    <w:rsid w:val="002915D5"/>
    <w:rPr>
      <w:rFonts w:ascii="Tahoma" w:hAnsi="Tahoma" w:cs="Tahoma"/>
      <w:sz w:val="16"/>
      <w:szCs w:val="16"/>
    </w:rPr>
  </w:style>
  <w:style w:type="character" w:customStyle="1" w:styleId="BalloonTextChar">
    <w:name w:val="Balloon Text Char"/>
    <w:basedOn w:val="DefaultParagraphFont"/>
    <w:link w:val="BalloonText"/>
    <w:rsid w:val="002915D5"/>
    <w:rPr>
      <w:rFonts w:ascii="Tahoma" w:hAnsi="Tahoma" w:cs="Tahoma"/>
      <w:sz w:val="16"/>
      <w:szCs w:val="16"/>
      <w:lang w:val="en-US" w:eastAsia="en-US"/>
    </w:rPr>
  </w:style>
  <w:style w:type="character" w:styleId="Hyperlink">
    <w:name w:val="Hyperlink"/>
    <w:basedOn w:val="DefaultParagraphFont"/>
    <w:rsid w:val="00C24E71"/>
    <w:rPr>
      <w:color w:val="0000FF" w:themeColor="hyperlink"/>
      <w:u w:val="single"/>
    </w:rPr>
  </w:style>
  <w:style w:type="character" w:customStyle="1" w:styleId="ListParagraphChar">
    <w:name w:val="List Paragraph Char"/>
    <w:aliases w:val="List Paragraph1 Char,Recommendation Char"/>
    <w:link w:val="ListParagraph"/>
    <w:uiPriority w:val="34"/>
    <w:locked/>
    <w:rsid w:val="00D1043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15D5"/>
    <w:rPr>
      <w:sz w:val="24"/>
      <w:szCs w:val="24"/>
      <w:lang w:val="en-US"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uiPriority w:val="9"/>
    <w:unhideWhenUsed/>
    <w:qFormat/>
    <w:rsid w:val="00E631FD"/>
    <w:pPr>
      <w:keepNext/>
      <w:keepLines/>
      <w:spacing w:before="200" w:line="276" w:lineRule="auto"/>
      <w:outlineLvl w:val="1"/>
    </w:pPr>
    <w:rPr>
      <w:rFonts w:ascii="Arial" w:hAnsi="Arial" w:cs="Arial"/>
      <w:b/>
      <w:bCs/>
      <w:sz w:val="28"/>
      <w:szCs w:val="20"/>
      <w:lang w:val="en-AU" w:eastAsia="en-AU"/>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31FD"/>
    <w:rPr>
      <w:rFonts w:ascii="Arial" w:hAnsi="Arial" w:cs="Arial"/>
      <w:b/>
      <w:bCs/>
      <w:sz w:val="28"/>
    </w:rPr>
  </w:style>
  <w:style w:type="paragraph" w:styleId="Header">
    <w:name w:val="header"/>
    <w:basedOn w:val="Normal"/>
    <w:link w:val="HeaderChar"/>
    <w:rsid w:val="002915D5"/>
    <w:pPr>
      <w:tabs>
        <w:tab w:val="center" w:pos="4153"/>
        <w:tab w:val="right" w:pos="8306"/>
      </w:tabs>
      <w:spacing w:line="320" w:lineRule="exact"/>
    </w:pPr>
    <w:rPr>
      <w:rFonts w:ascii="Arial" w:hAnsi="Arial" w:cs="Arial"/>
      <w:sz w:val="22"/>
      <w:szCs w:val="22"/>
      <w:lang w:val="en-AU"/>
    </w:rPr>
  </w:style>
  <w:style w:type="character" w:customStyle="1" w:styleId="HeaderChar">
    <w:name w:val="Header Char"/>
    <w:basedOn w:val="DefaultParagraphFont"/>
    <w:link w:val="Header"/>
    <w:rsid w:val="002915D5"/>
    <w:rPr>
      <w:rFonts w:ascii="Arial" w:hAnsi="Arial" w:cs="Arial"/>
      <w:sz w:val="22"/>
      <w:szCs w:val="22"/>
      <w:lang w:eastAsia="en-US"/>
    </w:rPr>
  </w:style>
  <w:style w:type="paragraph" w:styleId="ListParagraph">
    <w:name w:val="List Paragraph"/>
    <w:aliases w:val="List Paragraph1,Recommendation"/>
    <w:basedOn w:val="Normal"/>
    <w:link w:val="ListParagraphChar"/>
    <w:uiPriority w:val="34"/>
    <w:qFormat/>
    <w:rsid w:val="002915D5"/>
    <w:pPr>
      <w:ind w:left="720"/>
      <w:contextualSpacing/>
    </w:pPr>
  </w:style>
  <w:style w:type="paragraph" w:styleId="Footer">
    <w:name w:val="footer"/>
    <w:basedOn w:val="Normal"/>
    <w:link w:val="FooterChar"/>
    <w:rsid w:val="002915D5"/>
    <w:pPr>
      <w:tabs>
        <w:tab w:val="center" w:pos="4513"/>
        <w:tab w:val="right" w:pos="9026"/>
      </w:tabs>
    </w:pPr>
  </w:style>
  <w:style w:type="character" w:customStyle="1" w:styleId="FooterChar">
    <w:name w:val="Footer Char"/>
    <w:basedOn w:val="DefaultParagraphFont"/>
    <w:link w:val="Footer"/>
    <w:rsid w:val="002915D5"/>
    <w:rPr>
      <w:sz w:val="24"/>
      <w:szCs w:val="24"/>
      <w:lang w:val="en-US" w:eastAsia="en-US"/>
    </w:rPr>
  </w:style>
  <w:style w:type="paragraph" w:styleId="BalloonText">
    <w:name w:val="Balloon Text"/>
    <w:basedOn w:val="Normal"/>
    <w:link w:val="BalloonTextChar"/>
    <w:rsid w:val="002915D5"/>
    <w:rPr>
      <w:rFonts w:ascii="Tahoma" w:hAnsi="Tahoma" w:cs="Tahoma"/>
      <w:sz w:val="16"/>
      <w:szCs w:val="16"/>
    </w:rPr>
  </w:style>
  <w:style w:type="character" w:customStyle="1" w:styleId="BalloonTextChar">
    <w:name w:val="Balloon Text Char"/>
    <w:basedOn w:val="DefaultParagraphFont"/>
    <w:link w:val="BalloonText"/>
    <w:rsid w:val="002915D5"/>
    <w:rPr>
      <w:rFonts w:ascii="Tahoma" w:hAnsi="Tahoma" w:cs="Tahoma"/>
      <w:sz w:val="16"/>
      <w:szCs w:val="16"/>
      <w:lang w:val="en-US" w:eastAsia="en-US"/>
    </w:rPr>
  </w:style>
  <w:style w:type="character" w:styleId="Hyperlink">
    <w:name w:val="Hyperlink"/>
    <w:basedOn w:val="DefaultParagraphFont"/>
    <w:rsid w:val="00C24E71"/>
    <w:rPr>
      <w:color w:val="0000FF" w:themeColor="hyperlink"/>
      <w:u w:val="single"/>
    </w:rPr>
  </w:style>
  <w:style w:type="character" w:customStyle="1" w:styleId="ListParagraphChar">
    <w:name w:val="List Paragraph Char"/>
    <w:aliases w:val="List Paragraph1 Char,Recommendation Char"/>
    <w:link w:val="ListParagraph"/>
    <w:uiPriority w:val="34"/>
    <w:locked/>
    <w:rsid w:val="00D1043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86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ihpa.gov.a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hpa.gov.au/what-we-do/pricing-framework" TargetMode="External"/><Relationship Id="rId2" Type="http://schemas.openxmlformats.org/officeDocument/2006/relationships/styles" Target="styles.xml"/><Relationship Id="rId16" Type="http://schemas.openxmlformats.org/officeDocument/2006/relationships/hyperlink" Target="https://www.ihpa.gov.au/what-we-do/national-efficient-cost-determin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hpa.gov.au/what-we-do/national-efficient-price-determination" TargetMode="External"/><Relationship Id="rId10" Type="http://schemas.openxmlformats.org/officeDocument/2006/relationships/header" Target="header2.xml"/><Relationship Id="rId19" Type="http://schemas.openxmlformats.org/officeDocument/2006/relationships/hyperlink" Target="mailto:enquiries.ihpa@ihp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1458</Words>
  <Characters>8210</Characters>
  <Application>Microsoft Office Word</Application>
  <DocSecurity>0</DocSecurity>
  <Lines>221</Lines>
  <Paragraphs>158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2017-03-06T02:37:00Z</dcterms:created>
  <dcterms:modified xsi:type="dcterms:W3CDTF">2017-03-06T02:38:00Z</dcterms:modified>
</cp:coreProperties>
</file>