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AFCD5" w14:textId="77777777" w:rsidR="0035219F" w:rsidRPr="009C1E79" w:rsidRDefault="0035219F" w:rsidP="00790859">
      <w:pPr>
        <w:pStyle w:val="Organisation"/>
      </w:pPr>
      <w:bookmarkStart w:id="0" w:name="_GoBack"/>
      <w:bookmarkEnd w:id="0"/>
      <w:r w:rsidRPr="009C1E79">
        <w:t>Independent Hospital Pricing Authority</w:t>
      </w:r>
      <w:r w:rsidR="00043CF6" w:rsidRPr="009C1E79">
        <w:rPr>
          <w:color w:val="008542" w:themeColor="accent2"/>
          <w:sz w:val="16"/>
          <w:lang w:val="en-AU"/>
        </w:rPr>
        <w:drawing>
          <wp:anchor distT="0" distB="0" distL="114300" distR="114300" simplePos="0" relativeHeight="251676672" behindDoc="1" locked="1" layoutInCell="0" allowOverlap="1" wp14:anchorId="45DDE548" wp14:editId="6CB1D358">
            <wp:simplePos x="0" y="0"/>
            <wp:positionH relativeFrom="page">
              <wp:posOffset>0</wp:posOffset>
            </wp:positionH>
            <wp:positionV relativeFrom="page">
              <wp:posOffset>0</wp:posOffset>
            </wp:positionV>
            <wp:extent cx="7592400" cy="10738800"/>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14:paraId="7CE2576F" w14:textId="77777777" w:rsidR="0035219F" w:rsidRPr="009C1E79" w:rsidRDefault="00A13E26" w:rsidP="0035219F">
      <w:pPr>
        <w:pStyle w:val="Title"/>
      </w:pPr>
      <w:bookmarkStart w:id="1" w:name="_Toc503790172"/>
      <w:bookmarkStart w:id="2" w:name="_Toc33774495"/>
      <w:r w:rsidRPr="009C1E79">
        <w:t xml:space="preserve">Understanding the NEP and NEC </w:t>
      </w:r>
      <w:r w:rsidR="00F24B35" w:rsidRPr="009C1E79">
        <w:t>20</w:t>
      </w:r>
      <w:r w:rsidR="00F24B35">
        <w:t>20</w:t>
      </w:r>
      <w:bookmarkEnd w:id="1"/>
      <w:r w:rsidR="00F24B35">
        <w:t>–21</w:t>
      </w:r>
      <w:bookmarkEnd w:id="2"/>
    </w:p>
    <w:p w14:paraId="12413849" w14:textId="77777777" w:rsidR="008C2111" w:rsidRPr="009C1E79" w:rsidRDefault="00A13E26" w:rsidP="008C2111">
      <w:pPr>
        <w:pStyle w:val="Versionanddate"/>
        <w:sectPr w:rsidR="008C2111" w:rsidRPr="009C1E79" w:rsidSect="008C2111">
          <w:headerReference w:type="default" r:id="rId9"/>
          <w:pgSz w:w="11906" w:h="16838" w:code="9"/>
          <w:pgMar w:top="2041" w:right="3232" w:bottom="1021" w:left="1021" w:header="680" w:footer="510" w:gutter="0"/>
          <w:pgNumType w:start="1"/>
          <w:cols w:space="708"/>
          <w:docGrid w:linePitch="360"/>
        </w:sectPr>
      </w:pPr>
      <w:r w:rsidRPr="009C1E79">
        <w:t xml:space="preserve">March </w:t>
      </w:r>
      <w:r w:rsidR="004F799D" w:rsidRPr="009C1E79">
        <w:t>20</w:t>
      </w:r>
      <w:r w:rsidR="00F24B35">
        <w:t>20</w:t>
      </w:r>
    </w:p>
    <w:p w14:paraId="6B18FED7" w14:textId="77777777" w:rsidR="00BC1032" w:rsidRPr="009C1E79" w:rsidRDefault="00A13E26" w:rsidP="008C2111">
      <w:pPr>
        <w:pStyle w:val="Report"/>
      </w:pPr>
      <w:r w:rsidRPr="009C1E79">
        <w:lastRenderedPageBreak/>
        <w:t>Understanding the NEP and NEC 20</w:t>
      </w:r>
      <w:r w:rsidR="004F799D">
        <w:t>20</w:t>
      </w:r>
      <w:r w:rsidR="00F24B35">
        <w:t>–21</w:t>
      </w:r>
      <w:r w:rsidR="00BC1032" w:rsidRPr="009C1E79">
        <w:t xml:space="preserve"> –</w:t>
      </w:r>
      <w:r w:rsidR="007773C5" w:rsidRPr="009C1E79">
        <w:t xml:space="preserve"> </w:t>
      </w:r>
      <w:r w:rsidRPr="009C1E79">
        <w:t xml:space="preserve">March </w:t>
      </w:r>
      <w:r w:rsidR="00F24B35" w:rsidRPr="009C1E79">
        <w:t>20</w:t>
      </w:r>
      <w:r w:rsidR="00F24B35">
        <w:t>20</w:t>
      </w:r>
    </w:p>
    <w:p w14:paraId="38F57265" w14:textId="77777777" w:rsidR="00BC1032" w:rsidRPr="009C1E79" w:rsidRDefault="00BC1032" w:rsidP="00BC1032">
      <w:r w:rsidRPr="009C1E79">
        <w:t>© Independent Hospital Pricing Authority 20</w:t>
      </w:r>
      <w:r w:rsidR="00F24B35">
        <w:t>20</w:t>
      </w:r>
    </w:p>
    <w:p w14:paraId="3B3262EF" w14:textId="77777777" w:rsidR="00BC1032" w:rsidRPr="009C1E79" w:rsidRDefault="00BC1032" w:rsidP="00BC1032">
      <w:r w:rsidRPr="009C1E79">
        <w:t xml:space="preserve">This publication is available for your use under a </w:t>
      </w:r>
      <w:hyperlink r:id="rId10" w:history="1">
        <w:r w:rsidRPr="009C1E79">
          <w:t>Creative Commons BY Attribution 3.0 Australia</w:t>
        </w:r>
      </w:hyperlink>
      <w:r w:rsidRPr="009C1E79">
        <w:t xml:space="preserve"> licence, with the exception of the Independent Hospital Pricing Authority logo, photographs, images, signatures and where otherwise stated. The full licence terms are available from </w:t>
      </w:r>
      <w:hyperlink r:id="rId11" w:history="1">
        <w:r w:rsidRPr="009C1E79">
          <w:t>the Creative Commons website</w:t>
        </w:r>
      </w:hyperlink>
      <w:r w:rsidRPr="009C1E79">
        <w:t>.</w:t>
      </w:r>
    </w:p>
    <w:p w14:paraId="170A474A" w14:textId="77777777" w:rsidR="00BC1032" w:rsidRPr="009C1E79" w:rsidRDefault="00BC1032" w:rsidP="00BC1032">
      <w:r w:rsidRPr="009C1E79">
        <w:rPr>
          <w:rFonts w:cs="Calibri"/>
          <w:noProof/>
          <w:sz w:val="24"/>
          <w:lang w:val="en-AU"/>
        </w:rPr>
        <w:drawing>
          <wp:inline distT="0" distB="0" distL="0" distR="0" wp14:anchorId="7D05CF26" wp14:editId="62E8F27E">
            <wp:extent cx="804087" cy="285750"/>
            <wp:effectExtent l="0" t="0" r="0" b="0"/>
            <wp:docPr id="10" name="Picture 10" title="Creative Commons BY Attribution 3.0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005D9AE8" w14:textId="77777777" w:rsidR="00BC1032" w:rsidRPr="009C1E79" w:rsidRDefault="00BC1032" w:rsidP="00BC1032">
      <w:r w:rsidRPr="009C1E79">
        <w:t xml:space="preserve">Use of Independent Hospital Pricing Authority material under a </w:t>
      </w:r>
      <w:hyperlink r:id="rId13" w:history="1">
        <w:r w:rsidRPr="009C1E79">
          <w:t>Creative Commons BY Attribution 3.0 Australia</w:t>
        </w:r>
      </w:hyperlink>
      <w:r w:rsidRPr="009C1E79">
        <w:t xml:space="preserve"> licence requires you to attribute the work (but not in any way that suggests that the Independent Hospital Pricing Authority endorses you or your use of the work).</w:t>
      </w:r>
    </w:p>
    <w:p w14:paraId="220C7287" w14:textId="77777777" w:rsidR="00BC1032" w:rsidRPr="009C1E79" w:rsidRDefault="00BC1032" w:rsidP="00BC1032">
      <w:pPr>
        <w:rPr>
          <w:i/>
        </w:rPr>
      </w:pPr>
      <w:r w:rsidRPr="009C1E79">
        <w:rPr>
          <w:i/>
        </w:rPr>
        <w:t>Independent Hospital Pricing Authority material used 'as supplied'.</w:t>
      </w:r>
    </w:p>
    <w:p w14:paraId="52925A05" w14:textId="77777777" w:rsidR="00BC1032" w:rsidRPr="009C1E79" w:rsidRDefault="00BC1032" w:rsidP="00BC1032">
      <w:r w:rsidRPr="009C1E79">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539443C9" w14:textId="77777777" w:rsidR="00BC1032" w:rsidRPr="009C1E79" w:rsidRDefault="00BC1032" w:rsidP="00A13E26">
      <w:pPr>
        <w:pStyle w:val="NormalIndent"/>
      </w:pPr>
      <w:r w:rsidRPr="009C1E79">
        <w:t>Source: The Independent Hospital Pricing Authority</w:t>
      </w:r>
      <w:r w:rsidRPr="009C1E79">
        <w:br w:type="page"/>
      </w:r>
    </w:p>
    <w:sdt>
      <w:sdtPr>
        <w:rPr>
          <w:rFonts w:ascii="Arial" w:eastAsia="Times New Roman" w:hAnsi="Arial" w:cs="Times New Roman"/>
          <w:b w:val="0"/>
          <w:bCs w:val="0"/>
          <w:sz w:val="22"/>
          <w:szCs w:val="24"/>
        </w:rPr>
        <w:id w:val="1239292658"/>
        <w:docPartObj>
          <w:docPartGallery w:val="Table of Contents"/>
          <w:docPartUnique/>
        </w:docPartObj>
      </w:sdtPr>
      <w:sdtEndPr>
        <w:rPr>
          <w:noProof/>
        </w:rPr>
      </w:sdtEndPr>
      <w:sdtContent>
        <w:p w14:paraId="79F96B47" w14:textId="77777777" w:rsidR="00117A5F" w:rsidRDefault="00117A5F" w:rsidP="00790859">
          <w:pPr>
            <w:pStyle w:val="TOCHeading"/>
          </w:pPr>
          <w:r>
            <w:t>Contents</w:t>
          </w:r>
        </w:p>
        <w:p w14:paraId="03610492" w14:textId="2AFE5545" w:rsidR="00751FA3" w:rsidRDefault="00117A5F">
          <w:pPr>
            <w:pStyle w:val="TOC1"/>
            <w:rPr>
              <w:rFonts w:asciiTheme="minorHAnsi" w:eastAsiaTheme="minorEastAsia" w:hAnsiTheme="minorHAnsi" w:cstheme="minorBidi"/>
              <w:szCs w:val="22"/>
              <w:lang w:val="en-AU"/>
            </w:rPr>
          </w:pPr>
          <w:r>
            <w:fldChar w:fldCharType="begin"/>
          </w:r>
          <w:r>
            <w:instrText xml:space="preserve"> TOC \o "1-3" \h \z \u </w:instrText>
          </w:r>
          <w:r>
            <w:fldChar w:fldCharType="separate"/>
          </w:r>
          <w:hyperlink w:anchor="_Toc33774496" w:history="1">
            <w:r w:rsidR="00751FA3" w:rsidRPr="00EA6D07">
              <w:rPr>
                <w:rStyle w:val="Hyperlink"/>
              </w:rPr>
              <w:t>Introduction</w:t>
            </w:r>
            <w:r w:rsidR="00751FA3">
              <w:rPr>
                <w:webHidden/>
              </w:rPr>
              <w:tab/>
            </w:r>
            <w:r w:rsidR="00751FA3">
              <w:rPr>
                <w:webHidden/>
              </w:rPr>
              <w:fldChar w:fldCharType="begin"/>
            </w:r>
            <w:r w:rsidR="00751FA3">
              <w:rPr>
                <w:webHidden/>
              </w:rPr>
              <w:instrText xml:space="preserve"> PAGEREF _Toc33774496 \h </w:instrText>
            </w:r>
            <w:r w:rsidR="00751FA3">
              <w:rPr>
                <w:webHidden/>
              </w:rPr>
            </w:r>
            <w:r w:rsidR="00751FA3">
              <w:rPr>
                <w:webHidden/>
              </w:rPr>
              <w:fldChar w:fldCharType="separate"/>
            </w:r>
            <w:r w:rsidR="00751FA3">
              <w:rPr>
                <w:webHidden/>
              </w:rPr>
              <w:t>3</w:t>
            </w:r>
            <w:r w:rsidR="00751FA3">
              <w:rPr>
                <w:webHidden/>
              </w:rPr>
              <w:fldChar w:fldCharType="end"/>
            </w:r>
          </w:hyperlink>
        </w:p>
        <w:p w14:paraId="3BF91601" w14:textId="5E8DCB75" w:rsidR="00751FA3" w:rsidRDefault="00766B91">
          <w:pPr>
            <w:pStyle w:val="TOC2"/>
            <w:rPr>
              <w:rFonts w:asciiTheme="minorHAnsi" w:eastAsiaTheme="minorEastAsia" w:hAnsiTheme="minorHAnsi" w:cstheme="minorBidi"/>
              <w:szCs w:val="22"/>
              <w:lang w:val="en-AU"/>
            </w:rPr>
          </w:pPr>
          <w:hyperlink w:anchor="_Toc33774497" w:history="1">
            <w:r w:rsidR="00751FA3" w:rsidRPr="00EA6D07">
              <w:rPr>
                <w:rStyle w:val="Hyperlink"/>
              </w:rPr>
              <w:t>About the national efficient price</w:t>
            </w:r>
            <w:r w:rsidR="00751FA3">
              <w:rPr>
                <w:webHidden/>
              </w:rPr>
              <w:tab/>
            </w:r>
            <w:r w:rsidR="00751FA3">
              <w:rPr>
                <w:webHidden/>
              </w:rPr>
              <w:fldChar w:fldCharType="begin"/>
            </w:r>
            <w:r w:rsidR="00751FA3">
              <w:rPr>
                <w:webHidden/>
              </w:rPr>
              <w:instrText xml:space="preserve"> PAGEREF _Toc33774497 \h </w:instrText>
            </w:r>
            <w:r w:rsidR="00751FA3">
              <w:rPr>
                <w:webHidden/>
              </w:rPr>
            </w:r>
            <w:r w:rsidR="00751FA3">
              <w:rPr>
                <w:webHidden/>
              </w:rPr>
              <w:fldChar w:fldCharType="separate"/>
            </w:r>
            <w:r w:rsidR="00751FA3">
              <w:rPr>
                <w:webHidden/>
              </w:rPr>
              <w:t>3</w:t>
            </w:r>
            <w:r w:rsidR="00751FA3">
              <w:rPr>
                <w:webHidden/>
              </w:rPr>
              <w:fldChar w:fldCharType="end"/>
            </w:r>
          </w:hyperlink>
        </w:p>
        <w:p w14:paraId="5DCDEA58" w14:textId="0CFDD0F0" w:rsidR="00751FA3" w:rsidRDefault="00766B91">
          <w:pPr>
            <w:pStyle w:val="TOC2"/>
            <w:rPr>
              <w:rFonts w:asciiTheme="minorHAnsi" w:eastAsiaTheme="minorEastAsia" w:hAnsiTheme="minorHAnsi" w:cstheme="minorBidi"/>
              <w:szCs w:val="22"/>
              <w:lang w:val="en-AU"/>
            </w:rPr>
          </w:pPr>
          <w:hyperlink w:anchor="_Toc33774498" w:history="1">
            <w:r w:rsidR="00751FA3" w:rsidRPr="00EA6D07">
              <w:rPr>
                <w:rStyle w:val="Hyperlink"/>
              </w:rPr>
              <w:t>About the national efficient cost</w:t>
            </w:r>
            <w:r w:rsidR="00751FA3">
              <w:rPr>
                <w:webHidden/>
              </w:rPr>
              <w:tab/>
            </w:r>
            <w:r w:rsidR="00751FA3">
              <w:rPr>
                <w:webHidden/>
              </w:rPr>
              <w:fldChar w:fldCharType="begin"/>
            </w:r>
            <w:r w:rsidR="00751FA3">
              <w:rPr>
                <w:webHidden/>
              </w:rPr>
              <w:instrText xml:space="preserve"> PAGEREF _Toc33774498 \h </w:instrText>
            </w:r>
            <w:r w:rsidR="00751FA3">
              <w:rPr>
                <w:webHidden/>
              </w:rPr>
            </w:r>
            <w:r w:rsidR="00751FA3">
              <w:rPr>
                <w:webHidden/>
              </w:rPr>
              <w:fldChar w:fldCharType="separate"/>
            </w:r>
            <w:r w:rsidR="00751FA3">
              <w:rPr>
                <w:webHidden/>
              </w:rPr>
              <w:t>4</w:t>
            </w:r>
            <w:r w:rsidR="00751FA3">
              <w:rPr>
                <w:webHidden/>
              </w:rPr>
              <w:fldChar w:fldCharType="end"/>
            </w:r>
          </w:hyperlink>
        </w:p>
        <w:p w14:paraId="3FA424D6" w14:textId="546F33E8" w:rsidR="00751FA3" w:rsidRDefault="00766B91">
          <w:pPr>
            <w:pStyle w:val="TOC1"/>
            <w:rPr>
              <w:rFonts w:asciiTheme="minorHAnsi" w:eastAsiaTheme="minorEastAsia" w:hAnsiTheme="minorHAnsi" w:cstheme="minorBidi"/>
              <w:szCs w:val="22"/>
              <w:lang w:val="en-AU"/>
            </w:rPr>
          </w:pPr>
          <w:hyperlink w:anchor="_Toc33774499" w:history="1">
            <w:r w:rsidR="00751FA3" w:rsidRPr="00EA6D07">
              <w:rPr>
                <w:rStyle w:val="Hyperlink"/>
              </w:rPr>
              <w:t>Summary of key changes</w:t>
            </w:r>
            <w:r w:rsidR="00751FA3">
              <w:rPr>
                <w:webHidden/>
              </w:rPr>
              <w:tab/>
            </w:r>
            <w:r w:rsidR="00751FA3">
              <w:rPr>
                <w:webHidden/>
              </w:rPr>
              <w:fldChar w:fldCharType="begin"/>
            </w:r>
            <w:r w:rsidR="00751FA3">
              <w:rPr>
                <w:webHidden/>
              </w:rPr>
              <w:instrText xml:space="preserve"> PAGEREF _Toc33774499 \h </w:instrText>
            </w:r>
            <w:r w:rsidR="00751FA3">
              <w:rPr>
                <w:webHidden/>
              </w:rPr>
            </w:r>
            <w:r w:rsidR="00751FA3">
              <w:rPr>
                <w:webHidden/>
              </w:rPr>
              <w:fldChar w:fldCharType="separate"/>
            </w:r>
            <w:r w:rsidR="00751FA3">
              <w:rPr>
                <w:webHidden/>
              </w:rPr>
              <w:t>5</w:t>
            </w:r>
            <w:r w:rsidR="00751FA3">
              <w:rPr>
                <w:webHidden/>
              </w:rPr>
              <w:fldChar w:fldCharType="end"/>
            </w:r>
          </w:hyperlink>
        </w:p>
        <w:p w14:paraId="1725EAAE" w14:textId="5A016FC4" w:rsidR="00751FA3" w:rsidRDefault="00766B91">
          <w:pPr>
            <w:pStyle w:val="TOC2"/>
            <w:rPr>
              <w:rFonts w:asciiTheme="minorHAnsi" w:eastAsiaTheme="minorEastAsia" w:hAnsiTheme="minorHAnsi" w:cstheme="minorBidi"/>
              <w:szCs w:val="22"/>
              <w:lang w:val="en-AU"/>
            </w:rPr>
          </w:pPr>
          <w:hyperlink w:anchor="_Toc33774500" w:history="1">
            <w:r w:rsidR="00751FA3" w:rsidRPr="00EA6D07">
              <w:rPr>
                <w:rStyle w:val="Hyperlink"/>
              </w:rPr>
              <w:t>National efficient price 2020–21</w:t>
            </w:r>
            <w:r w:rsidR="00751FA3">
              <w:rPr>
                <w:webHidden/>
              </w:rPr>
              <w:tab/>
            </w:r>
            <w:r w:rsidR="00751FA3">
              <w:rPr>
                <w:webHidden/>
              </w:rPr>
              <w:fldChar w:fldCharType="begin"/>
            </w:r>
            <w:r w:rsidR="00751FA3">
              <w:rPr>
                <w:webHidden/>
              </w:rPr>
              <w:instrText xml:space="preserve"> PAGEREF _Toc33774500 \h </w:instrText>
            </w:r>
            <w:r w:rsidR="00751FA3">
              <w:rPr>
                <w:webHidden/>
              </w:rPr>
            </w:r>
            <w:r w:rsidR="00751FA3">
              <w:rPr>
                <w:webHidden/>
              </w:rPr>
              <w:fldChar w:fldCharType="separate"/>
            </w:r>
            <w:r w:rsidR="00751FA3">
              <w:rPr>
                <w:webHidden/>
              </w:rPr>
              <w:t>5</w:t>
            </w:r>
            <w:r w:rsidR="00751FA3">
              <w:rPr>
                <w:webHidden/>
              </w:rPr>
              <w:fldChar w:fldCharType="end"/>
            </w:r>
          </w:hyperlink>
        </w:p>
        <w:p w14:paraId="7AC8D25D" w14:textId="265445C1" w:rsidR="00751FA3" w:rsidRDefault="00766B91">
          <w:pPr>
            <w:pStyle w:val="TOC2"/>
            <w:rPr>
              <w:rFonts w:asciiTheme="minorHAnsi" w:eastAsiaTheme="minorEastAsia" w:hAnsiTheme="minorHAnsi" w:cstheme="minorBidi"/>
              <w:szCs w:val="22"/>
              <w:lang w:val="en-AU"/>
            </w:rPr>
          </w:pPr>
          <w:hyperlink w:anchor="_Toc33774502" w:history="1">
            <w:r w:rsidR="00751FA3" w:rsidRPr="00EA6D07">
              <w:rPr>
                <w:rStyle w:val="Hyperlink"/>
              </w:rPr>
              <w:t>National efficient cost 2020–21</w:t>
            </w:r>
            <w:r w:rsidR="00751FA3">
              <w:rPr>
                <w:webHidden/>
              </w:rPr>
              <w:tab/>
            </w:r>
            <w:r w:rsidR="00751FA3">
              <w:rPr>
                <w:webHidden/>
              </w:rPr>
              <w:fldChar w:fldCharType="begin"/>
            </w:r>
            <w:r w:rsidR="00751FA3">
              <w:rPr>
                <w:webHidden/>
              </w:rPr>
              <w:instrText xml:space="preserve"> PAGEREF _Toc33774502 \h </w:instrText>
            </w:r>
            <w:r w:rsidR="00751FA3">
              <w:rPr>
                <w:webHidden/>
              </w:rPr>
            </w:r>
            <w:r w:rsidR="00751FA3">
              <w:rPr>
                <w:webHidden/>
              </w:rPr>
              <w:fldChar w:fldCharType="separate"/>
            </w:r>
            <w:r w:rsidR="00751FA3">
              <w:rPr>
                <w:webHidden/>
              </w:rPr>
              <w:t>6</w:t>
            </w:r>
            <w:r w:rsidR="00751FA3">
              <w:rPr>
                <w:webHidden/>
              </w:rPr>
              <w:fldChar w:fldCharType="end"/>
            </w:r>
          </w:hyperlink>
        </w:p>
        <w:p w14:paraId="4C043278" w14:textId="3A020C77" w:rsidR="00751FA3" w:rsidRDefault="00766B91">
          <w:pPr>
            <w:pStyle w:val="TOC1"/>
            <w:rPr>
              <w:rFonts w:asciiTheme="minorHAnsi" w:eastAsiaTheme="minorEastAsia" w:hAnsiTheme="minorHAnsi" w:cstheme="minorBidi"/>
              <w:szCs w:val="22"/>
              <w:lang w:val="en-AU"/>
            </w:rPr>
          </w:pPr>
          <w:hyperlink w:anchor="_Toc33774504" w:history="1">
            <w:r w:rsidR="00751FA3" w:rsidRPr="00EA6D07">
              <w:rPr>
                <w:rStyle w:val="Hyperlink"/>
              </w:rPr>
              <w:t>More information</w:t>
            </w:r>
            <w:r w:rsidR="00751FA3">
              <w:rPr>
                <w:webHidden/>
              </w:rPr>
              <w:tab/>
            </w:r>
            <w:r w:rsidR="00751FA3">
              <w:rPr>
                <w:webHidden/>
              </w:rPr>
              <w:fldChar w:fldCharType="begin"/>
            </w:r>
            <w:r w:rsidR="00751FA3">
              <w:rPr>
                <w:webHidden/>
              </w:rPr>
              <w:instrText xml:space="preserve"> PAGEREF _Toc33774504 \h </w:instrText>
            </w:r>
            <w:r w:rsidR="00751FA3">
              <w:rPr>
                <w:webHidden/>
              </w:rPr>
            </w:r>
            <w:r w:rsidR="00751FA3">
              <w:rPr>
                <w:webHidden/>
              </w:rPr>
              <w:fldChar w:fldCharType="separate"/>
            </w:r>
            <w:r w:rsidR="00751FA3">
              <w:rPr>
                <w:webHidden/>
              </w:rPr>
              <w:t>7</w:t>
            </w:r>
            <w:r w:rsidR="00751FA3">
              <w:rPr>
                <w:webHidden/>
              </w:rPr>
              <w:fldChar w:fldCharType="end"/>
            </w:r>
          </w:hyperlink>
        </w:p>
        <w:p w14:paraId="530EE91F" w14:textId="736E5DFC" w:rsidR="00117A5F" w:rsidRDefault="00117A5F" w:rsidP="00790859">
          <w:pPr>
            <w:tabs>
              <w:tab w:val="right" w:leader="dot" w:pos="7643"/>
            </w:tabs>
            <w:ind w:right="567"/>
          </w:pPr>
          <w:r>
            <w:rPr>
              <w:b/>
              <w:bCs/>
              <w:noProof/>
            </w:rPr>
            <w:fldChar w:fldCharType="end"/>
          </w:r>
        </w:p>
      </w:sdtContent>
    </w:sdt>
    <w:p w14:paraId="7E123721" w14:textId="77777777" w:rsidR="00562759" w:rsidRPr="009C1E79" w:rsidRDefault="000B0BC4" w:rsidP="00090EC9">
      <w:pPr>
        <w:pStyle w:val="Heading1"/>
      </w:pPr>
      <w:r w:rsidRPr="00771FF8">
        <w:br w:type="page"/>
      </w:r>
      <w:bookmarkStart w:id="3" w:name="_Toc33774496"/>
      <w:r w:rsidR="00A13E26" w:rsidRPr="009C1E79">
        <w:lastRenderedPageBreak/>
        <w:t>Introduction</w:t>
      </w:r>
      <w:bookmarkEnd w:id="3"/>
    </w:p>
    <w:p w14:paraId="1BD9EA45" w14:textId="0237FDF0" w:rsidR="00A13E26" w:rsidRPr="009C1E79" w:rsidRDefault="00A13E26" w:rsidP="00A13E26">
      <w:r w:rsidRPr="009C1E79">
        <w:t xml:space="preserve">The Independent Hospital Pricing Authority’s (IHPA) key role is to determine the </w:t>
      </w:r>
      <w:r w:rsidR="00C31756" w:rsidRPr="009C1E79">
        <w:t xml:space="preserve">annual </w:t>
      </w:r>
      <w:hyperlink r:id="rId14" w:history="1">
        <w:r w:rsidR="004779C5">
          <w:rPr>
            <w:rStyle w:val="Hyperlink"/>
            <w:color w:val="00B050"/>
          </w:rPr>
          <w:t>n</w:t>
        </w:r>
        <w:r w:rsidR="00C31756" w:rsidRPr="00051EF7">
          <w:rPr>
            <w:rStyle w:val="Hyperlink"/>
            <w:color w:val="00B050"/>
          </w:rPr>
          <w:t xml:space="preserve">ational </w:t>
        </w:r>
        <w:r w:rsidR="004779C5">
          <w:rPr>
            <w:rStyle w:val="Hyperlink"/>
            <w:color w:val="00B050"/>
          </w:rPr>
          <w:t>e</w:t>
        </w:r>
        <w:r w:rsidR="00C31756" w:rsidRPr="00051EF7">
          <w:rPr>
            <w:rStyle w:val="Hyperlink"/>
            <w:color w:val="00B050"/>
          </w:rPr>
          <w:t xml:space="preserve">fficient </w:t>
        </w:r>
        <w:r w:rsidR="004779C5">
          <w:rPr>
            <w:rStyle w:val="Hyperlink"/>
            <w:color w:val="00B050"/>
          </w:rPr>
          <w:t>p</w:t>
        </w:r>
        <w:r w:rsidR="00C31756" w:rsidRPr="00051EF7">
          <w:rPr>
            <w:rStyle w:val="Hyperlink"/>
            <w:color w:val="00B050"/>
          </w:rPr>
          <w:t>rice (NEP)</w:t>
        </w:r>
      </w:hyperlink>
      <w:r w:rsidR="00C31756" w:rsidRPr="00051EF7">
        <w:t xml:space="preserve"> </w:t>
      </w:r>
      <w:r w:rsidR="00C31756" w:rsidRPr="009C1E79">
        <w:t xml:space="preserve">and </w:t>
      </w:r>
      <w:hyperlink r:id="rId15" w:history="1">
        <w:r w:rsidR="004779C5">
          <w:rPr>
            <w:rStyle w:val="Hyperlink"/>
            <w:color w:val="00B050"/>
          </w:rPr>
          <w:t>n</w:t>
        </w:r>
        <w:r w:rsidRPr="00051EF7">
          <w:rPr>
            <w:rStyle w:val="Hyperlink"/>
            <w:color w:val="00B050"/>
          </w:rPr>
          <w:t xml:space="preserve">ational </w:t>
        </w:r>
        <w:r w:rsidR="004779C5">
          <w:rPr>
            <w:rStyle w:val="Hyperlink"/>
            <w:color w:val="00B050"/>
          </w:rPr>
          <w:t>e</w:t>
        </w:r>
        <w:r w:rsidRPr="00051EF7">
          <w:rPr>
            <w:rStyle w:val="Hyperlink"/>
            <w:color w:val="00B050"/>
          </w:rPr>
          <w:t xml:space="preserve">fficient </w:t>
        </w:r>
        <w:r w:rsidR="004779C5">
          <w:rPr>
            <w:rStyle w:val="Hyperlink"/>
            <w:color w:val="00B050"/>
          </w:rPr>
          <w:t>c</w:t>
        </w:r>
        <w:r w:rsidRPr="00051EF7">
          <w:rPr>
            <w:rStyle w:val="Hyperlink"/>
            <w:color w:val="00B050"/>
          </w:rPr>
          <w:t>ost (NEC)</w:t>
        </w:r>
        <w:r w:rsidR="00C31756" w:rsidRPr="00EC65A5" w:rsidDel="00C31756">
          <w:rPr>
            <w:rStyle w:val="Hyperlink"/>
            <w:u w:val="none"/>
          </w:rPr>
          <w:t xml:space="preserve"> </w:t>
        </w:r>
      </w:hyperlink>
      <w:r w:rsidRPr="009C1E79">
        <w:t xml:space="preserve">for Australian public hospital services. </w:t>
      </w:r>
      <w:r w:rsidRPr="009C1E79">
        <w:rPr>
          <w:lang w:val="en"/>
        </w:rPr>
        <w:t>IHPA publishes the NEP and NEC Determination</w:t>
      </w:r>
      <w:r w:rsidR="007278FB" w:rsidRPr="009C1E79">
        <w:rPr>
          <w:lang w:val="en"/>
        </w:rPr>
        <w:t>s</w:t>
      </w:r>
      <w:r w:rsidRPr="009C1E79">
        <w:rPr>
          <w:lang w:val="en"/>
        </w:rPr>
        <w:t xml:space="preserve"> every year.</w:t>
      </w:r>
    </w:p>
    <w:p w14:paraId="11FD2785" w14:textId="14B5D407" w:rsidR="00A13E26" w:rsidRPr="009C1E79" w:rsidRDefault="00A13E26" w:rsidP="00A13E26">
      <w:pPr>
        <w:rPr>
          <w:lang w:val="en"/>
        </w:rPr>
      </w:pPr>
      <w:r w:rsidRPr="009C1E79">
        <w:rPr>
          <w:lang w:val="en"/>
        </w:rPr>
        <w:t xml:space="preserve">The NEP underpins </w:t>
      </w:r>
      <w:r w:rsidR="004779C5">
        <w:rPr>
          <w:lang w:val="en"/>
        </w:rPr>
        <w:t>a</w:t>
      </w:r>
      <w:r w:rsidRPr="009C1E79">
        <w:rPr>
          <w:lang w:val="en"/>
        </w:rPr>
        <w:t xml:space="preserve">ctivity </w:t>
      </w:r>
      <w:r w:rsidR="004779C5">
        <w:rPr>
          <w:lang w:val="en"/>
        </w:rPr>
        <w:t>b</w:t>
      </w:r>
      <w:r w:rsidRPr="009C1E79">
        <w:rPr>
          <w:lang w:val="en"/>
        </w:rPr>
        <w:t xml:space="preserve">ased </w:t>
      </w:r>
      <w:r w:rsidR="004779C5">
        <w:rPr>
          <w:lang w:val="en"/>
        </w:rPr>
        <w:t>f</w:t>
      </w:r>
      <w:r w:rsidRPr="009C1E79">
        <w:rPr>
          <w:lang w:val="en"/>
        </w:rPr>
        <w:t xml:space="preserve">unding (ABF) across Australia for public hospital services. ABF is a way of funding hospitals whereby they </w:t>
      </w:r>
      <w:r w:rsidR="00C364B6">
        <w:rPr>
          <w:lang w:val="en"/>
        </w:rPr>
        <w:t>are</w:t>
      </w:r>
      <w:r w:rsidR="00C364B6" w:rsidRPr="009C1E79">
        <w:rPr>
          <w:lang w:val="en"/>
        </w:rPr>
        <w:t xml:space="preserve"> </w:t>
      </w:r>
      <w:r w:rsidRPr="009C1E79">
        <w:rPr>
          <w:lang w:val="en"/>
        </w:rPr>
        <w:t xml:space="preserve">paid for the number and mix of patients they treat. ABF </w:t>
      </w:r>
      <w:r w:rsidR="00C31756" w:rsidRPr="009C1E79">
        <w:rPr>
          <w:lang w:val="en"/>
        </w:rPr>
        <w:t>is intended to</w:t>
      </w:r>
      <w:r w:rsidR="00C56D96" w:rsidRPr="009C1E79">
        <w:rPr>
          <w:lang w:val="en"/>
        </w:rPr>
        <w:t xml:space="preserve"> </w:t>
      </w:r>
      <w:r w:rsidRPr="009C1E79">
        <w:rPr>
          <w:lang w:val="en"/>
        </w:rPr>
        <w:t>improve the value of the public investment in hospital care and ensure a sustainable and efficient network of public hospital services.</w:t>
      </w:r>
    </w:p>
    <w:p w14:paraId="37E1D39D" w14:textId="77777777" w:rsidR="00A13E26" w:rsidRPr="009C1E79" w:rsidRDefault="00A13E26" w:rsidP="00A13E26">
      <w:pPr>
        <w:rPr>
          <w:lang w:val="en"/>
        </w:rPr>
      </w:pPr>
      <w:r w:rsidRPr="009C1E79">
        <w:t>In order to make these Determinations</w:t>
      </w:r>
      <w:r w:rsidR="00C31756" w:rsidRPr="009C1E79">
        <w:t>,</w:t>
      </w:r>
      <w:r w:rsidRPr="009C1E79">
        <w:t xml:space="preserve"> IHPA develops and publishes the annual </w:t>
      </w:r>
      <w:hyperlink r:id="rId16" w:history="1">
        <w:r w:rsidRPr="00EA5CFD">
          <w:rPr>
            <w:rStyle w:val="Hyperlink"/>
            <w:color w:val="00B050"/>
          </w:rPr>
          <w:t>Pricing Framework for Australian Public Hospital Services</w:t>
        </w:r>
      </w:hyperlink>
      <w:r w:rsidR="004779C5" w:rsidRPr="00EA5CFD">
        <w:rPr>
          <w:rStyle w:val="Hyperlink"/>
          <w:color w:val="00B050"/>
          <w:u w:val="none"/>
        </w:rPr>
        <w:t xml:space="preserve"> </w:t>
      </w:r>
      <w:r w:rsidR="004779C5" w:rsidRPr="00F02360">
        <w:t>(the Pricing Framework)</w:t>
      </w:r>
      <w:r w:rsidRPr="00F02360">
        <w:t>.</w:t>
      </w:r>
      <w:r w:rsidRPr="009C1E79">
        <w:t xml:space="preserve"> This document is crucial as it </w:t>
      </w:r>
      <w:r w:rsidRPr="009C1E79">
        <w:rPr>
          <w:lang w:val="en"/>
        </w:rPr>
        <w:t>outlines the principles and policies adopted by IHPA to determine the NEP and the NEC for each financial year.</w:t>
      </w:r>
    </w:p>
    <w:p w14:paraId="6D7FEDA6" w14:textId="77777777" w:rsidR="00A13E26" w:rsidRPr="009C1E79" w:rsidRDefault="00A13E26" w:rsidP="00A13E26">
      <w:pPr>
        <w:rPr>
          <w:lang w:val="en"/>
        </w:rPr>
      </w:pPr>
      <w:r w:rsidRPr="009C1E79">
        <w:rPr>
          <w:lang w:val="en"/>
        </w:rPr>
        <w:t>IHPA consults with all stakeholders, including state and territory governments, the Commonwealth Government and the general public, prior to finalising the Pricing Framework each year.</w:t>
      </w:r>
    </w:p>
    <w:p w14:paraId="5FCCDB4F" w14:textId="77777777" w:rsidR="00A13E26" w:rsidRPr="009C1E79" w:rsidRDefault="00A13E26" w:rsidP="00A13E26">
      <w:r w:rsidRPr="009C1E79">
        <w:rPr>
          <w:lang w:val="en"/>
        </w:rPr>
        <w:t xml:space="preserve">The Pricing Framework is released prior to the NEP and NEC Determinations to provide </w:t>
      </w:r>
      <w:r w:rsidRPr="009C1E79">
        <w:t>transparency and accountability by making available the key principles and policies adopted by IHPA to inform the NEP and NEC Determinations.</w:t>
      </w:r>
    </w:p>
    <w:p w14:paraId="51065604" w14:textId="1EE3779B" w:rsidR="00A13E26" w:rsidRPr="009C1E79" w:rsidRDefault="00A13E26" w:rsidP="00090EC9">
      <w:pPr>
        <w:pStyle w:val="Heading2"/>
      </w:pPr>
      <w:bookmarkStart w:id="4" w:name="_Toc33774497"/>
      <w:r w:rsidRPr="009C1E79">
        <w:t xml:space="preserve">About the </w:t>
      </w:r>
      <w:r w:rsidR="004779C5">
        <w:t>n</w:t>
      </w:r>
      <w:r w:rsidRPr="009C1E79">
        <w:t xml:space="preserve">ational </w:t>
      </w:r>
      <w:r w:rsidR="004779C5">
        <w:t>e</w:t>
      </w:r>
      <w:r w:rsidRPr="009C1E79">
        <w:t xml:space="preserve">fficient </w:t>
      </w:r>
      <w:r w:rsidR="004779C5">
        <w:t>p</w:t>
      </w:r>
      <w:r w:rsidRPr="009C1E79">
        <w:t>rice</w:t>
      </w:r>
      <w:bookmarkEnd w:id="4"/>
    </w:p>
    <w:p w14:paraId="7B1EBC01" w14:textId="515E6BEC" w:rsidR="00A13E26" w:rsidRPr="009C1E79" w:rsidRDefault="00A13E26" w:rsidP="00A13E26">
      <w:pPr>
        <w:rPr>
          <w:lang w:val="en"/>
        </w:rPr>
      </w:pPr>
      <w:r w:rsidRPr="009C1E79">
        <w:rPr>
          <w:lang w:val="en"/>
        </w:rPr>
        <w:t xml:space="preserve">The NEP is based on the average cost of an admitted acute episode of care provided in public hospitals during a financial year. Each episode of patient care is allocated a </w:t>
      </w:r>
      <w:r w:rsidR="004779C5">
        <w:rPr>
          <w:lang w:val="en"/>
        </w:rPr>
        <w:t>n</w:t>
      </w:r>
      <w:r w:rsidRPr="009C1E79">
        <w:rPr>
          <w:lang w:val="en"/>
        </w:rPr>
        <w:t xml:space="preserve">ational </w:t>
      </w:r>
      <w:r w:rsidR="004779C5">
        <w:rPr>
          <w:lang w:val="en"/>
        </w:rPr>
        <w:t>w</w:t>
      </w:r>
      <w:r w:rsidRPr="009C1E79">
        <w:rPr>
          <w:lang w:val="en"/>
        </w:rPr>
        <w:t xml:space="preserve">eighted </w:t>
      </w:r>
      <w:r w:rsidR="004779C5">
        <w:rPr>
          <w:lang w:val="en"/>
        </w:rPr>
        <w:t>a</w:t>
      </w:r>
      <w:r w:rsidRPr="009C1E79">
        <w:rPr>
          <w:lang w:val="en"/>
        </w:rPr>
        <w:t xml:space="preserve">ctivity </w:t>
      </w:r>
      <w:r w:rsidR="004779C5">
        <w:rPr>
          <w:lang w:val="en"/>
        </w:rPr>
        <w:t>u</w:t>
      </w:r>
      <w:r w:rsidRPr="009C1E79">
        <w:rPr>
          <w:lang w:val="en"/>
        </w:rPr>
        <w:t xml:space="preserve">nit (NWAU). </w:t>
      </w:r>
    </w:p>
    <w:p w14:paraId="651F696C" w14:textId="6F147F94" w:rsidR="00A13E26" w:rsidRPr="009C1E79" w:rsidRDefault="00A13E26" w:rsidP="00A13E26">
      <w:pPr>
        <w:rPr>
          <w:lang w:val="en"/>
        </w:rPr>
      </w:pPr>
      <w:r w:rsidRPr="009C1E79">
        <w:rPr>
          <w:lang w:val="en"/>
        </w:rPr>
        <w:t>The NWAU is a measure of hospital activity expressed as a common unit, against which the NEP is paid. It is a point of relativity for the pricing of hospital services which are weighted for clinical complexity. The ‘average’ hospital service is worth one NWAU. More intensive and expensive activities are worth multiple NWAUs, and simpler and less expensive activities are worth fractions of an NWAU.</w:t>
      </w:r>
    </w:p>
    <w:p w14:paraId="011C4634" w14:textId="77777777" w:rsidR="00A13E26" w:rsidRPr="009C1E79" w:rsidRDefault="00A13E26" w:rsidP="00A13E26">
      <w:r w:rsidRPr="009C1E79">
        <w:t xml:space="preserve">The price of each public hospital service is calculated by multiplying the NWAU allocated to that service by the NEP. </w:t>
      </w:r>
    </w:p>
    <w:p w14:paraId="34BDF6EF" w14:textId="77777777" w:rsidR="00A13E26" w:rsidRPr="005E4F7B" w:rsidRDefault="00A13E26" w:rsidP="00A13E26">
      <w:r w:rsidRPr="005E4F7B">
        <w:t>For example:</w:t>
      </w:r>
    </w:p>
    <w:p w14:paraId="76B6F195" w14:textId="1F5F07DC" w:rsidR="00F7450C" w:rsidRPr="005E4F7B" w:rsidRDefault="00F7450C" w:rsidP="006D1EB4">
      <w:pPr>
        <w:pStyle w:val="ListParagraph"/>
        <w:numPr>
          <w:ilvl w:val="0"/>
          <w:numId w:val="14"/>
        </w:numPr>
      </w:pPr>
      <w:r w:rsidRPr="005E4F7B">
        <w:t>A tonsillectomy has a weight of 0.7</w:t>
      </w:r>
      <w:r w:rsidR="00544B6E" w:rsidRPr="005E4F7B">
        <w:t>398</w:t>
      </w:r>
      <w:r w:rsidRPr="005E4F7B">
        <w:t xml:space="preserve"> NWAU which equates to $3,</w:t>
      </w:r>
      <w:r w:rsidR="00544B6E" w:rsidRPr="005E4F7B">
        <w:t>936</w:t>
      </w:r>
      <w:r w:rsidRPr="005E4F7B">
        <w:t>.</w:t>
      </w:r>
    </w:p>
    <w:p w14:paraId="635EE6C3" w14:textId="2F0924FA" w:rsidR="00F7450C" w:rsidRPr="005E4F7B" w:rsidRDefault="00F7450C" w:rsidP="006D1EB4">
      <w:pPr>
        <w:pStyle w:val="ListParagraph"/>
        <w:numPr>
          <w:ilvl w:val="0"/>
          <w:numId w:val="14"/>
        </w:numPr>
      </w:pPr>
      <w:r w:rsidRPr="005E4F7B">
        <w:t xml:space="preserve">A coronary bypass (minor complexity) has </w:t>
      </w:r>
      <w:r w:rsidR="00544B6E" w:rsidRPr="005E4F7B">
        <w:t>a weight of 5.3468 NWAU which equates to $28,445</w:t>
      </w:r>
      <w:r w:rsidRPr="005E4F7B">
        <w:t>.</w:t>
      </w:r>
    </w:p>
    <w:p w14:paraId="4AC7B236" w14:textId="096F228D" w:rsidR="00F7450C" w:rsidRPr="005E4F7B" w:rsidRDefault="00F7450C" w:rsidP="006D1EB4">
      <w:pPr>
        <w:pStyle w:val="ListParagraph"/>
        <w:numPr>
          <w:ilvl w:val="0"/>
          <w:numId w:val="14"/>
        </w:numPr>
      </w:pPr>
      <w:r w:rsidRPr="005E4F7B">
        <w:t>A hip replacement (minor complexity) has a weight of 3.</w:t>
      </w:r>
      <w:r w:rsidR="00544B6E" w:rsidRPr="005E4F7B">
        <w:t>7733</w:t>
      </w:r>
      <w:r w:rsidRPr="005E4F7B">
        <w:t xml:space="preserve"> NWAU which equates to $</w:t>
      </w:r>
      <w:r w:rsidR="00544B6E" w:rsidRPr="005E4F7B">
        <w:t>20,074</w:t>
      </w:r>
      <w:r w:rsidRPr="005E4F7B">
        <w:t>.</w:t>
      </w:r>
    </w:p>
    <w:p w14:paraId="6A0CA69E" w14:textId="77777777" w:rsidR="006D7216" w:rsidRPr="00544B6E" w:rsidRDefault="006D7216" w:rsidP="00F02360">
      <w:pPr>
        <w:pStyle w:val="ListParagraph"/>
      </w:pPr>
      <w:r w:rsidRPr="00544B6E">
        <w:br w:type="page"/>
      </w:r>
    </w:p>
    <w:p w14:paraId="0260F5E9" w14:textId="77777777" w:rsidR="00A13E26" w:rsidRPr="009C1E79" w:rsidRDefault="00A13E26" w:rsidP="00A13E26">
      <w:pPr>
        <w:rPr>
          <w:lang w:val="en"/>
        </w:rPr>
      </w:pPr>
      <w:r w:rsidRPr="009C1E79">
        <w:rPr>
          <w:lang w:val="en"/>
        </w:rPr>
        <w:lastRenderedPageBreak/>
        <w:t>The NEP has two key purposes:</w:t>
      </w:r>
    </w:p>
    <w:p w14:paraId="5CC69E72" w14:textId="77777777" w:rsidR="00A13E26" w:rsidRPr="009C1E79" w:rsidRDefault="00A13E26">
      <w:pPr>
        <w:pStyle w:val="ListParagraph"/>
        <w:numPr>
          <w:ilvl w:val="0"/>
          <w:numId w:val="13"/>
        </w:numPr>
        <w:rPr>
          <w:lang w:val="en"/>
        </w:rPr>
      </w:pPr>
      <w:r w:rsidRPr="009C1E79">
        <w:rPr>
          <w:lang w:val="en"/>
        </w:rPr>
        <w:t>To determine the amount of Commonwealth Government funding for public hospital services.</w:t>
      </w:r>
    </w:p>
    <w:p w14:paraId="4AB95B19" w14:textId="77777777" w:rsidR="00A13E26" w:rsidRPr="009C1E79" w:rsidRDefault="00A13E26">
      <w:pPr>
        <w:pStyle w:val="ListParagraph"/>
        <w:numPr>
          <w:ilvl w:val="0"/>
          <w:numId w:val="13"/>
        </w:numPr>
        <w:rPr>
          <w:lang w:val="en"/>
        </w:rPr>
      </w:pPr>
      <w:r w:rsidRPr="009C1E79">
        <w:rPr>
          <w:lang w:val="en"/>
        </w:rPr>
        <w:t>To provide a price signal or benchmark about the efficient cost of providing public hospital services.</w:t>
      </w:r>
    </w:p>
    <w:p w14:paraId="43E8BD33" w14:textId="12FE571A" w:rsidR="00A13E26" w:rsidRDefault="00A13E26" w:rsidP="00A13E26">
      <w:pPr>
        <w:rPr>
          <w:lang w:val="en"/>
        </w:rPr>
      </w:pPr>
      <w:r w:rsidRPr="009C1E79">
        <w:rPr>
          <w:lang w:val="en"/>
        </w:rPr>
        <w:t>Each NEP Determination includes the scope of public hospital services eligible for Commonwealth Government funding on an activity basis</w:t>
      </w:r>
      <w:r w:rsidR="00EA29D3">
        <w:rPr>
          <w:lang w:val="en"/>
        </w:rPr>
        <w:t xml:space="preserve"> as per</w:t>
      </w:r>
      <w:r w:rsidRPr="009C1E79">
        <w:rPr>
          <w:lang w:val="en"/>
        </w:rPr>
        <w:t xml:space="preserve"> </w:t>
      </w:r>
      <w:r w:rsidR="0094718E">
        <w:rPr>
          <w:lang w:val="en"/>
        </w:rPr>
        <w:t xml:space="preserve">the </w:t>
      </w:r>
      <w:r w:rsidR="0094718E" w:rsidRPr="00EA5CFD">
        <w:rPr>
          <w:lang w:val="en"/>
        </w:rPr>
        <w:t>General List of In-Scope Public Hospital</w:t>
      </w:r>
      <w:r w:rsidR="00EA29D3" w:rsidRPr="00EA5CFD">
        <w:rPr>
          <w:lang w:val="en"/>
        </w:rPr>
        <w:t xml:space="preserve"> Service</w:t>
      </w:r>
      <w:r w:rsidR="0094718E" w:rsidRPr="00EA5CFD">
        <w:rPr>
          <w:lang w:val="en"/>
        </w:rPr>
        <w:t>s</w:t>
      </w:r>
      <w:r w:rsidR="00EC65A5" w:rsidRPr="00EA5CFD">
        <w:rPr>
          <w:lang w:val="en"/>
        </w:rPr>
        <w:t>.</w:t>
      </w:r>
      <w:r w:rsidR="00EC65A5">
        <w:rPr>
          <w:lang w:val="en"/>
        </w:rPr>
        <w:t xml:space="preserve"> </w:t>
      </w:r>
      <w:r w:rsidRPr="009C1E79">
        <w:rPr>
          <w:lang w:val="en"/>
        </w:rPr>
        <w:t xml:space="preserve">It also includes </w:t>
      </w:r>
      <w:r w:rsidR="00B4761D" w:rsidRPr="009C1E79">
        <w:rPr>
          <w:lang w:val="en"/>
        </w:rPr>
        <w:t>loadings</w:t>
      </w:r>
      <w:r w:rsidRPr="009C1E79">
        <w:rPr>
          <w:lang w:val="en"/>
        </w:rPr>
        <w:t xml:space="preserve"> to the price</w:t>
      </w:r>
      <w:r w:rsidR="00B4761D" w:rsidRPr="009C1E79">
        <w:rPr>
          <w:lang w:val="en"/>
        </w:rPr>
        <w:t xml:space="preserve"> (‘adjustments’)</w:t>
      </w:r>
      <w:r w:rsidRPr="009C1E79">
        <w:rPr>
          <w:lang w:val="en"/>
        </w:rPr>
        <w:t xml:space="preserve"> to reflect legitimate and unavoidable variations in the cost of delivering health care services, such as location of patient residence and patient complexity.</w:t>
      </w:r>
    </w:p>
    <w:p w14:paraId="52AF35AD" w14:textId="5355E2C3" w:rsidR="0094718E" w:rsidRPr="009C1E79" w:rsidRDefault="002135CA" w:rsidP="00A13E26">
      <w:pPr>
        <w:rPr>
          <w:lang w:val="en"/>
        </w:rPr>
      </w:pPr>
      <w:r>
        <w:t>Approximately 48</w:t>
      </w:r>
      <w:r w:rsidR="0094718E">
        <w:t xml:space="preserve">0 public </w:t>
      </w:r>
      <w:r w:rsidR="0094718E" w:rsidRPr="00F60399">
        <w:t xml:space="preserve">hospitals nationwide, including all </w:t>
      </w:r>
      <w:r w:rsidR="00C364B6">
        <w:t xml:space="preserve">of </w:t>
      </w:r>
      <w:r w:rsidR="0094718E" w:rsidRPr="00F60399">
        <w:t>the large metropolitan hospitals</w:t>
      </w:r>
      <w:r w:rsidR="0094718E">
        <w:t>, receive funding based on their activity levels.</w:t>
      </w:r>
    </w:p>
    <w:p w14:paraId="26AB1A1F" w14:textId="77777777" w:rsidR="00A13E26" w:rsidRPr="009C1E79" w:rsidRDefault="00A13E26" w:rsidP="00A13E26">
      <w:r w:rsidRPr="009C1E79">
        <w:t xml:space="preserve">The NEP is used by jurisdictions as an independent benchmarking tool to measure the efficiency of public hospital services in their state or territories. For instance, it is possible to compare the cost of the hip replacement in two different </w:t>
      </w:r>
      <w:r w:rsidR="005A45D5" w:rsidRPr="009C1E79">
        <w:t>hospitals, which</w:t>
      </w:r>
      <w:r w:rsidRPr="009C1E79">
        <w:t xml:space="preserve"> may assist jurisdictions to identify best practice and make funding decisions.</w:t>
      </w:r>
    </w:p>
    <w:p w14:paraId="0D15DCCC" w14:textId="493755D6" w:rsidR="00A13E26" w:rsidRPr="009C1E79" w:rsidRDefault="00A13E26" w:rsidP="00090EC9">
      <w:pPr>
        <w:pStyle w:val="Heading2"/>
      </w:pPr>
      <w:bookmarkStart w:id="5" w:name="_Toc33774498"/>
      <w:r w:rsidRPr="009C1E79">
        <w:t xml:space="preserve">About the </w:t>
      </w:r>
      <w:r w:rsidR="004779C5">
        <w:t>n</w:t>
      </w:r>
      <w:r w:rsidRPr="009C1E79">
        <w:t xml:space="preserve">ational </w:t>
      </w:r>
      <w:r w:rsidR="004779C5">
        <w:t>e</w:t>
      </w:r>
      <w:r w:rsidRPr="009C1E79">
        <w:t xml:space="preserve">fficient </w:t>
      </w:r>
      <w:r w:rsidR="004779C5">
        <w:t>c</w:t>
      </w:r>
      <w:r w:rsidRPr="009C1E79">
        <w:t>ost</w:t>
      </w:r>
      <w:bookmarkEnd w:id="5"/>
    </w:p>
    <w:p w14:paraId="1AC4472B" w14:textId="2A3B4C48" w:rsidR="00A13E26" w:rsidRPr="009C1E79" w:rsidRDefault="00A13E26" w:rsidP="00A13E26">
      <w:r w:rsidRPr="009C1E79">
        <w:t xml:space="preserve">The NEC is used when activity levels are not suitable for funding based on activity such as small rural hospitals. In these </w:t>
      </w:r>
      <w:r w:rsidR="005A45D5" w:rsidRPr="009C1E79">
        <w:t>cases,</w:t>
      </w:r>
      <w:r w:rsidRPr="009C1E79">
        <w:t xml:space="preserve"> services are funded by a block allocation based on size</w:t>
      </w:r>
      <w:r w:rsidR="00B4761D" w:rsidRPr="009C1E79">
        <w:t>,</w:t>
      </w:r>
      <w:r w:rsidRPr="009C1E79">
        <w:t xml:space="preserve"> location</w:t>
      </w:r>
      <w:r w:rsidR="00B4761D" w:rsidRPr="009C1E79">
        <w:t xml:space="preserve"> and the type of services they provide</w:t>
      </w:r>
      <w:r w:rsidRPr="009C1E79">
        <w:t xml:space="preserve">. This type of funding applies to approximately </w:t>
      </w:r>
      <w:r w:rsidR="0094718E">
        <w:t>37</w:t>
      </w:r>
      <w:r w:rsidR="002135CA">
        <w:t>3</w:t>
      </w:r>
      <w:r w:rsidR="0094718E" w:rsidRPr="009C1E79">
        <w:t xml:space="preserve"> </w:t>
      </w:r>
      <w:r w:rsidRPr="009C1E79">
        <w:t xml:space="preserve">small rural hospitals. </w:t>
      </w:r>
    </w:p>
    <w:p w14:paraId="76EAF3EA" w14:textId="77777777" w:rsidR="00A13E26" w:rsidRPr="009C1E79" w:rsidRDefault="00A13E26" w:rsidP="00A13E26">
      <w:r w:rsidRPr="009C1E79">
        <w:t xml:space="preserve">The NEC also applies to </w:t>
      </w:r>
      <w:r w:rsidRPr="009C1E79">
        <w:rPr>
          <w:lang w:val="en"/>
        </w:rPr>
        <w:t>public hospital services or functions that are not yet able to be described in terms of ‘activity’ such as teaching, training and research.</w:t>
      </w:r>
    </w:p>
    <w:p w14:paraId="2E9C5A29" w14:textId="2FABD105" w:rsidR="00A13E26" w:rsidRPr="009C1E79" w:rsidRDefault="00A13E26" w:rsidP="00A13E26">
      <w:pPr>
        <w:rPr>
          <w:lang w:val="en"/>
        </w:rPr>
      </w:pPr>
      <w:r w:rsidRPr="009C1E79">
        <w:rPr>
          <w:lang w:val="en"/>
        </w:rPr>
        <w:t xml:space="preserve">Some of these hospitals and services may operate with a mix of block </w:t>
      </w:r>
      <w:r w:rsidR="0094718E">
        <w:rPr>
          <w:lang w:val="en"/>
        </w:rPr>
        <w:t xml:space="preserve">funding </w:t>
      </w:r>
      <w:r w:rsidRPr="009C1E79">
        <w:rPr>
          <w:lang w:val="en"/>
        </w:rPr>
        <w:t>and ABF.</w:t>
      </w:r>
    </w:p>
    <w:p w14:paraId="3F3B9E00" w14:textId="77777777" w:rsidR="00A13E26" w:rsidRPr="009C1E79" w:rsidRDefault="00A13E26" w:rsidP="00A13E26">
      <w:pPr>
        <w:rPr>
          <w:lang w:val="en"/>
        </w:rPr>
      </w:pPr>
      <w:r w:rsidRPr="009C1E79">
        <w:t xml:space="preserve">The NEC Determination </w:t>
      </w:r>
      <w:r w:rsidR="00041F68">
        <w:t>outlin</w:t>
      </w:r>
      <w:r w:rsidR="00A701F1">
        <w:t>es</w:t>
      </w:r>
      <w:r w:rsidRPr="009C1E79">
        <w:t xml:space="preserve"> </w:t>
      </w:r>
      <w:r w:rsidR="00A701F1">
        <w:t>an</w:t>
      </w:r>
      <w:r w:rsidRPr="009C1E79">
        <w:t xml:space="preserve"> </w:t>
      </w:r>
      <w:r w:rsidR="00480F5D">
        <w:t>efficient cost of a small rural hospital</w:t>
      </w:r>
      <w:r w:rsidR="00041F68">
        <w:t>, which is</w:t>
      </w:r>
      <w:r w:rsidR="00480F5D">
        <w:t xml:space="preserve"> the sum of the fixed component </w:t>
      </w:r>
      <w:r w:rsidR="00041F68">
        <w:t>and a variable cost component</w:t>
      </w:r>
      <w:r w:rsidRPr="009C1E79">
        <w:rPr>
          <w:lang w:val="en"/>
        </w:rPr>
        <w:t>.</w:t>
      </w:r>
    </w:p>
    <w:p w14:paraId="6D294E4C" w14:textId="77777777" w:rsidR="00C70FD7" w:rsidRDefault="00A13E26" w:rsidP="00C70FD7">
      <w:r w:rsidRPr="009C1E79">
        <w:rPr>
          <w:lang w:val="en"/>
        </w:rPr>
        <w:t>IHPA works closely with a Small Rural Hospital Working Group</w:t>
      </w:r>
      <w:r w:rsidR="00796510" w:rsidRPr="009C1E79">
        <w:rPr>
          <w:lang w:val="en"/>
        </w:rPr>
        <w:t>,</w:t>
      </w:r>
      <w:r w:rsidRPr="009C1E79">
        <w:rPr>
          <w:lang w:val="en"/>
        </w:rPr>
        <w:t xml:space="preserve"> which includes representatives from states and territories, small rural hospitals</w:t>
      </w:r>
      <w:r w:rsidR="00796510" w:rsidRPr="009C1E79">
        <w:rPr>
          <w:lang w:val="en"/>
        </w:rPr>
        <w:t>,</w:t>
      </w:r>
      <w:r w:rsidRPr="009C1E79">
        <w:rPr>
          <w:lang w:val="en"/>
        </w:rPr>
        <w:t xml:space="preserve"> and peak healthcare bodies and associations. The working group provides vital guidance and advice to IHPA about setting an e</w:t>
      </w:r>
      <w:r w:rsidR="00EA29D3">
        <w:rPr>
          <w:lang w:val="en"/>
        </w:rPr>
        <w:t>fficient cost of a small rural</w:t>
      </w:r>
      <w:r w:rsidR="00022693">
        <w:rPr>
          <w:lang w:val="en"/>
        </w:rPr>
        <w:t xml:space="preserve"> </w:t>
      </w:r>
      <w:r w:rsidR="00EA29D3">
        <w:rPr>
          <w:lang w:val="en"/>
        </w:rPr>
        <w:t>hospital</w:t>
      </w:r>
      <w:r w:rsidRPr="009C1E79">
        <w:rPr>
          <w:lang w:val="en"/>
        </w:rPr>
        <w:t>.</w:t>
      </w:r>
    </w:p>
    <w:p w14:paraId="64ADB3D1" w14:textId="77777777" w:rsidR="0094718E" w:rsidRDefault="0094718E">
      <w:pPr>
        <w:spacing w:before="0" w:after="0" w:line="240" w:lineRule="auto"/>
        <w:rPr>
          <w:rFonts w:asciiTheme="majorHAnsi" w:hAnsiTheme="majorHAnsi"/>
          <w:b/>
          <w:sz w:val="64"/>
          <w:szCs w:val="44"/>
        </w:rPr>
      </w:pPr>
      <w:r>
        <w:br w:type="page"/>
      </w:r>
    </w:p>
    <w:p w14:paraId="76D83CA7" w14:textId="77777777" w:rsidR="00C70FD7" w:rsidRDefault="00A13E26" w:rsidP="00090EC9">
      <w:pPr>
        <w:pStyle w:val="Heading1"/>
      </w:pPr>
      <w:bookmarkStart w:id="6" w:name="_Toc33774499"/>
      <w:r w:rsidRPr="009C1E79">
        <w:lastRenderedPageBreak/>
        <w:t>Summary of key changes</w:t>
      </w:r>
      <w:bookmarkEnd w:id="6"/>
    </w:p>
    <w:p w14:paraId="609BC9CD" w14:textId="77777777" w:rsidR="00A13E26" w:rsidRPr="009C1E79" w:rsidRDefault="00A13E26" w:rsidP="00117A5F">
      <w:r w:rsidRPr="009C1E79">
        <w:t xml:space="preserve">Based on the principles in the </w:t>
      </w:r>
      <w:r w:rsidRPr="001041E1">
        <w:rPr>
          <w:iCs/>
        </w:rPr>
        <w:t xml:space="preserve">Pricing Framework for Australian Public Hospital Services </w:t>
      </w:r>
      <w:r w:rsidR="00480F5D" w:rsidRPr="001041E1">
        <w:rPr>
          <w:iCs/>
        </w:rPr>
        <w:br/>
        <w:t>2020–21</w:t>
      </w:r>
      <w:r w:rsidR="00090EC9">
        <w:rPr>
          <w:i/>
          <w:iCs/>
        </w:rPr>
        <w:t xml:space="preserve"> </w:t>
      </w:r>
      <w:r w:rsidR="00090EC9" w:rsidRPr="00F02360">
        <w:rPr>
          <w:iCs/>
        </w:rPr>
        <w:t>(the Pricing Framework)</w:t>
      </w:r>
      <w:r w:rsidRPr="009C1E79">
        <w:t xml:space="preserve">, IHPA has determined the </w:t>
      </w:r>
      <w:r w:rsidR="00090EC9">
        <w:t>national efficient price (</w:t>
      </w:r>
      <w:r w:rsidRPr="009C1E79">
        <w:t>NEP</w:t>
      </w:r>
      <w:r w:rsidR="00090EC9">
        <w:t>)</w:t>
      </w:r>
      <w:r w:rsidRPr="009C1E79">
        <w:t xml:space="preserve"> and </w:t>
      </w:r>
      <w:r w:rsidR="00090EC9">
        <w:t>national efficient cost (</w:t>
      </w:r>
      <w:r w:rsidRPr="009C1E79">
        <w:t>NEC</w:t>
      </w:r>
      <w:r w:rsidR="00090EC9">
        <w:t>)</w:t>
      </w:r>
      <w:r w:rsidRPr="009C1E79">
        <w:t xml:space="preserve"> for </w:t>
      </w:r>
      <w:r w:rsidR="00480F5D" w:rsidRPr="009C1E79">
        <w:t>20</w:t>
      </w:r>
      <w:r w:rsidR="00480F5D">
        <w:t>20–21</w:t>
      </w:r>
      <w:r w:rsidRPr="009C1E79">
        <w:t xml:space="preserve">. </w:t>
      </w:r>
    </w:p>
    <w:p w14:paraId="5399B67B" w14:textId="15B51729" w:rsidR="00A13E26" w:rsidRPr="009C1E79" w:rsidRDefault="00A13E26" w:rsidP="00090EC9">
      <w:pPr>
        <w:pStyle w:val="Heading2"/>
      </w:pPr>
      <w:bookmarkStart w:id="7" w:name="_Toc33774500"/>
      <w:r w:rsidRPr="009C1E79">
        <w:t xml:space="preserve">National </w:t>
      </w:r>
      <w:r w:rsidR="004779C5">
        <w:t>e</w:t>
      </w:r>
      <w:r w:rsidRPr="009C1E79">
        <w:t xml:space="preserve">fficient </w:t>
      </w:r>
      <w:r w:rsidR="004779C5">
        <w:t>p</w:t>
      </w:r>
      <w:r w:rsidRPr="009C1E79">
        <w:t xml:space="preserve">rice </w:t>
      </w:r>
      <w:r w:rsidR="00EC65A5" w:rsidRPr="009C1E79">
        <w:t>20</w:t>
      </w:r>
      <w:r w:rsidR="009B1390">
        <w:t>20–</w:t>
      </w:r>
      <w:r w:rsidR="00EC65A5">
        <w:t>2</w:t>
      </w:r>
      <w:r w:rsidR="009B1390">
        <w:t>1</w:t>
      </w:r>
      <w:bookmarkEnd w:id="7"/>
    </w:p>
    <w:p w14:paraId="4AFA73EF" w14:textId="3D1FD469" w:rsidR="00A13E26" w:rsidRPr="009C1E79" w:rsidRDefault="00A13E26" w:rsidP="00A13E26">
      <w:r w:rsidRPr="009C1E79">
        <w:t xml:space="preserve">The NEP </w:t>
      </w:r>
      <w:r w:rsidRPr="005E4F7B">
        <w:t xml:space="preserve">for </w:t>
      </w:r>
      <w:r w:rsidR="00F7450C" w:rsidRPr="005E4F7B">
        <w:t>2020</w:t>
      </w:r>
      <w:r w:rsidR="005B6350" w:rsidRPr="005E4F7B">
        <w:t>–21</w:t>
      </w:r>
      <w:r w:rsidR="00F7450C" w:rsidRPr="005E4F7B">
        <w:t xml:space="preserve"> </w:t>
      </w:r>
      <w:r w:rsidRPr="005E4F7B">
        <w:t>is $</w:t>
      </w:r>
      <w:r w:rsidR="00FD704B" w:rsidRPr="005E4F7B">
        <w:t>5,</w:t>
      </w:r>
      <w:r w:rsidR="001041E1" w:rsidRPr="005E4F7B">
        <w:t>320</w:t>
      </w:r>
      <w:r w:rsidR="005B6350" w:rsidRPr="005E4F7B">
        <w:t xml:space="preserve"> </w:t>
      </w:r>
      <w:r w:rsidRPr="005E4F7B">
        <w:t xml:space="preserve">per </w:t>
      </w:r>
      <w:r w:rsidR="004779C5" w:rsidRPr="005E4F7B">
        <w:t>n</w:t>
      </w:r>
      <w:r w:rsidR="003655BE" w:rsidRPr="005E4F7B">
        <w:t>ational</w:t>
      </w:r>
      <w:r w:rsidR="003655BE">
        <w:t xml:space="preserve"> </w:t>
      </w:r>
      <w:r w:rsidR="004779C5">
        <w:t>w</w:t>
      </w:r>
      <w:r w:rsidR="003655BE">
        <w:t xml:space="preserve">eighted </w:t>
      </w:r>
      <w:r w:rsidR="004779C5">
        <w:t>a</w:t>
      </w:r>
      <w:r w:rsidR="003655BE">
        <w:t xml:space="preserve">ctivity </w:t>
      </w:r>
      <w:r w:rsidR="004779C5">
        <w:t>u</w:t>
      </w:r>
      <w:r w:rsidR="003655BE">
        <w:t>nit (</w:t>
      </w:r>
      <w:r w:rsidRPr="009C1E79">
        <w:t>NWAU</w:t>
      </w:r>
      <w:r w:rsidR="003655BE">
        <w:t>)</w:t>
      </w:r>
      <w:r w:rsidRPr="009C1E79">
        <w:t>.</w:t>
      </w:r>
    </w:p>
    <w:p w14:paraId="053E7D35" w14:textId="77777777" w:rsidR="00472949" w:rsidRDefault="00472949" w:rsidP="00472949">
      <w:r>
        <w:t xml:space="preserve">Some minor </w:t>
      </w:r>
      <w:r w:rsidRPr="009C1E79">
        <w:t>methodological improvements</w:t>
      </w:r>
      <w:r>
        <w:t xml:space="preserve"> have been made to the NEP for 20</w:t>
      </w:r>
      <w:r w:rsidR="005B6350">
        <w:t>20–21</w:t>
      </w:r>
      <w:r w:rsidRPr="009C1E79">
        <w:t xml:space="preserve">. </w:t>
      </w:r>
    </w:p>
    <w:p w14:paraId="49560483" w14:textId="77777777" w:rsidR="005B6350" w:rsidRDefault="00472949" w:rsidP="00472949">
      <w:r w:rsidRPr="009C1E79">
        <w:t xml:space="preserve">IHPA </w:t>
      </w:r>
      <w:r w:rsidR="00E151C0">
        <w:t xml:space="preserve">has </w:t>
      </w:r>
      <w:r w:rsidR="005B6350">
        <w:t>incorporated an adjustment for non-admitted specialised paediatric services</w:t>
      </w:r>
      <w:r w:rsidR="009B1390">
        <w:t>.</w:t>
      </w:r>
      <w:r w:rsidR="005B6350">
        <w:t xml:space="preserve"> The adjustment for </w:t>
      </w:r>
      <w:r w:rsidR="00022693">
        <w:t xml:space="preserve">a </w:t>
      </w:r>
      <w:r w:rsidR="005B6350">
        <w:t>hospital acquired complication (HAC) has also been extended to include ‘fourth degree perineal laceration during delivery’ in line with Version 2.0 of the HAC list.</w:t>
      </w:r>
    </w:p>
    <w:p w14:paraId="03F80084" w14:textId="46BC73AF" w:rsidR="005B6350" w:rsidRDefault="005B6350" w:rsidP="00472949">
      <w:r>
        <w:t>The NEP Determination</w:t>
      </w:r>
      <w:r w:rsidR="001041E1">
        <w:t xml:space="preserve"> 2020–21</w:t>
      </w:r>
      <w:r w:rsidR="001041E1">
        <w:softHyphen/>
      </w:r>
      <w:r>
        <w:t xml:space="preserve"> also uses the Australian Bureau of Statistics’ 2016 Australian Statistical Geography Standard Remoteness Area classification.</w:t>
      </w:r>
    </w:p>
    <w:p w14:paraId="5C388325" w14:textId="77777777" w:rsidR="00A13E26" w:rsidRPr="00F96A26" w:rsidRDefault="00A13E26" w:rsidP="00CE0D34">
      <w:pPr>
        <w:pStyle w:val="Heading3"/>
      </w:pPr>
      <w:bookmarkStart w:id="8" w:name="_Toc31271996"/>
      <w:bookmarkStart w:id="9" w:name="_Toc33774501"/>
      <w:r w:rsidRPr="008D1495">
        <w:t>Back</w:t>
      </w:r>
      <w:r w:rsidR="00B2736A" w:rsidRPr="008D1495">
        <w:t>-</w:t>
      </w:r>
      <w:r w:rsidRPr="008D1495">
        <w:t>casting</w:t>
      </w:r>
      <w:bookmarkEnd w:id="8"/>
      <w:bookmarkEnd w:id="9"/>
      <w:r w:rsidRPr="008D1495">
        <w:t xml:space="preserve"> </w:t>
      </w:r>
    </w:p>
    <w:p w14:paraId="7F0C0F4F" w14:textId="2B0CF0E3" w:rsidR="00A13E26" w:rsidRPr="009C1E79" w:rsidRDefault="00A13E26" w:rsidP="00A13E26">
      <w:r w:rsidRPr="009C1E79">
        <w:t xml:space="preserve">As with previous years, the Pricing Authority has recalculated (‘back-cast’) </w:t>
      </w:r>
      <w:r w:rsidR="00CC0D66" w:rsidRPr="009C1E79">
        <w:t>NEP1</w:t>
      </w:r>
      <w:r w:rsidR="00CC0D66">
        <w:t>9</w:t>
      </w:r>
      <w:r w:rsidR="00CC0D66" w:rsidRPr="009C1E79">
        <w:t xml:space="preserve"> </w:t>
      </w:r>
      <w:r w:rsidRPr="009C1E79">
        <w:t xml:space="preserve">to incorporate the most up-to-date cost data and to take account of methodological changes introduced in </w:t>
      </w:r>
      <w:r w:rsidR="008D6575" w:rsidRPr="009C1E79">
        <w:t>NEP</w:t>
      </w:r>
      <w:r w:rsidR="009B1390">
        <w:t>20</w:t>
      </w:r>
      <w:r w:rsidR="008D6575" w:rsidRPr="009C1E79">
        <w:t xml:space="preserve"> </w:t>
      </w:r>
      <w:r w:rsidRPr="009C1E79">
        <w:t xml:space="preserve">which impact on the ability to compare the NEP between </w:t>
      </w:r>
      <w:r w:rsidR="001041E1">
        <w:t>years. IHPA is required to back</w:t>
      </w:r>
      <w:r w:rsidR="001041E1">
        <w:noBreakHyphen/>
      </w:r>
      <w:r w:rsidRPr="009C1E79">
        <w:t xml:space="preserve">cast the previous year’s NEP under </w:t>
      </w:r>
      <w:r w:rsidR="00CC0D66">
        <w:t>c</w:t>
      </w:r>
      <w:r w:rsidRPr="009C1E79">
        <w:t xml:space="preserve">lause A40 of the </w:t>
      </w:r>
      <w:r w:rsidRPr="004A2602">
        <w:t>National Health Reform Agreement</w:t>
      </w:r>
      <w:r w:rsidR="002135CA">
        <w:t xml:space="preserve"> (NHRA)</w:t>
      </w:r>
      <w:r w:rsidRPr="009C1E79">
        <w:t>.</w:t>
      </w:r>
    </w:p>
    <w:p w14:paraId="0CB446FC" w14:textId="73116569" w:rsidR="00A13E26" w:rsidRPr="009C1E79" w:rsidRDefault="00A13E26" w:rsidP="00A13E26">
      <w:r w:rsidRPr="009C1E79">
        <w:t xml:space="preserve">Back-casting is important to ensure the calculation of Commonwealth funding is not adversely impacted by changes in the calculation of the NEP over years. Under the </w:t>
      </w:r>
      <w:r w:rsidR="002135CA">
        <w:t>NHRA</w:t>
      </w:r>
      <w:r w:rsidRPr="009C1E79">
        <w:t>, the Commonwealth funds 45 per</w:t>
      </w:r>
      <w:r w:rsidR="0018521A">
        <w:t xml:space="preserve"> </w:t>
      </w:r>
      <w:r w:rsidRPr="009C1E79">
        <w:t xml:space="preserve">cent of the efficient growth in public </w:t>
      </w:r>
      <w:r w:rsidR="005E4F7B">
        <w:t xml:space="preserve">hospital </w:t>
      </w:r>
      <w:r w:rsidRPr="009C1E79">
        <w:t>services which are funded on an activity basis</w:t>
      </w:r>
      <w:r w:rsidR="001041E1">
        <w:t xml:space="preserve"> </w:t>
      </w:r>
      <w:r w:rsidR="008D6575" w:rsidRPr="008D6575">
        <w:t>with a growth cap of 6.5 per</w:t>
      </w:r>
      <w:r w:rsidR="0018521A">
        <w:t xml:space="preserve"> </w:t>
      </w:r>
      <w:r w:rsidR="008D6575" w:rsidRPr="008D6575">
        <w:t>cent a year.</w:t>
      </w:r>
    </w:p>
    <w:p w14:paraId="7B13D9A1" w14:textId="336287AC" w:rsidR="00A13E26" w:rsidRPr="009C1E79" w:rsidRDefault="00A13E26" w:rsidP="00A13E26">
      <w:r w:rsidRPr="009C1E79">
        <w:t xml:space="preserve">The Pricing Authority has recalculated </w:t>
      </w:r>
      <w:r w:rsidR="00CC0D66" w:rsidRPr="009C1E79">
        <w:t>NEP1</w:t>
      </w:r>
      <w:r w:rsidR="00CC0D66">
        <w:t>9</w:t>
      </w:r>
      <w:r w:rsidR="00CC0D66" w:rsidRPr="009C1E79">
        <w:t xml:space="preserve"> </w:t>
      </w:r>
      <w:r w:rsidRPr="009C1E79">
        <w:t>using more up</w:t>
      </w:r>
      <w:r w:rsidR="00090EC9">
        <w:t>-</w:t>
      </w:r>
      <w:r w:rsidRPr="009C1E79">
        <w:t>to</w:t>
      </w:r>
      <w:r w:rsidR="00090EC9">
        <w:t>-</w:t>
      </w:r>
      <w:r w:rsidRPr="009C1E79">
        <w:t xml:space="preserve">date cost data than was available when </w:t>
      </w:r>
      <w:r w:rsidR="00CC0D66" w:rsidRPr="009C1E79">
        <w:t>NEP1</w:t>
      </w:r>
      <w:r w:rsidR="00CC0D66">
        <w:t>9</w:t>
      </w:r>
      <w:r w:rsidR="00CC0D66" w:rsidRPr="009C1E79">
        <w:t xml:space="preserve"> </w:t>
      </w:r>
      <w:r w:rsidRPr="009C1E79">
        <w:t xml:space="preserve">was initially calculated. </w:t>
      </w:r>
    </w:p>
    <w:p w14:paraId="4390FC82" w14:textId="77777777" w:rsidR="00A13E26" w:rsidRPr="009C1E79" w:rsidRDefault="00A13E26" w:rsidP="00A13E26">
      <w:r w:rsidRPr="009C1E79">
        <w:t xml:space="preserve">The back-cast </w:t>
      </w:r>
      <w:r w:rsidR="00CC0D66" w:rsidRPr="009C1E79">
        <w:t>NEP1</w:t>
      </w:r>
      <w:r w:rsidR="00CC0D66">
        <w:t>9</w:t>
      </w:r>
      <w:r w:rsidR="00CC0D66" w:rsidRPr="009C1E79">
        <w:t xml:space="preserve"> </w:t>
      </w:r>
      <w:r w:rsidRPr="005E4F7B">
        <w:t xml:space="preserve">shows an increase of </w:t>
      </w:r>
      <w:r w:rsidR="004D0A9D" w:rsidRPr="005E4F7B">
        <w:t>2.1 per cent</w:t>
      </w:r>
      <w:r w:rsidRPr="005E4F7B">
        <w:t xml:space="preserve"> between</w:t>
      </w:r>
      <w:r w:rsidRPr="009C1E79">
        <w:t xml:space="preserve"> </w:t>
      </w:r>
      <w:r w:rsidR="007813E3" w:rsidRPr="009C1E79">
        <w:t>NEP1</w:t>
      </w:r>
      <w:r w:rsidR="007813E3">
        <w:t>9</w:t>
      </w:r>
      <w:r w:rsidR="007813E3" w:rsidRPr="009C1E79">
        <w:t xml:space="preserve"> </w:t>
      </w:r>
      <w:r w:rsidRPr="009C1E79">
        <w:t xml:space="preserve">and </w:t>
      </w:r>
      <w:r w:rsidR="007813E3" w:rsidRPr="009C1E79">
        <w:t>NEP</w:t>
      </w:r>
      <w:r w:rsidR="007813E3">
        <w:t>20</w:t>
      </w:r>
      <w:r w:rsidR="005A45D5" w:rsidRPr="009C1E79">
        <w:t>, which</w:t>
      </w:r>
      <w:r w:rsidRPr="009C1E79">
        <w:t xml:space="preserve"> is the basis for Commonwealth growth funding for </w:t>
      </w:r>
      <w:r w:rsidR="008D6575" w:rsidRPr="009C1E79">
        <w:t>20</w:t>
      </w:r>
      <w:r w:rsidR="008D6575">
        <w:t>20</w:t>
      </w:r>
      <w:r w:rsidR="007813E3">
        <w:t>–21</w:t>
      </w:r>
      <w:r w:rsidRPr="009C1E79">
        <w:t xml:space="preserve">. </w:t>
      </w:r>
    </w:p>
    <w:tbl>
      <w:tblPr>
        <w:tblStyle w:val="LightList-Accent1"/>
        <w:tblW w:w="5000" w:type="pct"/>
        <w:tblLook w:val="04A0" w:firstRow="1" w:lastRow="0" w:firstColumn="1" w:lastColumn="0" w:noHBand="0" w:noVBand="1"/>
        <w:tblCaption w:val="Back-cast NEP17"/>
      </w:tblPr>
      <w:tblGrid>
        <w:gridCol w:w="3141"/>
        <w:gridCol w:w="3141"/>
        <w:gridCol w:w="3143"/>
      </w:tblGrid>
      <w:tr w:rsidR="00A13E26" w:rsidRPr="009C1E79" w14:paraId="24EC4A30" w14:textId="77777777" w:rsidTr="00444F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hideMark/>
          </w:tcPr>
          <w:p w14:paraId="2C33ED5B" w14:textId="77777777" w:rsidR="00A13E26" w:rsidRPr="009C1E79" w:rsidRDefault="007813E3">
            <w:r w:rsidRPr="009C1E79">
              <w:t>NEP1</w:t>
            </w:r>
            <w:r>
              <w:t>9</w:t>
            </w:r>
          </w:p>
        </w:tc>
        <w:tc>
          <w:tcPr>
            <w:tcW w:w="1666" w:type="pct"/>
            <w:hideMark/>
          </w:tcPr>
          <w:p w14:paraId="5F2585A3" w14:textId="77777777" w:rsidR="00A13E26" w:rsidRPr="009C1E79" w:rsidRDefault="00A13E26">
            <w:pPr>
              <w:cnfStyle w:val="100000000000" w:firstRow="1" w:lastRow="0" w:firstColumn="0" w:lastColumn="0" w:oddVBand="0" w:evenVBand="0" w:oddHBand="0" w:evenHBand="0" w:firstRowFirstColumn="0" w:firstRowLastColumn="0" w:lastRowFirstColumn="0" w:lastRowLastColumn="0"/>
            </w:pPr>
            <w:r w:rsidRPr="009C1E79">
              <w:t xml:space="preserve">Back-cast </w:t>
            </w:r>
            <w:r w:rsidR="007813E3" w:rsidRPr="009C1E79">
              <w:t>NEP1</w:t>
            </w:r>
            <w:r w:rsidR="007813E3">
              <w:t>9</w:t>
            </w:r>
          </w:p>
        </w:tc>
        <w:tc>
          <w:tcPr>
            <w:tcW w:w="1667" w:type="pct"/>
            <w:hideMark/>
          </w:tcPr>
          <w:p w14:paraId="3D84A64A" w14:textId="77777777" w:rsidR="00A13E26" w:rsidRPr="009C1E79" w:rsidRDefault="007813E3">
            <w:pPr>
              <w:cnfStyle w:val="100000000000" w:firstRow="1" w:lastRow="0" w:firstColumn="0" w:lastColumn="0" w:oddVBand="0" w:evenVBand="0" w:oddHBand="0" w:evenHBand="0" w:firstRowFirstColumn="0" w:firstRowLastColumn="0" w:lastRowFirstColumn="0" w:lastRowLastColumn="0"/>
            </w:pPr>
            <w:r w:rsidRPr="009C1E79">
              <w:t>NEP</w:t>
            </w:r>
            <w:r>
              <w:t>20</w:t>
            </w:r>
          </w:p>
        </w:tc>
      </w:tr>
      <w:tr w:rsidR="00A13E26" w:rsidRPr="009C1E79" w14:paraId="5430AA30" w14:textId="77777777" w:rsidTr="00444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7E6DD18" w14:textId="77777777" w:rsidR="00A13E26" w:rsidRPr="005E4F7B" w:rsidRDefault="00A0058A">
            <w:pPr>
              <w:rPr>
                <w:b w:val="0"/>
              </w:rPr>
            </w:pPr>
            <w:r w:rsidRPr="005E4F7B">
              <w:rPr>
                <w:b w:val="0"/>
              </w:rPr>
              <w:t>$</w:t>
            </w:r>
            <w:r w:rsidR="008D6575" w:rsidRPr="005E4F7B">
              <w:rPr>
                <w:b w:val="0"/>
              </w:rPr>
              <w:t>5,</w:t>
            </w:r>
            <w:r w:rsidR="007813E3" w:rsidRPr="005E4F7B">
              <w:rPr>
                <w:b w:val="0"/>
              </w:rPr>
              <w:t>134</w:t>
            </w:r>
          </w:p>
        </w:tc>
        <w:tc>
          <w:tcPr>
            <w:tcW w:w="1666" w:type="pct"/>
          </w:tcPr>
          <w:p w14:paraId="0EBCAA67" w14:textId="647294B9" w:rsidR="00A13E26" w:rsidRPr="005E4F7B" w:rsidRDefault="00A0058A">
            <w:pPr>
              <w:cnfStyle w:val="000000100000" w:firstRow="0" w:lastRow="0" w:firstColumn="0" w:lastColumn="0" w:oddVBand="0" w:evenVBand="0" w:oddHBand="1" w:evenHBand="0" w:firstRowFirstColumn="0" w:firstRowLastColumn="0" w:lastRowFirstColumn="0" w:lastRowLastColumn="0"/>
            </w:pPr>
            <w:r w:rsidRPr="005E4F7B">
              <w:t>$</w:t>
            </w:r>
            <w:r w:rsidR="00EC65A5" w:rsidRPr="005E4F7B">
              <w:t>5,</w:t>
            </w:r>
            <w:r w:rsidR="001041E1" w:rsidRPr="005E4F7B">
              <w:t>210</w:t>
            </w:r>
          </w:p>
        </w:tc>
        <w:tc>
          <w:tcPr>
            <w:tcW w:w="1667" w:type="pct"/>
          </w:tcPr>
          <w:p w14:paraId="76E1EC3C" w14:textId="4A93E29A" w:rsidR="00A13E26" w:rsidRPr="005E4F7B" w:rsidRDefault="00A0058A">
            <w:pPr>
              <w:cnfStyle w:val="000000100000" w:firstRow="0" w:lastRow="0" w:firstColumn="0" w:lastColumn="0" w:oddVBand="0" w:evenVBand="0" w:oddHBand="1" w:evenHBand="0" w:firstRowFirstColumn="0" w:firstRowLastColumn="0" w:lastRowFirstColumn="0" w:lastRowLastColumn="0"/>
            </w:pPr>
            <w:r w:rsidRPr="005E4F7B">
              <w:t>$</w:t>
            </w:r>
            <w:r w:rsidR="007253DB" w:rsidRPr="005E4F7B">
              <w:t>5,</w:t>
            </w:r>
            <w:r w:rsidR="001041E1" w:rsidRPr="005E4F7B">
              <w:t>320</w:t>
            </w:r>
          </w:p>
        </w:tc>
      </w:tr>
    </w:tbl>
    <w:p w14:paraId="69FDDEF5" w14:textId="4EBE3D75" w:rsidR="00A13E26" w:rsidRPr="00B13185" w:rsidRDefault="00667B12" w:rsidP="00090EC9">
      <w:pPr>
        <w:pStyle w:val="Heading2"/>
      </w:pPr>
      <w:r>
        <w:br w:type="page"/>
      </w:r>
      <w:bookmarkStart w:id="10" w:name="_Toc33774502"/>
      <w:r w:rsidR="00A13E26" w:rsidRPr="009C1E79">
        <w:lastRenderedPageBreak/>
        <w:t xml:space="preserve">National </w:t>
      </w:r>
      <w:r w:rsidR="00090EC9">
        <w:t>e</w:t>
      </w:r>
      <w:r w:rsidR="00A13E26" w:rsidRPr="009C1E79">
        <w:t xml:space="preserve">fficient </w:t>
      </w:r>
      <w:r w:rsidR="00090EC9">
        <w:t>c</w:t>
      </w:r>
      <w:r w:rsidR="00A13E26" w:rsidRPr="009C1E79">
        <w:t xml:space="preserve">ost </w:t>
      </w:r>
      <w:r w:rsidR="008D6575" w:rsidRPr="009C1E79">
        <w:t>20</w:t>
      </w:r>
      <w:r w:rsidR="008D6575">
        <w:t>20</w:t>
      </w:r>
      <w:r w:rsidR="007801FF">
        <w:t>–21</w:t>
      </w:r>
      <w:bookmarkEnd w:id="10"/>
    </w:p>
    <w:p w14:paraId="4B5F4FF2" w14:textId="22D6597A" w:rsidR="00A13E26" w:rsidRDefault="00A13E26" w:rsidP="00A13E26">
      <w:r w:rsidRPr="009C1E79">
        <w:t xml:space="preserve">The </w:t>
      </w:r>
      <w:r w:rsidR="007801FF">
        <w:t>efficient cost of a small rural hospital is the sum of the fixed cost component and the variable cost component</w:t>
      </w:r>
      <w:r w:rsidRPr="009C1E79">
        <w:t xml:space="preserve">. </w:t>
      </w:r>
    </w:p>
    <w:p w14:paraId="65A9B490" w14:textId="77777777" w:rsidR="00741717" w:rsidRDefault="00741717" w:rsidP="00741717">
      <w:pPr>
        <w:rPr>
          <w:rFonts w:asciiTheme="minorHAnsi" w:hAnsiTheme="minorHAnsi" w:cstheme="minorHAnsi"/>
        </w:rPr>
      </w:pPr>
      <w:r>
        <w:rPr>
          <w:rFonts w:asciiTheme="minorHAnsi" w:hAnsiTheme="minorHAnsi" w:cstheme="minorHAnsi"/>
        </w:rPr>
        <w:t xml:space="preserve">For 2020–21, the total modelled cost for block-funded hospitals up to 3,500 national weighed activity unit (NWAU) comprises a fixed cost of $2.040 million and the variable cost of $5,687 per NWAU. An additional loading of 39.1 per cent is applied for ‘very remote’ hospitals. </w:t>
      </w:r>
    </w:p>
    <w:p w14:paraId="4060A5D7" w14:textId="740029B6" w:rsidR="00B13185" w:rsidRDefault="00B13185" w:rsidP="00B13185">
      <w:r>
        <w:t xml:space="preserve">In addition, the NEC covers some services in public hospitals that do not meet the technical requirements for applying </w:t>
      </w:r>
      <w:r w:rsidR="00090EC9">
        <w:t>activity based funding</w:t>
      </w:r>
      <w:r>
        <w:t>. Usually this means that they cannot be counted and/or costed. For example, teaching, training and research and some non-admitted mental health services are instead provided a block funding amount.</w:t>
      </w:r>
    </w:p>
    <w:p w14:paraId="56C701BF" w14:textId="77777777" w:rsidR="00B13185" w:rsidRDefault="00B13185" w:rsidP="008D1495">
      <w:r w:rsidRPr="009C1E79">
        <w:t xml:space="preserve">IHPA recognises that service delivery models are not static and innovative models of care offer the potential to provide more </w:t>
      </w:r>
      <w:r w:rsidR="00C364B6">
        <w:t>efficient</w:t>
      </w:r>
      <w:r w:rsidR="00C364B6" w:rsidRPr="009C1E79">
        <w:t xml:space="preserve"> </w:t>
      </w:r>
      <w:r w:rsidRPr="009C1E79">
        <w:t>health services. The Pricing Guidelines</w:t>
      </w:r>
      <w:r w:rsidR="00090EC9">
        <w:t xml:space="preserve"> in the Pricing Framework</w:t>
      </w:r>
      <w:r w:rsidRPr="009C1E79">
        <w:t xml:space="preserve"> outline the policy objectives to guide IHPA’s work and reference fostering clinical innovation whereby</w:t>
      </w:r>
      <w:r w:rsidR="00A8189D">
        <w:t xml:space="preserve"> </w:t>
      </w:r>
      <w:r w:rsidRPr="009C1E79">
        <w:t xml:space="preserve">the pricing of public hospital services respond in a timely way to </w:t>
      </w:r>
      <w:r w:rsidR="00A8189D">
        <w:t>introduce</w:t>
      </w:r>
      <w:r w:rsidRPr="009C1E79">
        <w:t xml:space="preserve"> evidence-based, effective new technology and innovations in the models of care that improve patient outcomes</w:t>
      </w:r>
      <w:r w:rsidR="00A8189D">
        <w:t>.</w:t>
      </w:r>
    </w:p>
    <w:p w14:paraId="2B9AD1A8" w14:textId="31A43EDD" w:rsidR="00B13185" w:rsidRDefault="00B13185" w:rsidP="00CE0D34">
      <w:r w:rsidRPr="00117A5F">
        <w:t>With this in mind IHPA will continue to block</w:t>
      </w:r>
      <w:r w:rsidR="00090EC9">
        <w:t>-</w:t>
      </w:r>
      <w:r w:rsidRPr="00117A5F">
        <w:t xml:space="preserve">fund patients on a trial basis in hospital avoidance programs that have been approved on the </w:t>
      </w:r>
      <w:r w:rsidRPr="001041E1">
        <w:t xml:space="preserve">General </w:t>
      </w:r>
      <w:r w:rsidR="0018521A" w:rsidRPr="001041E1">
        <w:t xml:space="preserve">List </w:t>
      </w:r>
      <w:r w:rsidRPr="001041E1">
        <w:t>of In-Scope Public Hospital Services</w:t>
      </w:r>
      <w:r w:rsidRPr="00117A5F">
        <w:t>.</w:t>
      </w:r>
    </w:p>
    <w:p w14:paraId="6D69E8A1" w14:textId="77777777" w:rsidR="007E2775" w:rsidRPr="00F96A26" w:rsidRDefault="007E2775" w:rsidP="00CE0D34">
      <w:r>
        <w:t xml:space="preserve">The NEC also includes costs for </w:t>
      </w:r>
      <w:r w:rsidR="0018521A">
        <w:t xml:space="preserve">the </w:t>
      </w:r>
      <w:r>
        <w:t>CAR-T (Kymriah</w:t>
      </w:r>
      <w:r w:rsidR="00090EC9" w:rsidRPr="001041E1">
        <w:rPr>
          <w:vertAlign w:val="superscript"/>
        </w:rPr>
        <w:t>®</w:t>
      </w:r>
      <w:r>
        <w:t>) treatment in 2020–21 for New South Wales and Victoria</w:t>
      </w:r>
      <w:r w:rsidR="00022693">
        <w:t>,</w:t>
      </w:r>
      <w:r>
        <w:t xml:space="preserve"> as agreed with the Commonwealth in 2019.</w:t>
      </w:r>
    </w:p>
    <w:p w14:paraId="130E5716" w14:textId="77777777" w:rsidR="00A13E26" w:rsidRPr="009C1E79" w:rsidRDefault="00A13E26" w:rsidP="000B0BC4">
      <w:pPr>
        <w:pStyle w:val="Heading3"/>
      </w:pPr>
      <w:bookmarkStart w:id="11" w:name="_Toc31271998"/>
      <w:bookmarkStart w:id="12" w:name="_Toc33774503"/>
      <w:r w:rsidRPr="009C1E79">
        <w:t>Back</w:t>
      </w:r>
      <w:r w:rsidR="00B2736A">
        <w:t>-</w:t>
      </w:r>
      <w:r w:rsidRPr="009C1E79">
        <w:t>casting</w:t>
      </w:r>
      <w:bookmarkEnd w:id="11"/>
      <w:bookmarkEnd w:id="12"/>
    </w:p>
    <w:p w14:paraId="282F9E5E" w14:textId="5047E6A0" w:rsidR="007E2775" w:rsidRDefault="007E2775" w:rsidP="007E2775">
      <w:r>
        <w:t>The back-cast NEC 2019–20 for the purpose of estimating Commonwealth growth funding estimated between 2019−20 and 2020−21 is the sum of the</w:t>
      </w:r>
      <w:r w:rsidR="006C4CB5">
        <w:t xml:space="preserve"> </w:t>
      </w:r>
      <w:r>
        <w:t>fixed component and the variable component.</w:t>
      </w:r>
    </w:p>
    <w:p w14:paraId="45DB388A" w14:textId="77777777" w:rsidR="007E2775" w:rsidRPr="005E4F7B" w:rsidRDefault="007E2775" w:rsidP="007E2775">
      <w:r w:rsidRPr="005E4F7B">
        <w:t>The fixed component is determined as:</w:t>
      </w:r>
    </w:p>
    <w:p w14:paraId="0614EF69" w14:textId="2D682930" w:rsidR="007E2775" w:rsidRPr="005E4F7B" w:rsidRDefault="007E2775" w:rsidP="0018521A">
      <w:pPr>
        <w:pStyle w:val="ListParagraph"/>
      </w:pPr>
      <w:r w:rsidRPr="005E4F7B">
        <w:t>$</w:t>
      </w:r>
      <w:r w:rsidR="00B00537" w:rsidRPr="005E4F7B">
        <w:t>1.954</w:t>
      </w:r>
      <w:r w:rsidRPr="005E4F7B">
        <w:t xml:space="preserve"> million for hospitals with an annual NWAU(19) less than or equal to </w:t>
      </w:r>
      <w:r w:rsidR="00B00537" w:rsidRPr="005E4F7B">
        <w:t>176</w:t>
      </w:r>
      <w:r w:rsidRPr="005E4F7B">
        <w:t>.</w:t>
      </w:r>
    </w:p>
    <w:p w14:paraId="6C314A7C" w14:textId="3D70CDB2" w:rsidR="007E2775" w:rsidRPr="005E4F7B" w:rsidRDefault="00B00537" w:rsidP="0018521A">
      <w:pPr>
        <w:pStyle w:val="ListParagraph"/>
      </w:pPr>
      <w:r w:rsidRPr="005E4F7B">
        <w:t>$1.954</w:t>
      </w:r>
      <w:r w:rsidR="007E2775" w:rsidRPr="005E4F7B">
        <w:t xml:space="preserve"> million less 0.029 per</w:t>
      </w:r>
      <w:r w:rsidR="0018521A" w:rsidRPr="005E4F7B">
        <w:t xml:space="preserve"> </w:t>
      </w:r>
      <w:r w:rsidR="007E2775" w:rsidRPr="005E4F7B">
        <w:t>cent per-NWAU(19) for hospitals with an annual NWAU(19)</w:t>
      </w:r>
      <w:r w:rsidR="006C4CB5" w:rsidRPr="005E4F7B">
        <w:t xml:space="preserve"> </w:t>
      </w:r>
      <w:r w:rsidRPr="005E4F7B">
        <w:t>greater than 176</w:t>
      </w:r>
      <w:r w:rsidR="007E2775" w:rsidRPr="005E4F7B">
        <w:t xml:space="preserve">, with an additional loading of </w:t>
      </w:r>
      <w:r w:rsidR="001041E1" w:rsidRPr="005E4F7B">
        <w:t>3</w:t>
      </w:r>
      <w:r w:rsidR="005E4F7B" w:rsidRPr="005E4F7B">
        <w:t>9.1</w:t>
      </w:r>
      <w:r w:rsidR="007E2775" w:rsidRPr="005E4F7B">
        <w:t xml:space="preserve"> per</w:t>
      </w:r>
      <w:r w:rsidR="0018521A" w:rsidRPr="005E4F7B">
        <w:t xml:space="preserve"> </w:t>
      </w:r>
      <w:r w:rsidR="007E2775" w:rsidRPr="005E4F7B">
        <w:t>cent for ‘very remote’ hospitals.</w:t>
      </w:r>
    </w:p>
    <w:p w14:paraId="3A0371DB" w14:textId="56037660" w:rsidR="007E2775" w:rsidRDefault="007E2775" w:rsidP="007E2775">
      <w:r w:rsidRPr="005E4F7B">
        <w:t xml:space="preserve">The variable component of the efficient cost is determined as </w:t>
      </w:r>
      <w:r w:rsidR="00B00537" w:rsidRPr="005E4F7B">
        <w:t>$5,</w:t>
      </w:r>
      <w:r w:rsidR="002135CA">
        <w:t>448</w:t>
      </w:r>
      <w:r w:rsidRPr="005E4F7B">
        <w:t xml:space="preserve"> per-NWAU</w:t>
      </w:r>
      <w:r>
        <w:t>(19) for hospitals</w:t>
      </w:r>
      <w:r w:rsidR="006C4CB5">
        <w:t xml:space="preserve"> </w:t>
      </w:r>
      <w:r>
        <w:t xml:space="preserve">with an </w:t>
      </w:r>
      <w:r w:rsidR="00B00537">
        <w:t>annual NWAU(19) greater than 176</w:t>
      </w:r>
      <w:r w:rsidR="006C4CB5">
        <w:t>.</w:t>
      </w:r>
    </w:p>
    <w:p w14:paraId="13F1B9DA" w14:textId="11E988E1" w:rsidR="00B00537" w:rsidRPr="009C1E79" w:rsidRDefault="000B0BC4" w:rsidP="00B00537">
      <w:r w:rsidRPr="009C1E79">
        <w:br w:type="page"/>
      </w:r>
    </w:p>
    <w:p w14:paraId="268C85DE" w14:textId="77777777" w:rsidR="00A13E26" w:rsidRPr="009C1E79" w:rsidRDefault="00A13E26" w:rsidP="000B0BC4">
      <w:pPr>
        <w:pStyle w:val="Heading1"/>
      </w:pPr>
      <w:bookmarkStart w:id="13" w:name="_Toc33774504"/>
      <w:r w:rsidRPr="009C1E79">
        <w:lastRenderedPageBreak/>
        <w:t>More information</w:t>
      </w:r>
      <w:bookmarkEnd w:id="13"/>
    </w:p>
    <w:p w14:paraId="77F86B23" w14:textId="77777777" w:rsidR="00A13E26" w:rsidRPr="009C1E79" w:rsidRDefault="00A13E26" w:rsidP="000B0BC4">
      <w:r w:rsidRPr="009C1E79">
        <w:t xml:space="preserve">For more information about IHPA, </w:t>
      </w:r>
      <w:r w:rsidR="0018521A">
        <w:t>a</w:t>
      </w:r>
      <w:r w:rsidRPr="009C1E79">
        <w:t xml:space="preserve">ctivity </w:t>
      </w:r>
      <w:r w:rsidR="0018521A">
        <w:t>b</w:t>
      </w:r>
      <w:r w:rsidRPr="009C1E79">
        <w:t xml:space="preserve">ased </w:t>
      </w:r>
      <w:r w:rsidR="0018521A">
        <w:t>f</w:t>
      </w:r>
      <w:r w:rsidRPr="009C1E79">
        <w:t xml:space="preserve">unding or the NEP and NEC Determinations, please visit </w:t>
      </w:r>
      <w:hyperlink r:id="rId17" w:history="1">
        <w:r w:rsidRPr="0018521A">
          <w:rPr>
            <w:rStyle w:val="Hyperlink"/>
            <w:color w:val="00B050"/>
          </w:rPr>
          <w:t>www.ihpa.gov.au</w:t>
        </w:r>
      </w:hyperlink>
      <w:r w:rsidRPr="009C1E79">
        <w:t xml:space="preserve"> or contact </w:t>
      </w:r>
      <w:hyperlink r:id="rId18" w:history="1">
        <w:r w:rsidRPr="00F02360">
          <w:rPr>
            <w:rStyle w:val="Hyperlink"/>
            <w:color w:val="00B050"/>
          </w:rPr>
          <w:t>enquiries.ihpa@ihpa.gov.au</w:t>
        </w:r>
      </w:hyperlink>
      <w:r w:rsidRPr="009C1E79">
        <w:t>.</w:t>
      </w:r>
    </w:p>
    <w:p w14:paraId="10332796" w14:textId="77777777" w:rsidR="00A13E26" w:rsidRPr="009C1E79" w:rsidRDefault="00A13E26">
      <w:pPr>
        <w:spacing w:before="0" w:after="0" w:line="240" w:lineRule="auto"/>
        <w:sectPr w:rsidR="00A13E26" w:rsidRPr="009C1E79" w:rsidSect="008C2111">
          <w:pgSz w:w="11906" w:h="16838" w:code="9"/>
          <w:pgMar w:top="2041" w:right="1440" w:bottom="1021" w:left="1021" w:header="680" w:footer="510" w:gutter="0"/>
          <w:pgNumType w:start="1"/>
          <w:cols w:space="708"/>
          <w:docGrid w:linePitch="360"/>
        </w:sectPr>
      </w:pPr>
    </w:p>
    <w:p w14:paraId="1582615D" w14:textId="77777777" w:rsidR="00562759" w:rsidRDefault="00043CF6" w:rsidP="00350852">
      <w:r w:rsidRPr="009C1E79">
        <w:rPr>
          <w:noProof/>
          <w:lang w:val="en-AU"/>
        </w:rPr>
        <w:lastRenderedPageBreak/>
        <w:drawing>
          <wp:anchor distT="0" distB="0" distL="114300" distR="114300" simplePos="0" relativeHeight="251678720" behindDoc="1" locked="1" layoutInCell="0" allowOverlap="1" wp14:anchorId="1DABB832" wp14:editId="5FC629A2">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sidRPr="009C1E79">
        <w:rPr>
          <w:noProof/>
          <w:lang w:val="en-AU"/>
        </w:rPr>
        <mc:AlternateContent>
          <mc:Choice Requires="wps">
            <w:drawing>
              <wp:anchor distT="0" distB="0" distL="114300" distR="114300" simplePos="0" relativeHeight="251670528" behindDoc="0" locked="0" layoutInCell="1" allowOverlap="1" wp14:anchorId="50381307" wp14:editId="123ED1F5">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DF34F6" w14:textId="77777777" w:rsidR="000B0BC4" w:rsidRPr="000E36E3" w:rsidRDefault="000B0BC4" w:rsidP="000B0BC4">
                            <w:pPr>
                              <w:pStyle w:val="Address"/>
                              <w:rPr>
                                <w:color w:val="auto"/>
                              </w:rPr>
                            </w:pPr>
                            <w:r w:rsidRPr="000E36E3">
                              <w:rPr>
                                <w:color w:val="auto"/>
                              </w:rPr>
                              <w:t>Independent Hospital Pricing Authority</w:t>
                            </w:r>
                          </w:p>
                          <w:p w14:paraId="26FFB9B4" w14:textId="77777777" w:rsidR="000B0BC4" w:rsidRPr="000B0BC4" w:rsidRDefault="000B0BC4" w:rsidP="000B0BC4">
                            <w:pPr>
                              <w:pStyle w:val="Address"/>
                              <w:rPr>
                                <w:color w:val="auto"/>
                              </w:rPr>
                            </w:pPr>
                          </w:p>
                          <w:p w14:paraId="3B83FD71" w14:textId="77777777" w:rsidR="000B0BC4" w:rsidRPr="000E36E3" w:rsidRDefault="000B0BC4" w:rsidP="000B0BC4">
                            <w:pPr>
                              <w:pStyle w:val="Address"/>
                              <w:rPr>
                                <w:color w:val="008542" w:themeColor="accent2"/>
                              </w:rPr>
                            </w:pPr>
                            <w:r w:rsidRPr="000E36E3">
                              <w:rPr>
                                <w:color w:val="008542" w:themeColor="accent2"/>
                              </w:rPr>
                              <w:t>Level 6, 1 Oxford Street</w:t>
                            </w:r>
                          </w:p>
                          <w:p w14:paraId="519EA3BA" w14:textId="77777777" w:rsidR="000B0BC4" w:rsidRPr="000E36E3" w:rsidRDefault="000B0BC4" w:rsidP="000B0BC4">
                            <w:pPr>
                              <w:pStyle w:val="Address"/>
                              <w:rPr>
                                <w:color w:val="008542" w:themeColor="accent2"/>
                              </w:rPr>
                            </w:pPr>
                            <w:r w:rsidRPr="000E36E3">
                              <w:rPr>
                                <w:color w:val="008542" w:themeColor="accent2"/>
                              </w:rPr>
                              <w:t>Sydney NSW 2000</w:t>
                            </w:r>
                          </w:p>
                          <w:p w14:paraId="4DFC01F1" w14:textId="77777777" w:rsidR="000B0BC4" w:rsidRPr="000B0BC4" w:rsidRDefault="000B0BC4" w:rsidP="000B0BC4">
                            <w:pPr>
                              <w:pStyle w:val="Address"/>
                              <w:rPr>
                                <w:color w:val="auto"/>
                              </w:rPr>
                            </w:pPr>
                          </w:p>
                          <w:p w14:paraId="57E35F8E" w14:textId="77777777" w:rsidR="000B0BC4" w:rsidRPr="000E36E3" w:rsidRDefault="000B0BC4" w:rsidP="000B0BC4">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48D59EBB" w14:textId="77777777" w:rsidR="000B0BC4" w:rsidRPr="000E36E3" w:rsidRDefault="000B0BC4" w:rsidP="000B0BC4">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46374519" w14:textId="77777777" w:rsidR="000B0BC4" w:rsidRPr="000E36E3" w:rsidRDefault="000B0BC4" w:rsidP="000B0BC4">
                            <w:pPr>
                              <w:pStyle w:val="Address"/>
                              <w:rPr>
                                <w:color w:val="008542" w:themeColor="accent2"/>
                              </w:rPr>
                            </w:pPr>
                            <w:r w:rsidRPr="000E36E3">
                              <w:rPr>
                                <w:color w:val="auto"/>
                              </w:rPr>
                              <w:t xml:space="preserve">Twitter </w:t>
                            </w:r>
                            <w:r w:rsidRPr="000E36E3">
                              <w:rPr>
                                <w:color w:val="008542" w:themeColor="accent2"/>
                              </w:rPr>
                              <w:t>@IHPAnews</w:t>
                            </w:r>
                          </w:p>
                          <w:p w14:paraId="5162AFC4" w14:textId="77777777" w:rsidR="000B0BC4" w:rsidRPr="000B0BC4" w:rsidRDefault="000B0BC4" w:rsidP="000B0BC4">
                            <w:pPr>
                              <w:pStyle w:val="Address"/>
                              <w:rPr>
                                <w:color w:val="auto"/>
                              </w:rPr>
                            </w:pPr>
                          </w:p>
                          <w:p w14:paraId="51FDCA51" w14:textId="77777777" w:rsidR="000B0BC4" w:rsidRPr="000B0BC4" w:rsidRDefault="000B0BC4" w:rsidP="000B0BC4">
                            <w:pPr>
                              <w:pStyle w:val="Address"/>
                              <w:rPr>
                                <w:color w:val="auto"/>
                              </w:rPr>
                            </w:pPr>
                            <w:r w:rsidRPr="000B0BC4">
                              <w:rPr>
                                <w:color w:val="auto"/>
                              </w:rPr>
                              <w:t>www.ihpa.gov.au</w:t>
                            </w:r>
                          </w:p>
                          <w:p w14:paraId="104776A5" w14:textId="77777777" w:rsidR="000B0BC4" w:rsidRPr="0098702F" w:rsidRDefault="000B0BC4" w:rsidP="000B0BC4">
                            <w:pPr>
                              <w:pStyle w:val="Address"/>
                            </w:pPr>
                          </w:p>
                          <w:p w14:paraId="209F5D07" w14:textId="77777777" w:rsidR="00562759" w:rsidRPr="0098702F" w:rsidRDefault="00562759"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81307"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6DDF34F6" w14:textId="77777777" w:rsidR="000B0BC4" w:rsidRPr="000E36E3" w:rsidRDefault="000B0BC4" w:rsidP="000B0BC4">
                      <w:pPr>
                        <w:pStyle w:val="Address"/>
                        <w:rPr>
                          <w:color w:val="auto"/>
                        </w:rPr>
                      </w:pPr>
                      <w:r w:rsidRPr="000E36E3">
                        <w:rPr>
                          <w:color w:val="auto"/>
                        </w:rPr>
                        <w:t>Independent Hospital Pricing Authority</w:t>
                      </w:r>
                    </w:p>
                    <w:p w14:paraId="26FFB9B4" w14:textId="77777777" w:rsidR="000B0BC4" w:rsidRPr="000B0BC4" w:rsidRDefault="000B0BC4" w:rsidP="000B0BC4">
                      <w:pPr>
                        <w:pStyle w:val="Address"/>
                        <w:rPr>
                          <w:color w:val="auto"/>
                        </w:rPr>
                      </w:pPr>
                    </w:p>
                    <w:p w14:paraId="3B83FD71" w14:textId="77777777" w:rsidR="000B0BC4" w:rsidRPr="000E36E3" w:rsidRDefault="000B0BC4" w:rsidP="000B0BC4">
                      <w:pPr>
                        <w:pStyle w:val="Address"/>
                        <w:rPr>
                          <w:color w:val="008542" w:themeColor="accent2"/>
                        </w:rPr>
                      </w:pPr>
                      <w:r w:rsidRPr="000E36E3">
                        <w:rPr>
                          <w:color w:val="008542" w:themeColor="accent2"/>
                        </w:rPr>
                        <w:t>Level 6, 1 Oxford Street</w:t>
                      </w:r>
                    </w:p>
                    <w:p w14:paraId="519EA3BA" w14:textId="77777777" w:rsidR="000B0BC4" w:rsidRPr="000E36E3" w:rsidRDefault="000B0BC4" w:rsidP="000B0BC4">
                      <w:pPr>
                        <w:pStyle w:val="Address"/>
                        <w:rPr>
                          <w:color w:val="008542" w:themeColor="accent2"/>
                        </w:rPr>
                      </w:pPr>
                      <w:r w:rsidRPr="000E36E3">
                        <w:rPr>
                          <w:color w:val="008542" w:themeColor="accent2"/>
                        </w:rPr>
                        <w:t>Sydney NSW 2000</w:t>
                      </w:r>
                    </w:p>
                    <w:p w14:paraId="4DFC01F1" w14:textId="77777777" w:rsidR="000B0BC4" w:rsidRPr="000B0BC4" w:rsidRDefault="000B0BC4" w:rsidP="000B0BC4">
                      <w:pPr>
                        <w:pStyle w:val="Address"/>
                        <w:rPr>
                          <w:color w:val="auto"/>
                        </w:rPr>
                      </w:pPr>
                    </w:p>
                    <w:p w14:paraId="57E35F8E" w14:textId="77777777" w:rsidR="000B0BC4" w:rsidRPr="000E36E3" w:rsidRDefault="000B0BC4" w:rsidP="000B0BC4">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48D59EBB" w14:textId="77777777" w:rsidR="000B0BC4" w:rsidRPr="000E36E3" w:rsidRDefault="000B0BC4" w:rsidP="000B0BC4">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46374519" w14:textId="77777777" w:rsidR="000B0BC4" w:rsidRPr="000E36E3" w:rsidRDefault="000B0BC4" w:rsidP="000B0BC4">
                      <w:pPr>
                        <w:pStyle w:val="Address"/>
                        <w:rPr>
                          <w:color w:val="008542" w:themeColor="accent2"/>
                        </w:rPr>
                      </w:pPr>
                      <w:r w:rsidRPr="000E36E3">
                        <w:rPr>
                          <w:color w:val="auto"/>
                        </w:rPr>
                        <w:t xml:space="preserve">Twitter </w:t>
                      </w:r>
                      <w:r w:rsidRPr="000E36E3">
                        <w:rPr>
                          <w:color w:val="008542" w:themeColor="accent2"/>
                        </w:rPr>
                        <w:t>@IHPAnews</w:t>
                      </w:r>
                    </w:p>
                    <w:p w14:paraId="5162AFC4" w14:textId="77777777" w:rsidR="000B0BC4" w:rsidRPr="000B0BC4" w:rsidRDefault="000B0BC4" w:rsidP="000B0BC4">
                      <w:pPr>
                        <w:pStyle w:val="Address"/>
                        <w:rPr>
                          <w:color w:val="auto"/>
                        </w:rPr>
                      </w:pPr>
                    </w:p>
                    <w:p w14:paraId="51FDCA51" w14:textId="77777777" w:rsidR="000B0BC4" w:rsidRPr="000B0BC4" w:rsidRDefault="000B0BC4" w:rsidP="000B0BC4">
                      <w:pPr>
                        <w:pStyle w:val="Address"/>
                        <w:rPr>
                          <w:color w:val="auto"/>
                        </w:rPr>
                      </w:pPr>
                      <w:r w:rsidRPr="000B0BC4">
                        <w:rPr>
                          <w:color w:val="auto"/>
                        </w:rPr>
                        <w:t>www.ihpa.gov.au</w:t>
                      </w:r>
                    </w:p>
                    <w:p w14:paraId="104776A5" w14:textId="77777777" w:rsidR="000B0BC4" w:rsidRPr="0098702F" w:rsidRDefault="000B0BC4" w:rsidP="000B0BC4">
                      <w:pPr>
                        <w:pStyle w:val="Address"/>
                      </w:pPr>
                    </w:p>
                    <w:p w14:paraId="209F5D07" w14:textId="77777777" w:rsidR="00562759" w:rsidRPr="0098702F" w:rsidRDefault="00562759" w:rsidP="00562759">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80F6B" w14:textId="77777777" w:rsidR="00F268DA" w:rsidRDefault="00F268DA">
      <w:r>
        <w:separator/>
      </w:r>
    </w:p>
  </w:endnote>
  <w:endnote w:type="continuationSeparator" w:id="0">
    <w:p w14:paraId="7BF168A3" w14:textId="77777777" w:rsidR="00F268DA" w:rsidRDefault="00F2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C6863" w14:textId="77777777" w:rsidR="00F268DA" w:rsidRDefault="00F268DA">
      <w:r>
        <w:separator/>
      </w:r>
    </w:p>
  </w:footnote>
  <w:footnote w:type="continuationSeparator" w:id="0">
    <w:p w14:paraId="41B30966" w14:textId="77777777" w:rsidR="00F268DA" w:rsidRDefault="00F2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2D35" w14:textId="45DACFC1" w:rsidR="0032530E" w:rsidRPr="00CC2138" w:rsidRDefault="00CC2138" w:rsidP="00CC2138">
    <w:pPr>
      <w:pStyle w:val="Header"/>
      <w:rPr>
        <w:color w:val="008542" w:themeColor="accent2"/>
      </w:rPr>
    </w:pPr>
    <w:r>
      <w:rPr>
        <w:noProof/>
        <w:color w:val="FFFFFF" w:themeColor="background1"/>
        <w:lang w:val="en-AU"/>
      </w:rPr>
      <w:drawing>
        <wp:anchor distT="0" distB="0" distL="114300" distR="114300" simplePos="0" relativeHeight="251659264" behindDoc="1" locked="0" layoutInCell="0" allowOverlap="1" wp14:anchorId="66C647F6" wp14:editId="5FC3995C">
          <wp:simplePos x="0" y="0"/>
          <wp:positionH relativeFrom="page">
            <wp:posOffset>0</wp:posOffset>
          </wp:positionH>
          <wp:positionV relativeFrom="page">
            <wp:posOffset>1179</wp:posOffset>
          </wp:positionV>
          <wp:extent cx="6080400" cy="91814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00A13E26">
      <w:rPr>
        <w:color w:val="FFFFFF" w:themeColor="background1"/>
      </w:rPr>
      <w:t>Understanding the NEP and NEC 20</w:t>
    </w:r>
    <w:r w:rsidR="004F799D">
      <w:rPr>
        <w:color w:val="FFFFFF" w:themeColor="background1"/>
      </w:rPr>
      <w:t>20</w:t>
    </w:r>
    <w:r w:rsidR="00F24B35">
      <w:rPr>
        <w:color w:val="FFFFFF" w:themeColor="background1"/>
      </w:rPr>
      <w:t>–21</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766B91">
      <w:rPr>
        <w:noProof/>
        <w:color w:val="008542" w:themeColor="accent2"/>
      </w:rPr>
      <w:t>1</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5DA4"/>
    <w:multiLevelType w:val="hybridMultilevel"/>
    <w:tmpl w:val="3204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E4774"/>
    <w:multiLevelType w:val="hybridMultilevel"/>
    <w:tmpl w:val="DEE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BB7EDE"/>
    <w:multiLevelType w:val="hybridMultilevel"/>
    <w:tmpl w:val="573ADCEC"/>
    <w:lvl w:ilvl="0" w:tplc="04381F9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501BA7"/>
    <w:multiLevelType w:val="hybridMultilevel"/>
    <w:tmpl w:val="D4D47C02"/>
    <w:lvl w:ilvl="0" w:tplc="557276F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B53BF3"/>
    <w:multiLevelType w:val="hybridMultilevel"/>
    <w:tmpl w:val="EBCC8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4E5B9D"/>
    <w:multiLevelType w:val="multilevel"/>
    <w:tmpl w:val="7854AF5C"/>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8E696B"/>
    <w:multiLevelType w:val="hybridMultilevel"/>
    <w:tmpl w:val="796ED942"/>
    <w:lvl w:ilvl="0" w:tplc="48820B56">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81A53D6"/>
    <w:multiLevelType w:val="hybridMultilevel"/>
    <w:tmpl w:val="975E6A7E"/>
    <w:lvl w:ilvl="0" w:tplc="0C090001">
      <w:start w:val="1"/>
      <w:numFmt w:val="bullet"/>
      <w:lvlText w:val=""/>
      <w:lvlJc w:val="left"/>
      <w:pPr>
        <w:ind w:left="720" w:hanging="360"/>
      </w:pPr>
      <w:rPr>
        <w:rFonts w:ascii="Symbol" w:hAnsi="Symbol" w:hint="default"/>
      </w:rPr>
    </w:lvl>
    <w:lvl w:ilvl="1" w:tplc="EB084FD4">
      <w:start w:val="1"/>
      <w:numFmt w:val="bullet"/>
      <w:lvlText w:val="o"/>
      <w:lvlJc w:val="left"/>
      <w:pPr>
        <w:ind w:left="1440" w:hanging="360"/>
      </w:pPr>
      <w:rPr>
        <w:rFonts w:ascii="Courier New" w:hAnsi="Courier New" w:cs="Courier New" w:hint="default"/>
        <w:color w:val="00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2"/>
  </w:num>
  <w:num w:numId="14">
    <w:abstractNumId w:val="10"/>
  </w:num>
  <w:num w:numId="15">
    <w:abstractNumId w:val="18"/>
  </w:num>
  <w:num w:numId="16">
    <w:abstractNumId w:val="11"/>
  </w:num>
  <w:num w:numId="17">
    <w:abstractNumId w:val="15"/>
  </w:num>
  <w:num w:numId="18">
    <w:abstractNumId w:val="13"/>
  </w:num>
  <w:num w:numId="1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26"/>
    <w:rsid w:val="00004CA2"/>
    <w:rsid w:val="00005785"/>
    <w:rsid w:val="00006876"/>
    <w:rsid w:val="000079AD"/>
    <w:rsid w:val="00007D1F"/>
    <w:rsid w:val="00010D84"/>
    <w:rsid w:val="00010F15"/>
    <w:rsid w:val="00011CE3"/>
    <w:rsid w:val="00022693"/>
    <w:rsid w:val="00022E9C"/>
    <w:rsid w:val="00024EF0"/>
    <w:rsid w:val="00025631"/>
    <w:rsid w:val="00027B26"/>
    <w:rsid w:val="00030705"/>
    <w:rsid w:val="00032861"/>
    <w:rsid w:val="00032B77"/>
    <w:rsid w:val="00041F68"/>
    <w:rsid w:val="00042285"/>
    <w:rsid w:val="00043256"/>
    <w:rsid w:val="00043CF6"/>
    <w:rsid w:val="00045A89"/>
    <w:rsid w:val="00046F8E"/>
    <w:rsid w:val="00047524"/>
    <w:rsid w:val="0005040E"/>
    <w:rsid w:val="0005087D"/>
    <w:rsid w:val="00050F9E"/>
    <w:rsid w:val="00051EF7"/>
    <w:rsid w:val="000547EF"/>
    <w:rsid w:val="00056004"/>
    <w:rsid w:val="0006075A"/>
    <w:rsid w:val="00061C84"/>
    <w:rsid w:val="00062484"/>
    <w:rsid w:val="00063129"/>
    <w:rsid w:val="00064EE9"/>
    <w:rsid w:val="00065022"/>
    <w:rsid w:val="00065A5E"/>
    <w:rsid w:val="00070681"/>
    <w:rsid w:val="00080A09"/>
    <w:rsid w:val="00081CEB"/>
    <w:rsid w:val="00083082"/>
    <w:rsid w:val="00086977"/>
    <w:rsid w:val="00087B2C"/>
    <w:rsid w:val="00087DBD"/>
    <w:rsid w:val="00090718"/>
    <w:rsid w:val="00090EC9"/>
    <w:rsid w:val="00091B4E"/>
    <w:rsid w:val="00091CD7"/>
    <w:rsid w:val="00093DD5"/>
    <w:rsid w:val="000A03DD"/>
    <w:rsid w:val="000A1A09"/>
    <w:rsid w:val="000A47A8"/>
    <w:rsid w:val="000A73FB"/>
    <w:rsid w:val="000B0BC4"/>
    <w:rsid w:val="000B218A"/>
    <w:rsid w:val="000B7F51"/>
    <w:rsid w:val="000C014D"/>
    <w:rsid w:val="000C29B4"/>
    <w:rsid w:val="000C5CD8"/>
    <w:rsid w:val="000C7A69"/>
    <w:rsid w:val="000D1158"/>
    <w:rsid w:val="000D388C"/>
    <w:rsid w:val="000D4703"/>
    <w:rsid w:val="000E12D4"/>
    <w:rsid w:val="000E39EF"/>
    <w:rsid w:val="000E620E"/>
    <w:rsid w:val="000F2063"/>
    <w:rsid w:val="000F2520"/>
    <w:rsid w:val="000F3D28"/>
    <w:rsid w:val="000F63C4"/>
    <w:rsid w:val="00100200"/>
    <w:rsid w:val="0010263D"/>
    <w:rsid w:val="00102824"/>
    <w:rsid w:val="0010300A"/>
    <w:rsid w:val="001041E1"/>
    <w:rsid w:val="001131F0"/>
    <w:rsid w:val="001139C7"/>
    <w:rsid w:val="00114EBC"/>
    <w:rsid w:val="00117A5F"/>
    <w:rsid w:val="0012427E"/>
    <w:rsid w:val="001247E0"/>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2BF6"/>
    <w:rsid w:val="00153468"/>
    <w:rsid w:val="00155B98"/>
    <w:rsid w:val="00157001"/>
    <w:rsid w:val="00157709"/>
    <w:rsid w:val="00160E91"/>
    <w:rsid w:val="00165626"/>
    <w:rsid w:val="00167CF4"/>
    <w:rsid w:val="0017018F"/>
    <w:rsid w:val="0017147C"/>
    <w:rsid w:val="0017194E"/>
    <w:rsid w:val="0017249B"/>
    <w:rsid w:val="001727A4"/>
    <w:rsid w:val="00177EC4"/>
    <w:rsid w:val="00181533"/>
    <w:rsid w:val="001824C8"/>
    <w:rsid w:val="00182698"/>
    <w:rsid w:val="0018521A"/>
    <w:rsid w:val="001864FD"/>
    <w:rsid w:val="001943DD"/>
    <w:rsid w:val="00196BAC"/>
    <w:rsid w:val="001A13F6"/>
    <w:rsid w:val="001A2D78"/>
    <w:rsid w:val="001A7249"/>
    <w:rsid w:val="001B385A"/>
    <w:rsid w:val="001B3904"/>
    <w:rsid w:val="001B3AEC"/>
    <w:rsid w:val="001B3E8D"/>
    <w:rsid w:val="001B5259"/>
    <w:rsid w:val="001B60D4"/>
    <w:rsid w:val="001B6F28"/>
    <w:rsid w:val="001B7AA0"/>
    <w:rsid w:val="001C2D5A"/>
    <w:rsid w:val="001C4F4F"/>
    <w:rsid w:val="001C6BA1"/>
    <w:rsid w:val="001D141C"/>
    <w:rsid w:val="001D2904"/>
    <w:rsid w:val="001D652D"/>
    <w:rsid w:val="001D693F"/>
    <w:rsid w:val="001D6F9E"/>
    <w:rsid w:val="001E38FB"/>
    <w:rsid w:val="001E52C2"/>
    <w:rsid w:val="001F0BE1"/>
    <w:rsid w:val="001F101A"/>
    <w:rsid w:val="001F24EF"/>
    <w:rsid w:val="001F56C7"/>
    <w:rsid w:val="00203039"/>
    <w:rsid w:val="00204B17"/>
    <w:rsid w:val="002069D2"/>
    <w:rsid w:val="00211DA2"/>
    <w:rsid w:val="002135CA"/>
    <w:rsid w:val="00213693"/>
    <w:rsid w:val="00215CCB"/>
    <w:rsid w:val="00216CF5"/>
    <w:rsid w:val="0022037B"/>
    <w:rsid w:val="00222C8D"/>
    <w:rsid w:val="002256A8"/>
    <w:rsid w:val="00230E6B"/>
    <w:rsid w:val="00232B97"/>
    <w:rsid w:val="0023523A"/>
    <w:rsid w:val="0023757C"/>
    <w:rsid w:val="00237C47"/>
    <w:rsid w:val="002402E4"/>
    <w:rsid w:val="002421A0"/>
    <w:rsid w:val="00242B98"/>
    <w:rsid w:val="002445A1"/>
    <w:rsid w:val="00246FE6"/>
    <w:rsid w:val="0024709A"/>
    <w:rsid w:val="002470E3"/>
    <w:rsid w:val="0025207D"/>
    <w:rsid w:val="00254DE9"/>
    <w:rsid w:val="002615D3"/>
    <w:rsid w:val="002672F1"/>
    <w:rsid w:val="00271414"/>
    <w:rsid w:val="00271922"/>
    <w:rsid w:val="00273412"/>
    <w:rsid w:val="0027373F"/>
    <w:rsid w:val="00274ACF"/>
    <w:rsid w:val="0028159B"/>
    <w:rsid w:val="00282671"/>
    <w:rsid w:val="00282861"/>
    <w:rsid w:val="002843E2"/>
    <w:rsid w:val="00287BAA"/>
    <w:rsid w:val="00293489"/>
    <w:rsid w:val="0029487C"/>
    <w:rsid w:val="00296F5E"/>
    <w:rsid w:val="002A30F0"/>
    <w:rsid w:val="002A6DF5"/>
    <w:rsid w:val="002B6406"/>
    <w:rsid w:val="002B6809"/>
    <w:rsid w:val="002B7F9D"/>
    <w:rsid w:val="002C4231"/>
    <w:rsid w:val="002C7080"/>
    <w:rsid w:val="002D00B0"/>
    <w:rsid w:val="002D2364"/>
    <w:rsid w:val="002D2E16"/>
    <w:rsid w:val="002E45F0"/>
    <w:rsid w:val="002E7778"/>
    <w:rsid w:val="0030013C"/>
    <w:rsid w:val="00304B3E"/>
    <w:rsid w:val="00304D97"/>
    <w:rsid w:val="0031180A"/>
    <w:rsid w:val="00313127"/>
    <w:rsid w:val="00313304"/>
    <w:rsid w:val="003155F4"/>
    <w:rsid w:val="00320309"/>
    <w:rsid w:val="00321D1E"/>
    <w:rsid w:val="00321FA1"/>
    <w:rsid w:val="0032530E"/>
    <w:rsid w:val="00325A61"/>
    <w:rsid w:val="00326976"/>
    <w:rsid w:val="003311D7"/>
    <w:rsid w:val="00332B8B"/>
    <w:rsid w:val="0033521E"/>
    <w:rsid w:val="00337CA2"/>
    <w:rsid w:val="003404A4"/>
    <w:rsid w:val="00347104"/>
    <w:rsid w:val="00350852"/>
    <w:rsid w:val="0035096E"/>
    <w:rsid w:val="0035219F"/>
    <w:rsid w:val="00355D01"/>
    <w:rsid w:val="00357C91"/>
    <w:rsid w:val="00360B81"/>
    <w:rsid w:val="003655BE"/>
    <w:rsid w:val="00366283"/>
    <w:rsid w:val="0036777E"/>
    <w:rsid w:val="003701FA"/>
    <w:rsid w:val="00372A26"/>
    <w:rsid w:val="0037484C"/>
    <w:rsid w:val="003749CD"/>
    <w:rsid w:val="00374A6C"/>
    <w:rsid w:val="00382718"/>
    <w:rsid w:val="00382B3B"/>
    <w:rsid w:val="00385ED2"/>
    <w:rsid w:val="00391F86"/>
    <w:rsid w:val="003923FB"/>
    <w:rsid w:val="00393F00"/>
    <w:rsid w:val="003945C0"/>
    <w:rsid w:val="003A25A7"/>
    <w:rsid w:val="003B535C"/>
    <w:rsid w:val="003C2120"/>
    <w:rsid w:val="003D030E"/>
    <w:rsid w:val="003D040D"/>
    <w:rsid w:val="003D1F49"/>
    <w:rsid w:val="003D2061"/>
    <w:rsid w:val="003E1FE3"/>
    <w:rsid w:val="003E32A7"/>
    <w:rsid w:val="003F1A33"/>
    <w:rsid w:val="003F3072"/>
    <w:rsid w:val="004024E4"/>
    <w:rsid w:val="00404788"/>
    <w:rsid w:val="00406289"/>
    <w:rsid w:val="00406578"/>
    <w:rsid w:val="004074EF"/>
    <w:rsid w:val="004102C3"/>
    <w:rsid w:val="0041307C"/>
    <w:rsid w:val="00413699"/>
    <w:rsid w:val="004167B4"/>
    <w:rsid w:val="004167BC"/>
    <w:rsid w:val="0042032D"/>
    <w:rsid w:val="004225DC"/>
    <w:rsid w:val="00423A41"/>
    <w:rsid w:val="00425FBA"/>
    <w:rsid w:val="00430D7E"/>
    <w:rsid w:val="00432332"/>
    <w:rsid w:val="00432368"/>
    <w:rsid w:val="00433B04"/>
    <w:rsid w:val="0043784D"/>
    <w:rsid w:val="00440256"/>
    <w:rsid w:val="00440E22"/>
    <w:rsid w:val="00444F34"/>
    <w:rsid w:val="0044547D"/>
    <w:rsid w:val="00446F93"/>
    <w:rsid w:val="00451A74"/>
    <w:rsid w:val="004552AB"/>
    <w:rsid w:val="0045622C"/>
    <w:rsid w:val="00464FB1"/>
    <w:rsid w:val="00465398"/>
    <w:rsid w:val="00467185"/>
    <w:rsid w:val="00467736"/>
    <w:rsid w:val="0047050C"/>
    <w:rsid w:val="00472949"/>
    <w:rsid w:val="004750DB"/>
    <w:rsid w:val="004779C5"/>
    <w:rsid w:val="00480F21"/>
    <w:rsid w:val="00480F5D"/>
    <w:rsid w:val="0048108E"/>
    <w:rsid w:val="00483C58"/>
    <w:rsid w:val="0048537F"/>
    <w:rsid w:val="004874E5"/>
    <w:rsid w:val="00487885"/>
    <w:rsid w:val="00490A65"/>
    <w:rsid w:val="0049116C"/>
    <w:rsid w:val="004930C9"/>
    <w:rsid w:val="00493F62"/>
    <w:rsid w:val="00494832"/>
    <w:rsid w:val="004957C2"/>
    <w:rsid w:val="00495AF1"/>
    <w:rsid w:val="00495B55"/>
    <w:rsid w:val="00497A89"/>
    <w:rsid w:val="004A2602"/>
    <w:rsid w:val="004A4CED"/>
    <w:rsid w:val="004A6BE6"/>
    <w:rsid w:val="004B0828"/>
    <w:rsid w:val="004B3304"/>
    <w:rsid w:val="004B3DF1"/>
    <w:rsid w:val="004B4858"/>
    <w:rsid w:val="004B4BC0"/>
    <w:rsid w:val="004B5555"/>
    <w:rsid w:val="004B6350"/>
    <w:rsid w:val="004C0484"/>
    <w:rsid w:val="004C777E"/>
    <w:rsid w:val="004D0A9D"/>
    <w:rsid w:val="004D16A4"/>
    <w:rsid w:val="004E6682"/>
    <w:rsid w:val="004E6D8A"/>
    <w:rsid w:val="004F15EF"/>
    <w:rsid w:val="004F22FE"/>
    <w:rsid w:val="004F774D"/>
    <w:rsid w:val="004F799D"/>
    <w:rsid w:val="005013B0"/>
    <w:rsid w:val="005015E4"/>
    <w:rsid w:val="005017A6"/>
    <w:rsid w:val="0050291D"/>
    <w:rsid w:val="005064CD"/>
    <w:rsid w:val="00506C00"/>
    <w:rsid w:val="00511016"/>
    <w:rsid w:val="005159B3"/>
    <w:rsid w:val="00516358"/>
    <w:rsid w:val="00522C03"/>
    <w:rsid w:val="00525EA4"/>
    <w:rsid w:val="0052791F"/>
    <w:rsid w:val="00532CFF"/>
    <w:rsid w:val="00536880"/>
    <w:rsid w:val="00540AD0"/>
    <w:rsid w:val="00543A76"/>
    <w:rsid w:val="00544B6E"/>
    <w:rsid w:val="005523D1"/>
    <w:rsid w:val="0055532E"/>
    <w:rsid w:val="00555BC3"/>
    <w:rsid w:val="00557C8E"/>
    <w:rsid w:val="00561B2B"/>
    <w:rsid w:val="00562759"/>
    <w:rsid w:val="0056357E"/>
    <w:rsid w:val="00564952"/>
    <w:rsid w:val="0056645F"/>
    <w:rsid w:val="00571AB1"/>
    <w:rsid w:val="00577E1C"/>
    <w:rsid w:val="00580DB1"/>
    <w:rsid w:val="005814AC"/>
    <w:rsid w:val="00584676"/>
    <w:rsid w:val="005854B7"/>
    <w:rsid w:val="00587AB1"/>
    <w:rsid w:val="0059070B"/>
    <w:rsid w:val="0059283C"/>
    <w:rsid w:val="005A0D95"/>
    <w:rsid w:val="005A224B"/>
    <w:rsid w:val="005A45D5"/>
    <w:rsid w:val="005B1225"/>
    <w:rsid w:val="005B17D8"/>
    <w:rsid w:val="005B1D82"/>
    <w:rsid w:val="005B4077"/>
    <w:rsid w:val="005B6350"/>
    <w:rsid w:val="005C28B0"/>
    <w:rsid w:val="005C2F01"/>
    <w:rsid w:val="005C5F3C"/>
    <w:rsid w:val="005D01BE"/>
    <w:rsid w:val="005D1177"/>
    <w:rsid w:val="005D1D13"/>
    <w:rsid w:val="005D5460"/>
    <w:rsid w:val="005E08CD"/>
    <w:rsid w:val="005E37E8"/>
    <w:rsid w:val="005E4F7B"/>
    <w:rsid w:val="005E74C5"/>
    <w:rsid w:val="005F219D"/>
    <w:rsid w:val="005F2437"/>
    <w:rsid w:val="005F318A"/>
    <w:rsid w:val="005F7710"/>
    <w:rsid w:val="006004F7"/>
    <w:rsid w:val="00603261"/>
    <w:rsid w:val="00607597"/>
    <w:rsid w:val="00610F93"/>
    <w:rsid w:val="006127CC"/>
    <w:rsid w:val="006243C6"/>
    <w:rsid w:val="006273BC"/>
    <w:rsid w:val="00632009"/>
    <w:rsid w:val="00633CF1"/>
    <w:rsid w:val="00635A6C"/>
    <w:rsid w:val="00637091"/>
    <w:rsid w:val="0064235B"/>
    <w:rsid w:val="00642839"/>
    <w:rsid w:val="006457F8"/>
    <w:rsid w:val="00645CCB"/>
    <w:rsid w:val="0064700E"/>
    <w:rsid w:val="006478CB"/>
    <w:rsid w:val="00650B88"/>
    <w:rsid w:val="00652C58"/>
    <w:rsid w:val="006530EF"/>
    <w:rsid w:val="006554DD"/>
    <w:rsid w:val="00660951"/>
    <w:rsid w:val="006636E2"/>
    <w:rsid w:val="00666273"/>
    <w:rsid w:val="00667B12"/>
    <w:rsid w:val="00667FA9"/>
    <w:rsid w:val="0067233D"/>
    <w:rsid w:val="00672B2E"/>
    <w:rsid w:val="006745AE"/>
    <w:rsid w:val="00676870"/>
    <w:rsid w:val="00676AF3"/>
    <w:rsid w:val="00677895"/>
    <w:rsid w:val="00677BEF"/>
    <w:rsid w:val="006814A3"/>
    <w:rsid w:val="00682AFC"/>
    <w:rsid w:val="00682F8E"/>
    <w:rsid w:val="00683344"/>
    <w:rsid w:val="00684FC9"/>
    <w:rsid w:val="0069072B"/>
    <w:rsid w:val="0069174B"/>
    <w:rsid w:val="00693340"/>
    <w:rsid w:val="006A04C7"/>
    <w:rsid w:val="006A3A75"/>
    <w:rsid w:val="006B05E3"/>
    <w:rsid w:val="006B09BC"/>
    <w:rsid w:val="006B0CE3"/>
    <w:rsid w:val="006B6D5D"/>
    <w:rsid w:val="006B7B5A"/>
    <w:rsid w:val="006C0801"/>
    <w:rsid w:val="006C0C2C"/>
    <w:rsid w:val="006C1EAA"/>
    <w:rsid w:val="006C216F"/>
    <w:rsid w:val="006C2735"/>
    <w:rsid w:val="006C45D4"/>
    <w:rsid w:val="006C4CB5"/>
    <w:rsid w:val="006D1EB4"/>
    <w:rsid w:val="006D2042"/>
    <w:rsid w:val="006D66E3"/>
    <w:rsid w:val="006D7216"/>
    <w:rsid w:val="006D7855"/>
    <w:rsid w:val="006E010C"/>
    <w:rsid w:val="006E1003"/>
    <w:rsid w:val="006E16BF"/>
    <w:rsid w:val="006E18F0"/>
    <w:rsid w:val="006E38AF"/>
    <w:rsid w:val="006E4F93"/>
    <w:rsid w:val="006F1174"/>
    <w:rsid w:val="006F4198"/>
    <w:rsid w:val="00700135"/>
    <w:rsid w:val="00705180"/>
    <w:rsid w:val="00711605"/>
    <w:rsid w:val="00711DF6"/>
    <w:rsid w:val="00716FBC"/>
    <w:rsid w:val="00717090"/>
    <w:rsid w:val="00720739"/>
    <w:rsid w:val="0072253E"/>
    <w:rsid w:val="00723E1F"/>
    <w:rsid w:val="0072443D"/>
    <w:rsid w:val="007247E5"/>
    <w:rsid w:val="007248B7"/>
    <w:rsid w:val="007253DB"/>
    <w:rsid w:val="007254CA"/>
    <w:rsid w:val="007278FB"/>
    <w:rsid w:val="00730CF8"/>
    <w:rsid w:val="00731A90"/>
    <w:rsid w:val="00732608"/>
    <w:rsid w:val="00733251"/>
    <w:rsid w:val="00736DCA"/>
    <w:rsid w:val="00741717"/>
    <w:rsid w:val="00745C47"/>
    <w:rsid w:val="0075003D"/>
    <w:rsid w:val="00751D97"/>
    <w:rsid w:val="00751FA3"/>
    <w:rsid w:val="00752301"/>
    <w:rsid w:val="00752C55"/>
    <w:rsid w:val="007562D4"/>
    <w:rsid w:val="00756E4B"/>
    <w:rsid w:val="007573FA"/>
    <w:rsid w:val="00761DBF"/>
    <w:rsid w:val="00761FCF"/>
    <w:rsid w:val="00765503"/>
    <w:rsid w:val="00766B91"/>
    <w:rsid w:val="00767B7E"/>
    <w:rsid w:val="00771D7D"/>
    <w:rsid w:val="00771FF8"/>
    <w:rsid w:val="007745B7"/>
    <w:rsid w:val="007750C8"/>
    <w:rsid w:val="00776538"/>
    <w:rsid w:val="007773C5"/>
    <w:rsid w:val="007801FF"/>
    <w:rsid w:val="007802BE"/>
    <w:rsid w:val="00780EEF"/>
    <w:rsid w:val="0078134C"/>
    <w:rsid w:val="007813E3"/>
    <w:rsid w:val="00781C47"/>
    <w:rsid w:val="007837C7"/>
    <w:rsid w:val="00784B44"/>
    <w:rsid w:val="00785465"/>
    <w:rsid w:val="00787656"/>
    <w:rsid w:val="00790859"/>
    <w:rsid w:val="00791767"/>
    <w:rsid w:val="0079268A"/>
    <w:rsid w:val="00794859"/>
    <w:rsid w:val="00796510"/>
    <w:rsid w:val="00797C88"/>
    <w:rsid w:val="007A1013"/>
    <w:rsid w:val="007A4CA9"/>
    <w:rsid w:val="007A7D19"/>
    <w:rsid w:val="007A7EC2"/>
    <w:rsid w:val="007B042D"/>
    <w:rsid w:val="007B05BB"/>
    <w:rsid w:val="007B6E0A"/>
    <w:rsid w:val="007B764C"/>
    <w:rsid w:val="007C118A"/>
    <w:rsid w:val="007C636F"/>
    <w:rsid w:val="007D39D4"/>
    <w:rsid w:val="007D39EB"/>
    <w:rsid w:val="007E2775"/>
    <w:rsid w:val="007E74E1"/>
    <w:rsid w:val="007E77A8"/>
    <w:rsid w:val="007F491C"/>
    <w:rsid w:val="00803BF8"/>
    <w:rsid w:val="008061C9"/>
    <w:rsid w:val="008066D8"/>
    <w:rsid w:val="00811A18"/>
    <w:rsid w:val="00813711"/>
    <w:rsid w:val="00821E64"/>
    <w:rsid w:val="008263C2"/>
    <w:rsid w:val="008307DB"/>
    <w:rsid w:val="00833398"/>
    <w:rsid w:val="00835D9D"/>
    <w:rsid w:val="00835FC9"/>
    <w:rsid w:val="008368F8"/>
    <w:rsid w:val="008370E3"/>
    <w:rsid w:val="008418FA"/>
    <w:rsid w:val="00842959"/>
    <w:rsid w:val="00843390"/>
    <w:rsid w:val="0084385F"/>
    <w:rsid w:val="00850DDE"/>
    <w:rsid w:val="0085235A"/>
    <w:rsid w:val="00854138"/>
    <w:rsid w:val="00854410"/>
    <w:rsid w:val="008544DF"/>
    <w:rsid w:val="00860AAD"/>
    <w:rsid w:val="00861AA6"/>
    <w:rsid w:val="008708F3"/>
    <w:rsid w:val="00871354"/>
    <w:rsid w:val="00873611"/>
    <w:rsid w:val="00873C8F"/>
    <w:rsid w:val="00874FB3"/>
    <w:rsid w:val="00880BE3"/>
    <w:rsid w:val="00881359"/>
    <w:rsid w:val="00882093"/>
    <w:rsid w:val="00882588"/>
    <w:rsid w:val="00884ADE"/>
    <w:rsid w:val="008856CF"/>
    <w:rsid w:val="00885864"/>
    <w:rsid w:val="00890A1D"/>
    <w:rsid w:val="0089383B"/>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495"/>
    <w:rsid w:val="008D196A"/>
    <w:rsid w:val="008D6575"/>
    <w:rsid w:val="008E3EF2"/>
    <w:rsid w:val="008E51C9"/>
    <w:rsid w:val="008E5BEB"/>
    <w:rsid w:val="008E6306"/>
    <w:rsid w:val="008F2688"/>
    <w:rsid w:val="008F68F7"/>
    <w:rsid w:val="009005A6"/>
    <w:rsid w:val="009006CF"/>
    <w:rsid w:val="00900C71"/>
    <w:rsid w:val="00902A1C"/>
    <w:rsid w:val="009037B6"/>
    <w:rsid w:val="00906CBE"/>
    <w:rsid w:val="00910024"/>
    <w:rsid w:val="00910384"/>
    <w:rsid w:val="0091643D"/>
    <w:rsid w:val="00916E33"/>
    <w:rsid w:val="0092093B"/>
    <w:rsid w:val="00925FD2"/>
    <w:rsid w:val="00930669"/>
    <w:rsid w:val="00931F15"/>
    <w:rsid w:val="00932C33"/>
    <w:rsid w:val="009427A1"/>
    <w:rsid w:val="00942FFE"/>
    <w:rsid w:val="0094718E"/>
    <w:rsid w:val="009551E0"/>
    <w:rsid w:val="0095654E"/>
    <w:rsid w:val="00956F3C"/>
    <w:rsid w:val="00971C34"/>
    <w:rsid w:val="00972488"/>
    <w:rsid w:val="009726D0"/>
    <w:rsid w:val="0097421D"/>
    <w:rsid w:val="00976117"/>
    <w:rsid w:val="00976A23"/>
    <w:rsid w:val="009800BC"/>
    <w:rsid w:val="009816F6"/>
    <w:rsid w:val="0098702F"/>
    <w:rsid w:val="009900F0"/>
    <w:rsid w:val="00990B9B"/>
    <w:rsid w:val="00991769"/>
    <w:rsid w:val="0099224D"/>
    <w:rsid w:val="00993236"/>
    <w:rsid w:val="00993D8C"/>
    <w:rsid w:val="00994E3D"/>
    <w:rsid w:val="009972F3"/>
    <w:rsid w:val="009A297E"/>
    <w:rsid w:val="009A6127"/>
    <w:rsid w:val="009B0CC1"/>
    <w:rsid w:val="009B12B8"/>
    <w:rsid w:val="009B1390"/>
    <w:rsid w:val="009B713C"/>
    <w:rsid w:val="009C0F18"/>
    <w:rsid w:val="009C12C6"/>
    <w:rsid w:val="009C1E79"/>
    <w:rsid w:val="009C2555"/>
    <w:rsid w:val="009C7778"/>
    <w:rsid w:val="009D06AE"/>
    <w:rsid w:val="009D09E2"/>
    <w:rsid w:val="009D1E42"/>
    <w:rsid w:val="009D7148"/>
    <w:rsid w:val="009E02FD"/>
    <w:rsid w:val="009E4C74"/>
    <w:rsid w:val="009E62B6"/>
    <w:rsid w:val="009F35DA"/>
    <w:rsid w:val="009F43D0"/>
    <w:rsid w:val="00A00568"/>
    <w:rsid w:val="00A0058A"/>
    <w:rsid w:val="00A00884"/>
    <w:rsid w:val="00A02F62"/>
    <w:rsid w:val="00A02FA3"/>
    <w:rsid w:val="00A030C3"/>
    <w:rsid w:val="00A04803"/>
    <w:rsid w:val="00A10147"/>
    <w:rsid w:val="00A11331"/>
    <w:rsid w:val="00A131E6"/>
    <w:rsid w:val="00A13843"/>
    <w:rsid w:val="00A13E26"/>
    <w:rsid w:val="00A146A5"/>
    <w:rsid w:val="00A17466"/>
    <w:rsid w:val="00A204B3"/>
    <w:rsid w:val="00A20576"/>
    <w:rsid w:val="00A21593"/>
    <w:rsid w:val="00A221F7"/>
    <w:rsid w:val="00A22C21"/>
    <w:rsid w:val="00A2604E"/>
    <w:rsid w:val="00A31CCE"/>
    <w:rsid w:val="00A33C95"/>
    <w:rsid w:val="00A34FF3"/>
    <w:rsid w:val="00A35351"/>
    <w:rsid w:val="00A361C7"/>
    <w:rsid w:val="00A36723"/>
    <w:rsid w:val="00A46DF5"/>
    <w:rsid w:val="00A5149A"/>
    <w:rsid w:val="00A53650"/>
    <w:rsid w:val="00A53E51"/>
    <w:rsid w:val="00A57183"/>
    <w:rsid w:val="00A6019C"/>
    <w:rsid w:val="00A60693"/>
    <w:rsid w:val="00A6196D"/>
    <w:rsid w:val="00A619C0"/>
    <w:rsid w:val="00A61ADF"/>
    <w:rsid w:val="00A624CB"/>
    <w:rsid w:val="00A62AC0"/>
    <w:rsid w:val="00A701F1"/>
    <w:rsid w:val="00A76BD2"/>
    <w:rsid w:val="00A802C1"/>
    <w:rsid w:val="00A8189D"/>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B09ED"/>
    <w:rsid w:val="00AB3DC0"/>
    <w:rsid w:val="00AB4CBB"/>
    <w:rsid w:val="00AC125E"/>
    <w:rsid w:val="00AC45DF"/>
    <w:rsid w:val="00AC474D"/>
    <w:rsid w:val="00AC4DFD"/>
    <w:rsid w:val="00AC5663"/>
    <w:rsid w:val="00AC58FD"/>
    <w:rsid w:val="00AD0F6D"/>
    <w:rsid w:val="00AD1166"/>
    <w:rsid w:val="00AD19D2"/>
    <w:rsid w:val="00AD1A96"/>
    <w:rsid w:val="00AD2522"/>
    <w:rsid w:val="00AD3042"/>
    <w:rsid w:val="00AD3AB4"/>
    <w:rsid w:val="00AD793A"/>
    <w:rsid w:val="00AE0120"/>
    <w:rsid w:val="00AE3038"/>
    <w:rsid w:val="00AE3D4A"/>
    <w:rsid w:val="00AE5956"/>
    <w:rsid w:val="00AE619F"/>
    <w:rsid w:val="00AE7A88"/>
    <w:rsid w:val="00AF13B6"/>
    <w:rsid w:val="00AF2A56"/>
    <w:rsid w:val="00AF63AB"/>
    <w:rsid w:val="00B00537"/>
    <w:rsid w:val="00B01784"/>
    <w:rsid w:val="00B0388B"/>
    <w:rsid w:val="00B03BEE"/>
    <w:rsid w:val="00B0515D"/>
    <w:rsid w:val="00B0517E"/>
    <w:rsid w:val="00B11314"/>
    <w:rsid w:val="00B113E3"/>
    <w:rsid w:val="00B1156A"/>
    <w:rsid w:val="00B13185"/>
    <w:rsid w:val="00B138E3"/>
    <w:rsid w:val="00B13FB5"/>
    <w:rsid w:val="00B15ED0"/>
    <w:rsid w:val="00B178FA"/>
    <w:rsid w:val="00B17D8E"/>
    <w:rsid w:val="00B207C3"/>
    <w:rsid w:val="00B23267"/>
    <w:rsid w:val="00B23906"/>
    <w:rsid w:val="00B257BF"/>
    <w:rsid w:val="00B27149"/>
    <w:rsid w:val="00B2736A"/>
    <w:rsid w:val="00B35B4D"/>
    <w:rsid w:val="00B362F0"/>
    <w:rsid w:val="00B36652"/>
    <w:rsid w:val="00B425AB"/>
    <w:rsid w:val="00B47090"/>
    <w:rsid w:val="00B4761D"/>
    <w:rsid w:val="00B532D1"/>
    <w:rsid w:val="00B61E3E"/>
    <w:rsid w:val="00B661C1"/>
    <w:rsid w:val="00B67A79"/>
    <w:rsid w:val="00B67CF7"/>
    <w:rsid w:val="00B72D62"/>
    <w:rsid w:val="00B767AF"/>
    <w:rsid w:val="00B80511"/>
    <w:rsid w:val="00B80798"/>
    <w:rsid w:val="00B80876"/>
    <w:rsid w:val="00B82C3C"/>
    <w:rsid w:val="00B82DE6"/>
    <w:rsid w:val="00B831CD"/>
    <w:rsid w:val="00B85329"/>
    <w:rsid w:val="00B91B9D"/>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32E5"/>
    <w:rsid w:val="00BD36C4"/>
    <w:rsid w:val="00BE1095"/>
    <w:rsid w:val="00BE150A"/>
    <w:rsid w:val="00BE6767"/>
    <w:rsid w:val="00BE78EC"/>
    <w:rsid w:val="00BF46EE"/>
    <w:rsid w:val="00BF79D0"/>
    <w:rsid w:val="00C0613C"/>
    <w:rsid w:val="00C10D05"/>
    <w:rsid w:val="00C14FBA"/>
    <w:rsid w:val="00C15EA1"/>
    <w:rsid w:val="00C17A8E"/>
    <w:rsid w:val="00C24F70"/>
    <w:rsid w:val="00C25DC2"/>
    <w:rsid w:val="00C31756"/>
    <w:rsid w:val="00C33479"/>
    <w:rsid w:val="00C364B6"/>
    <w:rsid w:val="00C40ED2"/>
    <w:rsid w:val="00C41F10"/>
    <w:rsid w:val="00C42EB7"/>
    <w:rsid w:val="00C432DD"/>
    <w:rsid w:val="00C4423A"/>
    <w:rsid w:val="00C501FE"/>
    <w:rsid w:val="00C56D96"/>
    <w:rsid w:val="00C5784B"/>
    <w:rsid w:val="00C639FF"/>
    <w:rsid w:val="00C6442A"/>
    <w:rsid w:val="00C64D15"/>
    <w:rsid w:val="00C66088"/>
    <w:rsid w:val="00C67C4C"/>
    <w:rsid w:val="00C70FD7"/>
    <w:rsid w:val="00C74B5D"/>
    <w:rsid w:val="00C74F74"/>
    <w:rsid w:val="00C7554B"/>
    <w:rsid w:val="00C80951"/>
    <w:rsid w:val="00C8205E"/>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0D66"/>
    <w:rsid w:val="00CC2138"/>
    <w:rsid w:val="00CC586D"/>
    <w:rsid w:val="00CC7DBC"/>
    <w:rsid w:val="00CD1BA3"/>
    <w:rsid w:val="00CD1D23"/>
    <w:rsid w:val="00CD3612"/>
    <w:rsid w:val="00CD3E69"/>
    <w:rsid w:val="00CD6B7D"/>
    <w:rsid w:val="00CD7D29"/>
    <w:rsid w:val="00CE0847"/>
    <w:rsid w:val="00CE0B6C"/>
    <w:rsid w:val="00CE0D34"/>
    <w:rsid w:val="00CE11D0"/>
    <w:rsid w:val="00CE4708"/>
    <w:rsid w:val="00CE4C50"/>
    <w:rsid w:val="00CE6858"/>
    <w:rsid w:val="00CE7450"/>
    <w:rsid w:val="00CE770C"/>
    <w:rsid w:val="00CF0E7A"/>
    <w:rsid w:val="00CF50BE"/>
    <w:rsid w:val="00CF7625"/>
    <w:rsid w:val="00D0506A"/>
    <w:rsid w:val="00D1289C"/>
    <w:rsid w:val="00D1666F"/>
    <w:rsid w:val="00D2071A"/>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4EB4"/>
    <w:rsid w:val="00D801FC"/>
    <w:rsid w:val="00D85BE0"/>
    <w:rsid w:val="00D87FD7"/>
    <w:rsid w:val="00D91466"/>
    <w:rsid w:val="00D915ED"/>
    <w:rsid w:val="00D92300"/>
    <w:rsid w:val="00D94AFC"/>
    <w:rsid w:val="00D950E6"/>
    <w:rsid w:val="00D97047"/>
    <w:rsid w:val="00DA3619"/>
    <w:rsid w:val="00DA6778"/>
    <w:rsid w:val="00DB0B88"/>
    <w:rsid w:val="00DB1652"/>
    <w:rsid w:val="00DB58A6"/>
    <w:rsid w:val="00DB6B99"/>
    <w:rsid w:val="00DC001A"/>
    <w:rsid w:val="00DD4F44"/>
    <w:rsid w:val="00DD686C"/>
    <w:rsid w:val="00DE2AC3"/>
    <w:rsid w:val="00DE2E40"/>
    <w:rsid w:val="00DE3598"/>
    <w:rsid w:val="00DE3FBD"/>
    <w:rsid w:val="00DE43F5"/>
    <w:rsid w:val="00DE65FB"/>
    <w:rsid w:val="00DF420A"/>
    <w:rsid w:val="00E02472"/>
    <w:rsid w:val="00E041F0"/>
    <w:rsid w:val="00E128D8"/>
    <w:rsid w:val="00E130C3"/>
    <w:rsid w:val="00E151C0"/>
    <w:rsid w:val="00E17EDF"/>
    <w:rsid w:val="00E2082D"/>
    <w:rsid w:val="00E221E2"/>
    <w:rsid w:val="00E24303"/>
    <w:rsid w:val="00E27A16"/>
    <w:rsid w:val="00E40F7B"/>
    <w:rsid w:val="00E46D60"/>
    <w:rsid w:val="00E47C33"/>
    <w:rsid w:val="00E47F58"/>
    <w:rsid w:val="00E54BFC"/>
    <w:rsid w:val="00E56D9D"/>
    <w:rsid w:val="00E60E2E"/>
    <w:rsid w:val="00E662D4"/>
    <w:rsid w:val="00E71A2D"/>
    <w:rsid w:val="00E74A73"/>
    <w:rsid w:val="00E823C1"/>
    <w:rsid w:val="00E82DB7"/>
    <w:rsid w:val="00E8579C"/>
    <w:rsid w:val="00E865FE"/>
    <w:rsid w:val="00E91408"/>
    <w:rsid w:val="00E91759"/>
    <w:rsid w:val="00E9654B"/>
    <w:rsid w:val="00EA18DB"/>
    <w:rsid w:val="00EA29D3"/>
    <w:rsid w:val="00EA2FBA"/>
    <w:rsid w:val="00EA4DC5"/>
    <w:rsid w:val="00EA5CFD"/>
    <w:rsid w:val="00EA66DF"/>
    <w:rsid w:val="00EA6ADC"/>
    <w:rsid w:val="00EB13A7"/>
    <w:rsid w:val="00EB14DF"/>
    <w:rsid w:val="00EB1A4D"/>
    <w:rsid w:val="00EB3A07"/>
    <w:rsid w:val="00EB5539"/>
    <w:rsid w:val="00EC3F31"/>
    <w:rsid w:val="00EC52E7"/>
    <w:rsid w:val="00EC65A5"/>
    <w:rsid w:val="00ED3698"/>
    <w:rsid w:val="00ED4794"/>
    <w:rsid w:val="00EE265C"/>
    <w:rsid w:val="00EE5C63"/>
    <w:rsid w:val="00F0095C"/>
    <w:rsid w:val="00F01129"/>
    <w:rsid w:val="00F01CCA"/>
    <w:rsid w:val="00F01F2C"/>
    <w:rsid w:val="00F02104"/>
    <w:rsid w:val="00F02360"/>
    <w:rsid w:val="00F04455"/>
    <w:rsid w:val="00F0611C"/>
    <w:rsid w:val="00F06C17"/>
    <w:rsid w:val="00F1632B"/>
    <w:rsid w:val="00F24B35"/>
    <w:rsid w:val="00F268DA"/>
    <w:rsid w:val="00F334CB"/>
    <w:rsid w:val="00F3495A"/>
    <w:rsid w:val="00F34E2C"/>
    <w:rsid w:val="00F370BC"/>
    <w:rsid w:val="00F37143"/>
    <w:rsid w:val="00F40DBA"/>
    <w:rsid w:val="00F50562"/>
    <w:rsid w:val="00F50A92"/>
    <w:rsid w:val="00F50D01"/>
    <w:rsid w:val="00F56BC1"/>
    <w:rsid w:val="00F618C4"/>
    <w:rsid w:val="00F65774"/>
    <w:rsid w:val="00F65A34"/>
    <w:rsid w:val="00F65F4C"/>
    <w:rsid w:val="00F71A60"/>
    <w:rsid w:val="00F725DA"/>
    <w:rsid w:val="00F7450C"/>
    <w:rsid w:val="00F7536E"/>
    <w:rsid w:val="00F75652"/>
    <w:rsid w:val="00F8168B"/>
    <w:rsid w:val="00F81CF2"/>
    <w:rsid w:val="00F81F93"/>
    <w:rsid w:val="00F857D1"/>
    <w:rsid w:val="00F91DCC"/>
    <w:rsid w:val="00F9323F"/>
    <w:rsid w:val="00F943FE"/>
    <w:rsid w:val="00F95814"/>
    <w:rsid w:val="00F95CE9"/>
    <w:rsid w:val="00F96A26"/>
    <w:rsid w:val="00F97100"/>
    <w:rsid w:val="00FA01D9"/>
    <w:rsid w:val="00FB0401"/>
    <w:rsid w:val="00FB13EE"/>
    <w:rsid w:val="00FC1DFB"/>
    <w:rsid w:val="00FC1EF2"/>
    <w:rsid w:val="00FC3343"/>
    <w:rsid w:val="00FC33BA"/>
    <w:rsid w:val="00FC35AB"/>
    <w:rsid w:val="00FC6134"/>
    <w:rsid w:val="00FC654D"/>
    <w:rsid w:val="00FD0555"/>
    <w:rsid w:val="00FD5961"/>
    <w:rsid w:val="00FD5D29"/>
    <w:rsid w:val="00FD704B"/>
    <w:rsid w:val="00FE3EFA"/>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4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4" w:uiPriority="2"/>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5ED0"/>
    <w:pPr>
      <w:spacing w:before="120" w:after="120" w:line="260" w:lineRule="atLeast"/>
    </w:pPr>
    <w:rPr>
      <w:rFonts w:ascii="Arial" w:hAnsi="Arial"/>
      <w:sz w:val="22"/>
      <w:szCs w:val="24"/>
      <w:lang w:val="en-GB"/>
    </w:rPr>
  </w:style>
  <w:style w:type="paragraph" w:styleId="Heading1">
    <w:name w:val="heading 1"/>
    <w:basedOn w:val="Normal"/>
    <w:next w:val="Normal"/>
    <w:autoRedefine/>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090EC9"/>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Bullet table,Bullet L1"/>
    <w:basedOn w:val="Normal"/>
    <w:link w:val="ListParagraphChar"/>
    <w:autoRedefine/>
    <w:uiPriority w:val="34"/>
    <w:qFormat/>
    <w:rsid w:val="007801FF"/>
    <w:pPr>
      <w:numPr>
        <w:numId w:val="18"/>
      </w:numPr>
    </w:pPr>
  </w:style>
  <w:style w:type="character" w:customStyle="1" w:styleId="Heading2Char">
    <w:name w:val="Heading 2 Char"/>
    <w:basedOn w:val="DefaultParagraphFont"/>
    <w:link w:val="Heading2"/>
    <w:uiPriority w:val="2"/>
    <w:rsid w:val="00090EC9"/>
    <w:rPr>
      <w:rFonts w:asciiTheme="majorHAnsi" w:hAnsiTheme="majorHAnsi"/>
      <w:b/>
      <w:sz w:val="28"/>
      <w:szCs w:val="44"/>
      <w:lang w:val="en-GB"/>
    </w:rPr>
  </w:style>
  <w:style w:type="paragraph" w:styleId="TOC1">
    <w:name w:val="toc 1"/>
    <w:basedOn w:val="Normal"/>
    <w:next w:val="Normal"/>
    <w:autoRedefine/>
    <w:uiPriority w:val="39"/>
    <w:rsid w:val="00135B7E"/>
    <w:pPr>
      <w:tabs>
        <w:tab w:val="right" w:leader="dot" w:pos="7643"/>
      </w:tabs>
      <w:spacing w:before="240" w:after="60" w:line="240" w:lineRule="auto"/>
      <w:ind w:right="567"/>
    </w:pPr>
    <w:rPr>
      <w:noProof/>
    </w:rPr>
  </w:style>
  <w:style w:type="paragraph" w:styleId="TOC2">
    <w:name w:val="toc 2"/>
    <w:basedOn w:val="Normal"/>
    <w:next w:val="Normal"/>
    <w:autoRedefine/>
    <w:uiPriority w:val="39"/>
    <w:rsid w:val="00790859"/>
    <w:pPr>
      <w:tabs>
        <w:tab w:val="right" w:leader="dot" w:pos="7643"/>
      </w:tabs>
      <w:spacing w:before="100" w:beforeAutospacing="1"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790859"/>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rPr>
  </w:style>
  <w:style w:type="paragraph" w:customStyle="1" w:styleId="FinancialsH4">
    <w:name w:val="Financials H4"/>
    <w:basedOn w:val="Heading4"/>
    <w:autoRedefine/>
    <w:uiPriority w:val="1"/>
    <w:semiHidden/>
    <w:rsid w:val="00A00568"/>
    <w:pPr>
      <w:spacing w:before="120"/>
    </w:pPr>
    <w:rPr>
      <w:rFonts w:ascii="Arial Bold" w:hAnsi="Arial Bold"/>
    </w:rPr>
  </w:style>
  <w:style w:type="paragraph" w:customStyle="1" w:styleId="FinancialsH5">
    <w:name w:val="Financials H5"/>
    <w:basedOn w:val="Heading5"/>
    <w:autoRedefine/>
    <w:uiPriority w:val="1"/>
    <w:semiHidden/>
    <w:rsid w:val="00A00568"/>
    <w:pPr>
      <w:spacing w:before="120"/>
    </w:pPr>
    <w:rPr>
      <w:bCs/>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790859"/>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A13E26"/>
    <w:rPr>
      <w:i/>
    </w:r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090EC9"/>
    <w:pPr>
      <w:spacing w:line="240" w:lineRule="auto"/>
    </w:pPr>
    <w:rPr>
      <w:sz w:val="20"/>
      <w:szCs w:val="20"/>
    </w:rPr>
  </w:style>
  <w:style w:type="character" w:customStyle="1" w:styleId="CommentTextChar">
    <w:name w:val="Comment Text Char"/>
    <w:basedOn w:val="DefaultParagraphFont"/>
    <w:link w:val="CommentText"/>
    <w:rsid w:val="00090EC9"/>
    <w:rPr>
      <w:rFonts w:ascii="Arial" w:hAnsi="Arial"/>
      <w:lang w:val="en-GB"/>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lang w:val="en-GB"/>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790859"/>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table" w:styleId="LightList-Accent1">
    <w:name w:val="Light List Accent 1"/>
    <w:basedOn w:val="TableNormal"/>
    <w:uiPriority w:val="61"/>
    <w:rsid w:val="00A13E26"/>
    <w:tblPr>
      <w:tblStyleRowBandSize w:val="1"/>
      <w:tblStyleColBandSize w:val="1"/>
      <w:tblBorders>
        <w:top w:val="single" w:sz="8" w:space="0" w:color="004200" w:themeColor="accent1"/>
        <w:left w:val="single" w:sz="8" w:space="0" w:color="004200" w:themeColor="accent1"/>
        <w:bottom w:val="single" w:sz="8" w:space="0" w:color="004200" w:themeColor="accent1"/>
        <w:right w:val="single" w:sz="8" w:space="0" w:color="004200" w:themeColor="accent1"/>
      </w:tblBorders>
    </w:tblPr>
    <w:tblStylePr w:type="firstRow">
      <w:pPr>
        <w:spacing w:before="0" w:after="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style>
  <w:style w:type="paragraph" w:styleId="Revision">
    <w:name w:val="Revision"/>
    <w:hidden/>
    <w:uiPriority w:val="99"/>
    <w:semiHidden/>
    <w:rsid w:val="008F2688"/>
    <w:rPr>
      <w:rFonts w:ascii="Arial" w:hAnsi="Arial"/>
      <w:sz w:val="22"/>
      <w:szCs w:val="24"/>
    </w:rPr>
  </w:style>
  <w:style w:type="character" w:customStyle="1" w:styleId="ListParagraphChar">
    <w:name w:val="List Paragraph Char"/>
    <w:aliases w:val="List Paragraph1 Char,Recommendation Char,Bullet table Char,Bullet L1 Char"/>
    <w:link w:val="ListParagraph"/>
    <w:uiPriority w:val="34"/>
    <w:locked/>
    <w:rsid w:val="007801FF"/>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86975615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453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hyperlink" Target="mailto:enquiries.ihpa@ihpa.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ihpa.gov.au" TargetMode="External"/><Relationship Id="rId2" Type="http://schemas.openxmlformats.org/officeDocument/2006/relationships/numbering" Target="numbering.xml"/><Relationship Id="rId16" Type="http://schemas.openxmlformats.org/officeDocument/2006/relationships/hyperlink" Target="https://www.ihpa.gov.au/what-we-do/pricing-frame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hyperlink" Target="https://www.ihpa.gov.au/what-we-do/national-efficient-cost-determination" TargetMode="External"/><Relationship Id="rId10" Type="http://schemas.openxmlformats.org/officeDocument/2006/relationships/hyperlink" Target="http://creativecommons.org/licenses/by/3.0/au/deed.en"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hpa.gov.au/what-we-do/national-efficient-price-determi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F7541-C1D3-40F2-8FD9-60720E13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1581</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2020-02-03T05:22:00Z</dcterms:created>
  <dcterms:modified xsi:type="dcterms:W3CDTF">2020-03-02T00:07:00Z</dcterms:modified>
</cp:coreProperties>
</file>